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577AE">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22549187">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706980F5">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0CB6BA7B">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竞争性磋商文件示范文本（工程类）</w:t>
      </w:r>
    </w:p>
    <w:p w14:paraId="29D0DC2F">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2024版本</w:t>
      </w:r>
      <w:r>
        <w:rPr>
          <w:rFonts w:hint="eastAsia"/>
          <w:b/>
          <w:bCs/>
          <w:color w:val="auto"/>
          <w:sz w:val="52"/>
          <w:szCs w:val="52"/>
          <w:highlight w:val="none"/>
        </w:rPr>
        <w:t>）</w:t>
      </w:r>
    </w:p>
    <w:bookmarkEnd w:id="0"/>
    <w:p w14:paraId="2E8523A9">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1387D7CE">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FDECD40">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79DBA427">
      <w:pPr>
        <w:pStyle w:val="2"/>
        <w:rPr>
          <w:color w:val="auto"/>
          <w:highlight w:val="none"/>
        </w:rPr>
      </w:pPr>
    </w:p>
    <w:p w14:paraId="214BB51B">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15D6C6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976C946">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left="2446" w:leftChars="320" w:right="0" w:rightChars="0" w:hanging="1806" w:hangingChars="500"/>
        <w:jc w:val="left"/>
        <w:textAlignment w:val="auto"/>
        <w:rPr>
          <w:rFonts w:hint="default"/>
          <w:b/>
          <w:color w:val="auto"/>
          <w:spacing w:val="20"/>
          <w:sz w:val="32"/>
          <w:szCs w:val="32"/>
          <w:highlight w:val="none"/>
          <w:u w:val="singl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滁州市第一人民医院北区扩建项目检验中心专项工程（净化工程）</w:t>
      </w:r>
    </w:p>
    <w:p w14:paraId="2E8688E6">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right="0" w:rightChars="0" w:firstLine="723" w:firstLineChars="200"/>
        <w:textAlignment w:val="auto"/>
        <w:rPr>
          <w:rFonts w:hint="eastAsia"/>
          <w:b/>
          <w:color w:val="auto"/>
          <w:spacing w:val="20"/>
          <w:sz w:val="32"/>
          <w:szCs w:val="32"/>
          <w:highlight w:val="none"/>
          <w:u w:val="single"/>
          <w:lang w:val="en-US" w:eastAsia="zh-CN"/>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czsjcg202510-014</w:t>
      </w:r>
    </w:p>
    <w:p w14:paraId="798F23E9">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right="0" w:rightChars="0" w:firstLine="723" w:firstLineChars="200"/>
        <w:textAlignment w:val="auto"/>
        <w:rPr>
          <w:rFonts w:hint="eastAsia"/>
          <w:b/>
          <w:color w:val="auto"/>
          <w:spacing w:val="20"/>
          <w:sz w:val="32"/>
          <w:szCs w:val="32"/>
          <w:highlight w:val="none"/>
          <w:u w:val="single"/>
          <w:lang w:val="en-US" w:eastAsia="zh-CN"/>
        </w:rPr>
      </w:pPr>
      <w:r>
        <w:rPr>
          <w:rFonts w:hint="eastAsia"/>
          <w:b/>
          <w:color w:val="auto"/>
          <w:spacing w:val="20"/>
          <w:sz w:val="32"/>
          <w:szCs w:val="32"/>
          <w:highlight w:val="none"/>
        </w:rPr>
        <w:t>采 购 人：</w:t>
      </w:r>
      <w:r>
        <w:rPr>
          <w:rFonts w:hint="eastAsia" w:ascii="宋体" w:hAnsi="宋体" w:eastAsia="宋体"/>
          <w:b/>
          <w:color w:val="auto"/>
          <w:spacing w:val="20"/>
          <w:sz w:val="32"/>
          <w:szCs w:val="32"/>
          <w:highlight w:val="none"/>
          <w:u w:val="single"/>
          <w:lang w:val="en-US" w:eastAsia="zh-CN"/>
        </w:rPr>
        <w:t>滁州市第一人民医院</w:t>
      </w:r>
      <w:r>
        <w:rPr>
          <w:rFonts w:hint="eastAsia"/>
          <w:b/>
          <w:color w:val="auto"/>
          <w:spacing w:val="20"/>
          <w:sz w:val="32"/>
          <w:szCs w:val="32"/>
          <w:highlight w:val="none"/>
          <w:u w:val="single"/>
          <w:lang w:val="en-US" w:eastAsia="zh-CN"/>
        </w:rPr>
        <w:t>、</w:t>
      </w:r>
    </w:p>
    <w:p w14:paraId="6C27B61A">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right="0" w:rightChars="0" w:firstLine="2529" w:firstLineChars="700"/>
        <w:textAlignment w:val="auto"/>
        <w:rPr>
          <w:rFonts w:hint="default" w:ascii="宋体" w:hAnsi="宋体" w:eastAsia="宋体"/>
          <w:b/>
          <w:color w:val="auto"/>
          <w:spacing w:val="20"/>
          <w:sz w:val="32"/>
          <w:szCs w:val="32"/>
          <w:highlight w:val="none"/>
          <w:u w:val="single"/>
          <w:lang w:val="en-US" w:eastAsia="zh-CN"/>
        </w:rPr>
      </w:pPr>
      <w:r>
        <w:rPr>
          <w:rFonts w:hint="eastAsia" w:ascii="宋体" w:hAnsi="宋体" w:eastAsia="宋体"/>
          <w:b/>
          <w:color w:val="auto"/>
          <w:spacing w:val="20"/>
          <w:sz w:val="32"/>
          <w:szCs w:val="32"/>
          <w:highlight w:val="none"/>
          <w:u w:val="single"/>
          <w:lang w:val="en-US" w:eastAsia="zh-CN"/>
        </w:rPr>
        <w:t>滁州市重点工程建设管理处</w:t>
      </w:r>
    </w:p>
    <w:p w14:paraId="59BF168C">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right="0" w:rightChars="0" w:firstLine="723" w:firstLineChars="200"/>
        <w:textAlignment w:val="auto"/>
        <w:rPr>
          <w:b/>
          <w:color w:val="auto"/>
          <w:spacing w:val="20"/>
          <w:sz w:val="32"/>
          <w:szCs w:val="32"/>
          <w:highlight w:val="none"/>
        </w:rPr>
      </w:pPr>
      <w:r>
        <w:rPr>
          <w:rFonts w:hint="eastAsia"/>
          <w:b/>
          <w:color w:val="auto"/>
          <w:spacing w:val="20"/>
          <w:sz w:val="32"/>
          <w:szCs w:val="32"/>
          <w:highlight w:val="none"/>
        </w:rPr>
        <w:t>采购代理机构：</w:t>
      </w:r>
      <w:r>
        <w:rPr>
          <w:rFonts w:hint="eastAsia" w:ascii="宋体" w:hAnsi="宋体" w:cs="宋体"/>
          <w:b/>
          <w:color w:val="auto"/>
          <w:sz w:val="32"/>
          <w:szCs w:val="32"/>
          <w:highlight w:val="none"/>
          <w:u w:val="single"/>
        </w:rPr>
        <w:t>滁州市城投工程咨询管理有限公司</w:t>
      </w:r>
    </w:p>
    <w:p w14:paraId="31121A8F">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right="0" w:rightChars="0" w:firstLine="723" w:firstLineChars="200"/>
        <w:jc w:val="left"/>
        <w:textAlignment w:val="auto"/>
        <w:rPr>
          <w:rFonts w:hint="eastAsia"/>
          <w:b/>
          <w:color w:val="auto"/>
          <w:spacing w:val="20"/>
          <w:sz w:val="32"/>
          <w:szCs w:val="32"/>
          <w:highlight w:val="none"/>
        </w:rPr>
      </w:pPr>
    </w:p>
    <w:p w14:paraId="5B16C0F0">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rPr>
        <w:t xml:space="preserve"> </w:t>
      </w:r>
      <w:r>
        <w:rPr>
          <w:rFonts w:hint="eastAsia"/>
          <w:b/>
          <w:color w:val="auto"/>
          <w:sz w:val="36"/>
          <w:highlight w:val="none"/>
          <w:u w:val="single"/>
          <w:lang w:val="en-US" w:eastAsia="zh-CN"/>
        </w:rPr>
        <w:t>2025</w:t>
      </w:r>
      <w:r>
        <w:rPr>
          <w:rFonts w:hint="eastAsia"/>
          <w:b/>
          <w:color w:val="auto"/>
          <w:sz w:val="36"/>
          <w:highlight w:val="none"/>
          <w:u w:val="single"/>
        </w:rPr>
        <w:t xml:space="preserve"> </w:t>
      </w:r>
      <w:r>
        <w:rPr>
          <w:rFonts w:hint="eastAsia"/>
          <w:b/>
          <w:color w:val="auto"/>
          <w:sz w:val="36"/>
          <w:highlight w:val="none"/>
        </w:rPr>
        <w:t>年</w:t>
      </w:r>
      <w:r>
        <w:rPr>
          <w:rFonts w:hint="eastAsia"/>
          <w:b/>
          <w:color w:val="auto"/>
          <w:sz w:val="36"/>
          <w:highlight w:val="none"/>
          <w:u w:val="single"/>
        </w:rPr>
        <w:t xml:space="preserve"> </w:t>
      </w:r>
      <w:r>
        <w:rPr>
          <w:rFonts w:hint="eastAsia"/>
          <w:b/>
          <w:color w:val="auto"/>
          <w:sz w:val="36"/>
          <w:highlight w:val="none"/>
          <w:u w:val="single"/>
          <w:lang w:val="en-US" w:eastAsia="zh-CN"/>
        </w:rPr>
        <w:t xml:space="preserve">10 </w:t>
      </w:r>
      <w:r>
        <w:rPr>
          <w:rFonts w:hint="eastAsia"/>
          <w:b/>
          <w:color w:val="auto"/>
          <w:sz w:val="36"/>
          <w:highlight w:val="none"/>
        </w:rPr>
        <w:t>月</w:t>
      </w:r>
      <w:r>
        <w:rPr>
          <w:b/>
          <w:color w:val="auto"/>
          <w:sz w:val="36"/>
          <w:highlight w:val="none"/>
        </w:rPr>
        <w:br w:type="page"/>
      </w:r>
    </w:p>
    <w:p w14:paraId="7784B0D8">
      <w:pPr>
        <w:tabs>
          <w:tab w:val="left" w:pos="2410"/>
        </w:tabs>
        <w:autoSpaceDE w:val="0"/>
        <w:autoSpaceDN w:val="0"/>
        <w:adjustRightInd w:val="0"/>
        <w:snapToGrid w:val="0"/>
        <w:spacing w:line="360" w:lineRule="auto"/>
        <w:jc w:val="center"/>
        <w:rPr>
          <w:rFonts w:hint="eastAsia"/>
          <w:b/>
          <w:color w:val="auto"/>
          <w:sz w:val="28"/>
          <w:highlight w:val="none"/>
        </w:rPr>
        <w:sectPr>
          <w:headerReference r:id="rId3" w:type="default"/>
          <w:footerReference r:id="rId4" w:type="default"/>
          <w:pgSz w:w="11907" w:h="16840"/>
          <w:pgMar w:top="1474" w:right="1493" w:bottom="1474" w:left="1814" w:header="851" w:footer="992" w:gutter="0"/>
          <w:cols w:space="720" w:num="1"/>
          <w:docGrid w:linePitch="462" w:charSpace="0"/>
        </w:sectPr>
      </w:pPr>
    </w:p>
    <w:p w14:paraId="10C35067">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73D5CCF7">
      <w:pPr>
        <w:tabs>
          <w:tab w:val="left" w:pos="2410"/>
        </w:tabs>
        <w:autoSpaceDE w:val="0"/>
        <w:autoSpaceDN w:val="0"/>
        <w:adjustRightInd w:val="0"/>
        <w:snapToGrid w:val="0"/>
        <w:spacing w:line="360" w:lineRule="auto"/>
        <w:jc w:val="center"/>
        <w:rPr>
          <w:b/>
          <w:color w:val="auto"/>
          <w:sz w:val="28"/>
          <w:highlight w:val="none"/>
        </w:rPr>
      </w:pPr>
    </w:p>
    <w:p w14:paraId="4A65AE86">
      <w:pPr>
        <w:pStyle w:val="36"/>
        <w:keepNext w:val="0"/>
        <w:keepLines w:val="0"/>
        <w:pageBreakBefore w:val="0"/>
        <w:widowControl/>
        <w:tabs>
          <w:tab w:val="right" w:leader="dot" w:pos="8279"/>
        </w:tabs>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_Toc11403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磋商邀请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_Toc11403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D8070E">
      <w:pPr>
        <w:pStyle w:val="36"/>
        <w:keepNext w:val="0"/>
        <w:keepLines w:val="0"/>
        <w:pageBreakBefore w:val="0"/>
        <w:widowControl/>
        <w:tabs>
          <w:tab w:val="right" w:leader="dot" w:pos="8279"/>
        </w:tabs>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_Toc28080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_Toc28080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A4A5528">
      <w:pPr>
        <w:pStyle w:val="36"/>
        <w:keepNext w:val="0"/>
        <w:keepLines w:val="0"/>
        <w:pageBreakBefore w:val="0"/>
        <w:widowControl/>
        <w:tabs>
          <w:tab w:val="right" w:leader="dot" w:pos="8279"/>
        </w:tabs>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_Toc30873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_Toc30873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- 30 -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D09408">
      <w:pPr>
        <w:pStyle w:val="36"/>
        <w:keepNext w:val="0"/>
        <w:keepLines w:val="0"/>
        <w:pageBreakBefore w:val="0"/>
        <w:widowControl/>
        <w:tabs>
          <w:tab w:val="right" w:leader="dot" w:pos="8279"/>
        </w:tabs>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_Toc11353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评审方法和标准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_Toc11353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41C40A8">
      <w:pPr>
        <w:pStyle w:val="36"/>
        <w:keepNext w:val="0"/>
        <w:keepLines w:val="0"/>
        <w:pageBreakBefore w:val="0"/>
        <w:widowControl/>
        <w:tabs>
          <w:tab w:val="right" w:leader="dot" w:pos="8279"/>
        </w:tabs>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_Toc31277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政府采购合同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_Toc31277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69F5FA">
      <w:pPr>
        <w:pStyle w:val="36"/>
        <w:keepNext w:val="0"/>
        <w:keepLines w:val="0"/>
        <w:pageBreakBefore w:val="0"/>
        <w:widowControl/>
        <w:tabs>
          <w:tab w:val="right" w:leader="dot" w:pos="8279"/>
        </w:tabs>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_Toc22734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_Toc22734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F956D0">
      <w:pPr>
        <w:pStyle w:val="36"/>
        <w:keepNext w:val="0"/>
        <w:keepLines w:val="0"/>
        <w:pageBreakBefore w:val="0"/>
        <w:widowControl/>
        <w:tabs>
          <w:tab w:val="right" w:leader="dot" w:pos="8279"/>
        </w:tabs>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_Toc24879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w:t>
      </w:r>
      <w:r>
        <w:rPr>
          <w:rFonts w:hint="eastAsia" w:ascii="宋体" w:hAnsi="宋体" w:eastAsia="宋体" w:cs="宋体"/>
          <w:bCs/>
          <w:color w:val="auto"/>
          <w:sz w:val="24"/>
          <w:szCs w:val="24"/>
          <w:highlight w:val="none"/>
          <w:lang w:val="en-US" w:eastAsia="zh-CN"/>
        </w:rPr>
        <w:t>七</w:t>
      </w:r>
      <w:r>
        <w:rPr>
          <w:rFonts w:hint="eastAsia" w:ascii="宋体" w:hAnsi="宋体" w:eastAsia="宋体" w:cs="宋体"/>
          <w:bCs/>
          <w:color w:val="auto"/>
          <w:sz w:val="24"/>
          <w:szCs w:val="24"/>
          <w:highlight w:val="none"/>
        </w:rPr>
        <w:t>章  政府采购</w:t>
      </w:r>
      <w:r>
        <w:rPr>
          <w:rFonts w:hint="eastAsia" w:ascii="宋体" w:hAnsi="宋体" w:eastAsia="宋体" w:cs="宋体"/>
          <w:color w:val="auto"/>
          <w:sz w:val="24"/>
          <w:szCs w:val="24"/>
          <w:highlight w:val="none"/>
        </w:rPr>
        <w:t>供应</w:t>
      </w:r>
      <w:r>
        <w:rPr>
          <w:rFonts w:hint="eastAsia" w:ascii="宋体" w:hAnsi="宋体" w:eastAsia="宋体" w:cs="宋体"/>
          <w:bCs/>
          <w:color w:val="auto"/>
          <w:sz w:val="24"/>
          <w:szCs w:val="24"/>
          <w:highlight w:val="none"/>
        </w:rPr>
        <w:t>商询问函和质疑函范本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_Toc24879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- 126 -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8A23CA">
      <w:pPr>
        <w:pStyle w:val="46"/>
        <w:keepNext w:val="0"/>
        <w:keepLines w:val="0"/>
        <w:pageBreakBefore w:val="0"/>
        <w:widowControl/>
        <w:tabs>
          <w:tab w:val="right" w:leader="dot" w:pos="8296"/>
        </w:tabs>
        <w:kinsoku/>
        <w:wordWrap/>
        <w:overflowPunct/>
        <w:topLinePunct w:val="0"/>
        <w:autoSpaceDE/>
        <w:autoSpaceDN/>
        <w:bidi w:val="0"/>
        <w:adjustRightInd/>
        <w:snapToGrid/>
        <w:spacing w:line="560" w:lineRule="exact"/>
        <w:textAlignment w:val="auto"/>
        <w:rPr>
          <w:rFonts w:asciiTheme="minorEastAsia" w:hAnsiTheme="minorEastAsia"/>
          <w:b/>
          <w:color w:val="auto"/>
          <w:szCs w:val="24"/>
          <w:highlight w:val="none"/>
        </w:rPr>
      </w:pPr>
      <w:r>
        <w:rPr>
          <w:rFonts w:hint="eastAsia" w:ascii="宋体" w:hAnsi="宋体" w:eastAsia="宋体" w:cs="宋体"/>
          <w:color w:val="auto"/>
          <w:sz w:val="24"/>
          <w:szCs w:val="24"/>
          <w:highlight w:val="none"/>
        </w:rPr>
        <w:fldChar w:fldCharType="end"/>
      </w:r>
    </w:p>
    <w:p w14:paraId="5DC60977">
      <w:pPr>
        <w:pStyle w:val="8"/>
        <w:rPr>
          <w:color w:val="auto"/>
          <w:highlight w:val="none"/>
        </w:rPr>
        <w:sectPr>
          <w:headerReference r:id="rId5" w:type="default"/>
          <w:footerReference r:id="rId6" w:type="default"/>
          <w:pgSz w:w="11907" w:h="16840"/>
          <w:pgMar w:top="1474" w:right="1814" w:bottom="1474" w:left="1814" w:header="851" w:footer="992" w:gutter="0"/>
          <w:cols w:space="720" w:num="1"/>
          <w:docGrid w:linePitch="462" w:charSpace="0"/>
        </w:sectPr>
      </w:pPr>
    </w:p>
    <w:p w14:paraId="02FFEABB">
      <w:pPr>
        <w:spacing w:line="360" w:lineRule="auto"/>
        <w:jc w:val="center"/>
        <w:outlineLvl w:val="0"/>
        <w:rPr>
          <w:rFonts w:asciiTheme="minorEastAsia" w:hAnsiTheme="minorEastAsia" w:eastAsiaTheme="minorEastAsia"/>
          <w:b/>
          <w:color w:val="auto"/>
          <w:sz w:val="28"/>
          <w:highlight w:val="none"/>
        </w:rPr>
      </w:pPr>
      <w:bookmarkStart w:id="1" w:name="_Toc114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17997859">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color w:val="auto"/>
          <w:sz w:val="24"/>
          <w:szCs w:val="24"/>
          <w:highlight w:val="none"/>
        </w:rPr>
      </w:pPr>
      <w:bookmarkStart w:id="2" w:name="_Toc8770"/>
      <w:bookmarkStart w:id="3" w:name="_Toc18492"/>
      <w:r>
        <w:rPr>
          <w:rFonts w:hint="eastAsia" w:ascii="宋体" w:hAnsi="宋体" w:eastAsia="宋体" w:cs="宋体"/>
          <w:b w:val="0"/>
          <w:color w:val="auto"/>
          <w:sz w:val="24"/>
          <w:szCs w:val="24"/>
          <w:highlight w:val="none"/>
        </w:rPr>
        <w:t>项目概况</w:t>
      </w:r>
    </w:p>
    <w:p w14:paraId="314B0C2B">
      <w:pPr>
        <w:keepNext/>
        <w:keepLines/>
        <w:pageBreakBefore w:val="0"/>
        <w:widowControl w:val="0"/>
        <w:kinsoku/>
        <w:wordWrap w:val="0"/>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color w:val="auto"/>
          <w:sz w:val="24"/>
          <w:szCs w:val="24"/>
          <w:highlight w:val="none"/>
        </w:rPr>
      </w:pPr>
      <w:r>
        <w:rPr>
          <w:rFonts w:hint="eastAsia" w:cs="宋体"/>
          <w:b w:val="0"/>
          <w:color w:val="auto"/>
          <w:sz w:val="24"/>
          <w:szCs w:val="24"/>
          <w:highlight w:val="none"/>
          <w:u w:val="single"/>
          <w:lang w:val="en-US" w:eastAsia="zh-CN"/>
        </w:rPr>
        <w:t>滁州市第一人民医院北区扩建项目检验中心专项工程（净化工程）</w:t>
      </w:r>
      <w:r>
        <w:rPr>
          <w:rFonts w:hint="eastAsia" w:ascii="宋体" w:hAnsi="宋体" w:eastAsia="宋体" w:cs="宋体"/>
          <w:b w:val="0"/>
          <w:color w:val="auto"/>
          <w:sz w:val="24"/>
          <w:szCs w:val="24"/>
          <w:highlight w:val="none"/>
        </w:rPr>
        <w:t>的潜在</w:t>
      </w:r>
      <w:r>
        <w:rPr>
          <w:rFonts w:hint="eastAsia" w:ascii="宋体" w:hAnsi="宋体" w:eastAsia="宋体" w:cs="宋体"/>
          <w:b w:val="0"/>
          <w:color w:val="auto"/>
          <w:sz w:val="24"/>
          <w:szCs w:val="24"/>
          <w:highlight w:val="none"/>
          <w:lang w:eastAsia="zh-CN"/>
        </w:rPr>
        <w:t>供应商</w:t>
      </w:r>
      <w:r>
        <w:rPr>
          <w:rFonts w:hint="eastAsia" w:ascii="宋体" w:hAnsi="宋体" w:eastAsia="宋体" w:cs="宋体"/>
          <w:b w:val="0"/>
          <w:color w:val="auto"/>
          <w:sz w:val="24"/>
          <w:szCs w:val="24"/>
          <w:highlight w:val="none"/>
        </w:rPr>
        <w:t>应在</w:t>
      </w:r>
      <w:r>
        <w:rPr>
          <w:rFonts w:hint="eastAsia" w:ascii="宋体" w:hAnsi="宋体" w:eastAsia="宋体" w:cs="宋体"/>
          <w:b w:val="0"/>
          <w:color w:val="auto"/>
          <w:sz w:val="24"/>
          <w:szCs w:val="24"/>
          <w:highlight w:val="none"/>
          <w:u w:val="single"/>
        </w:rPr>
        <w:t>滁州市公共资源交易中心网（http：//ggzy.chuzhou.gov.cn/）</w:t>
      </w:r>
      <w:r>
        <w:rPr>
          <w:rFonts w:hint="eastAsia" w:ascii="宋体" w:hAnsi="宋体" w:eastAsia="宋体" w:cs="宋体"/>
          <w:b w:val="0"/>
          <w:color w:val="auto"/>
          <w:sz w:val="24"/>
          <w:szCs w:val="24"/>
          <w:highlight w:val="none"/>
        </w:rPr>
        <w:t>获取</w:t>
      </w:r>
      <w:r>
        <w:rPr>
          <w:rFonts w:hint="eastAsia" w:ascii="宋体" w:hAnsi="宋体" w:eastAsia="宋体" w:cs="宋体"/>
          <w:b w:val="0"/>
          <w:color w:val="auto"/>
          <w:sz w:val="24"/>
          <w:szCs w:val="24"/>
          <w:highlight w:val="none"/>
          <w:lang w:val="en-US" w:eastAsia="zh-CN"/>
        </w:rPr>
        <w:t>采购</w:t>
      </w:r>
      <w:r>
        <w:rPr>
          <w:rFonts w:hint="eastAsia" w:ascii="宋体" w:hAnsi="宋体" w:eastAsia="宋体" w:cs="宋体"/>
          <w:b w:val="0"/>
          <w:color w:val="auto"/>
          <w:sz w:val="24"/>
          <w:szCs w:val="24"/>
          <w:highlight w:val="none"/>
        </w:rPr>
        <w:t>文件，并于</w:t>
      </w:r>
      <w:r>
        <w:rPr>
          <w:rFonts w:hint="eastAsia" w:ascii="宋体" w:hAnsi="宋体" w:eastAsia="宋体" w:cs="宋体"/>
          <w:b w:val="0"/>
          <w:color w:val="auto"/>
          <w:sz w:val="24"/>
          <w:szCs w:val="24"/>
          <w:highlight w:val="none"/>
          <w:u w:val="single"/>
          <w:lang w:val="en-US" w:eastAsia="zh-CN"/>
        </w:rPr>
        <w:t>202</w:t>
      </w:r>
      <w:r>
        <w:rPr>
          <w:rFonts w:hint="eastAsia" w:cs="宋体"/>
          <w:b w:val="0"/>
          <w:color w:val="auto"/>
          <w:sz w:val="24"/>
          <w:szCs w:val="24"/>
          <w:highlight w:val="none"/>
          <w:u w:val="single"/>
          <w:lang w:val="en-US" w:eastAsia="zh-CN"/>
        </w:rPr>
        <w:t>5</w:t>
      </w:r>
      <w:r>
        <w:rPr>
          <w:rFonts w:hint="eastAsia" w:ascii="宋体" w:hAnsi="宋体" w:eastAsia="宋体" w:cs="宋体"/>
          <w:b w:val="0"/>
          <w:color w:val="auto"/>
          <w:sz w:val="24"/>
          <w:szCs w:val="24"/>
          <w:highlight w:val="none"/>
          <w:u w:val="single"/>
        </w:rPr>
        <w:t>年</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rPr>
        <w:t>月</w:t>
      </w:r>
      <w:r>
        <w:rPr>
          <w:rFonts w:hint="eastAsia" w:cs="宋体"/>
          <w:b w:val="0"/>
          <w:color w:val="auto"/>
          <w:sz w:val="24"/>
          <w:szCs w:val="24"/>
          <w:highlight w:val="none"/>
          <w:u w:val="single"/>
          <w:lang w:val="en-US" w:eastAsia="zh-CN"/>
        </w:rPr>
        <w:t>27</w:t>
      </w:r>
      <w:r>
        <w:rPr>
          <w:rFonts w:hint="eastAsia" w:ascii="宋体" w:hAnsi="宋体" w:eastAsia="宋体" w:cs="宋体"/>
          <w:b w:val="0"/>
          <w:color w:val="auto"/>
          <w:sz w:val="24"/>
          <w:szCs w:val="24"/>
          <w:highlight w:val="none"/>
          <w:u w:val="single"/>
        </w:rPr>
        <w:t>日</w:t>
      </w:r>
      <w:r>
        <w:rPr>
          <w:rFonts w:hint="eastAsia" w:ascii="宋体" w:hAnsi="宋体" w:eastAsia="宋体" w:cs="宋体"/>
          <w:b w:val="0"/>
          <w:color w:val="auto"/>
          <w:sz w:val="24"/>
          <w:szCs w:val="24"/>
          <w:highlight w:val="none"/>
          <w:u w:val="single"/>
          <w:lang w:val="en-US" w:eastAsia="zh-CN"/>
        </w:rPr>
        <w:t>08</w:t>
      </w:r>
      <w:r>
        <w:rPr>
          <w:rFonts w:hint="eastAsia" w:ascii="宋体" w:hAnsi="宋体" w:eastAsia="宋体" w:cs="宋体"/>
          <w:b w:val="0"/>
          <w:color w:val="auto"/>
          <w:sz w:val="24"/>
          <w:szCs w:val="24"/>
          <w:highlight w:val="none"/>
          <w:u w:val="single"/>
        </w:rPr>
        <w:t>点</w:t>
      </w:r>
      <w:r>
        <w:rPr>
          <w:rFonts w:hint="eastAsia" w:ascii="宋体" w:hAnsi="宋体" w:eastAsia="宋体" w:cs="宋体"/>
          <w:b w:val="0"/>
          <w:color w:val="auto"/>
          <w:sz w:val="24"/>
          <w:szCs w:val="24"/>
          <w:highlight w:val="none"/>
          <w:u w:val="single"/>
          <w:lang w:val="en-US" w:eastAsia="zh-CN"/>
        </w:rPr>
        <w:t>00</w:t>
      </w:r>
      <w:r>
        <w:rPr>
          <w:rFonts w:hint="eastAsia" w:ascii="宋体" w:hAnsi="宋体" w:eastAsia="宋体" w:cs="宋体"/>
          <w:b w:val="0"/>
          <w:color w:val="auto"/>
          <w:sz w:val="24"/>
          <w:szCs w:val="24"/>
          <w:highlight w:val="none"/>
          <w:u w:val="single"/>
        </w:rPr>
        <w:t>分</w:t>
      </w:r>
      <w:r>
        <w:rPr>
          <w:rFonts w:hint="eastAsia" w:ascii="宋体" w:hAnsi="宋体" w:eastAsia="宋体" w:cs="宋体"/>
          <w:b w:val="0"/>
          <w:color w:val="auto"/>
          <w:sz w:val="24"/>
          <w:szCs w:val="24"/>
          <w:highlight w:val="none"/>
        </w:rPr>
        <w:t>（北京时间）前递交</w:t>
      </w:r>
      <w:r>
        <w:rPr>
          <w:rFonts w:hint="eastAsia" w:ascii="宋体" w:hAnsi="宋体" w:eastAsia="宋体" w:cs="宋体"/>
          <w:b w:val="0"/>
          <w:color w:val="auto"/>
          <w:sz w:val="24"/>
          <w:szCs w:val="24"/>
          <w:highlight w:val="none"/>
          <w:lang w:eastAsia="zh-CN"/>
        </w:rPr>
        <w:t>响应</w:t>
      </w:r>
      <w:r>
        <w:rPr>
          <w:rFonts w:hint="eastAsia" w:ascii="宋体" w:hAnsi="宋体" w:eastAsia="宋体" w:cs="宋体"/>
          <w:b w:val="0"/>
          <w:color w:val="auto"/>
          <w:sz w:val="24"/>
          <w:szCs w:val="24"/>
          <w:highlight w:val="none"/>
        </w:rPr>
        <w:t>文件。</w:t>
      </w:r>
    </w:p>
    <w:p w14:paraId="015BDE6B">
      <w:pPr>
        <w:spacing w:line="360" w:lineRule="auto"/>
        <w:ind w:firstLine="437"/>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一、项目基本情况</w:t>
      </w:r>
    </w:p>
    <w:p w14:paraId="51E54F3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default"/>
          <w:color w:val="auto"/>
          <w:sz w:val="24"/>
          <w:szCs w:val="24"/>
          <w:highlight w:val="none"/>
          <w:lang w:val="en-US" w:eastAsia="zh-CN"/>
        </w:rPr>
      </w:pPr>
      <w:r>
        <w:rPr>
          <w:rFonts w:hint="eastAsia" w:ascii="宋体" w:hAnsi="宋体" w:eastAsia="宋体"/>
          <w:color w:val="auto"/>
          <w:sz w:val="24"/>
          <w:szCs w:val="24"/>
          <w:highlight w:val="none"/>
          <w:lang w:val="en-US" w:eastAsia="zh-CN"/>
        </w:rPr>
        <w:t>项目编号：czsjcg202510-014</w:t>
      </w:r>
      <w:bookmarkStart w:id="710" w:name="_GoBack"/>
      <w:bookmarkEnd w:id="710"/>
    </w:p>
    <w:p w14:paraId="45DEE8F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default" w:ascii="宋体" w:hAnsi="宋体" w:eastAsia="宋体"/>
          <w:color w:val="auto"/>
          <w:sz w:val="24"/>
          <w:szCs w:val="24"/>
          <w:highlight w:val="none"/>
          <w:lang w:val="en-US"/>
        </w:rPr>
      </w:pPr>
      <w:r>
        <w:rPr>
          <w:rFonts w:hint="eastAsia" w:ascii="宋体" w:hAnsi="宋体" w:eastAsia="宋体"/>
          <w:color w:val="auto"/>
          <w:sz w:val="24"/>
          <w:szCs w:val="24"/>
          <w:highlight w:val="none"/>
          <w:lang w:val="en-US" w:eastAsia="zh-CN"/>
        </w:rPr>
        <w:t>项目名称：滁州市第一人民医院北区扩建项目检验中心专项工程（净化工程）</w:t>
      </w:r>
    </w:p>
    <w:p w14:paraId="6FDFD8E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采购方式：竞争性磋商</w:t>
      </w:r>
    </w:p>
    <w:p w14:paraId="74AF0428">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预算金额：</w:t>
      </w:r>
      <w:r>
        <w:rPr>
          <w:rFonts w:hint="eastAsia" w:ascii="宋体" w:hAnsi="宋体" w:eastAsia="宋体"/>
          <w:color w:val="auto"/>
          <w:sz w:val="24"/>
          <w:szCs w:val="24"/>
          <w:highlight w:val="none"/>
          <w:lang w:val="en-US" w:eastAsia="zh-CN"/>
        </w:rPr>
        <w:t>约</w:t>
      </w:r>
      <w:r>
        <w:rPr>
          <w:rFonts w:hint="eastAsia"/>
          <w:color w:val="auto"/>
          <w:sz w:val="24"/>
          <w:szCs w:val="24"/>
          <w:highlight w:val="none"/>
          <w:lang w:val="en-US" w:eastAsia="zh-CN"/>
        </w:rPr>
        <w:t>395万</w:t>
      </w:r>
      <w:r>
        <w:rPr>
          <w:rFonts w:hint="eastAsia" w:ascii="宋体" w:hAnsi="宋体" w:eastAsia="宋体"/>
          <w:color w:val="auto"/>
          <w:sz w:val="24"/>
          <w:szCs w:val="24"/>
          <w:highlight w:val="none"/>
          <w:lang w:val="en-US" w:eastAsia="zh-CN"/>
        </w:rPr>
        <w:t>元</w:t>
      </w:r>
    </w:p>
    <w:p w14:paraId="172612D3">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最高限价：</w:t>
      </w:r>
      <w:r>
        <w:rPr>
          <w:rFonts w:hint="eastAsia"/>
          <w:color w:val="auto"/>
          <w:sz w:val="24"/>
          <w:szCs w:val="24"/>
          <w:highlight w:val="none"/>
          <w:lang w:val="en-US" w:eastAsia="zh-CN"/>
        </w:rPr>
        <w:t>3943830.57</w:t>
      </w:r>
      <w:r>
        <w:rPr>
          <w:rFonts w:hint="eastAsia" w:ascii="宋体" w:hAnsi="宋体" w:eastAsia="宋体"/>
          <w:color w:val="auto"/>
          <w:sz w:val="24"/>
          <w:szCs w:val="24"/>
          <w:highlight w:val="none"/>
        </w:rPr>
        <w:t>元</w:t>
      </w:r>
      <w:r>
        <w:rPr>
          <w:rFonts w:hint="eastAsia"/>
          <w:color w:val="auto"/>
          <w:sz w:val="24"/>
          <w:szCs w:val="24"/>
          <w:highlight w:val="none"/>
          <w:lang w:eastAsia="zh-CN"/>
        </w:rPr>
        <w:t>，</w:t>
      </w:r>
      <w:r>
        <w:rPr>
          <w:rFonts w:hint="eastAsia"/>
          <w:color w:val="auto"/>
          <w:sz w:val="24"/>
          <w:szCs w:val="24"/>
          <w:highlight w:val="none"/>
          <w:lang w:val="en-US" w:eastAsia="zh-CN"/>
        </w:rPr>
        <w:t>响应报价</w:t>
      </w:r>
      <w:r>
        <w:rPr>
          <w:rFonts w:hint="eastAsia" w:ascii="宋体" w:hAnsi="宋体" w:eastAsia="宋体"/>
          <w:color w:val="auto"/>
          <w:sz w:val="24"/>
          <w:szCs w:val="24"/>
          <w:highlight w:val="none"/>
        </w:rPr>
        <w:t>高于最高限价的，其响应文件按无效响应处理。</w:t>
      </w:r>
    </w:p>
    <w:p w14:paraId="02CA0B83">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采购需求：检验中心专项工程（净化工程）</w:t>
      </w:r>
      <w:r>
        <w:rPr>
          <w:rFonts w:hint="eastAsia"/>
          <w:color w:val="auto"/>
          <w:sz w:val="24"/>
          <w:szCs w:val="24"/>
          <w:highlight w:val="none"/>
          <w:lang w:val="en-US" w:eastAsia="zh-CN"/>
        </w:rPr>
        <w:t>包括</w:t>
      </w:r>
      <w:r>
        <w:rPr>
          <w:rFonts w:hint="eastAsia" w:ascii="宋体" w:hAnsi="宋体" w:eastAsia="宋体"/>
          <w:color w:val="auto"/>
          <w:sz w:val="24"/>
          <w:szCs w:val="24"/>
          <w:highlight w:val="none"/>
        </w:rPr>
        <w:t>装饰</w:t>
      </w:r>
      <w:r>
        <w:rPr>
          <w:rFonts w:hint="eastAsia"/>
          <w:color w:val="auto"/>
          <w:sz w:val="24"/>
          <w:szCs w:val="24"/>
          <w:highlight w:val="none"/>
          <w:lang w:val="en-US" w:eastAsia="zh-CN"/>
        </w:rPr>
        <w:t>工程</w:t>
      </w:r>
      <w:r>
        <w:rPr>
          <w:rFonts w:hint="eastAsia"/>
          <w:color w:val="auto"/>
          <w:sz w:val="24"/>
          <w:szCs w:val="24"/>
          <w:highlight w:val="none"/>
          <w:lang w:eastAsia="zh-CN"/>
        </w:rPr>
        <w:t>、</w:t>
      </w:r>
      <w:r>
        <w:rPr>
          <w:rFonts w:hint="eastAsia"/>
          <w:color w:val="auto"/>
          <w:sz w:val="24"/>
          <w:szCs w:val="24"/>
          <w:highlight w:val="none"/>
          <w:lang w:val="en-US" w:eastAsia="zh-CN"/>
        </w:rPr>
        <w:t>安装工程、智能化工程等</w:t>
      </w:r>
      <w:r>
        <w:rPr>
          <w:rFonts w:hint="eastAsia" w:ascii="宋体" w:hAnsi="宋体" w:eastAsia="宋体"/>
          <w:color w:val="auto"/>
          <w:sz w:val="24"/>
          <w:szCs w:val="24"/>
          <w:highlight w:val="none"/>
        </w:rPr>
        <w:t>。</w:t>
      </w:r>
    </w:p>
    <w:p w14:paraId="150336D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合同履行期限：</w:t>
      </w:r>
      <w:r>
        <w:rPr>
          <w:rFonts w:hint="eastAsia"/>
          <w:color w:val="auto"/>
          <w:sz w:val="24"/>
          <w:szCs w:val="24"/>
          <w:highlight w:val="none"/>
          <w:lang w:val="en-US" w:eastAsia="zh-CN"/>
        </w:rPr>
        <w:t>具备实施条件以下发开工令之日算起，</w:t>
      </w:r>
      <w:r>
        <w:rPr>
          <w:rFonts w:hint="eastAsia" w:ascii="宋体" w:hAnsi="宋体" w:eastAsia="宋体"/>
          <w:color w:val="auto"/>
          <w:sz w:val="24"/>
          <w:szCs w:val="24"/>
          <w:highlight w:val="none"/>
          <w:lang w:val="en-US" w:eastAsia="zh-CN"/>
        </w:rPr>
        <w:t>不高于</w:t>
      </w:r>
      <w:r>
        <w:rPr>
          <w:rFonts w:hint="eastAsia"/>
          <w:color w:val="auto"/>
          <w:sz w:val="24"/>
          <w:szCs w:val="24"/>
          <w:highlight w:val="none"/>
          <w:u w:val="single"/>
          <w:lang w:val="en-US" w:eastAsia="zh-CN"/>
        </w:rPr>
        <w:t xml:space="preserve"> 100 </w:t>
      </w:r>
      <w:r>
        <w:rPr>
          <w:rFonts w:hint="eastAsia" w:ascii="宋体" w:hAnsi="宋体" w:eastAsia="宋体"/>
          <w:color w:val="auto"/>
          <w:sz w:val="24"/>
          <w:szCs w:val="24"/>
          <w:highlight w:val="none"/>
          <w:lang w:val="en-US" w:eastAsia="zh-CN"/>
        </w:rPr>
        <w:t>个日历天</w:t>
      </w:r>
      <w:r>
        <w:rPr>
          <w:rFonts w:hint="eastAsia"/>
          <w:color w:val="auto"/>
          <w:sz w:val="24"/>
          <w:szCs w:val="24"/>
          <w:highlight w:val="none"/>
          <w:lang w:val="en-US" w:eastAsia="zh-CN"/>
        </w:rPr>
        <w:t>完工。</w:t>
      </w:r>
      <w:r>
        <w:rPr>
          <w:rFonts w:hint="eastAsia" w:ascii="宋体" w:hAnsi="宋体" w:eastAsia="宋体"/>
          <w:color w:val="auto"/>
          <w:sz w:val="24"/>
          <w:szCs w:val="24"/>
          <w:highlight w:val="none"/>
        </w:rPr>
        <w:t>供应商自报的承诺工期为考核标准</w:t>
      </w:r>
      <w:r>
        <w:rPr>
          <w:rFonts w:hint="eastAsia"/>
          <w:color w:val="auto"/>
          <w:sz w:val="24"/>
          <w:szCs w:val="24"/>
          <w:highlight w:val="none"/>
          <w:lang w:eastAsia="zh-CN"/>
        </w:rPr>
        <w:t>，</w:t>
      </w:r>
      <w:r>
        <w:rPr>
          <w:rFonts w:hint="eastAsia" w:ascii="宋体" w:hAnsi="宋体" w:eastAsia="宋体"/>
          <w:color w:val="auto"/>
          <w:sz w:val="24"/>
          <w:szCs w:val="24"/>
          <w:highlight w:val="none"/>
          <w:lang w:val="en-US" w:eastAsia="zh-CN"/>
        </w:rPr>
        <w:t>因</w:t>
      </w: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原因造成的工期延误，每推迟一天，按合同价款（扣除暂估价和暂列金）万分之二处以违约金</w:t>
      </w:r>
      <w:r>
        <w:rPr>
          <w:rFonts w:hint="eastAsia"/>
          <w:color w:val="auto"/>
          <w:sz w:val="24"/>
          <w:szCs w:val="24"/>
          <w:highlight w:val="none"/>
          <w:lang w:val="en-US" w:eastAsia="zh-CN"/>
        </w:rPr>
        <w:t>。</w:t>
      </w:r>
    </w:p>
    <w:p w14:paraId="11216AB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w:t>
      </w:r>
      <w:r>
        <w:rPr>
          <w:rFonts w:hint="eastAsia" w:ascii="宋体" w:hAnsi="宋体" w:eastAsia="宋体"/>
          <w:color w:val="auto"/>
          <w:sz w:val="24"/>
          <w:szCs w:val="24"/>
          <w:highlight w:val="none"/>
          <w:lang w:val="en-US" w:eastAsia="zh-CN"/>
        </w:rPr>
        <w:t>不</w:t>
      </w:r>
      <w:r>
        <w:rPr>
          <w:rFonts w:hint="eastAsia" w:ascii="宋体" w:hAnsi="宋体" w:eastAsia="宋体"/>
          <w:color w:val="auto"/>
          <w:sz w:val="24"/>
          <w:szCs w:val="24"/>
          <w:highlight w:val="none"/>
        </w:rPr>
        <w:t>接受联合体</w:t>
      </w:r>
      <w:r>
        <w:rPr>
          <w:rFonts w:hint="eastAsia"/>
          <w:color w:val="auto"/>
          <w:sz w:val="24"/>
          <w:szCs w:val="24"/>
          <w:highlight w:val="none"/>
          <w:lang w:val="en-US" w:eastAsia="zh-CN"/>
        </w:rPr>
        <w:t>参与</w:t>
      </w:r>
      <w:r>
        <w:rPr>
          <w:rFonts w:hint="eastAsia" w:ascii="宋体" w:hAnsi="宋体" w:eastAsia="宋体"/>
          <w:color w:val="auto"/>
          <w:sz w:val="24"/>
          <w:szCs w:val="24"/>
          <w:highlight w:val="none"/>
        </w:rPr>
        <w:t>。</w:t>
      </w:r>
    </w:p>
    <w:p w14:paraId="477E1B7B">
      <w:pPr>
        <w:spacing w:line="360" w:lineRule="auto"/>
        <w:ind w:firstLine="437"/>
        <w:outlineLvl w:val="1"/>
        <w:rPr>
          <w:rFonts w:hint="eastAsia" w:ascii="宋体" w:hAnsi="宋体" w:eastAsia="宋体"/>
          <w:b/>
          <w:color w:val="auto"/>
          <w:sz w:val="24"/>
          <w:highlight w:val="none"/>
          <w:lang w:val="en-US" w:eastAsia="zh-CN"/>
        </w:rPr>
      </w:pPr>
      <w:bookmarkStart w:id="4" w:name="_Toc28359090"/>
      <w:bookmarkStart w:id="5" w:name="_Toc35393630"/>
      <w:bookmarkStart w:id="6" w:name="_Toc28359013"/>
      <w:bookmarkStart w:id="7" w:name="_Toc35393799"/>
      <w:r>
        <w:rPr>
          <w:rFonts w:hint="eastAsia" w:ascii="宋体" w:hAnsi="宋体" w:eastAsia="宋体"/>
          <w:b/>
          <w:color w:val="auto"/>
          <w:sz w:val="24"/>
          <w:highlight w:val="none"/>
          <w:lang w:val="en-US" w:eastAsia="zh-CN"/>
        </w:rPr>
        <w:t>二、申请人的资格要求：</w:t>
      </w:r>
      <w:bookmarkEnd w:id="4"/>
      <w:bookmarkEnd w:id="5"/>
      <w:bookmarkEnd w:id="6"/>
      <w:bookmarkEnd w:id="7"/>
    </w:p>
    <w:p w14:paraId="0B09C630">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1.满足《中华人民共和国政府采购法》第二十二条规定；</w:t>
      </w:r>
    </w:p>
    <w:p w14:paraId="7D76D1E8">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eastAsia="zh-CN"/>
        </w:rPr>
      </w:pPr>
      <w:bookmarkStart w:id="8" w:name="_Toc28359014"/>
      <w:bookmarkStart w:id="9" w:name="_Toc28359091"/>
      <w:r>
        <w:rPr>
          <w:rFonts w:hint="eastAsia" w:ascii="宋体" w:hAnsi="宋体" w:eastAsia="宋体"/>
          <w:color w:val="auto"/>
          <w:sz w:val="24"/>
          <w:szCs w:val="24"/>
          <w:highlight w:val="none"/>
        </w:rPr>
        <w:t>2.落实政府采购政策需满足的资格要求：按照财政部、工业和信息化部制定的《政府采购促进中小企业发展管理办法》第六条第三款之规定（按照本办法规定预留采购份额无法确保充分供应、充分竞争，或者存在可能影响政府采购目标实现的情形），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r>
        <w:rPr>
          <w:rFonts w:hint="eastAsia" w:ascii="宋体" w:hAnsi="宋体" w:eastAsia="宋体"/>
          <w:color w:val="auto"/>
          <w:sz w:val="24"/>
          <w:szCs w:val="24"/>
          <w:highlight w:val="none"/>
          <w:lang w:eastAsia="zh-CN"/>
        </w:rPr>
        <w:t>。</w:t>
      </w:r>
    </w:p>
    <w:p w14:paraId="1454EBB4">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3.本项目的特定资格要求：</w:t>
      </w:r>
      <w:bookmarkStart w:id="10" w:name="_Toc35393631"/>
      <w:bookmarkStart w:id="11" w:name="_Toc35393800"/>
    </w:p>
    <w:p w14:paraId="10185B5F">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①</w:t>
      </w:r>
      <w:r>
        <w:rPr>
          <w:rFonts w:hint="eastAsia"/>
          <w:color w:val="auto"/>
          <w:sz w:val="24"/>
          <w:szCs w:val="24"/>
          <w:highlight w:val="none"/>
          <w:lang w:val="en-US" w:eastAsia="zh-CN"/>
        </w:rPr>
        <w:t>同时具有建筑机电安装工程专业承包三级（或以上）和建筑装修装饰工程</w:t>
      </w:r>
      <w:r>
        <w:rPr>
          <w:rFonts w:hint="eastAsia" w:ascii="宋体" w:hAnsi="宋体" w:eastAsia="宋体"/>
          <w:color w:val="auto"/>
          <w:sz w:val="24"/>
          <w:szCs w:val="24"/>
          <w:highlight w:val="none"/>
          <w:lang w:val="en-US" w:eastAsia="zh-CN"/>
        </w:rPr>
        <w:t>专业承包二级（或以上）</w:t>
      </w:r>
      <w:r>
        <w:rPr>
          <w:rFonts w:hint="eastAsia"/>
          <w:color w:val="auto"/>
          <w:sz w:val="24"/>
          <w:szCs w:val="24"/>
          <w:highlight w:val="none"/>
          <w:lang w:val="en-US" w:eastAsia="zh-CN"/>
        </w:rPr>
        <w:t>资质，且</w:t>
      </w:r>
      <w:r>
        <w:rPr>
          <w:rFonts w:hint="eastAsia" w:ascii="宋体" w:hAnsi="宋体" w:eastAsia="宋体"/>
          <w:color w:val="auto"/>
          <w:sz w:val="24"/>
          <w:szCs w:val="24"/>
          <w:highlight w:val="none"/>
          <w:lang w:val="en-US" w:eastAsia="zh-CN"/>
        </w:rPr>
        <w:t>具有有效的安全生产许可证</w:t>
      </w:r>
      <w:r>
        <w:rPr>
          <w:rFonts w:hint="eastAsia" w:ascii="宋体" w:hAnsi="宋体" w:eastAsia="宋体"/>
          <w:color w:val="auto"/>
          <w:sz w:val="24"/>
          <w:szCs w:val="24"/>
          <w:highlight w:val="none"/>
          <w:lang w:eastAsia="zh-CN"/>
        </w:rPr>
        <w:t>；</w:t>
      </w:r>
    </w:p>
    <w:p w14:paraId="344D1719">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②</w:t>
      </w:r>
      <w:r>
        <w:rPr>
          <w:rFonts w:hint="eastAsia" w:ascii="宋体" w:hAnsi="宋体" w:eastAsia="宋体"/>
          <w:color w:val="auto"/>
          <w:sz w:val="24"/>
          <w:szCs w:val="24"/>
          <w:highlight w:val="none"/>
          <w:lang w:val="en-US" w:eastAsia="zh-CN"/>
        </w:rPr>
        <w:t>项目经理须具备注册在供应商的建筑工程专业二级（或以上）注册建造师证书且同时具有安全生产考核合格证书（B证）</w:t>
      </w:r>
      <w:r>
        <w:rPr>
          <w:rFonts w:hint="eastAsia" w:ascii="宋体" w:hAnsi="宋体" w:eastAsia="宋体"/>
          <w:color w:val="auto"/>
          <w:sz w:val="24"/>
          <w:szCs w:val="24"/>
          <w:highlight w:val="none"/>
          <w:lang w:eastAsia="zh-CN"/>
        </w:rPr>
        <w:t>；</w:t>
      </w:r>
    </w:p>
    <w:p w14:paraId="6CEDA7E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.信誉要求：</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不得存在以下情形：</w:t>
      </w:r>
    </w:p>
    <w:p w14:paraId="2683DD5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①被列入“信用中国”网站“失信被执行人”的；</w:t>
      </w:r>
    </w:p>
    <w:p w14:paraId="092C6E1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②被列入“信用中国”网站“重大税收违法失信主体”的；</w:t>
      </w:r>
    </w:p>
    <w:p w14:paraId="438763A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③被列入“信用中国”网站 “严重失信主体名单”的；</w:t>
      </w:r>
    </w:p>
    <w:p w14:paraId="15D6754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④在“信用中国”网站上披露的仍在公示期的严重失信行为(具体行为类别及判定依据见“信用中国”查询的严重失信行为类别及判定依据)的。</w:t>
      </w:r>
    </w:p>
    <w:p w14:paraId="4A16420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⑤被列入国家企业信用信息公示系统网站“经营异常名录”或者“严重违法失信名单”的。</w:t>
      </w:r>
    </w:p>
    <w:p w14:paraId="4E25819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⑥被列入中国政府采购网站“政府采购严重违法失信行为信息记录”的。</w:t>
      </w:r>
    </w:p>
    <w:p w14:paraId="3C93817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⑦前三年有行贿犯罪行为的单位和个人</w:t>
      </w:r>
      <w:r>
        <w:rPr>
          <w:rFonts w:hint="eastAsia" w:ascii="宋体" w:hAnsi="宋体" w:eastAsia="宋体"/>
          <w:color w:val="auto"/>
          <w:sz w:val="24"/>
          <w:szCs w:val="24"/>
          <w:highlight w:val="none"/>
          <w:lang w:eastAsia="zh-CN"/>
        </w:rPr>
        <w:t>。</w:t>
      </w:r>
    </w:p>
    <w:p w14:paraId="635DBD2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.供应商所属分公司、办事处等分支机构存在第4条信誉要求①-⑦项情形之一的，</w:t>
      </w:r>
      <w:r>
        <w:rPr>
          <w:rFonts w:hint="eastAsia" w:ascii="宋体" w:hAnsi="宋体" w:eastAsia="宋体" w:cs="宋体"/>
          <w:color w:val="auto"/>
          <w:sz w:val="24"/>
          <w:szCs w:val="24"/>
          <w:highlight w:val="none"/>
        </w:rPr>
        <w:t>接受供应商</w:t>
      </w:r>
      <w:r>
        <w:rPr>
          <w:rFonts w:hint="eastAsia" w:cs="宋体"/>
          <w:color w:val="auto"/>
          <w:sz w:val="24"/>
          <w:szCs w:val="24"/>
          <w:highlight w:val="none"/>
          <w:lang w:val="en-US" w:eastAsia="zh-CN"/>
        </w:rPr>
        <w:t>参加本项目</w:t>
      </w:r>
      <w:r>
        <w:rPr>
          <w:rFonts w:hint="eastAsia" w:ascii="宋体" w:hAnsi="宋体" w:eastAsia="宋体"/>
          <w:color w:val="auto"/>
          <w:sz w:val="24"/>
          <w:szCs w:val="24"/>
          <w:highlight w:val="none"/>
        </w:rPr>
        <w:t>。</w:t>
      </w:r>
    </w:p>
    <w:p w14:paraId="6BC67A79">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备注：第4、5条按照“关于联合惩戒失信行为加强信用查询管理的通知”查询或承诺</w:t>
      </w:r>
      <w:r>
        <w:rPr>
          <w:rFonts w:hint="eastAsia" w:ascii="宋体" w:hAnsi="宋体" w:eastAsia="宋体"/>
          <w:color w:val="auto"/>
          <w:sz w:val="24"/>
          <w:szCs w:val="24"/>
          <w:highlight w:val="none"/>
          <w:lang w:eastAsia="zh-CN"/>
        </w:rPr>
        <w:t>。</w:t>
      </w:r>
    </w:p>
    <w:p w14:paraId="400C0406">
      <w:pPr>
        <w:spacing w:line="360" w:lineRule="auto"/>
        <w:ind w:firstLine="437"/>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三、获取采购文件</w:t>
      </w:r>
      <w:bookmarkEnd w:id="8"/>
      <w:bookmarkEnd w:id="9"/>
      <w:bookmarkEnd w:id="10"/>
      <w:bookmarkEnd w:id="11"/>
    </w:p>
    <w:p w14:paraId="3D9DCE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27</w:t>
      </w:r>
      <w:r>
        <w:rPr>
          <w:rFonts w:hint="eastAsia" w:ascii="宋体" w:hAnsi="宋体" w:eastAsia="宋体" w:cs="宋体"/>
          <w:color w:val="auto"/>
          <w:sz w:val="24"/>
          <w:szCs w:val="24"/>
          <w:highlight w:val="none"/>
          <w:u w:val="single"/>
        </w:rPr>
        <w:t>日</w:t>
      </w:r>
      <w:r>
        <w:rPr>
          <w:rFonts w:hint="eastAsia" w:ascii="宋体" w:hAnsi="宋体" w:eastAsia="宋体" w:cs="宋体"/>
          <w:i w:val="0"/>
          <w:iCs/>
          <w:color w:val="auto"/>
          <w:sz w:val="24"/>
          <w:szCs w:val="24"/>
          <w:highlight w:val="none"/>
          <w:u w:val="single"/>
        </w:rPr>
        <w:t>（磋商文件的发售期限自开始之日起不得少于5个工作日）</w:t>
      </w:r>
    </w:p>
    <w:p w14:paraId="127DFF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地点：滁州市公共资源交易中心网</w:t>
      </w:r>
    </w:p>
    <w:p w14:paraId="75AFD9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eastAsia="zh-CN"/>
        </w:rPr>
        <w:t>网上下载</w:t>
      </w:r>
    </w:p>
    <w:p w14:paraId="60262E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lang w:val="en-US" w:eastAsia="zh-CN"/>
        </w:rPr>
        <w:t>0元</w:t>
      </w:r>
    </w:p>
    <w:p w14:paraId="5C713176">
      <w:pPr>
        <w:spacing w:line="360" w:lineRule="auto"/>
        <w:ind w:firstLine="437"/>
        <w:outlineLvl w:val="1"/>
        <w:rPr>
          <w:rFonts w:hint="eastAsia" w:ascii="宋体" w:hAnsi="宋体" w:eastAsia="宋体"/>
          <w:b/>
          <w:color w:val="auto"/>
          <w:sz w:val="24"/>
          <w:highlight w:val="none"/>
          <w:lang w:val="en-US" w:eastAsia="zh-CN"/>
        </w:rPr>
      </w:pPr>
      <w:bookmarkStart w:id="12" w:name="_Toc28359092"/>
      <w:bookmarkStart w:id="13" w:name="_Toc35393801"/>
      <w:bookmarkStart w:id="14" w:name="_Toc28359015"/>
      <w:bookmarkStart w:id="15" w:name="_Toc35393632"/>
      <w:r>
        <w:rPr>
          <w:rFonts w:hint="eastAsia" w:ascii="宋体" w:hAnsi="宋体" w:eastAsia="宋体"/>
          <w:b/>
          <w:color w:val="auto"/>
          <w:sz w:val="24"/>
          <w:highlight w:val="none"/>
          <w:lang w:val="en-US" w:eastAsia="zh-CN"/>
        </w:rPr>
        <w:t>四、响应文件提交</w:t>
      </w:r>
      <w:bookmarkEnd w:id="12"/>
      <w:bookmarkEnd w:id="13"/>
      <w:bookmarkEnd w:id="14"/>
      <w:bookmarkEnd w:id="15"/>
    </w:p>
    <w:p w14:paraId="1C55D769">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i/>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年</w:t>
      </w:r>
      <w:r>
        <w:rPr>
          <w:rFonts w:hint="eastAsia"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月</w:t>
      </w:r>
      <w:r>
        <w:rPr>
          <w:rFonts w:hint="eastAsia" w:cs="宋体"/>
          <w:bCs/>
          <w:color w:val="auto"/>
          <w:sz w:val="24"/>
          <w:szCs w:val="24"/>
          <w:highlight w:val="none"/>
          <w:u w:val="single"/>
          <w:lang w:val="en-US" w:eastAsia="zh-CN"/>
        </w:rPr>
        <w:t>27</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08</w:t>
      </w:r>
      <w:r>
        <w:rPr>
          <w:rFonts w:hint="eastAsia" w:ascii="宋体" w:hAnsi="宋体" w:eastAsia="宋体" w:cs="宋体"/>
          <w:bCs/>
          <w:color w:val="auto"/>
          <w:sz w:val="24"/>
          <w:szCs w:val="24"/>
          <w:highlight w:val="none"/>
          <w:u w:val="single"/>
        </w:rPr>
        <w:t>点</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w:t>
      </w:r>
      <w:r>
        <w:rPr>
          <w:rFonts w:hint="eastAsia" w:ascii="宋体" w:hAnsi="宋体" w:eastAsia="宋体" w:cs="宋体"/>
          <w:color w:val="auto"/>
          <w:sz w:val="24"/>
          <w:szCs w:val="24"/>
          <w:highlight w:val="none"/>
          <w:u w:val="single"/>
          <w:lang w:val="en-US" w:eastAsia="zh-CN"/>
        </w:rPr>
        <w:t>（从磋商文件开始发出之日起至供应商提交首次响应文件截止之日止不得少于10日）</w:t>
      </w:r>
    </w:p>
    <w:p w14:paraId="71524577">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地点：滁州市公共资源交易平台电子交易系统。</w:t>
      </w:r>
    </w:p>
    <w:p w14:paraId="0FC047F1">
      <w:pPr>
        <w:spacing w:line="360" w:lineRule="auto"/>
        <w:ind w:firstLine="437"/>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五、开启</w:t>
      </w:r>
    </w:p>
    <w:p w14:paraId="1F331D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年</w:t>
      </w:r>
      <w:r>
        <w:rPr>
          <w:rFonts w:hint="eastAsia"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月</w:t>
      </w:r>
      <w:r>
        <w:rPr>
          <w:rFonts w:hint="eastAsia" w:cs="宋体"/>
          <w:bCs/>
          <w:color w:val="auto"/>
          <w:sz w:val="24"/>
          <w:szCs w:val="24"/>
          <w:highlight w:val="none"/>
          <w:u w:val="single"/>
          <w:lang w:val="en-US" w:eastAsia="zh-CN"/>
        </w:rPr>
        <w:t>27</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08</w:t>
      </w:r>
      <w:r>
        <w:rPr>
          <w:rFonts w:hint="eastAsia" w:ascii="宋体" w:hAnsi="宋体" w:eastAsia="宋体" w:cs="宋体"/>
          <w:bCs/>
          <w:color w:val="auto"/>
          <w:sz w:val="24"/>
          <w:szCs w:val="24"/>
          <w:highlight w:val="none"/>
          <w:u w:val="single"/>
        </w:rPr>
        <w:t>点</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w:t>
      </w:r>
    </w:p>
    <w:p w14:paraId="50B3763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地点：滁州市公共资源交易平台电子交易系统。</w:t>
      </w:r>
    </w:p>
    <w:p w14:paraId="004C4EC7">
      <w:pPr>
        <w:spacing w:line="360" w:lineRule="auto"/>
        <w:ind w:firstLine="437"/>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六、公告期限</w:t>
      </w:r>
    </w:p>
    <w:p w14:paraId="531245C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自本公告发布之日起</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eastAsia="zh-CN"/>
        </w:rPr>
        <w:t>个工作日。</w:t>
      </w:r>
    </w:p>
    <w:p w14:paraId="3A9E1BC4">
      <w:pPr>
        <w:spacing w:line="360" w:lineRule="auto"/>
        <w:ind w:firstLine="437"/>
        <w:outlineLvl w:val="1"/>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七、其他补充事宜</w:t>
      </w:r>
    </w:p>
    <w:p w14:paraId="71B7C35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本项目只接受在安徽省公共资源交易市场主体库（http://ggzy.ah.gov.cn/ahggfwpt-zhutiku/dengludenglu）登记并进行信息确认提交的供应商参与，未登记的供应商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2.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参与本项目的，责任自负。为保证系统使用过程中产生的问题能够及时得到解决，请各主体进行主体信息登记、更新、响应文件制作等相关操作。</w:t>
      </w:r>
    </w:p>
    <w:p w14:paraId="64FDC309">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2.请供应商登录滁州市公共资源交易中心网站查看参加本项目的程序。（具体操作步骤和程序请参见服务指南&gt;交易须知&gt;投标人填写投标信息、下载文件及网上提问操作手册）。</w:t>
      </w:r>
    </w:p>
    <w:p w14:paraId="4107F6A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本项目采用不见面（远程解密)方式，开启时供应商无须至现场进行解密，采取远程解密方式解密响应文件，解密方式为：供应商在开启时间前使用CA数字证书登录滁州市“不见面开标系统”，网址为https://ggzy.chuzhou.gov.cn/BidOpening,等待开启并按系统提示进行相应的供应商解密等事项，无需到现场。采用本方式可以观看开启现场音视频直播并进行互动交流。具体操作方法见中心网站&gt;服务指南&gt;交易须知中的《滁州市不见面开标系统操作手册》。</w:t>
      </w:r>
    </w:p>
    <w:p w14:paraId="0025ED6B">
      <w:pPr>
        <w:spacing w:line="360" w:lineRule="auto"/>
        <w:ind w:firstLine="435"/>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4.供应商接到远程解密指令后，须在规定时间内解密。因供应商自身原因导致响应文件在规定时间内未能解密、解密失败或解密超时，响应文件无效；因采购代理机构原因或网上平台发生故障，导致无法按时完成响应文件解密的，经采购代理机构申请后可延迟解密时间</w:t>
      </w:r>
      <w:r>
        <w:rPr>
          <w:rFonts w:hint="eastAsia" w:ascii="宋体" w:hAnsi="宋体" w:eastAsia="宋体"/>
          <w:color w:val="auto"/>
          <w:sz w:val="24"/>
          <w:szCs w:val="24"/>
          <w:highlight w:val="none"/>
          <w:lang w:val="en-US" w:eastAsia="zh-CN"/>
        </w:rPr>
        <w:t>。</w:t>
      </w:r>
    </w:p>
    <w:p w14:paraId="18D1E069">
      <w:pPr>
        <w:spacing w:line="360" w:lineRule="auto"/>
        <w:ind w:firstLine="437"/>
        <w:outlineLvl w:val="1"/>
        <w:rPr>
          <w:b/>
          <w:bCs/>
          <w:color w:val="auto"/>
          <w:sz w:val="24"/>
          <w:szCs w:val="18"/>
          <w:highlight w:val="none"/>
        </w:rPr>
      </w:pPr>
      <w:r>
        <w:rPr>
          <w:rFonts w:hint="eastAsia"/>
          <w:b/>
          <w:color w:val="auto"/>
          <w:sz w:val="24"/>
          <w:highlight w:val="none"/>
          <w:lang w:val="en-US" w:eastAsia="zh-CN"/>
        </w:rPr>
        <w:t>八</w:t>
      </w:r>
      <w:r>
        <w:rPr>
          <w:rFonts w:hint="eastAsia" w:ascii="宋体" w:hAnsi="宋体" w:eastAsia="宋体"/>
          <w:b/>
          <w:color w:val="auto"/>
          <w:sz w:val="24"/>
          <w:highlight w:val="none"/>
        </w:rPr>
        <w:t>、</w:t>
      </w:r>
      <w:r>
        <w:rPr>
          <w:rFonts w:hint="eastAsia" w:ascii="宋体" w:hAnsi="宋体" w:eastAsia="宋体"/>
          <w:b/>
          <w:bCs/>
          <w:color w:val="auto"/>
          <w:sz w:val="24"/>
          <w:szCs w:val="18"/>
          <w:highlight w:val="none"/>
        </w:rPr>
        <w:t>对本次</w:t>
      </w:r>
      <w:r>
        <w:rPr>
          <w:rFonts w:hint="eastAsia"/>
          <w:b/>
          <w:bCs/>
          <w:color w:val="auto"/>
          <w:sz w:val="24"/>
          <w:szCs w:val="18"/>
          <w:highlight w:val="none"/>
          <w:lang w:val="en-US" w:eastAsia="zh-CN"/>
        </w:rPr>
        <w:t>采购</w:t>
      </w:r>
      <w:r>
        <w:rPr>
          <w:rFonts w:hint="eastAsia" w:ascii="宋体" w:hAnsi="宋体" w:eastAsia="宋体"/>
          <w:b/>
          <w:bCs/>
          <w:color w:val="auto"/>
          <w:sz w:val="24"/>
          <w:szCs w:val="18"/>
          <w:highlight w:val="none"/>
        </w:rPr>
        <w:t>提出询问，请按以下方式联系</w:t>
      </w:r>
    </w:p>
    <w:bookmarkEnd w:id="2"/>
    <w:bookmarkEnd w:id="3"/>
    <w:p w14:paraId="3F71EB18">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olor w:val="auto"/>
          <w:sz w:val="24"/>
          <w:szCs w:val="18"/>
          <w:highlight w:val="none"/>
          <w:lang w:val="en-US" w:eastAsia="zh-CN"/>
        </w:rPr>
      </w:pPr>
      <w:bookmarkStart w:id="16"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67DF06B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olor w:val="auto"/>
          <w:sz w:val="24"/>
          <w:szCs w:val="18"/>
          <w:highlight w:val="none"/>
          <w:u w:val="none"/>
          <w:lang w:val="en-US" w:eastAsia="zh-CN"/>
        </w:rPr>
      </w:pPr>
      <w:r>
        <w:rPr>
          <w:rFonts w:hint="eastAsia" w:ascii="宋体" w:hAnsi="宋体" w:eastAsia="宋体" w:cs="宋体"/>
          <w:color w:val="auto"/>
          <w:sz w:val="24"/>
          <w:szCs w:val="24"/>
          <w:highlight w:val="none"/>
          <w:u w:val="none"/>
          <w:lang w:val="en-US" w:eastAsia="zh-CN"/>
        </w:rPr>
        <w:t>名</w:t>
      </w:r>
      <w:r>
        <w:rPr>
          <w:rFonts w:hint="eastAsia"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US" w:eastAsia="zh-CN"/>
        </w:rPr>
        <w:t>称</w:t>
      </w:r>
      <w:r>
        <w:rPr>
          <w:rFonts w:hint="eastAsia" w:ascii="宋体" w:hAnsi="宋体" w:eastAsia="宋体"/>
          <w:color w:val="auto"/>
          <w:sz w:val="24"/>
          <w:szCs w:val="18"/>
          <w:highlight w:val="none"/>
          <w:u w:val="none"/>
        </w:rPr>
        <w:t>：滁州市第一人民医院、滁州市重点工程建设管理处</w:t>
      </w:r>
    </w:p>
    <w:p w14:paraId="5180461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olor w:val="auto"/>
          <w:sz w:val="24"/>
          <w:szCs w:val="18"/>
          <w:highlight w:val="none"/>
          <w:u w:val="none"/>
        </w:rPr>
      </w:pPr>
      <w:r>
        <w:rPr>
          <w:rFonts w:hint="eastAsia" w:ascii="宋体" w:hAnsi="宋体" w:eastAsia="宋体"/>
          <w:color w:val="auto"/>
          <w:sz w:val="24"/>
          <w:szCs w:val="18"/>
          <w:highlight w:val="none"/>
          <w:u w:val="none"/>
        </w:rPr>
        <w:t>地    址：滁州市南谯区醉翁西路369号、滁州市琅琊西路81号</w:t>
      </w:r>
    </w:p>
    <w:p w14:paraId="0997BFD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联</w:t>
      </w:r>
      <w:r>
        <w:rPr>
          <w:rFonts w:hint="eastAsia"/>
          <w:color w:val="auto"/>
          <w:sz w:val="24"/>
          <w:szCs w:val="18"/>
          <w:highlight w:val="none"/>
          <w:u w:val="none"/>
          <w:lang w:val="en-US" w:eastAsia="zh-CN"/>
        </w:rPr>
        <w:t xml:space="preserve"> </w:t>
      </w:r>
      <w:r>
        <w:rPr>
          <w:rFonts w:hint="eastAsia" w:ascii="宋体" w:hAnsi="宋体" w:eastAsia="宋体"/>
          <w:color w:val="auto"/>
          <w:sz w:val="24"/>
          <w:szCs w:val="18"/>
          <w:highlight w:val="none"/>
          <w:u w:val="none"/>
          <w:lang w:val="en-US" w:eastAsia="zh-CN"/>
        </w:rPr>
        <w:t>系</w:t>
      </w:r>
      <w:r>
        <w:rPr>
          <w:rFonts w:hint="eastAsia"/>
          <w:color w:val="auto"/>
          <w:sz w:val="24"/>
          <w:szCs w:val="18"/>
          <w:highlight w:val="none"/>
          <w:u w:val="none"/>
          <w:lang w:val="en-US" w:eastAsia="zh-CN"/>
        </w:rPr>
        <w:t xml:space="preserve"> </w:t>
      </w:r>
      <w:r>
        <w:rPr>
          <w:rFonts w:hint="eastAsia" w:ascii="宋体" w:hAnsi="宋体" w:eastAsia="宋体"/>
          <w:color w:val="auto"/>
          <w:sz w:val="24"/>
          <w:szCs w:val="18"/>
          <w:highlight w:val="none"/>
          <w:u w:val="none"/>
          <w:lang w:val="en-US" w:eastAsia="zh-CN"/>
        </w:rPr>
        <w:t>人：周涛、张学茜</w:t>
      </w:r>
    </w:p>
    <w:p w14:paraId="365567D5">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：0550-3526106、0550-2599820</w:t>
      </w:r>
    </w:p>
    <w:p w14:paraId="1638E407">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olor w:val="auto"/>
          <w:sz w:val="24"/>
          <w:szCs w:val="18"/>
          <w:highlight w:val="none"/>
          <w:u w:val="none"/>
          <w:lang w:val="en-US" w:eastAsia="zh-CN"/>
        </w:rPr>
      </w:pPr>
      <w:r>
        <w:rPr>
          <w:rFonts w:ascii="宋体" w:hAnsi="宋体" w:eastAsia="宋体"/>
          <w:color w:val="auto"/>
          <w:sz w:val="24"/>
          <w:szCs w:val="18"/>
          <w:highlight w:val="none"/>
          <w:u w:val="none"/>
        </w:rPr>
        <w:t>2.采购代理机构</w:t>
      </w:r>
      <w:r>
        <w:rPr>
          <w:rFonts w:hint="eastAsia" w:ascii="宋体" w:hAnsi="宋体" w:eastAsia="宋体"/>
          <w:color w:val="auto"/>
          <w:sz w:val="24"/>
          <w:szCs w:val="18"/>
          <w:highlight w:val="none"/>
          <w:u w:val="none"/>
          <w:lang w:val="en-US" w:eastAsia="zh-CN"/>
        </w:rPr>
        <w:t>信息</w:t>
      </w:r>
    </w:p>
    <w:p w14:paraId="7F90D2A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olor w:val="auto"/>
          <w:sz w:val="24"/>
          <w:szCs w:val="18"/>
          <w:highlight w:val="none"/>
          <w:u w:val="none"/>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olor w:val="auto"/>
          <w:sz w:val="24"/>
          <w:szCs w:val="18"/>
          <w:highlight w:val="none"/>
          <w:u w:val="none"/>
        </w:rPr>
        <w:t>：滁州市城投工程咨询管理有限公司</w:t>
      </w:r>
    </w:p>
    <w:p w14:paraId="308BFFD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olor w:val="auto"/>
          <w:sz w:val="24"/>
          <w:szCs w:val="18"/>
          <w:highlight w:val="none"/>
          <w:u w:val="none"/>
          <w:lang w:eastAsia="zh-CN"/>
        </w:rPr>
      </w:pPr>
      <w:r>
        <w:rPr>
          <w:rFonts w:hint="eastAsia" w:ascii="宋体" w:hAnsi="宋体" w:eastAsia="宋体"/>
          <w:color w:val="auto"/>
          <w:sz w:val="24"/>
          <w:szCs w:val="18"/>
          <w:highlight w:val="none"/>
          <w:u w:val="none"/>
        </w:rPr>
        <w:t xml:space="preserve">地    </w:t>
      </w:r>
      <w:r>
        <w:rPr>
          <w:rFonts w:ascii="宋体" w:hAnsi="宋体" w:eastAsia="宋体"/>
          <w:color w:val="auto"/>
          <w:sz w:val="24"/>
          <w:szCs w:val="18"/>
          <w:highlight w:val="none"/>
          <w:u w:val="none"/>
        </w:rPr>
        <w:t>址：</w:t>
      </w:r>
      <w:r>
        <w:rPr>
          <w:rFonts w:hint="eastAsia"/>
          <w:color w:val="auto"/>
          <w:sz w:val="24"/>
          <w:szCs w:val="18"/>
          <w:highlight w:val="none"/>
          <w:u w:val="none"/>
          <w:lang w:eastAsia="zh-CN"/>
        </w:rPr>
        <w:t>滁州市龙蟠大道109号房产商务大厦6楼</w:t>
      </w:r>
    </w:p>
    <w:p w14:paraId="6289BC3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default" w:eastAsia="宋体"/>
          <w:color w:val="auto"/>
          <w:highlight w:val="none"/>
          <w:u w:val="none"/>
          <w:lang w:val="en-US" w:eastAsia="zh-CN"/>
        </w:rPr>
      </w:pPr>
      <w:r>
        <w:rPr>
          <w:rFonts w:hint="eastAsia" w:ascii="宋体" w:hAnsi="宋体" w:eastAsia="宋体"/>
          <w:color w:val="auto"/>
          <w:sz w:val="24"/>
          <w:szCs w:val="18"/>
          <w:highlight w:val="none"/>
          <w:u w:val="none"/>
          <w:lang w:val="en-US" w:eastAsia="zh-CN"/>
        </w:rPr>
        <w:t>联</w:t>
      </w:r>
      <w:r>
        <w:rPr>
          <w:rFonts w:hint="eastAsia"/>
          <w:color w:val="auto"/>
          <w:sz w:val="24"/>
          <w:szCs w:val="18"/>
          <w:highlight w:val="none"/>
          <w:u w:val="none"/>
          <w:lang w:val="en-US" w:eastAsia="zh-CN"/>
        </w:rPr>
        <w:t xml:space="preserve"> </w:t>
      </w:r>
      <w:r>
        <w:rPr>
          <w:rFonts w:hint="eastAsia" w:ascii="宋体" w:hAnsi="宋体" w:eastAsia="宋体"/>
          <w:color w:val="auto"/>
          <w:sz w:val="24"/>
          <w:szCs w:val="18"/>
          <w:highlight w:val="none"/>
          <w:u w:val="none"/>
          <w:lang w:val="en-US" w:eastAsia="zh-CN"/>
        </w:rPr>
        <w:t>系</w:t>
      </w:r>
      <w:r>
        <w:rPr>
          <w:rFonts w:hint="eastAsia"/>
          <w:color w:val="auto"/>
          <w:sz w:val="24"/>
          <w:szCs w:val="18"/>
          <w:highlight w:val="none"/>
          <w:u w:val="none"/>
          <w:lang w:val="en-US" w:eastAsia="zh-CN"/>
        </w:rPr>
        <w:t xml:space="preserve"> </w:t>
      </w:r>
      <w:r>
        <w:rPr>
          <w:rFonts w:hint="eastAsia" w:ascii="宋体" w:hAnsi="宋体" w:eastAsia="宋体"/>
          <w:color w:val="auto"/>
          <w:sz w:val="24"/>
          <w:szCs w:val="18"/>
          <w:highlight w:val="none"/>
          <w:u w:val="none"/>
          <w:lang w:val="en-US" w:eastAsia="zh-CN"/>
        </w:rPr>
        <w:t>人：</w:t>
      </w:r>
      <w:r>
        <w:rPr>
          <w:rFonts w:hint="eastAsia"/>
          <w:color w:val="auto"/>
          <w:sz w:val="24"/>
          <w:szCs w:val="18"/>
          <w:highlight w:val="none"/>
          <w:u w:val="none"/>
          <w:lang w:val="en-US" w:eastAsia="zh-CN"/>
        </w:rPr>
        <w:t>胡国庆</w:t>
      </w:r>
    </w:p>
    <w:p w14:paraId="040DF88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w:t>
      </w:r>
      <w:r>
        <w:rPr>
          <w:rFonts w:hint="eastAsia" w:cs="宋体"/>
          <w:color w:val="auto"/>
          <w:sz w:val="24"/>
          <w:szCs w:val="24"/>
          <w:highlight w:val="none"/>
          <w:u w:val="none"/>
          <w:lang w:val="en-US" w:eastAsia="zh-CN"/>
        </w:rPr>
        <w:t>0550-3519517、18005500950</w:t>
      </w:r>
    </w:p>
    <w:p w14:paraId="26E273D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w:t>
      </w:r>
      <w:bookmarkEnd w:id="16"/>
      <w:r>
        <w:rPr>
          <w:rFonts w:hint="eastAsia" w:ascii="宋体" w:hAnsi="宋体" w:eastAsia="宋体" w:cs="宋体"/>
          <w:color w:val="auto"/>
          <w:sz w:val="24"/>
          <w:szCs w:val="24"/>
          <w:highlight w:val="none"/>
          <w:u w:val="none"/>
          <w:lang w:val="en-US" w:eastAsia="zh-CN"/>
        </w:rPr>
        <w:t>政府采购监督管理部门信息</w:t>
      </w:r>
    </w:p>
    <w:p w14:paraId="2172701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称：滁州市公共资源交易监督管理局</w:t>
      </w:r>
    </w:p>
    <w:p w14:paraId="47EC9A6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址：滁州市龙蟠大道109号房产商务大厦3楼</w:t>
      </w:r>
    </w:p>
    <w:p w14:paraId="564DE35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联系方式：0550-38016</w:t>
      </w:r>
      <w:r>
        <w:rPr>
          <w:rFonts w:hint="eastAsia" w:cs="宋体"/>
          <w:color w:val="auto"/>
          <w:sz w:val="24"/>
          <w:szCs w:val="24"/>
          <w:highlight w:val="none"/>
          <w:u w:val="none"/>
          <w:lang w:val="en-US" w:eastAsia="zh-CN"/>
        </w:rPr>
        <w:t>01</w:t>
      </w:r>
    </w:p>
    <w:p w14:paraId="56AE888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br w:type="page"/>
      </w:r>
    </w:p>
    <w:p w14:paraId="42382F57">
      <w:pPr>
        <w:spacing w:line="360" w:lineRule="auto"/>
        <w:jc w:val="center"/>
        <w:outlineLvl w:val="0"/>
        <w:rPr>
          <w:rFonts w:hint="eastAsia" w:asciiTheme="minorEastAsia" w:hAnsiTheme="minorEastAsia" w:eastAsiaTheme="minorEastAsia"/>
          <w:b/>
          <w:color w:val="auto"/>
          <w:sz w:val="28"/>
          <w:highlight w:val="none"/>
        </w:rPr>
      </w:pPr>
      <w:bookmarkStart w:id="17" w:name="_Toc28080"/>
      <w:r>
        <w:rPr>
          <w:rFonts w:hint="eastAsia" w:asciiTheme="minorEastAsia" w:hAnsiTheme="minorEastAsia" w:eastAsiaTheme="minorEastAsia"/>
          <w:b/>
          <w:color w:val="auto"/>
          <w:sz w:val="28"/>
          <w:highlight w:val="none"/>
        </w:rPr>
        <w:t>第二章  供应商须知</w:t>
      </w:r>
      <w:bookmarkEnd w:id="17"/>
    </w:p>
    <w:p w14:paraId="70D3DA49">
      <w:pPr>
        <w:keepNext w:val="0"/>
        <w:keepLines w:val="0"/>
        <w:pageBreakBefore w:val="0"/>
        <w:kinsoku/>
        <w:overflowPunct/>
        <w:autoSpaceDE/>
        <w:autoSpaceDN/>
        <w:bidi w:val="0"/>
        <w:spacing w:line="520" w:lineRule="exact"/>
        <w:jc w:val="center"/>
        <w:textAlignment w:val="auto"/>
        <w:outlineLvl w:val="1"/>
        <w:rPr>
          <w:rFonts w:asciiTheme="minorEastAsia" w:hAnsiTheme="minorEastAsia" w:eastAsiaTheme="minorEastAsia"/>
          <w:b/>
          <w:color w:val="auto"/>
          <w:sz w:val="24"/>
          <w:highlight w:val="none"/>
        </w:rPr>
      </w:pPr>
      <w:bookmarkStart w:id="18" w:name="_Toc12027"/>
      <w:bookmarkStart w:id="19" w:name="_Toc1862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18"/>
      <w:bookmarkEnd w:id="19"/>
    </w:p>
    <w:p w14:paraId="37816EDC">
      <w:pPr>
        <w:keepNext w:val="0"/>
        <w:keepLines w:val="0"/>
        <w:pageBreakBefore w:val="0"/>
        <w:kinsoku/>
        <w:overflowPunct/>
        <w:autoSpaceDE/>
        <w:autoSpaceDN/>
        <w:bidi w:val="0"/>
        <w:spacing w:line="520" w:lineRule="exact"/>
        <w:ind w:firstLine="435"/>
        <w:textAlignment w:val="auto"/>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6"/>
        <w:tblW w:w="56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2246"/>
        <w:gridCol w:w="6333"/>
      </w:tblGrid>
      <w:tr w14:paraId="4460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78C49727">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1157" w:type="pct"/>
            <w:vAlign w:val="center"/>
          </w:tcPr>
          <w:p w14:paraId="176AC060">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262" w:type="pct"/>
            <w:vAlign w:val="center"/>
          </w:tcPr>
          <w:p w14:paraId="7C5BC54E">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6B26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7433C32E">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5</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2</w:t>
            </w:r>
          </w:p>
        </w:tc>
        <w:tc>
          <w:tcPr>
            <w:tcW w:w="1157" w:type="pct"/>
            <w:vAlign w:val="center"/>
          </w:tcPr>
          <w:p w14:paraId="64E2555D">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现场考察</w:t>
            </w:r>
            <w:r>
              <w:rPr>
                <w:rFonts w:hint="eastAsia" w:ascii="宋体" w:hAnsi="宋体" w:eastAsia="宋体" w:cs="宋体"/>
                <w:b w:val="0"/>
                <w:color w:val="auto"/>
                <w:sz w:val="24"/>
                <w:szCs w:val="24"/>
                <w:highlight w:val="none"/>
                <w:lang w:val="en-US" w:eastAsia="zh-CN"/>
              </w:rPr>
              <w:t>或标前答疑会</w:t>
            </w:r>
          </w:p>
        </w:tc>
        <w:tc>
          <w:tcPr>
            <w:tcW w:w="3262" w:type="pct"/>
            <w:vAlign w:val="center"/>
          </w:tcPr>
          <w:p w14:paraId="17F1FE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val="en-US" w:eastAsia="zh-CN"/>
              </w:rPr>
              <w:t>或不召开</w:t>
            </w:r>
          </w:p>
          <w:p w14:paraId="7F6B0D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统一组织</w:t>
            </w:r>
            <w:r>
              <w:rPr>
                <w:rFonts w:hint="eastAsia" w:ascii="宋体" w:hAnsi="宋体" w:eastAsia="宋体" w:cs="宋体"/>
                <w:bCs/>
                <w:color w:val="auto"/>
                <w:sz w:val="24"/>
                <w:szCs w:val="24"/>
                <w:highlight w:val="none"/>
                <w:lang w:val="en-US" w:eastAsia="zh-CN"/>
              </w:rPr>
              <w:t>或统一召开</w:t>
            </w:r>
          </w:p>
          <w:p w14:paraId="3DA8AD53">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w:t>
            </w:r>
          </w:p>
          <w:p w14:paraId="70EBDF64">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p w14:paraId="5E44BA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联系人及联系电话：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p w14:paraId="2472A8E4">
            <w:pPr>
              <w:pStyle w:val="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eastAsia="zh-CN"/>
              </w:rPr>
              <w:t>注：</w:t>
            </w:r>
            <w:r>
              <w:rPr>
                <w:rFonts w:hint="eastAsia" w:ascii="宋体" w:hAnsi="宋体" w:eastAsia="宋体" w:cs="宋体"/>
                <w:bCs w:val="0"/>
                <w:color w:val="auto"/>
                <w:sz w:val="24"/>
                <w:szCs w:val="24"/>
                <w:highlight w:val="none"/>
              </w:rPr>
              <w:t>如</w:t>
            </w:r>
            <w:r>
              <w:rPr>
                <w:rFonts w:hint="eastAsia" w:ascii="宋体" w:hAnsi="宋体" w:eastAsia="宋体" w:cs="宋体"/>
                <w:bCs w:val="0"/>
                <w:color w:val="auto"/>
                <w:sz w:val="24"/>
                <w:szCs w:val="24"/>
                <w:highlight w:val="none"/>
                <w:lang w:val="en-US" w:eastAsia="zh-CN"/>
              </w:rPr>
              <w:t>供应商</w:t>
            </w:r>
            <w:r>
              <w:rPr>
                <w:rFonts w:hint="eastAsia" w:ascii="宋体" w:hAnsi="宋体" w:eastAsia="宋体" w:cs="宋体"/>
                <w:bCs w:val="0"/>
                <w:color w:val="auto"/>
                <w:sz w:val="24"/>
                <w:szCs w:val="24"/>
                <w:highlight w:val="none"/>
              </w:rPr>
              <w:t>未参加采购人统一组织的现场考察</w:t>
            </w:r>
            <w:r>
              <w:rPr>
                <w:rFonts w:hint="eastAsia" w:ascii="宋体" w:hAnsi="宋体" w:eastAsia="宋体" w:cs="宋体"/>
                <w:bCs w:val="0"/>
                <w:color w:val="auto"/>
                <w:sz w:val="24"/>
                <w:szCs w:val="24"/>
                <w:highlight w:val="none"/>
                <w:lang w:val="en-US" w:eastAsia="zh-CN"/>
              </w:rPr>
              <w:t>或采购人统一召开的标前答疑会</w:t>
            </w:r>
            <w:r>
              <w:rPr>
                <w:rFonts w:hint="eastAsia" w:ascii="宋体" w:hAnsi="宋体" w:eastAsia="宋体" w:cs="宋体"/>
                <w:bCs w:val="0"/>
                <w:color w:val="auto"/>
                <w:sz w:val="24"/>
                <w:szCs w:val="24"/>
                <w:highlight w:val="none"/>
              </w:rPr>
              <w:t>，视同放弃现场考察</w:t>
            </w:r>
            <w:r>
              <w:rPr>
                <w:rFonts w:hint="eastAsia" w:ascii="宋体" w:hAnsi="宋体" w:eastAsia="宋体" w:cs="宋体"/>
                <w:bCs w:val="0"/>
                <w:color w:val="auto"/>
                <w:sz w:val="24"/>
                <w:szCs w:val="24"/>
                <w:highlight w:val="none"/>
                <w:lang w:val="en-US" w:eastAsia="zh-CN"/>
              </w:rPr>
              <w:t>或标前答疑会</w:t>
            </w:r>
            <w:r>
              <w:rPr>
                <w:rFonts w:hint="eastAsia" w:ascii="宋体" w:hAnsi="宋体" w:eastAsia="宋体" w:cs="宋体"/>
                <w:bCs w:val="0"/>
                <w:color w:val="auto"/>
                <w:sz w:val="24"/>
                <w:szCs w:val="24"/>
                <w:highlight w:val="none"/>
              </w:rPr>
              <w:t>，由此引起的一切责任由</w:t>
            </w:r>
            <w:r>
              <w:rPr>
                <w:rFonts w:hint="eastAsia" w:ascii="宋体" w:hAnsi="宋体" w:eastAsia="宋体" w:cs="宋体"/>
                <w:bCs w:val="0"/>
                <w:color w:val="auto"/>
                <w:sz w:val="24"/>
                <w:szCs w:val="24"/>
                <w:highlight w:val="none"/>
                <w:lang w:val="en-US" w:eastAsia="zh-CN"/>
              </w:rPr>
              <w:t>供应商</w:t>
            </w:r>
            <w:r>
              <w:rPr>
                <w:rFonts w:hint="eastAsia" w:ascii="宋体" w:hAnsi="宋体" w:eastAsia="宋体" w:cs="宋体"/>
                <w:bCs w:val="0"/>
                <w:color w:val="auto"/>
                <w:sz w:val="24"/>
                <w:szCs w:val="24"/>
                <w:highlight w:val="none"/>
              </w:rPr>
              <w:t>自行承担。</w:t>
            </w:r>
          </w:p>
        </w:tc>
      </w:tr>
      <w:tr w14:paraId="7026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2435A74D">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6</w:t>
            </w:r>
            <w:r>
              <w:rPr>
                <w:rFonts w:hint="eastAsia" w:ascii="宋体" w:hAnsi="宋体" w:eastAsia="宋体" w:cs="宋体"/>
                <w:bCs/>
                <w:color w:val="auto"/>
                <w:kern w:val="2"/>
                <w:sz w:val="24"/>
                <w:szCs w:val="24"/>
                <w:highlight w:val="none"/>
              </w:rPr>
              <w:t>.1</w:t>
            </w:r>
          </w:p>
        </w:tc>
        <w:tc>
          <w:tcPr>
            <w:tcW w:w="1157" w:type="pct"/>
            <w:vAlign w:val="center"/>
          </w:tcPr>
          <w:p w14:paraId="26EF4437">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网上询问截止时间</w:t>
            </w:r>
          </w:p>
        </w:tc>
        <w:tc>
          <w:tcPr>
            <w:tcW w:w="3262" w:type="pct"/>
            <w:vAlign w:val="center"/>
          </w:tcPr>
          <w:p w14:paraId="377FB9A4">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lang w:eastAsia="zh-CN"/>
              </w:rPr>
            </w:pPr>
            <w:r>
              <w:rPr>
                <w:rFonts w:hint="eastAsia"/>
                <w:b w:val="0"/>
                <w:color w:val="auto"/>
                <w:sz w:val="24"/>
                <w:highlight w:val="none"/>
              </w:rPr>
              <w:t>202</w:t>
            </w:r>
            <w:r>
              <w:rPr>
                <w:rFonts w:hint="eastAsia"/>
                <w:b w:val="0"/>
                <w:color w:val="auto"/>
                <w:sz w:val="24"/>
                <w:highlight w:val="none"/>
                <w:lang w:val="en-US" w:eastAsia="zh-CN"/>
              </w:rPr>
              <w:t>5</w:t>
            </w:r>
            <w:r>
              <w:rPr>
                <w:rFonts w:hint="eastAsia"/>
                <w:b w:val="0"/>
                <w:color w:val="auto"/>
                <w:sz w:val="24"/>
                <w:highlight w:val="none"/>
              </w:rPr>
              <w:t>年</w:t>
            </w:r>
            <w:r>
              <w:rPr>
                <w:rFonts w:hint="eastAsia"/>
                <w:b w:val="0"/>
                <w:color w:val="auto"/>
                <w:sz w:val="24"/>
                <w:highlight w:val="none"/>
                <w:lang w:val="en-US" w:eastAsia="zh-CN"/>
              </w:rPr>
              <w:t>10</w:t>
            </w:r>
            <w:r>
              <w:rPr>
                <w:rFonts w:hint="eastAsia"/>
                <w:b w:val="0"/>
                <w:color w:val="auto"/>
                <w:sz w:val="24"/>
                <w:highlight w:val="none"/>
              </w:rPr>
              <w:t>月</w:t>
            </w:r>
            <w:r>
              <w:rPr>
                <w:rFonts w:hint="eastAsia"/>
                <w:b w:val="0"/>
                <w:color w:val="auto"/>
                <w:sz w:val="24"/>
                <w:highlight w:val="none"/>
                <w:lang w:val="en-US" w:eastAsia="zh-CN"/>
              </w:rPr>
              <w:t>20</w:t>
            </w:r>
            <w:r>
              <w:rPr>
                <w:rFonts w:hint="eastAsia"/>
                <w:b w:val="0"/>
                <w:color w:val="auto"/>
                <w:sz w:val="24"/>
                <w:highlight w:val="none"/>
              </w:rPr>
              <w:t>日</w:t>
            </w:r>
            <w:r>
              <w:rPr>
                <w:rFonts w:hint="eastAsia"/>
                <w:b w:val="0"/>
                <w:color w:val="auto"/>
                <w:sz w:val="24"/>
                <w:highlight w:val="none"/>
                <w:lang w:val="en-US" w:eastAsia="zh-CN"/>
              </w:rPr>
              <w:t>17</w:t>
            </w:r>
            <w:r>
              <w:rPr>
                <w:rFonts w:hint="eastAsia"/>
                <w:b w:val="0"/>
                <w:color w:val="auto"/>
                <w:sz w:val="24"/>
                <w:highlight w:val="none"/>
              </w:rPr>
              <w:t>点</w:t>
            </w:r>
            <w:r>
              <w:rPr>
                <w:rFonts w:hint="eastAsia"/>
                <w:b w:val="0"/>
                <w:color w:val="auto"/>
                <w:sz w:val="24"/>
                <w:highlight w:val="none"/>
                <w:lang w:val="en-US" w:eastAsia="zh-CN"/>
              </w:rPr>
              <w:t>30</w:t>
            </w:r>
            <w:r>
              <w:rPr>
                <w:rFonts w:hint="eastAsia"/>
                <w:b w:val="0"/>
                <w:color w:val="auto"/>
                <w:sz w:val="24"/>
                <w:highlight w:val="none"/>
              </w:rPr>
              <w:t>分</w:t>
            </w:r>
          </w:p>
        </w:tc>
      </w:tr>
      <w:tr w14:paraId="479D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80" w:type="pct"/>
            <w:vAlign w:val="center"/>
          </w:tcPr>
          <w:p w14:paraId="1866AD6E">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7</w:t>
            </w:r>
            <w:r>
              <w:rPr>
                <w:rFonts w:hint="eastAsia" w:ascii="宋体" w:hAnsi="宋体" w:eastAsia="宋体" w:cs="宋体"/>
                <w:bCs/>
                <w:color w:val="auto"/>
                <w:kern w:val="2"/>
                <w:sz w:val="24"/>
                <w:szCs w:val="24"/>
                <w:highlight w:val="none"/>
              </w:rPr>
              <w:t>.1</w:t>
            </w:r>
          </w:p>
        </w:tc>
        <w:tc>
          <w:tcPr>
            <w:tcW w:w="1157" w:type="pct"/>
            <w:vAlign w:val="center"/>
          </w:tcPr>
          <w:p w14:paraId="45B0565E">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包别划分</w:t>
            </w:r>
          </w:p>
        </w:tc>
        <w:tc>
          <w:tcPr>
            <w:tcW w:w="3262" w:type="pct"/>
            <w:vAlign w:val="center"/>
          </w:tcPr>
          <w:p w14:paraId="2262F223">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szCs w:val="24"/>
                <w:highlight w:val="none"/>
              </w:rPr>
              <w:t xml:space="preserve">不分包     □分为 </w:t>
            </w:r>
            <w:r>
              <w:rPr>
                <w:rFonts w:hint="eastAsia"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 xml:space="preserve"> 个包</w:t>
            </w:r>
          </w:p>
          <w:p w14:paraId="0E09A39E">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供应商参加多个包磋商的成交包数规定：</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 xml:space="preserve">       </w:t>
            </w:r>
          </w:p>
        </w:tc>
      </w:tr>
      <w:tr w14:paraId="31C0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80" w:type="pct"/>
            <w:vAlign w:val="center"/>
          </w:tcPr>
          <w:p w14:paraId="77FAD267">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0</w:t>
            </w:r>
            <w:r>
              <w:rPr>
                <w:rFonts w:hint="eastAsia" w:ascii="宋体" w:hAnsi="宋体" w:eastAsia="宋体" w:cs="宋体"/>
                <w:bCs/>
                <w:color w:val="auto"/>
                <w:kern w:val="2"/>
                <w:sz w:val="24"/>
                <w:szCs w:val="24"/>
                <w:highlight w:val="none"/>
              </w:rPr>
              <w:t>.1</w:t>
            </w:r>
          </w:p>
        </w:tc>
        <w:tc>
          <w:tcPr>
            <w:tcW w:w="1157" w:type="pct"/>
            <w:vAlign w:val="center"/>
          </w:tcPr>
          <w:p w14:paraId="74D212FE">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磋商保证金</w:t>
            </w:r>
          </w:p>
        </w:tc>
        <w:tc>
          <w:tcPr>
            <w:tcW w:w="3262" w:type="pct"/>
            <w:vAlign w:val="center"/>
          </w:tcPr>
          <w:p w14:paraId="4BB95EA0">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不收取</w:t>
            </w:r>
          </w:p>
        </w:tc>
      </w:tr>
      <w:tr w14:paraId="2F39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4869FBE4">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.1</w:t>
            </w:r>
          </w:p>
        </w:tc>
        <w:tc>
          <w:tcPr>
            <w:tcW w:w="1157" w:type="pct"/>
            <w:vAlign w:val="center"/>
          </w:tcPr>
          <w:p w14:paraId="310FCA5C">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磋商有效期</w:t>
            </w:r>
          </w:p>
        </w:tc>
        <w:tc>
          <w:tcPr>
            <w:tcW w:w="3262" w:type="pct"/>
            <w:vAlign w:val="center"/>
          </w:tcPr>
          <w:p w14:paraId="73D30A18">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90</w:t>
            </w:r>
            <w:r>
              <w:rPr>
                <w:rFonts w:hint="eastAsia" w:ascii="宋体" w:hAnsi="宋体" w:eastAsia="宋体" w:cs="宋体"/>
                <w:b w:val="0"/>
                <w:color w:val="auto"/>
                <w:sz w:val="24"/>
                <w:szCs w:val="24"/>
                <w:highlight w:val="none"/>
              </w:rPr>
              <w:t>日历日</w:t>
            </w:r>
          </w:p>
        </w:tc>
      </w:tr>
      <w:tr w14:paraId="5876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2B9F57C9">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rPr>
              <w:t>.3</w:t>
            </w:r>
          </w:p>
        </w:tc>
        <w:tc>
          <w:tcPr>
            <w:tcW w:w="1157" w:type="pct"/>
            <w:vAlign w:val="center"/>
          </w:tcPr>
          <w:p w14:paraId="42BBFCB7">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响应文件解密时间</w:t>
            </w:r>
          </w:p>
        </w:tc>
        <w:tc>
          <w:tcPr>
            <w:tcW w:w="3262" w:type="pct"/>
            <w:vAlign w:val="center"/>
          </w:tcPr>
          <w:p w14:paraId="68DBAB90">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u w:val="none"/>
              </w:rPr>
              <w:t>响应文件提交截止时间后</w:t>
            </w:r>
            <w:r>
              <w:rPr>
                <w:rFonts w:hint="eastAsia" w:ascii="宋体" w:hAnsi="宋体" w:eastAsia="宋体" w:cs="宋体"/>
                <w:b w:val="0"/>
                <w:color w:val="auto"/>
                <w:sz w:val="24"/>
                <w:szCs w:val="24"/>
                <w:highlight w:val="none"/>
                <w:u w:val="single"/>
                <w:lang w:val="en-US" w:eastAsia="zh-CN"/>
              </w:rPr>
              <w:t xml:space="preserve"> 60 </w:t>
            </w:r>
            <w:r>
              <w:rPr>
                <w:rFonts w:hint="eastAsia" w:ascii="宋体" w:hAnsi="宋体" w:eastAsia="宋体" w:cs="宋体"/>
                <w:b w:val="0"/>
                <w:color w:val="auto"/>
                <w:sz w:val="24"/>
                <w:szCs w:val="24"/>
                <w:highlight w:val="none"/>
                <w:u w:val="none"/>
              </w:rPr>
              <w:t>分钟内</w:t>
            </w:r>
          </w:p>
        </w:tc>
      </w:tr>
      <w:tr w14:paraId="6E3B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7A693710">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rPr>
              <w:t>.3</w:t>
            </w:r>
          </w:p>
        </w:tc>
        <w:tc>
          <w:tcPr>
            <w:tcW w:w="1157" w:type="pct"/>
            <w:vAlign w:val="center"/>
          </w:tcPr>
          <w:p w14:paraId="47224EDF">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评审方法</w:t>
            </w:r>
          </w:p>
        </w:tc>
        <w:tc>
          <w:tcPr>
            <w:tcW w:w="3262" w:type="pct"/>
            <w:vAlign w:val="center"/>
          </w:tcPr>
          <w:p w14:paraId="6D1710FB">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none"/>
              </w:rPr>
              <w:t>综合评分法</w:t>
            </w:r>
          </w:p>
        </w:tc>
      </w:tr>
      <w:tr w14:paraId="4406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0D6ED8A3">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17</w:t>
            </w:r>
            <w:r>
              <w:rPr>
                <w:rFonts w:hint="eastAsia" w:ascii="宋体" w:hAnsi="宋体" w:eastAsia="宋体" w:cs="宋体"/>
                <w:bCs/>
                <w:color w:val="auto"/>
                <w:kern w:val="2"/>
                <w:sz w:val="24"/>
                <w:szCs w:val="24"/>
                <w:highlight w:val="none"/>
              </w:rPr>
              <w:t>.4</w:t>
            </w:r>
          </w:p>
        </w:tc>
        <w:tc>
          <w:tcPr>
            <w:tcW w:w="1157" w:type="pct"/>
            <w:vAlign w:val="center"/>
          </w:tcPr>
          <w:p w14:paraId="307BE0DE">
            <w:pPr>
              <w:pStyle w:val="69"/>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szCs w:val="24"/>
                <w:highlight w:val="none"/>
              </w:rPr>
            </w:pPr>
            <w:r>
              <w:rPr>
                <w:rFonts w:hint="eastAsia"/>
                <w:b w:val="0"/>
                <w:color w:val="auto"/>
                <w:sz w:val="24"/>
                <w:highlight w:val="none"/>
              </w:rPr>
              <w:t>最后报价扣除</w:t>
            </w:r>
          </w:p>
        </w:tc>
        <w:tc>
          <w:tcPr>
            <w:tcW w:w="3262" w:type="pct"/>
            <w:vAlign w:val="center"/>
          </w:tcPr>
          <w:p w14:paraId="65F9E6FF">
            <w:pPr>
              <w:pStyle w:val="69"/>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对小型和微型企业产品的价格给予</w:t>
            </w:r>
            <w:r>
              <w:rPr>
                <w:rFonts w:hint="eastAsia"/>
                <w:b w:val="0"/>
                <w:color w:val="auto"/>
                <w:sz w:val="24"/>
                <w:highlight w:val="none"/>
                <w:u w:val="single"/>
                <w:lang w:val="en-US" w:eastAsia="zh-CN"/>
              </w:rPr>
              <w:t>10</w:t>
            </w:r>
            <w:r>
              <w:rPr>
                <w:rFonts w:hint="eastAsia" w:ascii="宋体" w:hAnsi="宋体" w:eastAsia="宋体"/>
                <w:b w:val="0"/>
                <w:color w:val="auto"/>
                <w:sz w:val="24"/>
                <w:highlight w:val="none"/>
                <w:u w:val="single"/>
              </w:rPr>
              <w:t>%的扣除后参与评审</w:t>
            </w:r>
            <w:r>
              <w:rPr>
                <w:rFonts w:hint="eastAsia"/>
                <w:b w:val="0"/>
                <w:color w:val="auto"/>
                <w:sz w:val="24"/>
                <w:highlight w:val="none"/>
                <w:u w:val="single"/>
                <w:lang w:eastAsia="zh-CN"/>
              </w:rPr>
              <w:t>；其评审价=最终响应报价*（90%）</w:t>
            </w:r>
            <w:r>
              <w:rPr>
                <w:rFonts w:hint="eastAsia" w:ascii="宋体" w:hAnsi="宋体" w:eastAsia="宋体"/>
                <w:b w:val="0"/>
                <w:color w:val="auto"/>
                <w:sz w:val="24"/>
                <w:highlight w:val="none"/>
                <w:u w:val="single"/>
              </w:rPr>
              <w:t>。</w:t>
            </w:r>
          </w:p>
          <w:p w14:paraId="23E6DCFB">
            <w:pPr>
              <w:pStyle w:val="69"/>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single"/>
              </w:rPr>
              <w:t>同</w:t>
            </w:r>
            <w:r>
              <w:rPr>
                <w:rFonts w:hint="default" w:ascii="宋体" w:hAnsi="宋体" w:eastAsia="宋体"/>
                <w:b w:val="0"/>
                <w:color w:val="auto"/>
                <w:sz w:val="24"/>
                <w:highlight w:val="none"/>
                <w:u w:val="single"/>
              </w:rPr>
              <w:t>小型和微型企业</w:t>
            </w:r>
            <w:r>
              <w:rPr>
                <w:rFonts w:hint="eastAsia" w:ascii="宋体" w:hAnsi="宋体" w:eastAsia="宋体"/>
                <w:b w:val="0"/>
                <w:color w:val="auto"/>
                <w:sz w:val="24"/>
                <w:highlight w:val="none"/>
              </w:rPr>
              <w:t>。</w:t>
            </w:r>
          </w:p>
          <w:p w14:paraId="07032DAB">
            <w:pPr>
              <w:pStyle w:val="69"/>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single"/>
              </w:rPr>
              <w:t>同</w:t>
            </w:r>
            <w:r>
              <w:rPr>
                <w:rFonts w:hint="default" w:ascii="宋体" w:hAnsi="宋体" w:eastAsia="宋体"/>
                <w:b w:val="0"/>
                <w:color w:val="auto"/>
                <w:sz w:val="24"/>
                <w:highlight w:val="none"/>
                <w:u w:val="single"/>
              </w:rPr>
              <w:t>小型和微型企业</w:t>
            </w:r>
            <w:r>
              <w:rPr>
                <w:rFonts w:hint="eastAsia" w:ascii="宋体" w:hAnsi="宋体" w:eastAsia="宋体"/>
                <w:b w:val="0"/>
                <w:color w:val="auto"/>
                <w:sz w:val="24"/>
                <w:highlight w:val="none"/>
              </w:rPr>
              <w:t>。</w:t>
            </w:r>
          </w:p>
          <w:p w14:paraId="341A2A50">
            <w:pPr>
              <w:pStyle w:val="69"/>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p>
          <w:p w14:paraId="73D96A87">
            <w:pPr>
              <w:pStyle w:val="69"/>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szCs w:val="24"/>
                <w:highlight w:val="none"/>
              </w:rPr>
            </w:pPr>
            <w:r>
              <w:rPr>
                <w:rFonts w:hint="eastAsia" w:ascii="宋体" w:hAnsi="宋体" w:eastAsia="宋体"/>
                <w:b w:val="0"/>
                <w:color w:val="auto"/>
                <w:sz w:val="24"/>
                <w:highlight w:val="none"/>
              </w:rPr>
              <w:t>（5）符合条件的向小微企业分包的大中型企业价格扣除：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p>
        </w:tc>
      </w:tr>
      <w:tr w14:paraId="10A4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Merge w:val="restart"/>
            <w:vAlign w:val="center"/>
          </w:tcPr>
          <w:p w14:paraId="6313C168">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19</w:t>
            </w:r>
            <w:r>
              <w:rPr>
                <w:rFonts w:hint="eastAsia" w:ascii="宋体" w:hAnsi="宋体" w:eastAsia="宋体" w:cs="宋体"/>
                <w:bCs/>
                <w:color w:val="auto"/>
                <w:kern w:val="2"/>
                <w:sz w:val="24"/>
                <w:szCs w:val="24"/>
                <w:highlight w:val="none"/>
              </w:rPr>
              <w:t>.1</w:t>
            </w:r>
          </w:p>
        </w:tc>
        <w:tc>
          <w:tcPr>
            <w:tcW w:w="1157" w:type="pct"/>
            <w:vMerge w:val="restart"/>
            <w:vAlign w:val="center"/>
          </w:tcPr>
          <w:p w14:paraId="164B68E5">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确定成交候选供应商和成交供应商</w:t>
            </w:r>
          </w:p>
        </w:tc>
        <w:tc>
          <w:tcPr>
            <w:tcW w:w="3262" w:type="pct"/>
            <w:vAlign w:val="center"/>
          </w:tcPr>
          <w:p w14:paraId="2B93E6D8">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rPr>
              <w:t>磋商小组推荐成交候选供应商的数量：3家</w:t>
            </w:r>
          </w:p>
          <w:p w14:paraId="4B7817EE">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lang w:val="en-US" w:eastAsia="zh-CN"/>
              </w:rPr>
              <w:t>注：法律、法规另有规定的，从其规定</w:t>
            </w:r>
          </w:p>
        </w:tc>
      </w:tr>
      <w:tr w14:paraId="3254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Merge w:val="continue"/>
            <w:vAlign w:val="center"/>
          </w:tcPr>
          <w:p w14:paraId="4E707711">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rPr>
            </w:pPr>
          </w:p>
        </w:tc>
        <w:tc>
          <w:tcPr>
            <w:tcW w:w="1157" w:type="pct"/>
            <w:vMerge w:val="continue"/>
            <w:vAlign w:val="center"/>
          </w:tcPr>
          <w:p w14:paraId="7176022A">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p>
        </w:tc>
        <w:tc>
          <w:tcPr>
            <w:tcW w:w="3262" w:type="pct"/>
            <w:vAlign w:val="center"/>
          </w:tcPr>
          <w:p w14:paraId="75840F19">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确定成交供应商：</w:t>
            </w:r>
          </w:p>
          <w:p w14:paraId="16E66CB8">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w:char="00A8"/>
            </w:r>
            <w:r>
              <w:rPr>
                <w:rFonts w:hint="eastAsia" w:ascii="宋体" w:hAnsi="宋体" w:eastAsia="宋体" w:cs="宋体"/>
                <w:b w:val="0"/>
                <w:color w:val="auto"/>
                <w:sz w:val="24"/>
                <w:szCs w:val="24"/>
                <w:highlight w:val="none"/>
              </w:rPr>
              <w:t xml:space="preserve">采购人委托磋商小组确定     </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采购人确定</w:t>
            </w:r>
          </w:p>
        </w:tc>
      </w:tr>
      <w:tr w14:paraId="2C7C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67EBE601">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rPr>
              <w:t>.2</w:t>
            </w:r>
          </w:p>
        </w:tc>
        <w:tc>
          <w:tcPr>
            <w:tcW w:w="1157" w:type="pct"/>
            <w:vAlign w:val="center"/>
          </w:tcPr>
          <w:p w14:paraId="3780CF59">
            <w:pPr>
              <w:pStyle w:val="69"/>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szCs w:val="24"/>
                <w:highlight w:val="none"/>
              </w:rPr>
            </w:pPr>
            <w:r>
              <w:rPr>
                <w:rFonts w:hint="eastAsia"/>
                <w:b w:val="0"/>
                <w:color w:val="auto"/>
                <w:sz w:val="24"/>
                <w:highlight w:val="none"/>
              </w:rPr>
              <w:t>随成交结果公告同时公告的内容</w:t>
            </w:r>
          </w:p>
        </w:tc>
        <w:tc>
          <w:tcPr>
            <w:tcW w:w="3262" w:type="pct"/>
            <w:vAlign w:val="center"/>
          </w:tcPr>
          <w:p w14:paraId="5724B63E">
            <w:pPr>
              <w:pStyle w:val="69"/>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）中小企业声明函；（如有）</w:t>
            </w:r>
          </w:p>
          <w:p w14:paraId="6C319152">
            <w:pPr>
              <w:pStyle w:val="69"/>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val="0"/>
                <w:iCs w:val="0"/>
                <w:color w:val="auto"/>
                <w:sz w:val="24"/>
                <w:highlight w:val="none"/>
                <w:u w:val="none"/>
              </w:rPr>
              <w:t>（如有）</w:t>
            </w:r>
          </w:p>
          <w:p w14:paraId="7CFAC5B0">
            <w:pPr>
              <w:pStyle w:val="69"/>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成交供应商的评审总得分</w:t>
            </w:r>
            <w:r>
              <w:rPr>
                <w:rFonts w:hint="eastAsia"/>
                <w:b w:val="0"/>
                <w:color w:val="auto"/>
                <w:sz w:val="24"/>
                <w:highlight w:val="none"/>
                <w:u w:val="none"/>
                <w:lang w:eastAsia="zh-CN"/>
              </w:rPr>
              <w:t>；</w:t>
            </w:r>
          </w:p>
          <w:p w14:paraId="6C8701B8">
            <w:pPr>
              <w:pStyle w:val="69"/>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rPr>
            </w:pPr>
            <w:r>
              <w:rPr>
                <w:rFonts w:hint="eastAsia" w:ascii="宋体" w:hAnsi="宋体" w:eastAsia="宋体"/>
                <w:b w:val="0"/>
                <w:color w:val="auto"/>
                <w:sz w:val="24"/>
                <w:highlight w:val="none"/>
                <w:lang w:eastAsia="zh-CN"/>
              </w:rPr>
              <w:t>（</w:t>
            </w:r>
            <w:r>
              <w:rPr>
                <w:rFonts w:hint="eastAsia"/>
                <w:b w:val="0"/>
                <w:color w:val="auto"/>
                <w:sz w:val="24"/>
                <w:highlight w:val="none"/>
                <w:lang w:val="en-US" w:eastAsia="zh-CN"/>
              </w:rPr>
              <w:t>4</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u w:val="none"/>
                <w:lang w:val="en-US" w:eastAsia="zh-CN"/>
              </w:rPr>
              <w:t>成交供应商的评</w:t>
            </w:r>
            <w:r>
              <w:rPr>
                <w:rFonts w:hint="eastAsia" w:ascii="宋体" w:hAnsi="宋体" w:eastAsia="宋体"/>
                <w:b w:val="0"/>
                <w:color w:val="auto"/>
                <w:sz w:val="24"/>
                <w:highlight w:val="none"/>
                <w:u w:val="none"/>
              </w:rPr>
              <w:t>审</w:t>
            </w:r>
            <w:r>
              <w:rPr>
                <w:rFonts w:hint="eastAsia" w:ascii="宋体" w:hAnsi="宋体" w:eastAsia="宋体"/>
                <w:b w:val="0"/>
                <w:color w:val="auto"/>
                <w:sz w:val="24"/>
                <w:highlight w:val="none"/>
                <w:u w:val="none"/>
                <w:lang w:val="en-US" w:eastAsia="zh-CN"/>
              </w:rPr>
              <w:t>业绩</w:t>
            </w:r>
            <w:r>
              <w:rPr>
                <w:rFonts w:hint="eastAsia"/>
                <w:b w:val="0"/>
                <w:color w:val="auto"/>
                <w:sz w:val="24"/>
                <w:highlight w:val="none"/>
                <w:u w:val="none"/>
                <w:lang w:val="en-US" w:eastAsia="zh-CN"/>
              </w:rPr>
              <w:t>。</w:t>
            </w:r>
            <w:r>
              <w:rPr>
                <w:rFonts w:hint="eastAsia" w:ascii="宋体" w:hAnsi="宋体" w:eastAsia="宋体"/>
                <w:b w:val="0"/>
                <w:color w:val="auto"/>
                <w:sz w:val="24"/>
                <w:highlight w:val="none"/>
                <w:u w:val="none"/>
                <w:lang w:val="en-US" w:eastAsia="zh-CN"/>
              </w:rPr>
              <w:t xml:space="preserve"> </w:t>
            </w:r>
          </w:p>
        </w:tc>
      </w:tr>
      <w:tr w14:paraId="2F91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6A57FBBE">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.1</w:t>
            </w:r>
          </w:p>
        </w:tc>
        <w:tc>
          <w:tcPr>
            <w:tcW w:w="1157" w:type="pct"/>
            <w:vAlign w:val="center"/>
          </w:tcPr>
          <w:p w14:paraId="21D7EEF8">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成交通知书发出的形式</w:t>
            </w:r>
          </w:p>
        </w:tc>
        <w:tc>
          <w:tcPr>
            <w:tcW w:w="3262" w:type="pct"/>
            <w:vAlign w:val="center"/>
          </w:tcPr>
          <w:p w14:paraId="690AE5AD">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color w:val="auto"/>
                <w:sz w:val="24"/>
                <w:szCs w:val="24"/>
                <w:highlight w:val="none"/>
              </w:rPr>
              <w:t>数据电文</w:t>
            </w:r>
          </w:p>
        </w:tc>
      </w:tr>
      <w:tr w14:paraId="7007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719E7072">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rPr>
            </w:pPr>
            <w:r>
              <w:rPr>
                <w:rFonts w:hint="eastAsia" w:ascii="宋体" w:hAnsi="宋体" w:eastAsia="宋体" w:cs="宋体"/>
                <w:b w:val="0"/>
                <w:bCs/>
                <w:color w:val="auto"/>
                <w:sz w:val="24"/>
                <w:szCs w:val="24"/>
                <w:highlight w:val="none"/>
                <w:lang w:val="en-US" w:eastAsia="zh-CN"/>
              </w:rPr>
              <w:t>24.1</w:t>
            </w:r>
          </w:p>
        </w:tc>
        <w:tc>
          <w:tcPr>
            <w:tcW w:w="1157" w:type="pct"/>
            <w:vAlign w:val="center"/>
          </w:tcPr>
          <w:p w14:paraId="2402D613">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告知磋商结果的形式</w:t>
            </w:r>
          </w:p>
        </w:tc>
        <w:tc>
          <w:tcPr>
            <w:tcW w:w="3262" w:type="pct"/>
            <w:vAlign w:val="center"/>
          </w:tcPr>
          <w:p w14:paraId="07590453">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sym w:font="Wingdings" w:char="00FE"/>
            </w:r>
            <w:r>
              <w:rPr>
                <w:rFonts w:hint="eastAsia" w:ascii="宋体" w:hAnsi="宋体" w:eastAsia="宋体" w:cs="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b w:val="0"/>
                <w:bCs w:val="0"/>
                <w:color w:val="auto"/>
                <w:sz w:val="24"/>
                <w:szCs w:val="24"/>
                <w:highlight w:val="none"/>
              </w:rPr>
              <w:t>系统查看</w:t>
            </w:r>
          </w:p>
          <w:p w14:paraId="0D5B1268">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□磋商现场告知</w:t>
            </w:r>
          </w:p>
        </w:tc>
      </w:tr>
      <w:tr w14:paraId="25F7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2689BEBA">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25</w:t>
            </w:r>
            <w:r>
              <w:rPr>
                <w:rFonts w:hint="eastAsia" w:ascii="宋体" w:hAnsi="宋体" w:eastAsia="宋体" w:cs="宋体"/>
                <w:bCs/>
                <w:color w:val="auto"/>
                <w:kern w:val="2"/>
                <w:sz w:val="24"/>
                <w:szCs w:val="24"/>
                <w:highlight w:val="none"/>
              </w:rPr>
              <w:t>.1</w:t>
            </w:r>
          </w:p>
        </w:tc>
        <w:tc>
          <w:tcPr>
            <w:tcW w:w="1157" w:type="pct"/>
            <w:vAlign w:val="center"/>
          </w:tcPr>
          <w:p w14:paraId="7EDBB2CF">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履约保证金</w:t>
            </w:r>
          </w:p>
        </w:tc>
        <w:tc>
          <w:tcPr>
            <w:tcW w:w="3262" w:type="pct"/>
          </w:tcPr>
          <w:p w14:paraId="2B28F10F">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（1）金额：</w:t>
            </w:r>
          </w:p>
          <w:p w14:paraId="63112365">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sz w:val="24"/>
                <w:szCs w:val="24"/>
                <w:highlight w:val="none"/>
              </w:rPr>
            </w:pPr>
            <w:r>
              <w:rPr>
                <w:rFonts w:hint="eastAsia" w:cs="宋体"/>
                <w:bCs/>
                <w:color w:val="auto"/>
                <w:sz w:val="24"/>
                <w:szCs w:val="24"/>
                <w:highlight w:val="none"/>
                <w:lang w:eastAsia="zh-CN"/>
              </w:rPr>
              <w:t>□</w:t>
            </w:r>
            <w:r>
              <w:rPr>
                <w:rFonts w:hint="eastAsia" w:ascii="宋体" w:hAnsi="宋体" w:eastAsia="宋体" w:cs="宋体"/>
                <w:bCs/>
                <w:color w:val="auto"/>
                <w:sz w:val="24"/>
                <w:szCs w:val="24"/>
                <w:highlight w:val="none"/>
              </w:rPr>
              <w:t>免收</w:t>
            </w:r>
          </w:p>
          <w:p w14:paraId="5E30BA4B">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sz w:val="24"/>
                <w:szCs w:val="24"/>
                <w:highlight w:val="none"/>
              </w:rPr>
            </w:pPr>
            <w:r>
              <w:rPr>
                <w:rFonts w:hint="eastAsia" w:cs="宋体"/>
                <w:bCs/>
                <w:color w:val="auto"/>
                <w:sz w:val="24"/>
                <w:szCs w:val="24"/>
                <w:highlight w:val="none"/>
                <w:lang w:eastAsia="zh-CN"/>
              </w:rPr>
              <w:t>☑</w:t>
            </w:r>
            <w:r>
              <w:rPr>
                <w:rFonts w:hint="eastAsia" w:ascii="宋体" w:hAnsi="宋体" w:eastAsia="宋体" w:cs="宋体"/>
                <w:bCs/>
                <w:color w:val="auto"/>
                <w:sz w:val="24"/>
                <w:szCs w:val="24"/>
                <w:highlight w:val="none"/>
              </w:rPr>
              <w:t>合同价的</w:t>
            </w:r>
            <w:r>
              <w:rPr>
                <w:rFonts w:hint="eastAsia" w:ascii="宋体" w:hAnsi="宋体" w:eastAsia="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rPr>
              <w:t>%</w:t>
            </w:r>
          </w:p>
          <w:p w14:paraId="15F4D10B">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□定额收取：人民币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p w14:paraId="0001547E">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（2）支付方式：</w:t>
            </w:r>
          </w:p>
          <w:p w14:paraId="1BA2FCBB">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 xml:space="preserve">转账/电汇 </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 xml:space="preserve">支票 </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 xml:space="preserve">汇票 </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 xml:space="preserve">本票 </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 xml:space="preserve">保险 </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保函</w:t>
            </w:r>
          </w:p>
          <w:p w14:paraId="0690B5BD">
            <w:pPr>
              <w:keepNext w:val="0"/>
              <w:keepLines w:val="0"/>
              <w:pageBreakBefore w:val="0"/>
              <w:numPr>
                <w:ilvl w:val="0"/>
                <w:numId w:val="0"/>
              </w:numPr>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收取单位：</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另行通知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kern w:val="0"/>
                <w:sz w:val="24"/>
                <w:szCs w:val="24"/>
                <w:highlight w:val="none"/>
              </w:rPr>
              <w:t xml:space="preserve">              </w:t>
            </w:r>
          </w:p>
          <w:p w14:paraId="04487469">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（4）收取账号：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另行通知</w:t>
            </w:r>
            <w:r>
              <w:rPr>
                <w:rFonts w:hint="eastAsia" w:ascii="宋体" w:hAnsi="宋体" w:eastAsia="宋体" w:cs="宋体"/>
                <w:bCs/>
                <w:color w:val="auto"/>
                <w:sz w:val="24"/>
                <w:szCs w:val="24"/>
                <w:highlight w:val="none"/>
                <w:u w:val="single"/>
              </w:rPr>
              <w:t xml:space="preserve"> </w:t>
            </w:r>
          </w:p>
          <w:p w14:paraId="7F524EB3">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w:t>
            </w:r>
            <w:r>
              <w:rPr>
                <w:rFonts w:hint="eastAsia" w:ascii="宋体" w:hAnsi="宋体" w:eastAsia="宋体" w:cs="宋体"/>
                <w:color w:val="auto"/>
                <w:sz w:val="24"/>
                <w:szCs w:val="24"/>
                <w:highlight w:val="none"/>
              </w:rPr>
              <w:t>退还时间：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验收合格后，一次性退还</w:t>
            </w:r>
            <w:r>
              <w:rPr>
                <w:rFonts w:hint="eastAsia" w:cs="宋体"/>
                <w:bCs/>
                <w:color w:val="auto"/>
                <w:sz w:val="24"/>
                <w:szCs w:val="24"/>
                <w:highlight w:val="none"/>
                <w:u w:val="single"/>
                <w:lang w:eastAsia="zh-CN"/>
              </w:rPr>
              <w:t>。</w:t>
            </w:r>
          </w:p>
          <w:p w14:paraId="4CD27CFD">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3161C8A3">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（1）以上各类机构出具的以担保函、保证保险承担责任的方式均须满足无条件见索即付条件。</w:t>
            </w:r>
          </w:p>
          <w:p w14:paraId="623219E0">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（2）以担保函、保证保险形式缴纳履约保证金的，受益人和收取单位须为采购人。</w:t>
            </w:r>
          </w:p>
        </w:tc>
      </w:tr>
      <w:tr w14:paraId="7013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1F9EAFA0">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26.1</w:t>
            </w:r>
          </w:p>
        </w:tc>
        <w:tc>
          <w:tcPr>
            <w:tcW w:w="1157" w:type="pct"/>
            <w:vAlign w:val="center"/>
          </w:tcPr>
          <w:p w14:paraId="5B5BA8D7">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代理费用</w:t>
            </w:r>
          </w:p>
        </w:tc>
        <w:tc>
          <w:tcPr>
            <w:tcW w:w="3262" w:type="pct"/>
            <w:vAlign w:val="center"/>
          </w:tcPr>
          <w:p w14:paraId="216FC1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color w:val="auto"/>
                <w:spacing w:val="14"/>
                <w:sz w:val="24"/>
                <w:szCs w:val="24"/>
                <w:highlight w:val="none"/>
                <w:lang w:val="en-US" w:eastAsia="zh-CN"/>
              </w:rPr>
              <w:t>成交供应商</w:t>
            </w:r>
          </w:p>
          <w:p w14:paraId="7EA5A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bCs/>
                <w:color w:val="auto"/>
                <w:kern w:val="0"/>
                <w:sz w:val="24"/>
                <w:szCs w:val="24"/>
                <w:highlight w:val="none"/>
                <w:u w:val="single"/>
                <w:lang w:eastAsia="zh-CN"/>
              </w:rPr>
            </w:pPr>
            <w:r>
              <w:rPr>
                <w:rFonts w:hint="eastAsia" w:ascii="宋体" w:hAnsi="宋体" w:eastAsia="宋体" w:cs="宋体"/>
                <w:bCs/>
                <w:color w:val="auto"/>
                <w:kern w:val="0"/>
                <w:sz w:val="24"/>
                <w:szCs w:val="24"/>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成交供应商</w:t>
            </w:r>
            <w:r>
              <w:rPr>
                <w:rFonts w:hint="eastAsia" w:ascii="宋体" w:hAnsi="宋体" w:eastAsia="宋体" w:cs="宋体"/>
                <w:color w:val="auto"/>
                <w:sz w:val="24"/>
                <w:szCs w:val="24"/>
                <w:highlight w:val="none"/>
                <w:u w:val="single"/>
              </w:rPr>
              <w:t>在获取成交通知书时一次性支付给代理机构</w:t>
            </w:r>
          </w:p>
          <w:p w14:paraId="7ED3EB2E">
            <w:pPr>
              <w:pStyle w:val="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 w:val="0"/>
                <w:bCs w:val="0"/>
                <w:color w:val="auto"/>
                <w:kern w:val="0"/>
                <w:sz w:val="24"/>
                <w:szCs w:val="24"/>
                <w:highlight w:val="none"/>
              </w:rPr>
              <w:t>（3）</w:t>
            </w:r>
            <w:r>
              <w:rPr>
                <w:rFonts w:hint="eastAsia" w:ascii="宋体" w:hAnsi="宋体" w:eastAsia="宋体" w:cs="宋体"/>
                <w:b w:val="0"/>
                <w:bCs/>
                <w:color w:val="auto"/>
                <w:kern w:val="0"/>
                <w:sz w:val="24"/>
                <w:szCs w:val="24"/>
                <w:highlight w:val="none"/>
                <w:lang w:val="en-US" w:eastAsia="zh-CN" w:bidi="ar-SA"/>
              </w:rPr>
              <w:t>收费标准：</w:t>
            </w:r>
            <w:r>
              <w:rPr>
                <w:rFonts w:hint="eastAsia" w:ascii="宋体" w:hAnsi="宋体" w:eastAsia="宋体" w:cs="宋体"/>
                <w:b w:val="0"/>
                <w:bCs w:val="0"/>
                <w:color w:val="auto"/>
                <w:kern w:val="2"/>
                <w:sz w:val="24"/>
                <w:szCs w:val="24"/>
                <w:highlight w:val="none"/>
                <w:u w:val="single" w:color="auto"/>
                <w:lang w:val="en-US" w:eastAsia="zh-CN" w:bidi="ar-SA"/>
              </w:rPr>
              <w:t>参考《滁州市公共资源交易代理机构及从业人员管理办法》(滁公管〔2025〕1号)以及《关于进一步明确代理费计取标准的通知》（滁公管综〔2023〕19号）文件，以最高限价（控制价）计算</w:t>
            </w:r>
            <w:r>
              <w:rPr>
                <w:rFonts w:hint="eastAsia" w:cs="宋体"/>
                <w:b w:val="0"/>
                <w:bCs w:val="0"/>
                <w:color w:val="auto"/>
                <w:kern w:val="2"/>
                <w:sz w:val="24"/>
                <w:szCs w:val="24"/>
                <w:highlight w:val="none"/>
                <w:u w:val="single" w:color="auto"/>
                <w:lang w:val="en-US" w:eastAsia="zh-CN" w:bidi="ar-SA"/>
              </w:rPr>
              <w:t>，代理费用15300元</w:t>
            </w:r>
            <w:r>
              <w:rPr>
                <w:rFonts w:hint="eastAsia" w:ascii="宋体" w:hAnsi="宋体" w:eastAsia="宋体" w:cs="宋体"/>
                <w:b w:val="0"/>
                <w:bCs/>
                <w:color w:val="auto"/>
                <w:kern w:val="0"/>
                <w:sz w:val="24"/>
                <w:szCs w:val="24"/>
                <w:highlight w:val="none"/>
                <w:u w:val="single"/>
                <w:lang w:val="en-US" w:eastAsia="zh-CN" w:bidi="ar-SA"/>
              </w:rPr>
              <w:t>。</w:t>
            </w:r>
          </w:p>
        </w:tc>
      </w:tr>
      <w:tr w14:paraId="75E8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74B4465A">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27.1</w:t>
            </w:r>
          </w:p>
        </w:tc>
        <w:tc>
          <w:tcPr>
            <w:tcW w:w="1157" w:type="pct"/>
            <w:vAlign w:val="center"/>
          </w:tcPr>
          <w:p w14:paraId="29A51E2A">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签订合同和合同公告时间</w:t>
            </w:r>
          </w:p>
        </w:tc>
        <w:tc>
          <w:tcPr>
            <w:tcW w:w="3262" w:type="pct"/>
            <w:vAlign w:val="center"/>
          </w:tcPr>
          <w:p w14:paraId="42DD17D3">
            <w:pPr>
              <w:pStyle w:val="5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（1）采购人与成交供应商应当自发出成交通知书之日起7个工作日内签订合同，采购合同签订之日起2个工作日内完成政府采购合同公开。</w:t>
            </w:r>
          </w:p>
          <w:p w14:paraId="3A0302C6">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不得擅自变更合同，依照政府采购法确需变更政府采购合同内容的，采购人应当自合同变更之日起2个工作日内在安徽省政府采购网、滁州市公共资源交易中心网发布政府采购合同变更公告，但涉及国家秘密、商业秘密的信息和其他依法不得公开的信息除外。</w:t>
            </w:r>
          </w:p>
        </w:tc>
      </w:tr>
      <w:tr w14:paraId="2937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415115C9">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29.3</w:t>
            </w:r>
          </w:p>
        </w:tc>
        <w:tc>
          <w:tcPr>
            <w:tcW w:w="1157" w:type="pct"/>
            <w:vAlign w:val="center"/>
          </w:tcPr>
          <w:p w14:paraId="45F8CB7F">
            <w:pPr>
              <w:pStyle w:val="69"/>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szCs w:val="24"/>
                <w:highlight w:val="none"/>
              </w:rPr>
            </w:pPr>
            <w:r>
              <w:rPr>
                <w:rFonts w:hint="eastAsia"/>
                <w:b w:val="0"/>
                <w:color w:val="auto"/>
                <w:sz w:val="24"/>
                <w:highlight w:val="none"/>
              </w:rPr>
              <w:t>质疑函递交方式、接收部门、联系电话和通讯地址</w:t>
            </w:r>
          </w:p>
        </w:tc>
        <w:tc>
          <w:tcPr>
            <w:tcW w:w="3262" w:type="pct"/>
            <w:vAlign w:val="center"/>
          </w:tcPr>
          <w:p w14:paraId="7BD76FE2">
            <w:pPr>
              <w:pStyle w:val="69"/>
              <w:keepNext w:val="0"/>
              <w:keepLines w:val="0"/>
              <w:widowControl w:val="0"/>
              <w:suppressLineNumbers w:val="0"/>
              <w:spacing w:before="0" w:beforeAutospacing="0" w:after="0" w:afterAutospacing="0" w:line="360" w:lineRule="auto"/>
              <w:ind w:left="0" w:right="0"/>
              <w:jc w:val="both"/>
              <w:rPr>
                <w:rFonts w:hint="eastAsia" w:ascii="宋体" w:hAnsi="宋体" w:eastAsia="宋体"/>
                <w:b/>
                <w:bCs w:val="0"/>
                <w:color w:val="auto"/>
                <w:sz w:val="24"/>
                <w:highlight w:val="none"/>
                <w:u w:val="single"/>
                <w:lang w:val="en-US" w:eastAsia="zh-CN"/>
              </w:rPr>
            </w:pPr>
            <w:r>
              <w:rPr>
                <w:rFonts w:hint="eastAsia" w:ascii="宋体" w:hAnsi="宋体" w:eastAsia="宋体"/>
                <w:b w:val="0"/>
                <w:color w:val="auto"/>
                <w:sz w:val="24"/>
                <w:highlight w:val="none"/>
              </w:rPr>
              <w:t>递交方式：</w:t>
            </w:r>
            <w:r>
              <w:rPr>
                <w:rFonts w:hint="eastAsia" w:ascii="宋体" w:hAnsi="宋体" w:eastAsia="宋体"/>
                <w:b/>
                <w:bCs w:val="0"/>
                <w:color w:val="auto"/>
                <w:sz w:val="24"/>
                <w:highlight w:val="none"/>
                <w:u w:val="single"/>
                <w:lang w:val="en-US" w:eastAsia="zh-CN"/>
              </w:rPr>
              <w:t>如供应商对磋商文件有质疑，依据中华人民共和国财政部令第94号《政府采购质疑和投诉办法》规定提出质疑</w:t>
            </w:r>
            <w:r>
              <w:rPr>
                <w:rFonts w:hint="eastAsia"/>
                <w:b/>
                <w:bCs w:val="0"/>
                <w:color w:val="auto"/>
                <w:sz w:val="24"/>
                <w:highlight w:val="none"/>
                <w:u w:val="single"/>
                <w:lang w:val="en-US" w:eastAsia="zh-CN"/>
              </w:rPr>
              <w:t>；</w:t>
            </w:r>
          </w:p>
          <w:p w14:paraId="38331EF4">
            <w:pPr>
              <w:pStyle w:val="69"/>
              <w:keepNext w:val="0"/>
              <w:keepLines w:val="0"/>
              <w:widowControl w:val="0"/>
              <w:suppressLineNumbers w:val="0"/>
              <w:spacing w:before="0" w:beforeAutospacing="0" w:after="0" w:afterAutospacing="0" w:line="360" w:lineRule="auto"/>
              <w:ind w:left="0" w:right="0"/>
              <w:jc w:val="both"/>
              <w:rPr>
                <w:rFonts w:hint="default" w:ascii="宋体" w:hAnsi="宋体" w:eastAsia="宋体"/>
                <w:b/>
                <w:bCs w:val="0"/>
                <w:color w:val="auto"/>
                <w:sz w:val="24"/>
                <w:highlight w:val="none"/>
                <w:u w:val="single"/>
              </w:rPr>
            </w:pPr>
            <w:r>
              <w:rPr>
                <w:rFonts w:hint="eastAsia" w:ascii="宋体" w:hAnsi="宋体" w:eastAsia="宋体"/>
                <w:b/>
                <w:bCs w:val="0"/>
                <w:color w:val="auto"/>
                <w:sz w:val="24"/>
                <w:highlight w:val="none"/>
                <w:u w:val="single"/>
                <w:lang w:val="en-US" w:eastAsia="zh-CN"/>
              </w:rPr>
              <w:t>供应商</w:t>
            </w:r>
            <w:r>
              <w:rPr>
                <w:rFonts w:hint="eastAsia" w:ascii="宋体" w:hAnsi="宋体" w:eastAsia="宋体"/>
                <w:b/>
                <w:bCs w:val="0"/>
                <w:color w:val="auto"/>
                <w:sz w:val="24"/>
                <w:highlight w:val="none"/>
                <w:u w:val="single"/>
              </w:rPr>
              <w:t>可以通过书面形式提出，也可以通过线上提出质疑</w:t>
            </w:r>
            <w:r>
              <w:rPr>
                <w:rFonts w:hint="eastAsia" w:ascii="宋体" w:hAnsi="宋体" w:eastAsia="宋体"/>
                <w:b/>
                <w:bCs w:val="0"/>
                <w:color w:val="auto"/>
                <w:sz w:val="24"/>
                <w:highlight w:val="none"/>
                <w:u w:val="single"/>
                <w:lang w:eastAsia="zh-CN"/>
              </w:rPr>
              <w:t>【</w:t>
            </w:r>
            <w:r>
              <w:rPr>
                <w:rFonts w:hint="eastAsia" w:ascii="宋体" w:hAnsi="宋体" w:eastAsia="宋体"/>
                <w:b/>
                <w:bCs w:val="0"/>
                <w:color w:val="auto"/>
                <w:sz w:val="24"/>
                <w:highlight w:val="none"/>
                <w:u w:val="single"/>
              </w:rPr>
              <w:t>通过线上向滁州市公共资源交易中心网电子交易系统提出质疑(具体操作步骤和程序请参见服务指南&gt;交易须知&gt;在线异议、质疑和投诉操作手册)</w:t>
            </w:r>
            <w:r>
              <w:rPr>
                <w:rFonts w:hint="eastAsia" w:ascii="宋体" w:hAnsi="宋体" w:eastAsia="宋体"/>
                <w:b/>
                <w:bCs w:val="0"/>
                <w:color w:val="auto"/>
                <w:sz w:val="24"/>
                <w:highlight w:val="none"/>
                <w:u w:val="single"/>
                <w:lang w:eastAsia="zh-CN"/>
              </w:rPr>
              <w:t>】</w:t>
            </w:r>
            <w:r>
              <w:rPr>
                <w:rFonts w:hint="eastAsia" w:ascii="宋体" w:hAnsi="宋体" w:eastAsia="宋体"/>
                <w:b/>
                <w:bCs w:val="0"/>
                <w:color w:val="auto"/>
                <w:sz w:val="24"/>
                <w:highlight w:val="none"/>
                <w:u w:val="single"/>
              </w:rPr>
              <w:t>。一份质疑函只能针对一个项目提出质疑，且针对同一采购程序环节的质疑应当</w:t>
            </w:r>
            <w:r>
              <w:rPr>
                <w:rFonts w:hint="eastAsia" w:ascii="宋体" w:hAnsi="宋体" w:eastAsia="宋体"/>
                <w:b/>
                <w:bCs w:val="0"/>
                <w:color w:val="auto"/>
                <w:sz w:val="24"/>
                <w:highlight w:val="none"/>
                <w:u w:val="single"/>
                <w:lang w:val="en-US" w:eastAsia="zh-CN"/>
              </w:rPr>
              <w:t>一</w:t>
            </w:r>
            <w:r>
              <w:rPr>
                <w:rFonts w:hint="eastAsia" w:ascii="宋体" w:hAnsi="宋体" w:eastAsia="宋体"/>
                <w:b/>
                <w:bCs w:val="0"/>
                <w:color w:val="auto"/>
                <w:sz w:val="24"/>
                <w:highlight w:val="none"/>
                <w:u w:val="single"/>
              </w:rPr>
              <w:t>次性提出</w:t>
            </w:r>
          </w:p>
          <w:p w14:paraId="37FC2A55">
            <w:pPr>
              <w:pStyle w:val="69"/>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Cs/>
                <w:color w:val="auto"/>
                <w:kern w:val="0"/>
                <w:sz w:val="24"/>
                <w:szCs w:val="28"/>
                <w:highlight w:val="none"/>
                <w:u w:val="single"/>
              </w:rPr>
              <w:t>滁州市第一人民医院</w:t>
            </w:r>
            <w:r>
              <w:rPr>
                <w:rFonts w:hint="eastAsia" w:ascii="宋体" w:hAnsi="宋体" w:eastAsia="宋体"/>
                <w:bCs/>
                <w:color w:val="auto"/>
                <w:kern w:val="0"/>
                <w:sz w:val="24"/>
                <w:szCs w:val="28"/>
                <w:highlight w:val="none"/>
                <w:u w:val="single"/>
                <w:lang w:eastAsia="zh-CN"/>
              </w:rPr>
              <w:t>、</w:t>
            </w:r>
            <w:r>
              <w:rPr>
                <w:rFonts w:hint="eastAsia" w:ascii="宋体" w:hAnsi="宋体" w:eastAsia="宋体"/>
                <w:bCs/>
                <w:color w:val="auto"/>
                <w:kern w:val="0"/>
                <w:sz w:val="24"/>
                <w:szCs w:val="28"/>
                <w:highlight w:val="none"/>
                <w:u w:val="single"/>
              </w:rPr>
              <w:t>滁州市重点工程建设管理处</w:t>
            </w:r>
            <w:r>
              <w:rPr>
                <w:rFonts w:hint="eastAsia" w:ascii="宋体" w:hAnsi="宋体" w:eastAsia="宋体"/>
                <w:bCs/>
                <w:color w:val="auto"/>
                <w:kern w:val="0"/>
                <w:sz w:val="24"/>
                <w:szCs w:val="28"/>
                <w:highlight w:val="none"/>
                <w:u w:val="single"/>
                <w:lang w:val="en-US" w:eastAsia="zh-CN"/>
              </w:rPr>
              <w:t>或滁州市城投工程咨询管理有限公司</w:t>
            </w:r>
          </w:p>
          <w:p w14:paraId="2F66C476">
            <w:pPr>
              <w:pStyle w:val="69"/>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18"/>
                <w:highlight w:val="none"/>
                <w:lang w:val="en-US" w:eastAsia="zh-CN"/>
              </w:rPr>
            </w:pPr>
            <w:r>
              <w:rPr>
                <w:rFonts w:hint="default" w:ascii="宋体" w:hAnsi="宋体" w:eastAsia="宋体"/>
                <w:b w:val="0"/>
                <w:color w:val="auto"/>
                <w:sz w:val="24"/>
                <w:highlight w:val="none"/>
              </w:rPr>
              <w:t>联系电话：</w:t>
            </w:r>
            <w:r>
              <w:rPr>
                <w:rFonts w:hint="eastAsia" w:ascii="宋体" w:hAnsi="宋体" w:eastAsia="宋体"/>
                <w:bCs/>
                <w:color w:val="auto"/>
                <w:kern w:val="0"/>
                <w:sz w:val="24"/>
                <w:szCs w:val="28"/>
                <w:highlight w:val="none"/>
                <w:u w:val="single"/>
              </w:rPr>
              <w:t>0550-3526106</w:t>
            </w:r>
            <w:r>
              <w:rPr>
                <w:rFonts w:hint="eastAsia" w:ascii="宋体" w:hAnsi="宋体" w:eastAsia="宋体"/>
                <w:bCs/>
                <w:color w:val="auto"/>
                <w:kern w:val="0"/>
                <w:sz w:val="24"/>
                <w:szCs w:val="28"/>
                <w:highlight w:val="none"/>
                <w:u w:val="single"/>
                <w:lang w:eastAsia="zh-CN"/>
              </w:rPr>
              <w:t>、</w:t>
            </w:r>
            <w:r>
              <w:rPr>
                <w:rFonts w:hint="eastAsia" w:ascii="宋体" w:hAnsi="宋体" w:eastAsia="宋体"/>
                <w:bCs/>
                <w:color w:val="auto"/>
                <w:kern w:val="0"/>
                <w:sz w:val="24"/>
                <w:szCs w:val="28"/>
                <w:highlight w:val="none"/>
                <w:u w:val="single"/>
              </w:rPr>
              <w:t>0550-259982</w:t>
            </w:r>
            <w:r>
              <w:rPr>
                <w:rFonts w:hint="eastAsia" w:ascii="宋体" w:hAnsi="宋体" w:eastAsia="宋体"/>
                <w:bCs/>
                <w:color w:val="auto"/>
                <w:kern w:val="0"/>
                <w:sz w:val="24"/>
                <w:szCs w:val="28"/>
                <w:highlight w:val="none"/>
                <w:u w:val="single"/>
                <w:lang w:val="en-US" w:eastAsia="zh-CN"/>
              </w:rPr>
              <w:t>0</w:t>
            </w:r>
            <w:r>
              <w:rPr>
                <w:rFonts w:hint="eastAsia" w:ascii="宋体" w:hAnsi="宋体" w:eastAsia="宋体"/>
                <w:bCs/>
                <w:color w:val="auto"/>
                <w:kern w:val="0"/>
                <w:sz w:val="24"/>
                <w:szCs w:val="28"/>
                <w:highlight w:val="none"/>
                <w:u w:val="single"/>
              </w:rPr>
              <w:t>、</w:t>
            </w:r>
            <w:r>
              <w:rPr>
                <w:rFonts w:hint="eastAsia"/>
                <w:bCs/>
                <w:color w:val="auto"/>
                <w:kern w:val="0"/>
                <w:sz w:val="24"/>
                <w:szCs w:val="28"/>
                <w:highlight w:val="none"/>
                <w:u w:val="single"/>
                <w:lang w:eastAsia="zh-CN"/>
              </w:rPr>
              <w:t>0550-3519517、18005500950</w:t>
            </w:r>
          </w:p>
          <w:p w14:paraId="49EC54BC">
            <w:pPr>
              <w:pStyle w:val="69"/>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szCs w:val="24"/>
                <w:highlight w:val="none"/>
                <w:lang w:eastAsia="zh-CN"/>
              </w:rPr>
            </w:pPr>
            <w:r>
              <w:rPr>
                <w:rFonts w:hint="eastAsia" w:ascii="宋体" w:hAnsi="宋体" w:eastAsia="宋体"/>
                <w:b w:val="0"/>
                <w:color w:val="auto"/>
                <w:sz w:val="24"/>
                <w:highlight w:val="none"/>
              </w:rPr>
              <w:t>通讯地址：</w:t>
            </w:r>
            <w:r>
              <w:rPr>
                <w:rFonts w:hint="eastAsia" w:ascii="宋体" w:hAnsi="宋体" w:eastAsia="宋体"/>
                <w:bCs/>
                <w:color w:val="auto"/>
                <w:kern w:val="0"/>
                <w:sz w:val="24"/>
                <w:szCs w:val="28"/>
                <w:highlight w:val="none"/>
                <w:u w:val="single"/>
              </w:rPr>
              <w:t>滁州市南谯区醉翁西路369号</w:t>
            </w:r>
            <w:r>
              <w:rPr>
                <w:rFonts w:hint="eastAsia" w:ascii="宋体" w:hAnsi="宋体" w:eastAsia="宋体"/>
                <w:bCs/>
                <w:color w:val="auto"/>
                <w:kern w:val="0"/>
                <w:sz w:val="24"/>
                <w:szCs w:val="28"/>
                <w:highlight w:val="none"/>
                <w:u w:val="single"/>
                <w:lang w:eastAsia="zh-CN"/>
              </w:rPr>
              <w:t>、</w:t>
            </w:r>
            <w:r>
              <w:rPr>
                <w:rFonts w:hint="eastAsia" w:ascii="宋体" w:hAnsi="宋体" w:eastAsia="宋体"/>
                <w:bCs/>
                <w:color w:val="auto"/>
                <w:kern w:val="0"/>
                <w:sz w:val="24"/>
                <w:szCs w:val="28"/>
                <w:highlight w:val="none"/>
                <w:u w:val="single"/>
              </w:rPr>
              <w:t>滁州市琅琊西路81号建设大厦4</w:t>
            </w:r>
            <w:r>
              <w:rPr>
                <w:rFonts w:hint="eastAsia" w:ascii="宋体" w:hAnsi="宋体" w:eastAsia="宋体"/>
                <w:bCs/>
                <w:color w:val="auto"/>
                <w:kern w:val="0"/>
                <w:sz w:val="24"/>
                <w:szCs w:val="28"/>
                <w:highlight w:val="none"/>
                <w:u w:val="single"/>
                <w:lang w:val="en-US" w:eastAsia="zh-CN"/>
              </w:rPr>
              <w:t>楼、</w:t>
            </w:r>
            <w:r>
              <w:rPr>
                <w:rFonts w:hint="eastAsia"/>
                <w:bCs/>
                <w:color w:val="auto"/>
                <w:kern w:val="0"/>
                <w:sz w:val="24"/>
                <w:szCs w:val="28"/>
                <w:highlight w:val="none"/>
                <w:u w:val="single"/>
                <w:lang w:eastAsia="zh-CN"/>
              </w:rPr>
              <w:t>滁州市龙蟠大道109号房产商务大厦6楼</w:t>
            </w:r>
          </w:p>
        </w:tc>
      </w:tr>
      <w:tr w14:paraId="067A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341D24F2">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3</w:t>
            </w:r>
            <w:r>
              <w:rPr>
                <w:rFonts w:hint="eastAsia" w:cs="宋体"/>
                <w:bCs/>
                <w:color w:val="auto"/>
                <w:kern w:val="2"/>
                <w:sz w:val="24"/>
                <w:szCs w:val="24"/>
                <w:highlight w:val="none"/>
                <w:lang w:val="en-US" w:eastAsia="zh-CN"/>
              </w:rPr>
              <w:t>1</w:t>
            </w:r>
          </w:p>
        </w:tc>
        <w:tc>
          <w:tcPr>
            <w:tcW w:w="1157" w:type="pct"/>
            <w:vAlign w:val="center"/>
          </w:tcPr>
          <w:p w14:paraId="51D72CD1">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其他内容</w:t>
            </w:r>
          </w:p>
        </w:tc>
        <w:tc>
          <w:tcPr>
            <w:tcW w:w="3262" w:type="pct"/>
            <w:vAlign w:val="center"/>
          </w:tcPr>
          <w:p w14:paraId="283B4135">
            <w:pPr>
              <w:keepNext w:val="0"/>
              <w:keepLines w:val="0"/>
              <w:pageBreakBefore w:val="0"/>
              <w:suppressLineNumbers w:val="0"/>
              <w:kinsoku/>
              <w:wordWrap w:val="0"/>
              <w:overflowPunct/>
              <w:autoSpaceDE/>
              <w:autoSpaceDN/>
              <w:bidi w:val="0"/>
              <w:spacing w:before="0" w:beforeAutospacing="0" w:after="0" w:afterAutospacing="0" w:line="520" w:lineRule="exact"/>
              <w:ind w:left="0" w:right="0"/>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1.特别提示：</w:t>
            </w:r>
          </w:p>
          <w:p w14:paraId="7D67FADE">
            <w:pPr>
              <w:keepNext w:val="0"/>
              <w:keepLines w:val="0"/>
              <w:pageBreakBefore w:val="0"/>
              <w:suppressLineNumbers w:val="0"/>
              <w:kinsoku/>
              <w:wordWrap w:val="0"/>
              <w:overflowPunct/>
              <w:autoSpaceDE/>
              <w:autoSpaceDN/>
              <w:bidi w:val="0"/>
              <w:spacing w:before="0" w:beforeAutospacing="0" w:after="0" w:afterAutospacing="0" w:line="520" w:lineRule="exact"/>
              <w:ind w:left="0" w:right="0"/>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（1）供应商应填写投标信息并下载采购文件，否则无法上传响应文件。</w:t>
            </w:r>
          </w:p>
          <w:p w14:paraId="6A5F4774">
            <w:pPr>
              <w:keepNext w:val="0"/>
              <w:keepLines w:val="0"/>
              <w:pageBreakBefore w:val="0"/>
              <w:suppressLineNumbers w:val="0"/>
              <w:kinsoku/>
              <w:wordWrap w:val="0"/>
              <w:overflowPunct/>
              <w:autoSpaceDE/>
              <w:autoSpaceDN/>
              <w:bidi w:val="0"/>
              <w:spacing w:before="0" w:beforeAutospacing="0" w:after="0" w:afterAutospacing="0" w:line="520" w:lineRule="exact"/>
              <w:ind w:left="0" w:right="0"/>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注：供应商如为联合体的，牵头人必须完善供应商信息，并在上传响应文件环节添加联合体参与信息。</w:t>
            </w:r>
          </w:p>
          <w:p w14:paraId="6048D496">
            <w:pPr>
              <w:keepNext w:val="0"/>
              <w:keepLines w:val="0"/>
              <w:pageBreakBefore w:val="0"/>
              <w:suppressLineNumbers w:val="0"/>
              <w:kinsoku/>
              <w:wordWrap w:val="0"/>
              <w:overflowPunct/>
              <w:autoSpaceDE/>
              <w:autoSpaceDN/>
              <w:bidi w:val="0"/>
              <w:spacing w:before="0" w:beforeAutospacing="0" w:after="0" w:afterAutospacing="0" w:line="520" w:lineRule="exact"/>
              <w:ind w:left="0" w:right="0"/>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2）本项目采用电子招标投标，请供应商在滁州市公共资源交易中心网&gt;服务指南&gt;软件下载栏目点击下载响应文件制作工具。供应商需采用最新版响应文件制作工具。软件运行需在国际互联网络通畅状态，供应商需注意更新，以免造成响应文件制作错误，如因此导致磋商小组否决其磋商资格，责任自负。如有技术问题请联系0550-3801701，0512-58188516。</w:t>
            </w:r>
          </w:p>
          <w:p w14:paraId="79FF3F87">
            <w:pPr>
              <w:keepNext w:val="0"/>
              <w:keepLines w:val="0"/>
              <w:pageBreakBefore w:val="0"/>
              <w:suppressLineNumbers w:val="0"/>
              <w:kinsoku/>
              <w:wordWrap w:val="0"/>
              <w:overflowPunct/>
              <w:autoSpaceDE/>
              <w:autoSpaceDN/>
              <w:bidi w:val="0"/>
              <w:spacing w:before="0" w:beforeAutospacing="0" w:after="0" w:afterAutospacing="0" w:line="520" w:lineRule="exact"/>
              <w:ind w:left="0" w:right="0"/>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（3）如果过程中出现采购文件更改，应以最后发布的招标答疑澄清文件中的模板制作本项目最新响应文件。</w:t>
            </w:r>
          </w:p>
          <w:p w14:paraId="7877FA3C">
            <w:pPr>
              <w:keepNext w:val="0"/>
              <w:keepLines w:val="0"/>
              <w:pageBreakBefore w:val="0"/>
              <w:suppressLineNumbers w:val="0"/>
              <w:kinsoku/>
              <w:wordWrap w:val="0"/>
              <w:overflowPunct/>
              <w:autoSpaceDE/>
              <w:autoSpaceDN/>
              <w:bidi w:val="0"/>
              <w:spacing w:before="0" w:beforeAutospacing="0" w:after="0" w:afterAutospacing="0" w:line="520" w:lineRule="exact"/>
              <w:ind w:left="0" w:right="0"/>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 xml:space="preserve">（4）供应商应当用本单位CA数字证书制作响应文件，制作成功后进行响应文件上传。联合体参加磋商的，磋商文件下载、响应文件编制、电子签章、网上递交标书、解密等工作均由其牵头人负责办理，其他联合体成员方按磋商文件要求提供相关材料即可。 </w:t>
            </w:r>
          </w:p>
          <w:p w14:paraId="3A9B481C">
            <w:pPr>
              <w:keepNext w:val="0"/>
              <w:keepLines w:val="0"/>
              <w:pageBreakBefore w:val="0"/>
              <w:suppressLineNumbers w:val="0"/>
              <w:kinsoku/>
              <w:wordWrap w:val="0"/>
              <w:overflowPunct/>
              <w:autoSpaceDE/>
              <w:autoSpaceDN/>
              <w:bidi w:val="0"/>
              <w:spacing w:before="0" w:beforeAutospacing="0" w:after="0" w:afterAutospacing="0" w:line="520" w:lineRule="exact"/>
              <w:ind w:left="0" w:right="0"/>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5）供应商须用CA数字证书盖章和加密响应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5DB23F97">
            <w:pPr>
              <w:keepNext w:val="0"/>
              <w:keepLines w:val="0"/>
              <w:pageBreakBefore w:val="0"/>
              <w:suppressLineNumbers w:val="0"/>
              <w:kinsoku/>
              <w:wordWrap w:val="0"/>
              <w:overflowPunct/>
              <w:autoSpaceDE/>
              <w:autoSpaceDN/>
              <w:bidi w:val="0"/>
              <w:spacing w:before="0" w:beforeAutospacing="0" w:after="0" w:afterAutospacing="0" w:line="520" w:lineRule="exact"/>
              <w:ind w:left="0" w:right="0"/>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（6）请供应商注意加密响应文件CA数字证书的有效期，不在有效期的CA数字证书无法解密响应文件。</w:t>
            </w:r>
          </w:p>
          <w:p w14:paraId="7F61C257">
            <w:pPr>
              <w:keepNext w:val="0"/>
              <w:keepLines w:val="0"/>
              <w:pageBreakBefore w:val="0"/>
              <w:suppressLineNumbers w:val="0"/>
              <w:kinsoku/>
              <w:wordWrap w:val="0"/>
              <w:overflowPunct/>
              <w:autoSpaceDE/>
              <w:autoSpaceDN/>
              <w:bidi w:val="0"/>
              <w:spacing w:before="0" w:beforeAutospacing="0" w:after="0" w:afterAutospacing="0" w:line="520" w:lineRule="exact"/>
              <w:ind w:left="0" w:right="0"/>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（7）供应商投标MAC地址一致，由磋商小组否决其磋商资格。</w:t>
            </w:r>
          </w:p>
          <w:p w14:paraId="298AD91D">
            <w:pPr>
              <w:keepNext w:val="0"/>
              <w:keepLines w:val="0"/>
              <w:pageBreakBefore w:val="0"/>
              <w:suppressLineNumbers w:val="0"/>
              <w:kinsoku/>
              <w:wordWrap w:val="0"/>
              <w:overflowPunct/>
              <w:autoSpaceDE/>
              <w:autoSpaceDN/>
              <w:bidi w:val="0"/>
              <w:spacing w:before="0" w:beforeAutospacing="0" w:after="0" w:afterAutospacing="0" w:line="520" w:lineRule="exact"/>
              <w:ind w:left="0" w:right="0"/>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（8）供应商单方面出现其他供应商材料的，由磋商小组否决其磋商资格。</w:t>
            </w:r>
          </w:p>
          <w:p w14:paraId="629C7D5B">
            <w:pPr>
              <w:keepNext w:val="0"/>
              <w:keepLines w:val="0"/>
              <w:pageBreakBefore w:val="0"/>
              <w:suppressLineNumbers w:val="0"/>
              <w:kinsoku/>
              <w:wordWrap w:val="0"/>
              <w:overflowPunct/>
              <w:autoSpaceDE/>
              <w:autoSpaceDN/>
              <w:bidi w:val="0"/>
              <w:spacing w:before="0" w:beforeAutospacing="0" w:after="0" w:afterAutospacing="0" w:line="520" w:lineRule="exact"/>
              <w:ind w:left="0" w:right="0"/>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9）评标时查询响应文件制作机器码、文件创建标识码及造价软件加密锁号。若存在响应文件制作机器码或创建标识码或造价软件加密锁号信息与其他供应商雷同的，由磋商小组否决其磋商资格，保证金不予退还，依法依规予以处理。</w:t>
            </w:r>
          </w:p>
          <w:p w14:paraId="6BA9BA6A">
            <w:pPr>
              <w:keepNext w:val="0"/>
              <w:keepLines w:val="0"/>
              <w:pageBreakBefore w:val="0"/>
              <w:suppressLineNumbers w:val="0"/>
              <w:kinsoku/>
              <w:wordWrap w:val="0"/>
              <w:overflowPunct/>
              <w:autoSpaceDE/>
              <w:autoSpaceDN/>
              <w:bidi w:val="0"/>
              <w:spacing w:before="0" w:beforeAutospacing="0" w:after="0" w:afterAutospacing="0" w:line="520" w:lineRule="exact"/>
              <w:ind w:left="0" w:right="0"/>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（10）供应商联系人或联系电话相同的，由磋商小组否决其响应资格，并报告监管部门作不良行为处理和进一步调查。</w:t>
            </w:r>
          </w:p>
          <w:p w14:paraId="145E713C">
            <w:pPr>
              <w:keepNext w:val="0"/>
              <w:keepLines w:val="0"/>
              <w:pageBreakBefore w:val="0"/>
              <w:suppressLineNumbers w:val="0"/>
              <w:kinsoku/>
              <w:wordWrap w:val="0"/>
              <w:overflowPunct/>
              <w:autoSpaceDE/>
              <w:autoSpaceDN/>
              <w:bidi w:val="0"/>
              <w:spacing w:before="0" w:beforeAutospacing="0" w:after="0" w:afterAutospacing="0" w:line="520" w:lineRule="exact"/>
              <w:ind w:left="0" w:right="0"/>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（11）供应商以联合体名义参与磋商的，其质疑投诉应当由联合体全体成员共同提出。联合体成员单独进行质疑投诉的，应当书面征得联合体其他成员同意，联合体成员之间投诉的除外。</w:t>
            </w:r>
          </w:p>
          <w:p w14:paraId="0124F256">
            <w:pPr>
              <w:keepNext w:val="0"/>
              <w:keepLines w:val="0"/>
              <w:pageBreakBefore w:val="0"/>
              <w:suppressLineNumbers w:val="0"/>
              <w:kinsoku/>
              <w:wordWrap w:val="0"/>
              <w:overflowPunct/>
              <w:autoSpaceDE/>
              <w:autoSpaceDN/>
              <w:bidi w:val="0"/>
              <w:spacing w:before="0" w:beforeAutospacing="0" w:after="0" w:afterAutospacing="0" w:line="520" w:lineRule="exact"/>
              <w:ind w:left="0" w:right="0"/>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12）电子加密响应文件上传到系统后，需要供应商和采购代理公司到截止时间后共同解锁，不存在商务报价等投标信息通过系统泄密的风险；截止时间前，已上传的响应文件也可以撤回修改。集中到开标截止时间前上传电子加密响应文件，可能出现由于投标企业制作电子响应文件不熟练、网络拥堵等不可预知的情况而且无法及时解决，丧失投标机会，请各投标企业提前制作、上传电子加密响应文件，否则由于无法及时上传电子加密响应文件而无效响应的情况，责任自负！</w:t>
            </w:r>
          </w:p>
          <w:p w14:paraId="4DF6057B">
            <w:pPr>
              <w:keepNext w:val="0"/>
              <w:keepLines w:val="0"/>
              <w:pageBreakBefore w:val="0"/>
              <w:suppressLineNumbers w:val="0"/>
              <w:kinsoku/>
              <w:wordWrap w:val="0"/>
              <w:overflowPunct/>
              <w:autoSpaceDE/>
              <w:autoSpaceDN/>
              <w:bidi w:val="0"/>
              <w:spacing w:before="0" w:beforeAutospacing="0" w:after="0" w:afterAutospacing="0" w:line="520" w:lineRule="exact"/>
              <w:ind w:left="0" w:right="0"/>
              <w:textAlignment w:val="auto"/>
              <w:rPr>
                <w:rFonts w:hint="eastAsia" w:ascii="宋体" w:hAnsi="宋体" w:eastAsia="宋体" w:cs="宋体"/>
                <w:b w:val="0"/>
                <w:bCs/>
                <w:color w:val="auto"/>
                <w:sz w:val="24"/>
                <w:szCs w:val="24"/>
                <w:highlight w:val="none"/>
                <w:lang w:val="en-US" w:eastAsia="zh-CN" w:bidi="ar-SA"/>
              </w:rPr>
            </w:pPr>
            <w:r>
              <w:rPr>
                <w:rFonts w:hint="eastAsia" w:cs="宋体"/>
                <w:b w:val="0"/>
                <w:bCs/>
                <w:color w:val="auto"/>
                <w:sz w:val="24"/>
                <w:szCs w:val="24"/>
                <w:highlight w:val="none"/>
                <w:lang w:val="en-US" w:eastAsia="zh-CN" w:bidi="ar-SA"/>
              </w:rPr>
              <w:t>2</w:t>
            </w:r>
            <w:r>
              <w:rPr>
                <w:rFonts w:hint="eastAsia" w:ascii="宋体" w:hAnsi="宋体" w:eastAsia="宋体" w:cs="宋体"/>
                <w:b w:val="0"/>
                <w:bCs/>
                <w:color w:val="auto"/>
                <w:sz w:val="24"/>
                <w:szCs w:val="24"/>
                <w:highlight w:val="none"/>
                <w:lang w:val="en-US" w:eastAsia="zh-CN" w:bidi="ar-SA"/>
              </w:rPr>
              <w:t>.评审过程中的澄清、说明或补正：</w:t>
            </w:r>
          </w:p>
          <w:p w14:paraId="2AAF3B56">
            <w:pPr>
              <w:keepNext w:val="0"/>
              <w:keepLines w:val="0"/>
              <w:pageBreakBefore w:val="0"/>
              <w:suppressLineNumbers w:val="0"/>
              <w:kinsoku/>
              <w:wordWrap w:val="0"/>
              <w:overflowPunct/>
              <w:autoSpaceDE/>
              <w:autoSpaceDN/>
              <w:bidi w:val="0"/>
              <w:spacing w:before="0" w:beforeAutospacing="0" w:after="0" w:afterAutospacing="0" w:line="520" w:lineRule="exact"/>
              <w:ind w:left="0" w:right="0"/>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（1）磋商小组通过网上招投标系统将需要澄清、说明或补正的内容以询标函的形式发送给供应商，供应商应安排专人登录网上招投标系统并保持在线状态，以便及时接收磋商小组可能发出的询标函。</w:t>
            </w:r>
          </w:p>
          <w:p w14:paraId="7404B555">
            <w:pPr>
              <w:keepNext w:val="0"/>
              <w:keepLines w:val="0"/>
              <w:pageBreakBefore w:val="0"/>
              <w:suppressLineNumbers w:val="0"/>
              <w:kinsoku/>
              <w:wordWrap w:val="0"/>
              <w:overflowPunct/>
              <w:autoSpaceDE/>
              <w:autoSpaceDN/>
              <w:bidi w:val="0"/>
              <w:spacing w:before="0" w:beforeAutospacing="0" w:after="0" w:afterAutospacing="0" w:line="520" w:lineRule="exact"/>
              <w:ind w:left="0" w:right="0"/>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2）因供应商未登录网上招投标系统导致无法及时接收询标函（远程网上询标）或未在规定时间内按磋商小组要求进行澄清、说明或补正内容的视同供应商放弃澄清、说明或补正内容的权利，磋商小组可按对供应商不利的解释进行判定。</w:t>
            </w:r>
          </w:p>
          <w:p w14:paraId="393ACA80">
            <w:pPr>
              <w:keepNext w:val="0"/>
              <w:keepLines w:val="0"/>
              <w:pageBreakBefore w:val="0"/>
              <w:suppressLineNumbers w:val="0"/>
              <w:kinsoku/>
              <w:wordWrap w:val="0"/>
              <w:overflowPunct/>
              <w:autoSpaceDE/>
              <w:autoSpaceDN/>
              <w:bidi w:val="0"/>
              <w:spacing w:before="0" w:beforeAutospacing="0" w:after="0" w:afterAutospacing="0" w:line="520" w:lineRule="exact"/>
              <w:ind w:left="0" w:right="0"/>
              <w:textAlignment w:val="auto"/>
              <w:rPr>
                <w:rFonts w:hint="eastAsia" w:ascii="宋体" w:hAnsi="宋体" w:eastAsia="宋体" w:cs="宋体"/>
                <w:b w:val="0"/>
                <w:bCs/>
                <w:color w:val="auto"/>
                <w:sz w:val="24"/>
                <w:szCs w:val="24"/>
                <w:highlight w:val="none"/>
                <w:lang w:val="en-US" w:eastAsia="zh-CN" w:bidi="ar-SA"/>
              </w:rPr>
            </w:pPr>
            <w:r>
              <w:rPr>
                <w:rFonts w:hint="eastAsia" w:cs="宋体"/>
                <w:b w:val="0"/>
                <w:bCs/>
                <w:color w:val="auto"/>
                <w:sz w:val="24"/>
                <w:szCs w:val="24"/>
                <w:highlight w:val="none"/>
                <w:lang w:val="en-US" w:eastAsia="zh-CN" w:bidi="ar-SA"/>
              </w:rPr>
              <w:t>3</w:t>
            </w:r>
            <w:r>
              <w:rPr>
                <w:rFonts w:hint="eastAsia" w:ascii="宋体" w:hAnsi="宋体" w:eastAsia="宋体" w:cs="宋体"/>
                <w:b w:val="0"/>
                <w:bCs/>
                <w:color w:val="auto"/>
                <w:sz w:val="24"/>
                <w:szCs w:val="24"/>
                <w:highlight w:val="none"/>
                <w:lang w:val="en-US" w:eastAsia="zh-CN" w:bidi="ar-SA"/>
              </w:rPr>
              <w:t>.同义词语：</w:t>
            </w:r>
          </w:p>
          <w:p w14:paraId="4ECE2FFC">
            <w:pPr>
              <w:keepNext w:val="0"/>
              <w:keepLines w:val="0"/>
              <w:pageBreakBefore w:val="0"/>
              <w:suppressLineNumbers w:val="0"/>
              <w:kinsoku/>
              <w:wordWrap w:val="0"/>
              <w:overflowPunct/>
              <w:autoSpaceDE/>
              <w:autoSpaceDN/>
              <w:bidi w:val="0"/>
              <w:spacing w:before="0" w:beforeAutospacing="0" w:after="0" w:afterAutospacing="0" w:line="520" w:lineRule="exact"/>
              <w:ind w:left="0" w:right="0"/>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磋商文件第六章  响应文件格式、附件1“关于联合惩戒失信行为 加强信用查询管理的通知”等章节中 “招标人”、“投标人”，等同于“采购人”、“供应商”。</w:t>
            </w:r>
          </w:p>
          <w:p w14:paraId="0933E01E">
            <w:pPr>
              <w:keepNext w:val="0"/>
              <w:keepLines w:val="0"/>
              <w:pageBreakBefore w:val="0"/>
              <w:suppressLineNumbers w:val="0"/>
              <w:kinsoku/>
              <w:wordWrap w:val="0"/>
              <w:overflowPunct/>
              <w:autoSpaceDE/>
              <w:autoSpaceDN/>
              <w:bidi w:val="0"/>
              <w:spacing w:before="0" w:beforeAutospacing="0" w:after="0" w:afterAutospacing="0" w:line="520" w:lineRule="exact"/>
              <w:ind w:left="0" w:right="0"/>
              <w:textAlignment w:val="auto"/>
              <w:rPr>
                <w:rFonts w:hint="eastAsia" w:ascii="宋体" w:hAnsi="宋体" w:eastAsia="宋体" w:cs="宋体"/>
                <w:b w:val="0"/>
                <w:bCs/>
                <w:color w:val="auto"/>
                <w:sz w:val="24"/>
                <w:szCs w:val="24"/>
                <w:highlight w:val="none"/>
                <w:lang w:val="en-US" w:eastAsia="zh-CN" w:bidi="ar-SA"/>
              </w:rPr>
            </w:pPr>
            <w:r>
              <w:rPr>
                <w:rFonts w:hint="eastAsia" w:cs="宋体"/>
                <w:b w:val="0"/>
                <w:bCs/>
                <w:color w:val="auto"/>
                <w:sz w:val="24"/>
                <w:szCs w:val="24"/>
                <w:highlight w:val="none"/>
                <w:lang w:val="en-US" w:eastAsia="zh-CN" w:bidi="ar-SA"/>
              </w:rPr>
              <w:t>4</w:t>
            </w:r>
            <w:r>
              <w:rPr>
                <w:rFonts w:hint="eastAsia" w:ascii="宋体" w:hAnsi="宋体" w:eastAsia="宋体" w:cs="宋体"/>
                <w:b w:val="0"/>
                <w:bCs/>
                <w:color w:val="auto"/>
                <w:sz w:val="24"/>
                <w:szCs w:val="24"/>
                <w:highlight w:val="none"/>
                <w:lang w:val="en-US" w:eastAsia="zh-CN" w:bidi="ar-SA"/>
              </w:rPr>
              <w:t>.落实政府采购支持节能产品、环境标志产品政策。</w:t>
            </w:r>
          </w:p>
          <w:p w14:paraId="42B7CBAE">
            <w:pPr>
              <w:keepNext w:val="0"/>
              <w:keepLines w:val="0"/>
              <w:pageBreakBefore w:val="0"/>
              <w:suppressLineNumbers w:val="0"/>
              <w:kinsoku/>
              <w:wordWrap w:val="0"/>
              <w:overflowPunct/>
              <w:autoSpaceDE/>
              <w:autoSpaceDN/>
              <w:bidi w:val="0"/>
              <w:spacing w:before="0" w:beforeAutospacing="0" w:after="0" w:afterAutospacing="0" w:line="520" w:lineRule="exact"/>
              <w:ind w:left="0" w:right="0"/>
              <w:textAlignment w:val="auto"/>
              <w:rPr>
                <w:rFonts w:hint="eastAsia" w:ascii="宋体" w:hAnsi="宋体" w:eastAsia="宋体" w:cs="宋体"/>
                <w:b/>
                <w:bCs w:val="0"/>
                <w:color w:val="auto"/>
                <w:sz w:val="24"/>
                <w:szCs w:val="24"/>
                <w:highlight w:val="none"/>
                <w:lang w:val="en-US" w:eastAsia="zh-CN" w:bidi="ar-SA"/>
              </w:rPr>
            </w:pPr>
            <w:r>
              <w:rPr>
                <w:rFonts w:hint="eastAsia" w:cs="宋体"/>
                <w:b w:val="0"/>
                <w:bCs/>
                <w:color w:val="auto"/>
                <w:sz w:val="24"/>
                <w:szCs w:val="24"/>
                <w:highlight w:val="none"/>
                <w:lang w:val="en-US" w:eastAsia="zh-CN" w:bidi="ar-SA"/>
              </w:rPr>
              <w:t>5</w:t>
            </w:r>
            <w:r>
              <w:rPr>
                <w:rFonts w:hint="eastAsia" w:ascii="宋体" w:hAnsi="宋体" w:eastAsia="宋体" w:cs="宋体"/>
                <w:b w:val="0"/>
                <w:bCs/>
                <w:color w:val="auto"/>
                <w:sz w:val="24"/>
                <w:szCs w:val="24"/>
                <w:highlight w:val="none"/>
                <w:lang w:val="en-US" w:eastAsia="zh-CN" w:bidi="ar-SA"/>
              </w:rPr>
              <w:t>.系统中提供的表格与采购文件中不一致时，以采购文件中提供的表格格式为准。</w:t>
            </w:r>
          </w:p>
        </w:tc>
      </w:tr>
      <w:tr w14:paraId="6FA6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5C7E5748">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w:t>
            </w:r>
            <w:r>
              <w:rPr>
                <w:rFonts w:hint="eastAsia"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.1</w:t>
            </w:r>
          </w:p>
        </w:tc>
        <w:tc>
          <w:tcPr>
            <w:tcW w:w="1157" w:type="pct"/>
            <w:vAlign w:val="center"/>
          </w:tcPr>
          <w:p w14:paraId="1B837602">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承包方式</w:t>
            </w:r>
          </w:p>
        </w:tc>
        <w:tc>
          <w:tcPr>
            <w:tcW w:w="3262" w:type="pct"/>
            <w:vAlign w:val="center"/>
          </w:tcPr>
          <w:p w14:paraId="3ED2F685">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□施工总承包  </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专业承包</w:t>
            </w:r>
          </w:p>
        </w:tc>
      </w:tr>
      <w:tr w14:paraId="3D84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125F255E">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w:t>
            </w:r>
            <w:r>
              <w:rPr>
                <w:rFonts w:hint="eastAsia"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.2</w:t>
            </w:r>
          </w:p>
        </w:tc>
        <w:tc>
          <w:tcPr>
            <w:tcW w:w="1157" w:type="pct"/>
            <w:vAlign w:val="center"/>
          </w:tcPr>
          <w:p w14:paraId="39490C2B">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计价方式</w:t>
            </w:r>
          </w:p>
        </w:tc>
        <w:tc>
          <w:tcPr>
            <w:tcW w:w="3262" w:type="pct"/>
            <w:vAlign w:val="center"/>
          </w:tcPr>
          <w:p w14:paraId="37BD0DD1">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工程量清单综合单价报价法</w:t>
            </w:r>
          </w:p>
          <w:p w14:paraId="0BAEB694">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□全费用综合单价报价法</w:t>
            </w:r>
          </w:p>
        </w:tc>
      </w:tr>
      <w:tr w14:paraId="2307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25C64BB9">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w:t>
            </w:r>
            <w:r>
              <w:rPr>
                <w:rFonts w:hint="eastAsia"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.3</w:t>
            </w:r>
          </w:p>
        </w:tc>
        <w:tc>
          <w:tcPr>
            <w:tcW w:w="1157" w:type="pct"/>
            <w:vAlign w:val="center"/>
          </w:tcPr>
          <w:p w14:paraId="08659D2B">
            <w:pPr>
              <w:pStyle w:val="69"/>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sz w:val="24"/>
                <w:szCs w:val="24"/>
                <w:highlight w:val="none"/>
              </w:rPr>
            </w:pPr>
            <w:r>
              <w:rPr>
                <w:rFonts w:hint="eastAsia"/>
                <w:b w:val="0"/>
                <w:color w:val="auto"/>
                <w:sz w:val="24"/>
                <w:highlight w:val="none"/>
              </w:rPr>
              <w:t>计划</w:t>
            </w:r>
            <w:r>
              <w:rPr>
                <w:rFonts w:hint="default"/>
                <w:b w:val="0"/>
                <w:color w:val="auto"/>
                <w:sz w:val="24"/>
                <w:highlight w:val="none"/>
              </w:rPr>
              <w:t>工期</w:t>
            </w:r>
          </w:p>
        </w:tc>
        <w:tc>
          <w:tcPr>
            <w:tcW w:w="3262" w:type="pct"/>
            <w:vAlign w:val="center"/>
          </w:tcPr>
          <w:p w14:paraId="78904B81">
            <w:pPr>
              <w:pStyle w:val="69"/>
              <w:keepNext w:val="0"/>
              <w:keepLines w:val="0"/>
              <w:widowControl w:val="0"/>
              <w:suppressLineNumbers w:val="0"/>
              <w:spacing w:before="0" w:beforeAutospacing="0" w:after="0" w:afterAutospacing="0" w:line="360" w:lineRule="auto"/>
              <w:ind w:left="0" w:right="0"/>
              <w:jc w:val="both"/>
              <w:rPr>
                <w:rFonts w:hint="default"/>
                <w:b w:val="0"/>
                <w:color w:val="auto"/>
                <w:sz w:val="24"/>
                <w:highlight w:val="none"/>
              </w:rPr>
            </w:pPr>
            <w:r>
              <w:rPr>
                <w:rFonts w:hint="eastAsia"/>
                <w:b w:val="0"/>
                <w:color w:val="auto"/>
                <w:sz w:val="24"/>
                <w:highlight w:val="none"/>
              </w:rPr>
              <w:t>计划</w:t>
            </w:r>
            <w:r>
              <w:rPr>
                <w:rFonts w:hint="default"/>
                <w:b w:val="0"/>
                <w:color w:val="auto"/>
                <w:sz w:val="24"/>
                <w:highlight w:val="none"/>
              </w:rPr>
              <w:t>工期：</w:t>
            </w:r>
            <w:r>
              <w:rPr>
                <w:rFonts w:hint="eastAsia"/>
                <w:b w:val="0"/>
                <w:color w:val="auto"/>
                <w:sz w:val="24"/>
                <w:highlight w:val="none"/>
              </w:rPr>
              <w:t>具备实施条件以下发开工令之日算起，不高于 100 个日历天完工</w:t>
            </w:r>
            <w:r>
              <w:rPr>
                <w:rFonts w:hint="eastAsia"/>
                <w:b/>
                <w:bCs w:val="0"/>
                <w:color w:val="auto"/>
                <w:sz w:val="24"/>
                <w:highlight w:val="none"/>
                <w:lang w:eastAsia="zh-CN"/>
              </w:rPr>
              <w:t>。</w:t>
            </w:r>
            <w:r>
              <w:rPr>
                <w:rFonts w:hint="eastAsia"/>
                <w:b/>
                <w:bCs w:val="0"/>
                <w:color w:val="auto"/>
                <w:sz w:val="24"/>
                <w:highlight w:val="none"/>
                <w:lang w:val="en-US" w:eastAsia="zh-CN"/>
              </w:rPr>
              <w:t>因</w:t>
            </w:r>
            <w:r>
              <w:rPr>
                <w:rFonts w:hint="eastAsia"/>
                <w:b/>
                <w:bCs w:val="0"/>
                <w:color w:val="auto"/>
                <w:sz w:val="24"/>
                <w:highlight w:val="none"/>
              </w:rPr>
              <w:t>供应商</w:t>
            </w:r>
            <w:r>
              <w:rPr>
                <w:rFonts w:hint="eastAsia"/>
                <w:b/>
                <w:bCs w:val="0"/>
                <w:color w:val="auto"/>
                <w:sz w:val="24"/>
                <w:highlight w:val="none"/>
                <w:lang w:val="en-US" w:eastAsia="zh-CN"/>
              </w:rPr>
              <w:t>原因造成的工期延误，每推迟一天，按合同价款（扣除暂估价和暂列金）万分之二处以违约金。</w:t>
            </w:r>
          </w:p>
          <w:p w14:paraId="5E8E9E48">
            <w:pPr>
              <w:pStyle w:val="69"/>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szCs w:val="24"/>
                <w:highlight w:val="none"/>
              </w:rPr>
            </w:pPr>
            <w:r>
              <w:rPr>
                <w:rFonts w:hint="default"/>
                <w:b w:val="0"/>
                <w:color w:val="auto"/>
                <w:sz w:val="24"/>
                <w:highlight w:val="none"/>
              </w:rPr>
              <w:t>计划开工日期：</w:t>
            </w:r>
            <w:r>
              <w:rPr>
                <w:rFonts w:hint="eastAsia"/>
                <w:b w:val="0"/>
                <w:color w:val="auto"/>
                <w:sz w:val="24"/>
                <w:highlight w:val="none"/>
                <w:u w:val="single"/>
                <w:lang w:val="en-US" w:eastAsia="zh-CN"/>
              </w:rPr>
              <w:t>2025</w:t>
            </w:r>
            <w:r>
              <w:rPr>
                <w:rFonts w:hint="default"/>
                <w:b w:val="0"/>
                <w:color w:val="auto"/>
                <w:sz w:val="24"/>
                <w:highlight w:val="none"/>
              </w:rPr>
              <w:t>年</w:t>
            </w:r>
            <w:r>
              <w:rPr>
                <w:rFonts w:hint="eastAsia"/>
                <w:b w:val="0"/>
                <w:color w:val="auto"/>
                <w:sz w:val="24"/>
                <w:highlight w:val="none"/>
                <w:u w:val="single"/>
                <w:lang w:val="en-US" w:eastAsia="zh-CN"/>
              </w:rPr>
              <w:t xml:space="preserve"> </w:t>
            </w:r>
            <w:r>
              <w:rPr>
                <w:rFonts w:hint="default"/>
                <w:b w:val="0"/>
                <w:color w:val="auto"/>
                <w:sz w:val="24"/>
                <w:highlight w:val="none"/>
              </w:rPr>
              <w:t>月</w:t>
            </w:r>
            <w:r>
              <w:rPr>
                <w:rFonts w:hint="eastAsia"/>
                <w:b w:val="0"/>
                <w:color w:val="auto"/>
                <w:sz w:val="24"/>
                <w:highlight w:val="none"/>
                <w:u w:val="single"/>
                <w:lang w:val="en-US" w:eastAsia="zh-CN"/>
              </w:rPr>
              <w:t xml:space="preserve">  </w:t>
            </w:r>
            <w:r>
              <w:rPr>
                <w:rFonts w:hint="default"/>
                <w:b w:val="0"/>
                <w:color w:val="auto"/>
                <w:sz w:val="24"/>
                <w:highlight w:val="none"/>
              </w:rPr>
              <w:t>日</w:t>
            </w:r>
            <w:r>
              <w:rPr>
                <w:rFonts w:hint="eastAsia"/>
                <w:b w:val="0"/>
                <w:color w:val="auto"/>
                <w:sz w:val="24"/>
                <w:highlight w:val="none"/>
              </w:rPr>
              <w:t>，具体开工时间以开工令为准。</w:t>
            </w:r>
          </w:p>
        </w:tc>
      </w:tr>
      <w:tr w14:paraId="7C1F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1100B687">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w:t>
            </w:r>
            <w:r>
              <w:rPr>
                <w:rFonts w:hint="eastAsia"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.4</w:t>
            </w:r>
          </w:p>
        </w:tc>
        <w:tc>
          <w:tcPr>
            <w:tcW w:w="1157" w:type="pct"/>
            <w:vAlign w:val="center"/>
          </w:tcPr>
          <w:p w14:paraId="675F65BC">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质量标准要求</w:t>
            </w:r>
          </w:p>
        </w:tc>
        <w:tc>
          <w:tcPr>
            <w:tcW w:w="3262" w:type="pct"/>
            <w:vAlign w:val="center"/>
          </w:tcPr>
          <w:p w14:paraId="0E77E4FD">
            <w:pPr>
              <w:pStyle w:val="96"/>
              <w:keepNext w:val="0"/>
              <w:keepLines w:val="0"/>
              <w:pageBreakBefore w:val="0"/>
              <w:suppressLineNumbers w:val="0"/>
              <w:tabs>
                <w:tab w:val="left" w:pos="1152"/>
              </w:tabs>
              <w:kinsoku/>
              <w:overflowPunct/>
              <w:autoSpaceDE/>
              <w:autoSpaceDN/>
              <w:bidi w:val="0"/>
              <w:spacing w:before="0" w:beforeAutospacing="0" w:after="0" w:afterAutospacing="0" w:line="520" w:lineRule="exact"/>
              <w:ind w:left="0" w:right="0"/>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质量标准：合格</w:t>
            </w:r>
          </w:p>
        </w:tc>
      </w:tr>
      <w:tr w14:paraId="126A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680D92C9">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3</w:t>
            </w:r>
            <w:r>
              <w:rPr>
                <w:rFonts w:hint="eastAsia"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5</w:t>
            </w:r>
          </w:p>
        </w:tc>
        <w:tc>
          <w:tcPr>
            <w:tcW w:w="1157" w:type="pct"/>
            <w:vAlign w:val="center"/>
          </w:tcPr>
          <w:p w14:paraId="645BC2F0">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安全文明要求</w:t>
            </w:r>
          </w:p>
        </w:tc>
        <w:tc>
          <w:tcPr>
            <w:tcW w:w="3262" w:type="pct"/>
            <w:vAlign w:val="center"/>
          </w:tcPr>
          <w:p w14:paraId="35C6B567">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必须确保安全文明施工，符合国家和项目所在地现行相关规定</w:t>
            </w:r>
          </w:p>
        </w:tc>
      </w:tr>
      <w:tr w14:paraId="2AF6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32164723">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3</w:t>
            </w:r>
            <w:r>
              <w:rPr>
                <w:rFonts w:hint="eastAsia"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6</w:t>
            </w:r>
          </w:p>
        </w:tc>
        <w:tc>
          <w:tcPr>
            <w:tcW w:w="1157" w:type="pct"/>
            <w:vAlign w:val="center"/>
          </w:tcPr>
          <w:p w14:paraId="4B8519D5">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总包及分包规定</w:t>
            </w:r>
          </w:p>
        </w:tc>
        <w:tc>
          <w:tcPr>
            <w:tcW w:w="3262" w:type="pct"/>
            <w:vAlign w:val="center"/>
          </w:tcPr>
          <w:p w14:paraId="0FEE872D">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供应商不得在成交后将工程转包给其它施工单位。</w:t>
            </w:r>
          </w:p>
          <w:p w14:paraId="7E11B424">
            <w:pPr>
              <w:keepNext w:val="0"/>
              <w:keepLines w:val="0"/>
              <w:pageBreakBefore w:val="0"/>
              <w:suppressLineNumbers w:val="0"/>
              <w:kinsoku/>
              <w:overflowPunct/>
              <w:autoSpaceDE/>
              <w:autoSpaceDN/>
              <w:bidi w:val="0"/>
              <w:spacing w:before="0" w:beforeAutospacing="0" w:after="0" w:afterAutospacing="0" w:line="520" w:lineRule="exact"/>
              <w:ind w:left="0" w:right="0"/>
              <w:jc w:val="left"/>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分包情况</w:t>
            </w:r>
          </w:p>
          <w:p w14:paraId="1EB5210A">
            <w:pPr>
              <w:keepNext w:val="0"/>
              <w:keepLines w:val="0"/>
              <w:pageBreakBefore w:val="0"/>
              <w:suppressLineNumbers w:val="0"/>
              <w:kinsoku/>
              <w:overflowPunct/>
              <w:autoSpaceDE/>
              <w:autoSpaceDN/>
              <w:bidi w:val="0"/>
              <w:spacing w:before="0" w:beforeAutospacing="0" w:after="0" w:afterAutospacing="0" w:line="520" w:lineRule="exact"/>
              <w:ind w:left="0" w:right="0"/>
              <w:jc w:val="left"/>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□允许专业分包，分包项目、内容及分包商须经采购人及监理单位同意和认可</w:t>
            </w:r>
          </w:p>
          <w:p w14:paraId="4C660CA6">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不允许</w:t>
            </w:r>
          </w:p>
        </w:tc>
      </w:tr>
      <w:tr w14:paraId="6968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6612AEB7">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3</w:t>
            </w:r>
            <w:r>
              <w:rPr>
                <w:rFonts w:hint="eastAsia"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7</w:t>
            </w:r>
          </w:p>
        </w:tc>
        <w:tc>
          <w:tcPr>
            <w:tcW w:w="1157" w:type="pct"/>
            <w:vAlign w:val="center"/>
          </w:tcPr>
          <w:p w14:paraId="35CB0314">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现场条件</w:t>
            </w:r>
          </w:p>
        </w:tc>
        <w:tc>
          <w:tcPr>
            <w:tcW w:w="3262" w:type="pct"/>
            <w:vAlign w:val="center"/>
          </w:tcPr>
          <w:p w14:paraId="548BF6F4">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具备开工条件</w:t>
            </w:r>
          </w:p>
        </w:tc>
      </w:tr>
      <w:tr w14:paraId="72AB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3FDB9B22">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3</w:t>
            </w:r>
            <w:r>
              <w:rPr>
                <w:rFonts w:hint="eastAsia"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8</w:t>
            </w:r>
          </w:p>
        </w:tc>
        <w:tc>
          <w:tcPr>
            <w:tcW w:w="1157" w:type="pct"/>
            <w:vAlign w:val="center"/>
          </w:tcPr>
          <w:p w14:paraId="520CF50F">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采购人提供的资料</w:t>
            </w:r>
          </w:p>
        </w:tc>
        <w:tc>
          <w:tcPr>
            <w:tcW w:w="3262" w:type="pct"/>
            <w:vAlign w:val="center"/>
          </w:tcPr>
          <w:p w14:paraId="4C9723F3">
            <w:pPr>
              <w:keepNext w:val="0"/>
              <w:keepLines w:val="0"/>
              <w:pageBreakBefore w:val="0"/>
              <w:suppressLineNumbers w:val="0"/>
              <w:kinsoku/>
              <w:overflowPunct/>
              <w:autoSpaceDE/>
              <w:autoSpaceDN/>
              <w:bidi w:val="0"/>
              <w:adjustRightInd w:val="0"/>
              <w:snapToGrid w:val="0"/>
              <w:spacing w:before="0" w:beforeAutospacing="0" w:after="0" w:afterAutospacing="0" w:line="520" w:lineRule="exact"/>
              <w:ind w:left="0" w:right="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磋商文件</w:t>
            </w:r>
          </w:p>
          <w:p w14:paraId="7AAB1B32">
            <w:pPr>
              <w:keepNext w:val="0"/>
              <w:keepLines w:val="0"/>
              <w:pageBreakBefore w:val="0"/>
              <w:suppressLineNumbers w:val="0"/>
              <w:kinsoku/>
              <w:overflowPunct/>
              <w:autoSpaceDE/>
              <w:autoSpaceDN/>
              <w:bidi w:val="0"/>
              <w:adjustRightInd w:val="0"/>
              <w:snapToGrid w:val="0"/>
              <w:spacing w:before="0" w:beforeAutospacing="0" w:after="0" w:afterAutospacing="0" w:line="520" w:lineRule="exact"/>
              <w:ind w:left="0" w:right="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工程量清单</w:t>
            </w:r>
          </w:p>
          <w:p w14:paraId="11751EFC">
            <w:pPr>
              <w:keepNext w:val="0"/>
              <w:keepLines w:val="0"/>
              <w:pageBreakBefore w:val="0"/>
              <w:suppressLineNumbers w:val="0"/>
              <w:kinsoku/>
              <w:overflowPunct/>
              <w:autoSpaceDE/>
              <w:autoSpaceDN/>
              <w:bidi w:val="0"/>
              <w:adjustRightInd w:val="0"/>
              <w:snapToGrid w:val="0"/>
              <w:spacing w:before="0" w:beforeAutospacing="0" w:after="0" w:afterAutospacing="0" w:line="520" w:lineRule="exact"/>
              <w:ind w:left="0" w:right="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最高投标限价</w:t>
            </w:r>
          </w:p>
          <w:p w14:paraId="0E122562">
            <w:pPr>
              <w:keepNext w:val="0"/>
              <w:keepLines w:val="0"/>
              <w:pageBreakBefore w:val="0"/>
              <w:suppressLineNumbers w:val="0"/>
              <w:kinsoku/>
              <w:overflowPunct/>
              <w:autoSpaceDE/>
              <w:autoSpaceDN/>
              <w:bidi w:val="0"/>
              <w:adjustRightInd w:val="0"/>
              <w:snapToGrid w:val="0"/>
              <w:spacing w:before="0" w:beforeAutospacing="0" w:after="0" w:afterAutospacing="0" w:line="520" w:lineRule="exact"/>
              <w:ind w:left="0" w:right="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电子版图纸</w:t>
            </w:r>
          </w:p>
          <w:p w14:paraId="77BA0CA6">
            <w:pPr>
              <w:keepNext w:val="0"/>
              <w:keepLines w:val="0"/>
              <w:pageBreakBefore w:val="0"/>
              <w:suppressLineNumbers w:val="0"/>
              <w:kinsoku/>
              <w:overflowPunct/>
              <w:autoSpaceDE/>
              <w:autoSpaceDN/>
              <w:bidi w:val="0"/>
              <w:adjustRightInd w:val="0"/>
              <w:snapToGrid w:val="0"/>
              <w:spacing w:before="0" w:beforeAutospacing="0" w:after="0" w:afterAutospacing="0" w:line="520" w:lineRule="exact"/>
              <w:ind w:left="0" w:right="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获得方式：</w:t>
            </w:r>
            <w:r>
              <w:rPr>
                <w:rFonts w:hint="eastAsia" w:ascii="宋体" w:hAnsi="宋体" w:eastAsia="宋体" w:cs="宋体"/>
                <w:bCs/>
                <w:color w:val="auto"/>
                <w:sz w:val="24"/>
                <w:szCs w:val="24"/>
                <w:highlight w:val="none"/>
                <w:lang w:val="en-US" w:eastAsia="zh-CN"/>
              </w:rPr>
              <w:t>网上下载</w:t>
            </w:r>
          </w:p>
          <w:p w14:paraId="14D1CB90">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上述资料请供应商在获取磋商文件后，自行登录电子交易系统下载本项目附件。</w:t>
            </w:r>
          </w:p>
        </w:tc>
      </w:tr>
      <w:tr w14:paraId="2975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076A236F">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w:t>
            </w:r>
            <w:r>
              <w:rPr>
                <w:rFonts w:hint="eastAsia"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9</w:t>
            </w:r>
          </w:p>
        </w:tc>
        <w:tc>
          <w:tcPr>
            <w:tcW w:w="1157" w:type="pct"/>
            <w:vAlign w:val="center"/>
          </w:tcPr>
          <w:p w14:paraId="64658185">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工程量清单和最高投标限价编制费</w:t>
            </w:r>
          </w:p>
        </w:tc>
        <w:tc>
          <w:tcPr>
            <w:tcW w:w="3262" w:type="pct"/>
            <w:vAlign w:val="center"/>
          </w:tcPr>
          <w:p w14:paraId="2C847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收费对象</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2"/>
                <w:sz w:val="24"/>
                <w:szCs w:val="24"/>
                <w:highlight w:val="none"/>
                <w:u w:val="single"/>
                <w:lang w:val="en-US" w:eastAsia="zh-CN"/>
              </w:rPr>
              <w:t>采购人</w:t>
            </w:r>
          </w:p>
          <w:p w14:paraId="06609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转账</w:t>
            </w:r>
          </w:p>
          <w:p w14:paraId="1E5C01AB">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kern w:val="0"/>
                <w:sz w:val="24"/>
                <w:szCs w:val="24"/>
                <w:highlight w:val="none"/>
              </w:rPr>
              <w:t>（3）</w:t>
            </w:r>
            <w:r>
              <w:rPr>
                <w:rFonts w:hint="eastAsia" w:ascii="宋体" w:hAnsi="宋体" w:eastAsia="宋体" w:cs="宋体"/>
                <w:b w:val="0"/>
                <w:bCs/>
                <w:color w:val="auto"/>
                <w:kern w:val="0"/>
                <w:sz w:val="24"/>
                <w:szCs w:val="24"/>
                <w:highlight w:val="none"/>
                <w:lang w:val="en-US" w:eastAsia="zh-CN" w:bidi="ar-SA"/>
              </w:rPr>
              <w:t>收费标准：</w:t>
            </w:r>
            <w:r>
              <w:rPr>
                <w:rFonts w:hint="eastAsia" w:ascii="宋体" w:hAnsi="宋体" w:eastAsia="宋体" w:cs="宋体"/>
                <w:b w:val="0"/>
                <w:bCs/>
                <w:color w:val="auto"/>
                <w:kern w:val="0"/>
                <w:sz w:val="24"/>
                <w:szCs w:val="24"/>
                <w:highlight w:val="none"/>
                <w:u w:val="single"/>
                <w:lang w:val="en-US" w:eastAsia="zh-CN" w:bidi="ar-SA"/>
              </w:rPr>
              <w:t>双方约定为准</w:t>
            </w:r>
          </w:p>
        </w:tc>
      </w:tr>
      <w:tr w14:paraId="2B72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47851B1E">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3</w:t>
            </w:r>
            <w:r>
              <w:rPr>
                <w:rFonts w:hint="eastAsia"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0</w:t>
            </w:r>
          </w:p>
        </w:tc>
        <w:tc>
          <w:tcPr>
            <w:tcW w:w="1157" w:type="pct"/>
            <w:vAlign w:val="center"/>
          </w:tcPr>
          <w:p w14:paraId="021CC28B">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其他补充说明</w:t>
            </w:r>
          </w:p>
        </w:tc>
        <w:tc>
          <w:tcPr>
            <w:tcW w:w="3262" w:type="pct"/>
            <w:vAlign w:val="center"/>
          </w:tcPr>
          <w:p w14:paraId="7DE6532D">
            <w:pPr>
              <w:keepNext w:val="0"/>
              <w:keepLines w:val="0"/>
              <w:pageBreakBefore w:val="0"/>
              <w:numPr>
                <w:ilvl w:val="0"/>
                <w:numId w:val="0"/>
              </w:numPr>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1、解释权：</w:t>
            </w:r>
          </w:p>
          <w:p w14:paraId="4C9F533A">
            <w:pPr>
              <w:keepNext w:val="0"/>
              <w:keepLines w:val="0"/>
              <w:pageBreakBefore w:val="0"/>
              <w:numPr>
                <w:ilvl w:val="0"/>
                <w:numId w:val="0"/>
              </w:numPr>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14:paraId="12C3A609">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2D6DD626">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68DBE89F">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（4）除磋商文件中有特别规定外，仅适用于磋商及响应文件提交阶段的规定，按竞争性磋商公告、磋商邀请、供应商须知、评审方法和标准、响应文件格式的先后顺序解释；</w:t>
            </w:r>
          </w:p>
          <w:p w14:paraId="3C020EDA">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（5）按本款前述规定仍不能形成结论的，由采购人负责解释。</w:t>
            </w:r>
          </w:p>
          <w:p w14:paraId="7ECDD3CB">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p>
          <w:p w14:paraId="5406CC66">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3、电子保函指引：成交供应商可访问安徽省政府采购网“融资/保函”栏目，申请办理电子保函（包括：履约保函、预付款保函）。</w:t>
            </w:r>
          </w:p>
          <w:p w14:paraId="75FB31B5">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4、部分可提供线下政采贷的金融机构</w:t>
            </w:r>
          </w:p>
          <w:p w14:paraId="248EB71E">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市本级</w:t>
            </w:r>
          </w:p>
          <w:p w14:paraId="77D1E7C2">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金融机构名称：兴业银行滁州分行</w:t>
            </w:r>
          </w:p>
          <w:p w14:paraId="702F0636">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安徽省滁州市琅琊区丰乐大道1090号</w:t>
            </w:r>
          </w:p>
          <w:p w14:paraId="5B3D49DD">
            <w:pPr>
              <w:pStyle w:val="69"/>
              <w:keepNext w:val="0"/>
              <w:keepLines w:val="0"/>
              <w:pageBreakBefore w:val="0"/>
              <w:widowControl w:val="0"/>
              <w:suppressLineNumbers w:val="0"/>
              <w:kinsoku/>
              <w:overflowPunct/>
              <w:autoSpaceDE/>
              <w:autoSpaceDN/>
              <w:bidi w:val="0"/>
              <w:spacing w:before="0" w:beforeAutospacing="0" w:after="0" w:afterAutospacing="0" w:line="520" w:lineRule="exact"/>
              <w:ind w:left="0" w:right="0"/>
              <w:jc w:val="both"/>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伏庚：17755080811</w:t>
            </w:r>
          </w:p>
        </w:tc>
      </w:tr>
      <w:tr w14:paraId="3CD2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14:paraId="59889929">
            <w:pPr>
              <w:pStyle w:val="70"/>
              <w:keepNext w:val="0"/>
              <w:keepLines w:val="0"/>
              <w:pageBreakBefore w:val="0"/>
              <w:suppressLineNumbers w:val="0"/>
              <w:pBdr>
                <w:bottom w:val="none" w:color="auto" w:sz="0" w:space="0"/>
              </w:pBdr>
              <w:tabs>
                <w:tab w:val="clear" w:pos="4153"/>
                <w:tab w:val="clear" w:pos="8306"/>
              </w:tabs>
              <w:kinsoku/>
              <w:overflowPunct/>
              <w:autoSpaceDE/>
              <w:autoSpaceDN/>
              <w:bidi w:val="0"/>
              <w:adjustRightInd/>
              <w:spacing w:before="0" w:beforeAutospacing="0" w:after="0" w:afterAutospacing="0" w:line="520" w:lineRule="exact"/>
              <w:ind w:left="0" w:right="0"/>
              <w:textAlignment w:val="auto"/>
              <w:rPr>
                <w:rFonts w:hint="default"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31.11</w:t>
            </w:r>
          </w:p>
        </w:tc>
        <w:tc>
          <w:tcPr>
            <w:tcW w:w="1157" w:type="pct"/>
            <w:vAlign w:val="center"/>
          </w:tcPr>
          <w:p w14:paraId="2F7611E0">
            <w:pPr>
              <w:pStyle w:val="69"/>
              <w:keepNext w:val="0"/>
              <w:keepLines w:val="0"/>
              <w:widowControl w:val="0"/>
              <w:suppressLineNumbers w:val="0"/>
              <w:spacing w:before="0" w:beforeAutospacing="0" w:after="0" w:afterAutospacing="0" w:line="360" w:lineRule="auto"/>
              <w:ind w:left="0" w:right="0"/>
              <w:jc w:val="center"/>
              <w:rPr>
                <w:rFonts w:hint="eastAsia" w:ascii="宋体" w:hAnsi="宋体" w:eastAsia="宋体" w:cstheme="minorBidi"/>
                <w:b w:val="0"/>
                <w:bCs/>
                <w:color w:val="auto"/>
                <w:sz w:val="24"/>
                <w:szCs w:val="24"/>
                <w:highlight w:val="none"/>
                <w:lang w:val="en-US" w:eastAsia="zh-CN" w:bidi="ar-SA"/>
              </w:rPr>
            </w:pPr>
            <w:r>
              <w:rPr>
                <w:rFonts w:hint="eastAsia"/>
                <w:b w:val="0"/>
                <w:color w:val="auto"/>
                <w:sz w:val="24"/>
                <w:szCs w:val="24"/>
                <w:highlight w:val="none"/>
              </w:rPr>
              <w:t>现场管理</w:t>
            </w:r>
          </w:p>
        </w:tc>
        <w:tc>
          <w:tcPr>
            <w:tcW w:w="3262" w:type="pct"/>
            <w:vAlign w:val="center"/>
          </w:tcPr>
          <w:p w14:paraId="24A01AEE">
            <w:pPr>
              <w:pStyle w:val="69"/>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1、施工过程中，项目管理及施工人员以外的无关人员一律不得留宿施工现场，项目负责人负责管理及清理出场；</w:t>
            </w:r>
          </w:p>
          <w:p w14:paraId="4525A9A9">
            <w:pPr>
              <w:pStyle w:val="69"/>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2、施工过程中，严格执行国家及地方针对环保、禁噪、防尘、防护等措施，必须满足当地行政主管部门相关规定及要求。</w:t>
            </w:r>
          </w:p>
          <w:p w14:paraId="5A248AF1">
            <w:pPr>
              <w:pStyle w:val="69"/>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3、施工场地及周边场地、道路、绿化、管线、围墙等，若被施工方损坏，施工方必须无偿按照原貌恢复。</w:t>
            </w:r>
          </w:p>
          <w:p w14:paraId="34FD61AB">
            <w:pPr>
              <w:pStyle w:val="69"/>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4、供应商自行勘察施工现场情况，因供应商未踏勘现场而造成的损失由供应商承担。</w:t>
            </w:r>
          </w:p>
          <w:p w14:paraId="53684A36">
            <w:pPr>
              <w:pStyle w:val="69"/>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5、在工程建设过程中，出现质量、安全、进度、文明施工、扬尘污染、人员不在岗履职等违约行为的，发包人将给予违约处罚；如承包人拒不缴纳违约金的，发包人有权从履约保证金中直接扣除。</w:t>
            </w:r>
          </w:p>
          <w:p w14:paraId="02BEFC77">
            <w:pPr>
              <w:pStyle w:val="69"/>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6、项目经理部需在醒目位置公示经监理、业主审定批准的月进度计划表，否则，当月不支付当月工程进度款。</w:t>
            </w:r>
          </w:p>
          <w:p w14:paraId="5ED4A30C">
            <w:pPr>
              <w:pStyle w:val="69"/>
              <w:keepNext w:val="0"/>
              <w:keepLines w:val="0"/>
              <w:widowControl w:val="0"/>
              <w:suppressLineNumbers w:val="0"/>
              <w:spacing w:before="0" w:beforeAutospacing="0" w:after="0" w:afterAutospacing="0" w:line="360" w:lineRule="auto"/>
              <w:ind w:left="0" w:right="0"/>
              <w:jc w:val="both"/>
              <w:rPr>
                <w:rFonts w:hint="eastAsia" w:cs="Times New Roman"/>
                <w:b w:val="0"/>
                <w:bCs/>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7、施工现场和取、弃土场内的施工便道、机械整平以及协调渣土、环保等相关部门办理相关手续、缴纳保证金及费用等由供应商自行承担，此部分费用包含在响应报价中。施工渣土、淤泥、建筑垃圾等弃置点需经相关部门批准，并报发包人备案后，方可施工，严禁违规倾倒堆存。否则，责任自负</w:t>
            </w:r>
            <w:r>
              <w:rPr>
                <w:rFonts w:hint="eastAsia" w:cs="Times New Roman"/>
                <w:b w:val="0"/>
                <w:bCs/>
                <w:color w:val="auto"/>
                <w:sz w:val="24"/>
                <w:szCs w:val="24"/>
                <w:highlight w:val="none"/>
                <w:lang w:val="en-US" w:eastAsia="zh-CN" w:bidi="ar-SA"/>
              </w:rPr>
              <w:t>。</w:t>
            </w:r>
          </w:p>
          <w:p w14:paraId="701BF91B">
            <w:pPr>
              <w:pStyle w:val="69"/>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color w:val="auto"/>
                <w:sz w:val="24"/>
                <w:szCs w:val="24"/>
                <w:highlight w:val="none"/>
                <w:lang w:val="en-US" w:eastAsia="zh-CN" w:bidi="ar-SA"/>
              </w:rPr>
            </w:pPr>
            <w:r>
              <w:rPr>
                <w:rFonts w:hint="eastAsia" w:cs="Times New Roman"/>
                <w:b w:val="0"/>
                <w:bCs/>
                <w:color w:val="auto"/>
                <w:sz w:val="24"/>
                <w:szCs w:val="24"/>
                <w:highlight w:val="none"/>
                <w:lang w:val="en-US" w:eastAsia="zh-CN" w:bidi="ar-SA"/>
              </w:rPr>
              <w:t>8、总包服务费由成交单位在本项目结算完成后一周内支付给滁州市第一人民医院北区扩建项目施工总承包单位</w:t>
            </w:r>
            <w:r>
              <w:rPr>
                <w:rFonts w:hint="eastAsia" w:ascii="宋体" w:hAnsi="宋体" w:eastAsia="宋体" w:cs="Times New Roman"/>
                <w:b w:val="0"/>
                <w:bCs/>
                <w:color w:val="auto"/>
                <w:sz w:val="24"/>
                <w:szCs w:val="24"/>
                <w:highlight w:val="none"/>
                <w:lang w:val="en-US" w:eastAsia="zh-CN" w:bidi="ar-SA"/>
              </w:rPr>
              <w:t>。</w:t>
            </w:r>
          </w:p>
        </w:tc>
      </w:tr>
    </w:tbl>
    <w:p w14:paraId="600CDE5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eastAsia" w:ascii="宋体" w:hAnsi="宋体" w:eastAsia="宋体" w:cs="宋体"/>
          <w:b/>
          <w:color w:val="auto"/>
          <w:sz w:val="24"/>
          <w:highlight w:val="none"/>
        </w:rPr>
      </w:pPr>
      <w:r>
        <w:rPr>
          <w:rFonts w:asciiTheme="minorEastAsia" w:hAnsiTheme="minorEastAsia" w:eastAsiaTheme="minorEastAsia"/>
          <w:b/>
          <w:color w:val="auto"/>
          <w:sz w:val="28"/>
          <w:highlight w:val="none"/>
        </w:rPr>
        <w:br w:type="page"/>
      </w:r>
      <w:bookmarkStart w:id="20" w:name="_Toc26858"/>
      <w:bookmarkStart w:id="21" w:name="_Toc18784"/>
      <w:r>
        <w:rPr>
          <w:rFonts w:hint="eastAsia" w:ascii="宋体" w:hAnsi="宋体" w:eastAsia="宋体" w:cs="宋体"/>
          <w:b/>
          <w:color w:val="auto"/>
          <w:sz w:val="24"/>
          <w:highlight w:val="none"/>
        </w:rPr>
        <w:t>二、供应商须知正文</w:t>
      </w:r>
      <w:bookmarkEnd w:id="20"/>
      <w:bookmarkEnd w:id="21"/>
    </w:p>
    <w:p w14:paraId="358CEA2B">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.采购人、采购代理机构及供应商</w:t>
      </w:r>
    </w:p>
    <w:p w14:paraId="42508D2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7DBD031C">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278EDBC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.4供应商：是指向采购人提供货物、工程或者服务的法人、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组织或者自然人。分支机构不得参加政府采购活动，但银行、保险、石油石化、电力、电信等特殊行业除外。本项目的供应商须满足以下条件：</w:t>
      </w:r>
    </w:p>
    <w:p w14:paraId="15F4C16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5601D8D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以采购代理机构认可的方式获得了本项目的磋商文件。</w:t>
      </w:r>
    </w:p>
    <w:p w14:paraId="28D2923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bCs/>
          <w:color w:val="auto"/>
          <w:sz w:val="24"/>
          <w:szCs w:val="28"/>
          <w:highlight w:val="none"/>
          <w:lang w:val="en-US" w:eastAsia="zh-CN"/>
        </w:rPr>
        <w:t>1</w:t>
      </w:r>
      <w:r>
        <w:rPr>
          <w:rFonts w:hint="eastAsia" w:ascii="宋体" w:hAnsi="宋体" w:eastAsia="宋体" w:cs="宋体"/>
          <w:bCs/>
          <w:color w:val="auto"/>
          <w:sz w:val="24"/>
          <w:szCs w:val="28"/>
          <w:highlight w:val="none"/>
        </w:rPr>
        <w:t>.5若竞争性磋商公告中允许联合体参加磋商，对联合体规定如下：</w:t>
      </w:r>
    </w:p>
    <w:p w14:paraId="0AA4480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.5.1两个以上供应商可以组成一个磋商联合体，以一个供应商的身份磋商。</w:t>
      </w:r>
      <w:r>
        <w:rPr>
          <w:rFonts w:hint="eastAsia" w:ascii="宋体" w:hAnsi="宋体" w:eastAsia="宋体" w:cs="宋体"/>
          <w:b w:val="0"/>
          <w:color w:val="auto"/>
          <w:sz w:val="24"/>
          <w:highlight w:val="none"/>
        </w:rPr>
        <w:t>联合体参加磋商的，磋商文件获取手续由联合体中任一成员单位办理均可。</w:t>
      </w:r>
    </w:p>
    <w:p w14:paraId="2A9BE8D7">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.5.2联合体各方均应符合《中华人民共和国政府采购法》第二十二条规定的条件。</w:t>
      </w:r>
    </w:p>
    <w:p w14:paraId="094949B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.5.3采购人根据采购项目对供应商的特殊要求，联合体中至少应当有一方符合相关规定。</w:t>
      </w:r>
    </w:p>
    <w:p w14:paraId="71F1CC6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.5.4联合体各方应签订联合协议，明确约定联合体各方承担的工作和相应的责任，并将联合协议作为响应文件的一部分提交。</w:t>
      </w:r>
    </w:p>
    <w:p w14:paraId="2090436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.5.5大中型企业、其他自然人、法人或者非法人组织与小型、微型企业组成联合体共同参加磋商，联合协议中应写明小型、微型企业的协议合同金额占到联合协议合同总金额的比例。</w:t>
      </w:r>
    </w:p>
    <w:p w14:paraId="149DE1A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.5.6联合体中有同类资质的供应商按照联合体分工承担相同工作的，应当按照资质等级较低的供应商确定资质等级。</w:t>
      </w:r>
    </w:p>
    <w:p w14:paraId="05D0ED8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.5.7以联合体形式参加政府采购活动的，联合体各方不得再单独参加或者与其他供应商另外组成联合体参加本项目磋商，否则相关响应文件将被认定为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2CDD158C">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.5.8对联合体参加磋商的其他资格要求见</w:t>
      </w:r>
      <w:r>
        <w:rPr>
          <w:rFonts w:hint="eastAsia" w:ascii="宋体" w:hAnsi="宋体" w:eastAsia="宋体" w:cs="宋体"/>
          <w:color w:val="auto"/>
          <w:sz w:val="24"/>
          <w:highlight w:val="none"/>
          <w:lang w:val="en-US" w:eastAsia="zh-CN"/>
        </w:rPr>
        <w:t>申请人的</w:t>
      </w:r>
      <w:r>
        <w:rPr>
          <w:rFonts w:hint="eastAsia" w:ascii="宋体" w:hAnsi="宋体" w:eastAsia="宋体" w:cs="宋体"/>
          <w:color w:val="auto"/>
          <w:sz w:val="24"/>
          <w:highlight w:val="none"/>
        </w:rPr>
        <w:t>资格</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w:t>
      </w:r>
    </w:p>
    <w:p w14:paraId="5EA9F64A">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.资金</w:t>
      </w:r>
      <w:r>
        <w:rPr>
          <w:rFonts w:hint="eastAsia" w:ascii="宋体" w:hAnsi="宋体" w:eastAsia="宋体" w:cs="宋体"/>
          <w:b/>
          <w:color w:val="auto"/>
          <w:sz w:val="24"/>
          <w:highlight w:val="none"/>
          <w:lang w:val="en-US" w:eastAsia="zh-CN"/>
        </w:rPr>
        <w:t>落实情况</w:t>
      </w:r>
    </w:p>
    <w:p w14:paraId="0078F60C">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.1本项目的采购人已获得足以支付本次磋商后所签订的合同项下的资金。</w:t>
      </w:r>
    </w:p>
    <w:p w14:paraId="01865E1E">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.磋商费用</w:t>
      </w:r>
    </w:p>
    <w:p w14:paraId="402FE0D5">
      <w:pPr>
        <w:keepNext w:val="0"/>
        <w:keepLines w:val="0"/>
        <w:pageBreakBefore w:val="0"/>
        <w:widowControl w:val="0"/>
        <w:kinsoku/>
        <w:wordWrap/>
        <w:overflowPunct/>
        <w:topLinePunct w:val="0"/>
        <w:autoSpaceDE/>
        <w:autoSpaceDN/>
        <w:bidi w:val="0"/>
        <w:adjustRightInd/>
        <w:snapToGrid/>
        <w:spacing w:line="52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不论磋商的结果如何，供应商应承担其所有与准备和参加磋商有关的费用。</w:t>
      </w:r>
    </w:p>
    <w:p w14:paraId="4312F807">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.适用法律</w:t>
      </w:r>
    </w:p>
    <w:p w14:paraId="47790DE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53C2F7A">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.磋商文件构成</w:t>
      </w:r>
    </w:p>
    <w:p w14:paraId="396A63B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.1磋商文件包括下列内容：</w:t>
      </w:r>
    </w:p>
    <w:p w14:paraId="5944F1CB">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磋商邀请</w:t>
      </w:r>
    </w:p>
    <w:p w14:paraId="48DE20F0">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供应商须知</w:t>
      </w:r>
    </w:p>
    <w:p w14:paraId="392A4E71">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1F922B02">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评审方法和标准</w:t>
      </w:r>
    </w:p>
    <w:p w14:paraId="12952EA4">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5A50863F">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14:paraId="77C46CE1">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章  政府采购供应商询问函和质疑函范本</w:t>
      </w:r>
    </w:p>
    <w:p w14:paraId="26DA339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70189A8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供应商应认真阅读磋商文件所有的事项、格式、条款和技术规范等。</w:t>
      </w:r>
    </w:p>
    <w:p w14:paraId="61601FDE">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.磋商文件的澄清与修改</w:t>
      </w:r>
    </w:p>
    <w:p w14:paraId="35117502">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.1供应商如对磋商文件内容有疑问，必须在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规定的网上询问截止时间前以网上提问形式（电子交易系统）提交给采购代理机构。</w:t>
      </w:r>
    </w:p>
    <w:p w14:paraId="3DD2BD9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答复供应商</w:t>
      </w:r>
      <w:r>
        <w:rPr>
          <w:rFonts w:hint="eastAsia" w:ascii="宋体" w:hAnsi="宋体" w:eastAsia="宋体" w:cs="宋体"/>
          <w:color w:val="auto"/>
          <w:sz w:val="24"/>
          <w:highlight w:val="none"/>
        </w:rPr>
        <w:t>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文件进行澄清与修改。采购代理机构将在</w:t>
      </w:r>
      <w:bookmarkStart w:id="22" w:name="_Hlk16458572"/>
      <w:r>
        <w:rPr>
          <w:rFonts w:hint="eastAsia" w:ascii="宋体" w:hAnsi="宋体" w:eastAsia="宋体" w:cs="宋体"/>
          <w:color w:val="auto"/>
          <w:sz w:val="24"/>
          <w:szCs w:val="18"/>
          <w:highlight w:val="none"/>
        </w:rPr>
        <w:t>安徽省政府采购网</w:t>
      </w:r>
      <w:bookmarkEnd w:id="22"/>
      <w:r>
        <w:rPr>
          <w:rFonts w:hint="eastAsia" w:ascii="宋体" w:hAnsi="宋体" w:eastAsia="宋体" w:cs="宋体"/>
          <w:color w:val="auto"/>
          <w:sz w:val="24"/>
          <w:highlight w:val="none"/>
        </w:rPr>
        <w:t>发布更正公告的方式澄清或者修改磋商文件，更正公告的内容作为磋商文件的组成部分，对供应商起约束作用。供应商应主动上网查询。采购代理机构不承担供应商未及时关注相关信息引发的相关责任。</w:t>
      </w:r>
    </w:p>
    <w:p w14:paraId="171B42C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29F277E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.4对于没有提出询问又参与了本项目磋商的供应商将被视为完全认同本磋商文件（含更正公告的内容）</w:t>
      </w:r>
      <w:r>
        <w:rPr>
          <w:rFonts w:hint="eastAsia" w:ascii="宋体" w:hAnsi="宋体" w:eastAsia="宋体" w:cs="宋体"/>
          <w:i/>
          <w:color w:val="auto"/>
          <w:sz w:val="24"/>
          <w:highlight w:val="none"/>
        </w:rPr>
        <w:t>。</w:t>
      </w:r>
    </w:p>
    <w:p w14:paraId="69157E09">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.磋商范围及响应文件中标准和计量单位的使用</w:t>
      </w:r>
    </w:p>
    <w:p w14:paraId="7825D5F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.1项目有分包的，供应商可参与其中某一个或多个分包的磋商，成交包数详见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w:t>
      </w:r>
    </w:p>
    <w:p w14:paraId="53ACC1A2">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.2无论磋商文件中是否要求，供应商所承担工程及伴随的货物和服务均应符合国家强制性标准。</w:t>
      </w:r>
    </w:p>
    <w:p w14:paraId="7F76E3C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1C044F1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.4除磋商文件中有特殊要求外，响应文件中所使用的计量单位，应采用中华人民共和国法定计量单位。</w:t>
      </w:r>
    </w:p>
    <w:p w14:paraId="46F262AE">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.响应文件构成</w:t>
      </w:r>
    </w:p>
    <w:p w14:paraId="4E195EE0">
      <w:pPr>
        <w:keepNext w:val="0"/>
        <w:keepLines w:val="0"/>
        <w:pageBreakBefore w:val="0"/>
        <w:widowControl w:val="0"/>
        <w:kinsoku/>
        <w:wordWrap/>
        <w:overflowPunct/>
        <w:topLinePunct w:val="0"/>
        <w:autoSpaceDE/>
        <w:autoSpaceDN/>
        <w:bidi w:val="0"/>
        <w:adjustRightInd/>
        <w:snapToGrid/>
        <w:spacing w:line="52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.1供应商应完整地按磋商文件提供的响应文件格式及要求编写响应文件，具体内容详见第六章响应文件格式的相关内容。</w:t>
      </w:r>
    </w:p>
    <w:p w14:paraId="134E9AD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供应商应提交磋商文件要求的证明文件，证明其响应内容符合磋商文件规定。该证明文件是响应文件的一部分。证明文件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3" w:name="_Hlk11703583"/>
      <w:r>
        <w:rPr>
          <w:rFonts w:hint="eastAsia" w:ascii="宋体" w:hAnsi="宋体" w:eastAsia="宋体" w:cs="宋体"/>
          <w:color w:val="auto"/>
          <w:sz w:val="24"/>
          <w:highlight w:val="none"/>
        </w:rPr>
        <w:t>。</w:t>
      </w:r>
      <w:bookmarkEnd w:id="23"/>
    </w:p>
    <w:p w14:paraId="7AEE8EB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为保证公平公正，除非磋商文件另有规定或说明，供应商对同一项目磋商时，不得同时提供备选磋商方案。</w:t>
      </w:r>
    </w:p>
    <w:p w14:paraId="112126D2">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.报价</w:t>
      </w:r>
    </w:p>
    <w:p w14:paraId="3874DB5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.1供应商的报价应当包括满足本次磋商全部内容。所有报价均应以人民币报价，供应商的磋商报价应遵守《中华人民共和国价格法》。</w:t>
      </w:r>
    </w:p>
    <w:p w14:paraId="25850DA7">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最后报价均不得高于磋商文件（公告）列明的项目预算、最高投标限价，否则其响应文件将被认定为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549B65E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报价在合同履行过程中是固定不变的，不得以任何理由予以变更。任何包含价格调整要求的报价，其响应文件将被认定为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31CC1E97">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采购人不接受具有附加条件的报价。</w:t>
      </w:r>
    </w:p>
    <w:p w14:paraId="3911B194">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10</w:t>
      </w:r>
      <w:r>
        <w:rPr>
          <w:rFonts w:hint="eastAsia" w:ascii="宋体" w:hAnsi="宋体" w:eastAsia="宋体" w:cs="宋体"/>
          <w:b/>
          <w:color w:val="auto"/>
          <w:sz w:val="24"/>
          <w:highlight w:val="none"/>
        </w:rPr>
        <w:t>.磋商保证金</w:t>
      </w:r>
    </w:p>
    <w:p w14:paraId="0D98DDA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.1本项目不收取磋商保证金。</w:t>
      </w:r>
    </w:p>
    <w:p w14:paraId="0A6F5806">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11</w:t>
      </w:r>
      <w:r>
        <w:rPr>
          <w:rFonts w:hint="eastAsia" w:ascii="宋体" w:hAnsi="宋体" w:eastAsia="宋体" w:cs="宋体"/>
          <w:b/>
          <w:color w:val="auto"/>
          <w:sz w:val="24"/>
          <w:highlight w:val="none"/>
        </w:rPr>
        <w:t>.磋商有效期</w:t>
      </w:r>
    </w:p>
    <w:p w14:paraId="510871B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.1磋商有效期为从响应文件提交截止之日算起的日历天数，磋商有效期详见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4FC3C5E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.2在磋商有效期内，供应商的磋商保持有效，供应商不得要求撤销或修改其响应文件。磋商有效期不满足要求的响应，其响应文件将被认定为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6FA0BAE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0D7C134">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.响应文件的提交、修改与撤回</w:t>
      </w:r>
    </w:p>
    <w:p w14:paraId="5A043B8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.1响应文件的提交</w:t>
      </w:r>
    </w:p>
    <w:p w14:paraId="21556DE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在滁州市公共资源交易中心网，利用用户名或CA锁登录下载磋商文件(.czzf格式)后，在下载“响应文件制作工具”安装后，在线制作响应文件，制作好的响应文件格式有2种:第一种.cztf格式加密响应文件；第二种.ncztf格式是非加密响应文件。请供应商将第一种响应文件通过系统“上传响应文件”上传到系统中。</w:t>
      </w:r>
    </w:p>
    <w:p w14:paraId="08F68BE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（2）如果一个项目有多个标段，则需按标段下载对应标段磋商文件分别生成对应的响应文件，通过系统“上传响应文件”按标段分别上传到系统中。</w:t>
      </w:r>
    </w:p>
    <w:p w14:paraId="4841318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（3）请供应商通过系统下载“响应文件制作工具”制作响应文件，并利用CA锁进行上传响应文件，上传已加密的响应文件，务必通过此方式上传响应文件。</w:t>
      </w:r>
    </w:p>
    <w:p w14:paraId="0F1874B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（4）供应商在响应文件编制、签章、上传过程中如有任何操作的疑问请及时联系技术支持，电话：0550-3801701。</w:t>
      </w:r>
    </w:p>
    <w:p w14:paraId="456D783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如果因供应商自身原因导致响应文件在规定时间内未能解密、解密失败或解密超时，响应文件无效；因采购代理机构原因或网上平台发生故障，导致无法按时完成响应文件解密的，经采购代理机构申请后可延迟解密时间。</w:t>
      </w:r>
    </w:p>
    <w:p w14:paraId="593715D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1D20C8F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.3供应商应在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规定的解密时间前对</w:t>
      </w:r>
      <w:r>
        <w:rPr>
          <w:rFonts w:hint="eastAsia" w:ascii="宋体" w:hAnsi="宋体" w:eastAsia="宋体" w:cs="宋体"/>
          <w:color w:val="auto"/>
          <w:sz w:val="24"/>
          <w:highlight w:val="none"/>
          <w:lang w:val="en-US" w:eastAsia="zh-CN"/>
        </w:rPr>
        <w:t>其</w:t>
      </w:r>
      <w:r>
        <w:rPr>
          <w:rFonts w:hint="eastAsia" w:ascii="宋体" w:hAnsi="宋体" w:eastAsia="宋体" w:cs="宋体"/>
          <w:color w:val="auto"/>
          <w:sz w:val="24"/>
          <w:highlight w:val="none"/>
        </w:rPr>
        <w:t>响应文件进行解密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未在规定时间内进行解密的，</w:t>
      </w:r>
      <w:r>
        <w:rPr>
          <w:rFonts w:hint="eastAsia" w:ascii="宋体" w:hAnsi="宋体" w:eastAsia="宋体" w:cs="宋体"/>
          <w:b/>
          <w:color w:val="auto"/>
          <w:sz w:val="24"/>
          <w:highlight w:val="none"/>
        </w:rPr>
        <w:t>响应无效</w:t>
      </w:r>
      <w:r>
        <w:rPr>
          <w:rFonts w:hint="eastAsia" w:ascii="宋体" w:hAnsi="宋体" w:eastAsia="宋体" w:cs="宋体"/>
          <w:b/>
          <w:color w:val="auto"/>
          <w:sz w:val="24"/>
          <w:highlight w:val="none"/>
          <w:lang w:eastAsia="zh-CN"/>
        </w:rPr>
        <w:t>。</w:t>
      </w:r>
    </w:p>
    <w:p w14:paraId="220DCAC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.4在响应文件提交截止时间之后，供应商不得对其响应文件做任何修改。但属于磋商小组在评审中发现的计算错误并进行核实的修改、按照磋商文件的变动情况和磋商小组的要求重新提交响应文件的，不在此列。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584A68B6">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13</w:t>
      </w:r>
      <w:r>
        <w:rPr>
          <w:rFonts w:hint="eastAsia" w:ascii="宋体" w:hAnsi="宋体" w:eastAsia="宋体" w:cs="宋体"/>
          <w:b/>
          <w:color w:val="auto"/>
          <w:sz w:val="24"/>
          <w:highlight w:val="none"/>
        </w:rPr>
        <w:t>.磋商小组</w:t>
      </w:r>
    </w:p>
    <w:p w14:paraId="27CE0852">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.1本项目将依法组建磋商小组，磋商小组成员由3人以上单数组成，磋商小组及其成员应当依照政府采购的有关规定履行相关职责和义务。</w:t>
      </w:r>
    </w:p>
    <w:p w14:paraId="4B1DAC3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.2磋商小组依法对响应文件进行评审，并根据磋商文件规定的程序、评定成交的标准等事项与实质性响应磋商文件要求的供应商进行磋商。</w:t>
      </w:r>
    </w:p>
    <w:p w14:paraId="2C5A76B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.3磋商小组应当从质量和服务均能满足磋商文件实质性响应要求的供应商中，按照评审方法和标准推荐成交候选供应商，并编写评审报告。</w:t>
      </w:r>
    </w:p>
    <w:p w14:paraId="3712BD6C">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.响应文件的评审与磋商</w:t>
      </w:r>
    </w:p>
    <w:p w14:paraId="1BCBE5C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.1采购人和采购代理机构将在</w:t>
      </w:r>
      <w:r>
        <w:rPr>
          <w:rFonts w:hint="eastAsia" w:ascii="宋体" w:hAnsi="宋体" w:eastAsia="宋体" w:cs="宋体"/>
          <w:color w:val="auto"/>
          <w:kern w:val="2"/>
          <w:sz w:val="24"/>
          <w:highlight w:val="none"/>
          <w:u w:val="none"/>
          <w:lang w:val="en-US" w:eastAsia="zh-CN"/>
        </w:rPr>
        <w:t>竞争性磋商公告</w:t>
      </w:r>
      <w:r>
        <w:rPr>
          <w:rFonts w:hint="eastAsia" w:ascii="宋体" w:hAnsi="宋体" w:eastAsia="宋体" w:cs="宋体"/>
          <w:color w:val="auto"/>
          <w:sz w:val="24"/>
          <w:highlight w:val="none"/>
        </w:rPr>
        <w:t>规定的时间和地点组织磋商。</w:t>
      </w:r>
    </w:p>
    <w:p w14:paraId="06D9E91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.2竞争性磋商活动采用综合评分法评审。</w:t>
      </w:r>
    </w:p>
    <w:p w14:paraId="25EFF4A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综合评分法，是指响应文件满足磋商文件全部实质性要求且按评审因素的量化指标评审得分最高的供应商为成交候选供应商的评审方法。</w:t>
      </w:r>
    </w:p>
    <w:p w14:paraId="381EFF2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.3磋商小组将按照磋商文件规定的评审方法和标准对供应商独立进行评审。评审程序如下：</w:t>
      </w:r>
    </w:p>
    <w:p w14:paraId="1424934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.3.1</w:t>
      </w:r>
      <w:r>
        <w:rPr>
          <w:rFonts w:hint="eastAsia" w:ascii="宋体" w:hAnsi="宋体" w:eastAsia="宋体" w:cs="宋体"/>
          <w:b/>
          <w:color w:val="auto"/>
          <w:sz w:val="24"/>
          <w:highlight w:val="none"/>
        </w:rPr>
        <w:t>初审</w:t>
      </w:r>
      <w:r>
        <w:rPr>
          <w:rFonts w:hint="eastAsia" w:ascii="宋体" w:hAnsi="宋体" w:eastAsia="宋体" w:cs="宋体"/>
          <w:color w:val="auto"/>
          <w:sz w:val="24"/>
          <w:highlight w:val="none"/>
        </w:rPr>
        <w:t>。磋商小组对供应商必须满足和实质性响应的内容进行评审，供应商未实质性响应磋商文件要求导致响应无效的，磋商小组将以书面询标的方式告知有关供应商。</w:t>
      </w:r>
    </w:p>
    <w:p w14:paraId="67FC4DB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7443934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418D34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206D1E6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.3.2</w:t>
      </w:r>
      <w:r>
        <w:rPr>
          <w:rFonts w:hint="eastAsia" w:ascii="宋体" w:hAnsi="宋体" w:eastAsia="宋体" w:cs="宋体"/>
          <w:b/>
          <w:color w:val="auto"/>
          <w:sz w:val="24"/>
          <w:highlight w:val="none"/>
        </w:rPr>
        <w:t>磋商</w:t>
      </w:r>
      <w:r>
        <w:rPr>
          <w:rFonts w:hint="eastAsia" w:ascii="宋体" w:hAnsi="宋体" w:eastAsia="宋体" w:cs="宋体"/>
          <w:color w:val="auto"/>
          <w:sz w:val="24"/>
          <w:highlight w:val="none"/>
        </w:rPr>
        <w:t>。初审合格后，磋商小组将按网上加密电子响应文件提交顺序集中与单一供应商分别进行磋商，并给予所有参加磋商的供应商平等的磋商机会。</w:t>
      </w:r>
    </w:p>
    <w:p w14:paraId="027F765C">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.3.3</w:t>
      </w:r>
      <w:r>
        <w:rPr>
          <w:rFonts w:hint="eastAsia" w:ascii="宋体" w:hAnsi="宋体" w:eastAsia="宋体" w:cs="宋体"/>
          <w:b/>
          <w:color w:val="auto"/>
          <w:sz w:val="24"/>
          <w:highlight w:val="none"/>
        </w:rPr>
        <w:t>报价</w:t>
      </w:r>
      <w:r>
        <w:rPr>
          <w:rFonts w:hint="eastAsia" w:ascii="宋体" w:hAnsi="宋体" w:eastAsia="宋体" w:cs="宋体"/>
          <w:color w:val="auto"/>
          <w:sz w:val="24"/>
          <w:highlight w:val="none"/>
        </w:rPr>
        <w:t>。磋商结束后，磋商小组应当要求所有实质性响应的供应商在规定时间内提交最后报价。</w:t>
      </w:r>
    </w:p>
    <w:p w14:paraId="4FEEF88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.3.4</w:t>
      </w:r>
      <w:r>
        <w:rPr>
          <w:rFonts w:hint="eastAsia" w:ascii="宋体" w:hAnsi="宋体" w:eastAsia="宋体" w:cs="宋体"/>
          <w:b/>
          <w:color w:val="auto"/>
          <w:sz w:val="24"/>
          <w:highlight w:val="none"/>
        </w:rPr>
        <w:t>综合评分</w:t>
      </w:r>
      <w:r>
        <w:rPr>
          <w:rFonts w:hint="eastAsia" w:ascii="宋体" w:hAnsi="宋体" w:eastAsia="宋体" w:cs="宋体"/>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59D4097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.4相关说明。</w:t>
      </w:r>
    </w:p>
    <w:p w14:paraId="22350A0C">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.4.1为保证磋商活动顺利进行，供应商可派相关技术人员进行网上答疑； </w:t>
      </w:r>
    </w:p>
    <w:p w14:paraId="741393D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4.2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6BEBEBB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宋体"/>
          <w:b/>
          <w:color w:val="auto"/>
          <w:sz w:val="24"/>
          <w:highlight w:val="none"/>
        </w:rPr>
        <w:t>响应无效。</w:t>
      </w:r>
    </w:p>
    <w:p w14:paraId="00D8CB0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.4.4无论何种原因，即使供应商磋商时携带了证书材料的原件，但响应文件中未提供与之内容完全一致的扫描件的，磋商小组可以视同其未提供。</w:t>
      </w:r>
    </w:p>
    <w:p w14:paraId="365DAAD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.4.5磋商小组决定响应文件的响应性及符合性只根据响应文件本身的内容，而不寻求其他外部证据。</w:t>
      </w:r>
    </w:p>
    <w:p w14:paraId="7C3FBFF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.5供应商授权代表对磋商过程有疑义，以及认为采购人、采购代理机构相关工作人员有需要回避的情形的，应当场提出询问或者回避申请，并说明理由。 </w:t>
      </w:r>
    </w:p>
    <w:p w14:paraId="3AF26CC9">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.终止竞争性磋商</w:t>
      </w:r>
    </w:p>
    <w:p w14:paraId="27E61CF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.1出现下列情况之一时，采购人和采购代理机构有权宣布终止竞争性磋商采购，并将理由通知所有供应商：</w:t>
      </w:r>
    </w:p>
    <w:p w14:paraId="763C476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（1）有效供应商数量不足，导致本次磋商缺乏竞争的；</w:t>
      </w:r>
    </w:p>
    <w:p w14:paraId="64C46227">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5EF410C2">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（3）因重大变故，采购任务取消的；</w:t>
      </w:r>
    </w:p>
    <w:p w14:paraId="6B07DCE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（4）政府采购法律法规规定的其他情形。</w:t>
      </w:r>
    </w:p>
    <w:p w14:paraId="42D920BF">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16</w:t>
      </w:r>
      <w:r>
        <w:rPr>
          <w:rFonts w:hint="eastAsia" w:ascii="宋体" w:hAnsi="宋体" w:eastAsia="宋体" w:cs="宋体"/>
          <w:b/>
          <w:color w:val="auto"/>
          <w:sz w:val="24"/>
          <w:highlight w:val="none"/>
        </w:rPr>
        <w:t>.响应文件的澄清、说明或更正</w:t>
      </w:r>
    </w:p>
    <w:p w14:paraId="3FCB8586">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F20A55A">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电子签章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506897F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cs="宋体"/>
          <w:b/>
          <w:bCs/>
          <w:color w:val="auto"/>
          <w:sz w:val="24"/>
          <w:highlight w:val="none"/>
        </w:rPr>
        <w:t>、没有及时登录系统等情形</w:t>
      </w:r>
      <w:r>
        <w:rPr>
          <w:rFonts w:hint="eastAsia" w:ascii="宋体" w:hAnsi="宋体" w:eastAsia="宋体" w:cs="宋体"/>
          <w:b/>
          <w:color w:val="auto"/>
          <w:sz w:val="24"/>
          <w:highlight w:val="none"/>
        </w:rPr>
        <w:t>而无法接受磋商小组询标的，供应商自行承担相关风险。</w:t>
      </w:r>
    </w:p>
    <w:p w14:paraId="3040B305">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17</w:t>
      </w:r>
      <w:r>
        <w:rPr>
          <w:rFonts w:hint="eastAsia" w:ascii="宋体" w:hAnsi="宋体" w:eastAsia="宋体" w:cs="宋体"/>
          <w:b/>
          <w:color w:val="auto"/>
          <w:sz w:val="24"/>
          <w:highlight w:val="none"/>
        </w:rPr>
        <w:t>.最后报价</w:t>
      </w:r>
    </w:p>
    <w:p w14:paraId="3AF892DC">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.1磋商并不限定只进行二轮报价，如果磋商小组认为有必要，可以要求供应商进行多轮报价。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本项目约定为两次报价</w:t>
      </w:r>
      <w:r>
        <w:rPr>
          <w:rFonts w:hint="eastAsia" w:ascii="宋体" w:hAnsi="宋体" w:eastAsia="宋体" w:cs="宋体"/>
          <w:color w:val="auto"/>
          <w:sz w:val="24"/>
          <w:highlight w:val="none"/>
          <w:lang w:eastAsia="zh-CN"/>
        </w:rPr>
        <w:t>）</w:t>
      </w:r>
    </w:p>
    <w:p w14:paraId="104DD92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Times New Roman"/>
          <w:b/>
          <w:color w:val="auto"/>
          <w:kern w:val="0"/>
          <w:sz w:val="24"/>
          <w:szCs w:val="20"/>
          <w:highlight w:val="none"/>
          <w:lang w:val="en-US" w:eastAsia="zh-CN" w:bidi="ar-SA"/>
        </w:rPr>
        <w:t>本次磋商实行两次报价。第一次报价为供应商在响应文件中填报的报价，第二次报价在响应文件通过评审后，由磋商小组通过评标系统以询标方式，向响应文件评审有效的各供应商进行询标，各供应商应在评标系统询标规定的时间内，通过“评标澄清回复”进行二次报价。各供应商应及时查看系统质询问题并及时进行二次报价，第二次报价即为最后报价，若供应商未在系统询标规定的时间内进行二次报价（最后报价）或二次报价被磋商小组认为不符合要求的，磋商小组默认其响应文件中填报的价格为供应商的最后报价，磋商价格分以供应商的最后报价为准，即满足磋商文件要求且最后报价最低的供应商的价格为磋商基准价，其价格分为满分。二次报价（最后报价）不得高于其一次报价，否则取消其磋商资格。望各供应商务必全程在线，及时进行回复，否则，因此给其造成相关后果，自行承担。采用分项报价的项目，最后报价的各分项结合一次报价中的各项单价按总价同比例下浮，价款结算时按成交下浮比率进行调整。</w:t>
      </w:r>
    </w:p>
    <w:p w14:paraId="306099BC">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.2在磋商内容不做实质性变更或重大调整的前提下，供应商下轮报价不得高于上一轮报价。</w:t>
      </w:r>
    </w:p>
    <w:p w14:paraId="65253AF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.3最后报价是供应商响应文件的有效组成部分，最后报价也是签订合同的依据。</w:t>
      </w:r>
    </w:p>
    <w:p w14:paraId="14F946F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bookmarkStart w:id="24" w:name="_Hlk60607655"/>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4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响应文件中提交了《中小企业声明函》、《残疾人福利性单位声明函》或省级以上监狱管理局、戒毒管理局（含新疆生产建设兵团）出具的属于监狱企业的证明文件的供应商，其最后报价按照</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中规定的标准扣除后的价格参与评审。对于同时属于小微企业、监狱企业或残疾人福利性单位的，不重复进行最后报价扣除。</w:t>
      </w:r>
    </w:p>
    <w:p w14:paraId="10CAF21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最后报价按照</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13C2BC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bookmarkEnd w:id="24"/>
    </w:p>
    <w:p w14:paraId="4EBEA9F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17</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5</w:t>
      </w:r>
      <w:r>
        <w:rPr>
          <w:rFonts w:hint="eastAsia" w:ascii="宋体" w:hAnsi="宋体" w:eastAsia="宋体" w:cs="宋体"/>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4E19D3C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17</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6</w:t>
      </w:r>
      <w:r>
        <w:rPr>
          <w:rFonts w:hint="eastAsia" w:ascii="宋体" w:hAnsi="宋体" w:eastAsia="宋体" w:cs="宋体"/>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03A946F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17</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7</w:t>
      </w:r>
      <w:r>
        <w:rPr>
          <w:rFonts w:hint="eastAsia" w:ascii="宋体" w:hAnsi="宋体" w:eastAsia="宋体" w:cs="宋体"/>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195D563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17</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8</w:t>
      </w:r>
      <w:r>
        <w:rPr>
          <w:rFonts w:hint="eastAsia" w:ascii="宋体" w:hAnsi="宋体" w:eastAsia="宋体" w:cs="宋体"/>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1C627B02">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17.9</w:t>
      </w:r>
      <w:r>
        <w:rPr>
          <w:rFonts w:hint="eastAsia" w:ascii="宋体" w:hAnsi="宋体" w:eastAsia="宋体" w:cs="宋体"/>
          <w:color w:val="auto"/>
          <w:kern w:val="2"/>
          <w:sz w:val="24"/>
          <w:highlight w:val="none"/>
        </w:rPr>
        <w:t>工程造价的确定与控制</w:t>
      </w:r>
    </w:p>
    <w:p w14:paraId="3E3D658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17.9</w:t>
      </w:r>
      <w:r>
        <w:rPr>
          <w:rFonts w:hint="eastAsia" w:ascii="宋体" w:hAnsi="宋体" w:eastAsia="宋体" w:cs="宋体"/>
          <w:color w:val="auto"/>
          <w:kern w:val="2"/>
          <w:sz w:val="24"/>
          <w:highlight w:val="none"/>
        </w:rPr>
        <w:t>.1本工程确定成交供应商后，工程总造价在磋商范围内包定，除经批准的设计变更、经济签证外，其它工程造价增减均不予签证计价。</w:t>
      </w:r>
    </w:p>
    <w:p w14:paraId="222B483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17.9</w:t>
      </w:r>
      <w:r>
        <w:rPr>
          <w:rFonts w:hint="eastAsia" w:ascii="宋体" w:hAnsi="宋体" w:eastAsia="宋体" w:cs="宋体"/>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474843F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17.9</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5E92C24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17.9</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4</w:t>
      </w:r>
      <w:r>
        <w:rPr>
          <w:rFonts w:hint="eastAsia" w:ascii="宋体" w:hAnsi="宋体" w:eastAsia="宋体" w:cs="宋体"/>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1DB9BB1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17.10</w:t>
      </w:r>
      <w:r>
        <w:rPr>
          <w:rFonts w:hint="eastAsia" w:ascii="宋体" w:hAnsi="宋体" w:eastAsia="宋体" w:cs="宋体"/>
          <w:color w:val="auto"/>
          <w:kern w:val="2"/>
          <w:sz w:val="24"/>
          <w:highlight w:val="none"/>
        </w:rPr>
        <w:t>成交供应商在工程量清单报价书中所报的综合单价一律不予调整。</w:t>
      </w:r>
    </w:p>
    <w:p w14:paraId="11BDAEE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highlight w:val="none"/>
          <w:lang w:val="en-US" w:eastAsia="zh-CN"/>
        </w:rPr>
        <w:t>17.11</w:t>
      </w:r>
      <w:r>
        <w:rPr>
          <w:rFonts w:hint="eastAsia" w:ascii="宋体" w:hAnsi="宋体" w:eastAsia="宋体" w:cs="宋体"/>
          <w:color w:val="auto"/>
          <w:kern w:val="2"/>
          <w:sz w:val="24"/>
          <w:highlight w:val="none"/>
        </w:rPr>
        <w:t>本工程不接受恶意不平衡报价，不保证最低价成交。</w:t>
      </w:r>
    </w:p>
    <w:p w14:paraId="441EAA8F">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.成交候选供应商的推荐原则及标准</w:t>
      </w:r>
    </w:p>
    <w:p w14:paraId="6ED21FD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C47CE9A">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.确定成交候选供应商和成交供应商</w:t>
      </w:r>
    </w:p>
    <w:p w14:paraId="6B6E3037">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.1磋商小组根据综合评分的结果和</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中规定确定成交候选供应商，并标明排列顺序。按</w:t>
      </w:r>
      <w:r>
        <w:rPr>
          <w:rFonts w:hint="eastAsia" w:ascii="宋体" w:hAnsi="宋体" w:eastAsia="宋体" w:cs="宋体"/>
          <w:color w:val="auto"/>
          <w:sz w:val="24"/>
          <w:highlight w:val="none"/>
          <w:u w:val="single"/>
          <w:lang w:val="en-US" w:eastAsia="zh-CN"/>
        </w:rPr>
        <w:t>供应商</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中规定，由</w:t>
      </w:r>
      <w:r>
        <w:rPr>
          <w:rFonts w:hint="eastAsia" w:ascii="宋体" w:hAnsi="宋体" w:eastAsia="宋体" w:cs="宋体"/>
          <w:color w:val="auto"/>
          <w:sz w:val="24"/>
          <w:highlight w:val="none"/>
          <w:lang w:val="en-US" w:eastAsia="zh-CN"/>
        </w:rPr>
        <w:t>磋商小组</w:t>
      </w:r>
      <w:r>
        <w:rPr>
          <w:rFonts w:hint="eastAsia" w:ascii="宋体" w:hAnsi="宋体" w:eastAsia="宋体" w:cs="宋体"/>
          <w:color w:val="auto"/>
          <w:sz w:val="24"/>
          <w:highlight w:val="none"/>
        </w:rPr>
        <w:t>或采购人确定</w:t>
      </w:r>
      <w:r>
        <w:rPr>
          <w:rFonts w:hint="eastAsia" w:ascii="宋体" w:hAnsi="宋体" w:eastAsia="宋体" w:cs="宋体"/>
          <w:color w:val="auto"/>
          <w:sz w:val="24"/>
          <w:highlight w:val="none"/>
          <w:lang w:val="en-US" w:eastAsia="zh-CN"/>
        </w:rPr>
        <w:t>成交供应商</w:t>
      </w:r>
      <w:r>
        <w:rPr>
          <w:rFonts w:hint="eastAsia" w:ascii="宋体" w:hAnsi="宋体" w:eastAsia="宋体" w:cs="宋体"/>
          <w:color w:val="auto"/>
          <w:sz w:val="24"/>
          <w:highlight w:val="none"/>
        </w:rPr>
        <w:t>。</w:t>
      </w:r>
    </w:p>
    <w:p w14:paraId="3DA80BFE">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.编写评审报告</w:t>
      </w:r>
    </w:p>
    <w:p w14:paraId="5ED6C1A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73157112">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.保密要求</w:t>
      </w:r>
    </w:p>
    <w:p w14:paraId="48E7949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.1评审将在严格保密的情况下进行。</w:t>
      </w:r>
    </w:p>
    <w:p w14:paraId="32E4F0D7">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.2有关人员应当遵守评审工作纪律，不得泄露评审文件、评审情况和评审中获悉的国家秘密、商业秘密。</w:t>
      </w:r>
    </w:p>
    <w:p w14:paraId="25877977">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.成交结果公告</w:t>
      </w:r>
    </w:p>
    <w:p w14:paraId="4AF001A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.1为体现“公开、公平、公正”的原则，磋商结束后，采购代理机构将</w:t>
      </w:r>
      <w:r>
        <w:rPr>
          <w:rFonts w:hint="eastAsia" w:ascii="宋体" w:hAnsi="宋体" w:eastAsia="宋体" w:cs="宋体"/>
          <w:color w:val="auto"/>
          <w:sz w:val="24"/>
          <w:szCs w:val="18"/>
          <w:highlight w:val="none"/>
        </w:rPr>
        <w:t>在安徽省政府采购网（www.ccgp-anhui.gov.cn）</w:t>
      </w:r>
      <w:r>
        <w:rPr>
          <w:rFonts w:hint="eastAsia" w:cs="宋体"/>
          <w:color w:val="auto"/>
          <w:sz w:val="24"/>
          <w:szCs w:val="18"/>
          <w:highlight w:val="none"/>
          <w:lang w:eastAsia="zh-CN"/>
        </w:rPr>
        <w:t>、</w:t>
      </w:r>
      <w:r>
        <w:rPr>
          <w:rFonts w:hint="eastAsia"/>
          <w:color w:val="auto"/>
          <w:sz w:val="24"/>
          <w:szCs w:val="18"/>
          <w:highlight w:val="none"/>
          <w:lang w:eastAsia="zh-CN"/>
        </w:rPr>
        <w:t>滁州市公共资源交易中心（https://ggzy.chuzhou.gov.cn/）</w:t>
      </w:r>
      <w:r>
        <w:rPr>
          <w:rFonts w:hint="eastAsia" w:ascii="宋体" w:hAnsi="宋体" w:eastAsia="宋体" w:cs="宋体"/>
          <w:color w:val="auto"/>
          <w:sz w:val="24"/>
          <w:szCs w:val="18"/>
          <w:highlight w:val="none"/>
        </w:rPr>
        <w:t>上</w:t>
      </w:r>
      <w:r>
        <w:rPr>
          <w:rFonts w:hint="eastAsia" w:ascii="宋体" w:hAnsi="宋体" w:eastAsia="宋体" w:cs="宋体"/>
          <w:color w:val="auto"/>
          <w:sz w:val="24"/>
          <w:highlight w:val="none"/>
        </w:rPr>
        <w:t>发布成交结果公告。</w:t>
      </w:r>
    </w:p>
    <w:p w14:paraId="53D6E39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中约定进行公告的内容。</w:t>
      </w:r>
    </w:p>
    <w:p w14:paraId="221F2040">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23</w:t>
      </w:r>
      <w:r>
        <w:rPr>
          <w:rFonts w:hint="eastAsia" w:ascii="宋体" w:hAnsi="宋体" w:eastAsia="宋体" w:cs="宋体"/>
          <w:b/>
          <w:color w:val="auto"/>
          <w:sz w:val="24"/>
          <w:highlight w:val="none"/>
        </w:rPr>
        <w:t>.成交通知书</w:t>
      </w:r>
    </w:p>
    <w:p w14:paraId="44EC9A5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.1采购代理机构发布成交结果公告的同时以</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规定的形式向成交供应商发出成交通知书。</w:t>
      </w:r>
    </w:p>
    <w:p w14:paraId="45C1E39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.2成交通知书对采购人和成交供应商具有同等法律效力。成交通知书发出以后，采购人改变成交结果或者成交供应商放弃成交资格，应当承担相应的法律责任。</w:t>
      </w:r>
    </w:p>
    <w:p w14:paraId="77764F3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.3成交通知书是合同的组成部分。</w:t>
      </w:r>
    </w:p>
    <w:p w14:paraId="49532D8E">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.告知磋商结果</w:t>
      </w:r>
    </w:p>
    <w:p w14:paraId="3B1850A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.1在公告成交结果的同时，采购代理机构同时以</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规定的形式告知未成交供应商本人的评审得分和排序。</w:t>
      </w:r>
    </w:p>
    <w:p w14:paraId="13B4A8F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.2采购代理机构对未成交的供应商不做未成交原因的解释。</w:t>
      </w:r>
    </w:p>
    <w:p w14:paraId="5749845B">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.履约保证金</w:t>
      </w:r>
    </w:p>
    <w:p w14:paraId="02D0093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.1成交供应商应按照</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规定缴纳履约保证金。</w:t>
      </w:r>
    </w:p>
    <w:p w14:paraId="21D2954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37BCDE33">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46857B62">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的规定执行。</w:t>
      </w:r>
    </w:p>
    <w:p w14:paraId="7E72A6F6">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6847E3A7">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C8ABD8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.2磋商文件、成交供应商的响应文件及其澄清文件等，均为签订合同的依据。</w:t>
      </w:r>
    </w:p>
    <w:p w14:paraId="2DB67818">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3成交供应商拒绝与采购人签订合同的，采购人可以按照评审报告推荐的成交候选供应商名单排序，确定下一成交候选供应商为成交供应商，也可以重新开展采购活动。成交供应商拒绝签订政府采购合同的不得参加对该项目重新开展的采购活动。</w:t>
      </w:r>
    </w:p>
    <w:p w14:paraId="50C0F840">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color w:val="auto"/>
          <w:sz w:val="24"/>
          <w:highlight w:val="none"/>
        </w:rPr>
      </w:pPr>
      <w:bookmarkStart w:id="25" w:name="_Hlk60264926"/>
      <w:r>
        <w:rPr>
          <w:rFonts w:hint="eastAsia" w:ascii="宋体" w:hAnsi="宋体" w:eastAsia="宋体" w:cs="宋体"/>
          <w:color w:val="auto"/>
          <w:sz w:val="24"/>
          <w:highlight w:val="none"/>
          <w:lang w:val="en-US" w:eastAsia="zh-CN"/>
        </w:rPr>
        <w:t>27.4</w:t>
      </w:r>
      <w:r>
        <w:rPr>
          <w:rFonts w:hint="eastAsia" w:ascii="宋体" w:hAnsi="宋体" w:eastAsia="宋体" w:cs="宋体"/>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bookmarkEnd w:id="25"/>
    </w:p>
    <w:p w14:paraId="0A30027A">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.廉洁自律规定</w:t>
      </w:r>
    </w:p>
    <w:p w14:paraId="26E8D4F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5A45CC8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1D1E1A5F">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29</w:t>
      </w:r>
      <w:r>
        <w:rPr>
          <w:rFonts w:hint="eastAsia" w:ascii="宋体" w:hAnsi="宋体" w:eastAsia="宋体" w:cs="宋体"/>
          <w:b/>
          <w:color w:val="auto"/>
          <w:sz w:val="24"/>
          <w:highlight w:val="none"/>
        </w:rPr>
        <w:t>.质疑的提出与接收</w:t>
      </w:r>
    </w:p>
    <w:p w14:paraId="17655EC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6D38DCA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183E7A32">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697933F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注：上述条款中所要求的书面形式包含通过电子交易系统递交方式。</w:t>
      </w:r>
    </w:p>
    <w:p w14:paraId="0E30C428">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.投诉</w:t>
      </w:r>
    </w:p>
    <w:p w14:paraId="3D877376">
      <w:pPr>
        <w:keepNext w:val="0"/>
        <w:keepLines w:val="0"/>
        <w:pageBreakBefore w:val="0"/>
        <w:widowControl w:val="0"/>
        <w:kinsoku/>
        <w:wordWrap w:val="0"/>
        <w:overflowPunct/>
        <w:topLinePunct w:val="0"/>
        <w:autoSpaceDE/>
        <w:autoSpaceDN/>
        <w:bidi w:val="0"/>
        <w:adjustRightInd/>
        <w:snapToGrid/>
        <w:spacing w:line="52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质疑供应商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50AEE19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17D75DE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30.3政府采购监督管理部门在处理投诉事项期间，可以视具体情况书面通知采购人暂停采购活动，但暂停时间最长不得超过30日</w:t>
      </w:r>
      <w:r>
        <w:rPr>
          <w:rFonts w:hint="eastAsia" w:cs="宋体"/>
          <w:color w:val="auto"/>
          <w:sz w:val="24"/>
          <w:highlight w:val="none"/>
          <w:lang w:eastAsia="zh-CN"/>
        </w:rPr>
        <w:t>。</w:t>
      </w:r>
    </w:p>
    <w:p w14:paraId="6DD16941">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cs="宋体"/>
          <w:b/>
          <w:color w:val="auto"/>
          <w:sz w:val="24"/>
          <w:highlight w:val="none"/>
          <w:lang w:val="en-US" w:eastAsia="zh-CN"/>
        </w:rPr>
        <w:t>31.</w:t>
      </w:r>
      <w:r>
        <w:rPr>
          <w:rFonts w:hint="eastAsia" w:ascii="宋体" w:hAnsi="宋体" w:eastAsia="宋体" w:cs="宋体"/>
          <w:b/>
          <w:color w:val="auto"/>
          <w:sz w:val="24"/>
          <w:highlight w:val="none"/>
        </w:rPr>
        <w:t>需要补充的其他内容</w:t>
      </w:r>
    </w:p>
    <w:p w14:paraId="5AE7EF0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79051E03">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3C485B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Theme="minorEastAsia" w:hAnsiTheme="minorEastAsia" w:eastAsiaTheme="minorEastAsia"/>
          <w:b/>
          <w:color w:val="auto"/>
          <w:sz w:val="28"/>
          <w:highlight w:val="none"/>
        </w:rPr>
      </w:pPr>
      <w:bookmarkStart w:id="26" w:name="_Toc30873"/>
      <w:r>
        <w:rPr>
          <w:rFonts w:hint="eastAsia" w:asciiTheme="minorEastAsia" w:hAnsiTheme="minorEastAsia" w:eastAsiaTheme="minorEastAsia"/>
          <w:b/>
          <w:color w:val="auto"/>
          <w:sz w:val="28"/>
          <w:highlight w:val="none"/>
        </w:rPr>
        <w:t>第三章  采购需求</w:t>
      </w:r>
      <w:bookmarkEnd w:id="26"/>
    </w:p>
    <w:tbl>
      <w:tblPr>
        <w:tblStyle w:val="97"/>
        <w:tblW w:w="5711" w:type="pct"/>
        <w:tblInd w:w="-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35"/>
        <w:gridCol w:w="7666"/>
      </w:tblGrid>
      <w:tr w14:paraId="4536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6CF100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634" w:type="pct"/>
            <w:vAlign w:val="center"/>
          </w:tcPr>
          <w:p w14:paraId="5FBE04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936" w:type="pct"/>
            <w:vAlign w:val="center"/>
          </w:tcPr>
          <w:p w14:paraId="0378E8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35"/>
              <w:jc w:val="center"/>
              <w:textAlignment w:val="auto"/>
              <w:rPr>
                <w:rFonts w:hint="default"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7752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0935D3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634" w:type="pct"/>
            <w:vAlign w:val="center"/>
          </w:tcPr>
          <w:p w14:paraId="5CBB12E8">
            <w:pPr>
              <w:keepNext w:val="0"/>
              <w:keepLines w:val="0"/>
              <w:suppressLineNumbers w:val="0"/>
              <w:spacing w:before="0" w:beforeAutospacing="0" w:after="0" w:afterAutospacing="0" w:line="360" w:lineRule="auto"/>
              <w:ind w:left="0" w:right="0"/>
              <w:rPr>
                <w:rFonts w:hint="default" w:cs="@仿宋_GB2312" w:asciiTheme="minorEastAsia" w:hAnsiTheme="minorEastAsia" w:eastAsiaTheme="minorEastAsia"/>
                <w:color w:val="auto"/>
                <w:kern w:val="2"/>
                <w:sz w:val="24"/>
                <w:szCs w:val="22"/>
                <w:highlight w:val="none"/>
              </w:rPr>
            </w:pPr>
            <w:r>
              <w:rPr>
                <w:rFonts w:hint="eastAsia" w:ascii="宋体" w:hAnsi="宋体" w:eastAsia="宋体" w:cs="@仿宋_GB2312"/>
                <w:color w:val="auto"/>
                <w:kern w:val="2"/>
                <w:sz w:val="24"/>
                <w:szCs w:val="22"/>
                <w:highlight w:val="none"/>
              </w:rPr>
              <w:t>人员到岗及履约要求</w:t>
            </w:r>
          </w:p>
        </w:tc>
        <w:tc>
          <w:tcPr>
            <w:tcW w:w="3936" w:type="pct"/>
            <w:vAlign w:val="center"/>
          </w:tcPr>
          <w:p w14:paraId="71CB9D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仿宋_GB2312" w:asciiTheme="minorEastAsia" w:hAnsiTheme="minorEastAsia" w:eastAsiaTheme="minorEastAsia"/>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详见合同</w:t>
            </w:r>
          </w:p>
        </w:tc>
      </w:tr>
      <w:tr w14:paraId="5C3C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0EB3C0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634" w:type="pct"/>
            <w:vAlign w:val="center"/>
          </w:tcPr>
          <w:p w14:paraId="73B778B4">
            <w:pPr>
              <w:keepNext w:val="0"/>
              <w:keepLines w:val="0"/>
              <w:suppressLineNumbers w:val="0"/>
              <w:spacing w:before="0" w:beforeAutospacing="0" w:after="0" w:afterAutospacing="0" w:line="360" w:lineRule="auto"/>
              <w:ind w:left="0" w:right="0"/>
              <w:rPr>
                <w:rFonts w:hint="default" w:cs="@仿宋_GB2312" w:asciiTheme="minorEastAsia" w:hAnsiTheme="minorEastAsia" w:eastAsiaTheme="minorEastAsia"/>
                <w:color w:val="auto"/>
                <w:kern w:val="2"/>
                <w:sz w:val="24"/>
                <w:szCs w:val="22"/>
                <w:highlight w:val="none"/>
              </w:rPr>
            </w:pPr>
            <w:r>
              <w:rPr>
                <w:rFonts w:hint="eastAsia" w:ascii="宋体" w:hAnsi="宋体" w:eastAsia="宋体" w:cs="@仿宋_GB2312"/>
                <w:color w:val="auto"/>
                <w:kern w:val="2"/>
                <w:sz w:val="24"/>
                <w:szCs w:val="22"/>
                <w:highlight w:val="none"/>
              </w:rPr>
              <w:t>材料要求</w:t>
            </w:r>
          </w:p>
        </w:tc>
        <w:tc>
          <w:tcPr>
            <w:tcW w:w="3936" w:type="pct"/>
            <w:vAlign w:val="center"/>
          </w:tcPr>
          <w:p w14:paraId="13BA3A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仿宋_GB2312" w:asciiTheme="minorEastAsia" w:hAnsiTheme="minorEastAsia" w:eastAsiaTheme="minorEastAsia"/>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详见合同</w:t>
            </w:r>
          </w:p>
        </w:tc>
      </w:tr>
      <w:tr w14:paraId="3EDA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712400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634" w:type="pct"/>
            <w:vAlign w:val="center"/>
          </w:tcPr>
          <w:p w14:paraId="112A2457">
            <w:pPr>
              <w:keepNext w:val="0"/>
              <w:keepLines w:val="0"/>
              <w:suppressLineNumbers w:val="0"/>
              <w:spacing w:before="0" w:beforeAutospacing="0" w:after="0" w:afterAutospacing="0" w:line="360" w:lineRule="auto"/>
              <w:ind w:left="0" w:right="0"/>
              <w:rPr>
                <w:rFonts w:hint="default" w:cs="@仿宋_GB2312" w:asciiTheme="minorEastAsia" w:hAnsiTheme="minorEastAsia" w:eastAsiaTheme="minorEastAsia"/>
                <w:color w:val="auto"/>
                <w:kern w:val="2"/>
                <w:sz w:val="24"/>
                <w:szCs w:val="22"/>
                <w:highlight w:val="none"/>
              </w:rPr>
            </w:pPr>
            <w:r>
              <w:rPr>
                <w:rFonts w:hint="eastAsia" w:ascii="宋体" w:hAnsi="宋体" w:eastAsia="宋体" w:cs="@仿宋_GB2312"/>
                <w:color w:val="auto"/>
                <w:kern w:val="2"/>
                <w:sz w:val="24"/>
                <w:szCs w:val="22"/>
                <w:highlight w:val="none"/>
              </w:rPr>
              <w:t>工程施工重点难点</w:t>
            </w:r>
          </w:p>
        </w:tc>
        <w:tc>
          <w:tcPr>
            <w:tcW w:w="3936" w:type="pct"/>
            <w:vAlign w:val="center"/>
          </w:tcPr>
          <w:p w14:paraId="34741A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cs="@仿宋_GB2312" w:asciiTheme="minorEastAsia" w:hAnsiTheme="minorEastAsia" w:eastAsiaTheme="minorEastAsia"/>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供应商自行编制</w:t>
            </w:r>
          </w:p>
        </w:tc>
      </w:tr>
      <w:tr w14:paraId="4EBB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428" w:type="pct"/>
            <w:vAlign w:val="center"/>
          </w:tcPr>
          <w:p w14:paraId="68EAD2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634" w:type="pct"/>
            <w:vAlign w:val="center"/>
          </w:tcPr>
          <w:p w14:paraId="47109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default"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936" w:type="pct"/>
            <w:vAlign w:val="center"/>
          </w:tcPr>
          <w:p w14:paraId="7250CD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eastAsia="@微软简标宋"/>
                <w:color w:val="auto"/>
                <w:kern w:val="2"/>
                <w:sz w:val="21"/>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供应商最后报价均不得高于磋商文件（公告）列明的项目预算、最高投标限价，否则其响应文件将被认定为响应无效。</w:t>
            </w:r>
          </w:p>
        </w:tc>
      </w:tr>
      <w:tr w14:paraId="5C2F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78DA2F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634" w:type="pct"/>
            <w:vAlign w:val="center"/>
          </w:tcPr>
          <w:p w14:paraId="1BFB66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default"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936" w:type="pct"/>
            <w:vAlign w:val="center"/>
          </w:tcPr>
          <w:p w14:paraId="48869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olor w:val="auto"/>
                <w:kern w:val="2"/>
                <w:sz w:val="24"/>
                <w:szCs w:val="18"/>
                <w:highlight w:val="none"/>
              </w:rPr>
            </w:pPr>
            <w:r>
              <w:rPr>
                <w:rFonts w:hint="eastAsia" w:cs="宋体"/>
                <w:color w:val="auto"/>
                <w:kern w:val="2"/>
                <w:sz w:val="24"/>
                <w:szCs w:val="24"/>
                <w:highlight w:val="none"/>
                <w:lang w:val="en-US" w:eastAsia="zh-CN"/>
              </w:rPr>
              <w:t>1、</w:t>
            </w:r>
            <w:r>
              <w:rPr>
                <w:rFonts w:hint="default" w:ascii="宋体" w:hAnsi="宋体" w:eastAsia="宋体" w:cs="宋体"/>
                <w:color w:val="auto"/>
                <w:kern w:val="2"/>
                <w:sz w:val="24"/>
                <w:szCs w:val="24"/>
                <w:highlight w:val="none"/>
              </w:rPr>
              <w:t>政府采购政策（包括但不限于下列具体政策要求</w:t>
            </w:r>
            <w:r>
              <w:rPr>
                <w:rFonts w:hint="eastAsia" w:ascii="宋体" w:hAnsi="宋体" w:eastAsia="宋体" w:cs="宋体"/>
                <w:color w:val="auto"/>
                <w:kern w:val="2"/>
                <w:sz w:val="24"/>
                <w:szCs w:val="24"/>
                <w:highlight w:val="none"/>
                <w:lang w:eastAsia="zh-CN"/>
              </w:rPr>
              <w:t>）</w:t>
            </w:r>
            <w:r>
              <w:rPr>
                <w:rFonts w:hint="eastAsia" w:ascii="宋体" w:hAnsi="宋体" w:eastAsia="宋体"/>
                <w:color w:val="auto"/>
                <w:kern w:val="2"/>
                <w:sz w:val="24"/>
                <w:szCs w:val="18"/>
                <w:highlight w:val="none"/>
              </w:rPr>
              <w:t>：</w:t>
            </w:r>
          </w:p>
          <w:p w14:paraId="3DE52C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7BB3A1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4F02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554A99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cs="@仿宋_GB2312" w:asciiTheme="minorEastAsia" w:hAnsiTheme="minorEastAsia" w:eastAsiaTheme="minorEastAsia"/>
                <w:color w:val="auto"/>
                <w:kern w:val="2"/>
                <w:sz w:val="24"/>
                <w:szCs w:val="22"/>
                <w:highlight w:val="none"/>
              </w:rPr>
            </w:pPr>
            <w:r>
              <w:rPr>
                <w:rFonts w:hint="default" w:cs="@仿宋_GB2312" w:asciiTheme="minorEastAsia" w:hAnsiTheme="minorEastAsia" w:eastAsiaTheme="minorEastAsia"/>
                <w:color w:val="auto"/>
                <w:kern w:val="2"/>
                <w:sz w:val="24"/>
                <w:szCs w:val="22"/>
                <w:highlight w:val="none"/>
              </w:rPr>
              <w:t>6</w:t>
            </w:r>
          </w:p>
        </w:tc>
        <w:tc>
          <w:tcPr>
            <w:tcW w:w="634" w:type="pct"/>
            <w:vAlign w:val="center"/>
          </w:tcPr>
          <w:p w14:paraId="10D27C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936" w:type="pct"/>
            <w:vAlign w:val="center"/>
          </w:tcPr>
          <w:p w14:paraId="30F046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见第一章《</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rPr>
              <w:t>邀请》</w:t>
            </w:r>
          </w:p>
        </w:tc>
      </w:tr>
      <w:tr w14:paraId="0460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44DFA1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634" w:type="pct"/>
            <w:vAlign w:val="center"/>
          </w:tcPr>
          <w:p w14:paraId="7ACCC342">
            <w:pPr>
              <w:pStyle w:val="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936" w:type="pct"/>
            <w:vAlign w:val="center"/>
          </w:tcPr>
          <w:p w14:paraId="142B6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标的名称：滁州市第一人民医院北区扩建项目检验中心专项工程（净化工程）</w:t>
            </w:r>
          </w:p>
          <w:p w14:paraId="6ACBF3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heme="minorHAnsi" w:hAnsiTheme="minorHAnsi"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lang w:val="en-US" w:eastAsia="zh-CN"/>
              </w:rPr>
              <w:t>建筑业</w:t>
            </w:r>
          </w:p>
        </w:tc>
      </w:tr>
      <w:tr w14:paraId="72AC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04E3D4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634" w:type="pct"/>
            <w:vAlign w:val="center"/>
          </w:tcPr>
          <w:p w14:paraId="2CAC092F">
            <w:pPr>
              <w:pStyle w:val="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heme="minorHAnsi" w:hAnsiTheme="minorHAnsi" w:eastAsiaTheme="minorEastAsia"/>
                <w:b w:val="0"/>
                <w:color w:val="auto"/>
                <w:kern w:val="2"/>
                <w:sz w:val="24"/>
                <w:highlight w:val="none"/>
                <w:lang w:val="en-US" w:eastAsia="zh-CN"/>
              </w:rPr>
            </w:pPr>
            <w:r>
              <w:rPr>
                <w:rFonts w:hint="eastAsia" w:asciiTheme="minorHAnsi" w:hAnsiTheme="minorHAnsi" w:eastAsiaTheme="minorEastAsia"/>
                <w:b w:val="0"/>
                <w:color w:val="auto"/>
                <w:kern w:val="2"/>
                <w:sz w:val="24"/>
                <w:highlight w:val="none"/>
                <w:lang w:val="en-US" w:eastAsia="zh-CN"/>
              </w:rPr>
              <w:t>项目概况</w:t>
            </w:r>
          </w:p>
        </w:tc>
        <w:tc>
          <w:tcPr>
            <w:tcW w:w="3936" w:type="pct"/>
            <w:vAlign w:val="center"/>
          </w:tcPr>
          <w:p w14:paraId="50E6F8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检验中心位于北区扩建项目的二层，面积约1000㎡，含有生化、免疫、标本冷库、试剂冷库、微生物实验室、培养基配置室、试剂准备、标本制备、扩增分析、结核室、真菌室等净化区域。</w:t>
            </w:r>
          </w:p>
          <w:p w14:paraId="087C89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检验中心专项工程，详见</w:t>
            </w:r>
            <w:r>
              <w:rPr>
                <w:rFonts w:hint="eastAsia" w:asciiTheme="minorEastAsia" w:hAnsiTheme="minorEastAsia" w:eastAsiaTheme="minorEastAsia"/>
                <w:color w:val="auto"/>
                <w:kern w:val="2"/>
                <w:sz w:val="24"/>
                <w:szCs w:val="22"/>
                <w:highlight w:val="none"/>
                <w:lang w:val="en-US" w:eastAsia="zh-CN"/>
              </w:rPr>
              <w:t>施工</w:t>
            </w:r>
            <w:r>
              <w:rPr>
                <w:rFonts w:hint="eastAsia" w:asciiTheme="minorEastAsia" w:hAnsiTheme="minorEastAsia" w:eastAsiaTheme="minorEastAsia"/>
                <w:color w:val="auto"/>
                <w:kern w:val="2"/>
                <w:sz w:val="24"/>
                <w:szCs w:val="22"/>
                <w:highlight w:val="none"/>
              </w:rPr>
              <w:t>图纸及工程量清单。材料相关参数以检验中心净化专项图纸为准，未说明部分以北区扩建项目施工设计说明为准。</w:t>
            </w:r>
          </w:p>
        </w:tc>
      </w:tr>
    </w:tbl>
    <w:p w14:paraId="58575C59">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195FE89">
      <w:pPr>
        <w:spacing w:line="360" w:lineRule="auto"/>
        <w:jc w:val="center"/>
        <w:outlineLvl w:val="0"/>
        <w:rPr>
          <w:rFonts w:hint="eastAsia" w:ascii="宋体" w:hAnsi="宋体" w:eastAsia="宋体" w:cs="宋体"/>
          <w:b/>
          <w:color w:val="auto"/>
          <w:sz w:val="28"/>
          <w:highlight w:val="none"/>
        </w:rPr>
      </w:pPr>
      <w:bookmarkStart w:id="27" w:name="_Toc11353"/>
      <w:r>
        <w:rPr>
          <w:rFonts w:hint="eastAsia" w:ascii="宋体" w:hAnsi="宋体" w:eastAsia="宋体" w:cs="宋体"/>
          <w:b/>
          <w:color w:val="auto"/>
          <w:sz w:val="28"/>
          <w:highlight w:val="none"/>
        </w:rPr>
        <w:t>第四章  评审方法和标准</w:t>
      </w:r>
      <w:bookmarkEnd w:id="27"/>
    </w:p>
    <w:p w14:paraId="21729444">
      <w:pPr>
        <w:keepNext w:val="0"/>
        <w:keepLines w:val="0"/>
        <w:pageBreakBefore w:val="0"/>
        <w:kinsoku/>
        <w:wordWrap/>
        <w:overflowPunct/>
        <w:topLinePunct w:val="0"/>
        <w:autoSpaceDE/>
        <w:autoSpaceDN/>
        <w:bidi w:val="0"/>
        <w:spacing w:line="520" w:lineRule="exact"/>
        <w:ind w:firstLine="437"/>
        <w:outlineLvl w:val="1"/>
        <w:rPr>
          <w:rFonts w:hint="eastAsia" w:ascii="宋体" w:hAnsi="宋体" w:eastAsia="宋体" w:cs="宋体"/>
          <w:b/>
          <w:color w:val="auto"/>
          <w:sz w:val="24"/>
          <w:szCs w:val="24"/>
          <w:highlight w:val="none"/>
        </w:rPr>
      </w:pPr>
      <w:bookmarkStart w:id="28" w:name="_Toc3679"/>
      <w:bookmarkStart w:id="29" w:name="_Toc31533"/>
      <w:r>
        <w:rPr>
          <w:rFonts w:hint="eastAsia" w:ascii="宋体" w:hAnsi="宋体" w:eastAsia="宋体" w:cs="宋体"/>
          <w:b/>
          <w:color w:val="auto"/>
          <w:sz w:val="24"/>
          <w:szCs w:val="24"/>
          <w:highlight w:val="none"/>
        </w:rPr>
        <w:t>一、总则</w:t>
      </w:r>
      <w:bookmarkEnd w:id="28"/>
      <w:bookmarkEnd w:id="29"/>
    </w:p>
    <w:p w14:paraId="2E35EC0A">
      <w:pPr>
        <w:keepNext w:val="0"/>
        <w:keepLines w:val="0"/>
        <w:pageBreakBefore w:val="0"/>
        <w:kinsoku/>
        <w:wordWrap/>
        <w:overflowPunct/>
        <w:topLinePunct w:val="0"/>
        <w:autoSpaceDE/>
        <w:autoSpaceDN/>
        <w:bidi w:val="0"/>
        <w:spacing w:line="5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本项目将按照磋商文件第二章供应商须知的相关要求及本章的规定评审。</w:t>
      </w:r>
    </w:p>
    <w:p w14:paraId="097744D7">
      <w:pPr>
        <w:keepNext w:val="0"/>
        <w:keepLines w:val="0"/>
        <w:pageBreakBefore w:val="0"/>
        <w:kinsoku/>
        <w:wordWrap/>
        <w:overflowPunct/>
        <w:topLinePunct w:val="0"/>
        <w:autoSpaceDE/>
        <w:autoSpaceDN/>
        <w:bidi w:val="0"/>
        <w:spacing w:line="520" w:lineRule="exact"/>
        <w:ind w:firstLine="437"/>
        <w:outlineLvl w:val="1"/>
        <w:rPr>
          <w:rFonts w:hint="eastAsia" w:ascii="宋体" w:hAnsi="宋体" w:eastAsia="宋体" w:cs="宋体"/>
          <w:b/>
          <w:color w:val="auto"/>
          <w:sz w:val="24"/>
          <w:szCs w:val="24"/>
          <w:highlight w:val="none"/>
        </w:rPr>
      </w:pPr>
      <w:bookmarkStart w:id="30" w:name="_Toc13405"/>
      <w:bookmarkStart w:id="31" w:name="_Toc16232"/>
      <w:r>
        <w:rPr>
          <w:rFonts w:hint="eastAsia" w:ascii="宋体" w:hAnsi="宋体" w:eastAsia="宋体" w:cs="宋体"/>
          <w:b/>
          <w:color w:val="auto"/>
          <w:sz w:val="24"/>
          <w:szCs w:val="24"/>
          <w:highlight w:val="none"/>
        </w:rPr>
        <w:t>二、评审方法</w:t>
      </w:r>
      <w:bookmarkEnd w:id="30"/>
      <w:bookmarkEnd w:id="31"/>
    </w:p>
    <w:p w14:paraId="29235F68">
      <w:pPr>
        <w:keepNext w:val="0"/>
        <w:keepLines w:val="0"/>
        <w:pageBreakBefore w:val="0"/>
        <w:kinsoku/>
        <w:wordWrap/>
        <w:overflowPunct/>
        <w:topLinePunct w:val="0"/>
        <w:autoSpaceDE/>
        <w:autoSpaceDN/>
        <w:bidi w:val="0"/>
        <w:spacing w:line="520" w:lineRule="exact"/>
        <w:ind w:firstLine="435"/>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2.1初审</w:t>
      </w:r>
    </w:p>
    <w:p w14:paraId="28053E45">
      <w:pPr>
        <w:keepNext w:val="0"/>
        <w:keepLines w:val="0"/>
        <w:pageBreakBefore w:val="0"/>
        <w:kinsoku/>
        <w:wordWrap/>
        <w:overflowPunct/>
        <w:topLinePunct w:val="0"/>
        <w:autoSpaceDE/>
        <w:autoSpaceDN/>
        <w:bidi w:val="0"/>
        <w:spacing w:line="5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磋商小组对供应商的响应文件进行初审，以确定其是否满足磋商文件的实质性要求。初审表如下：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357"/>
        <w:gridCol w:w="3866"/>
        <w:gridCol w:w="2601"/>
      </w:tblGrid>
      <w:tr w14:paraId="2364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CB0803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right="-1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初审表</w:t>
            </w:r>
          </w:p>
        </w:tc>
      </w:tr>
      <w:tr w14:paraId="4FB3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0757C07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right="-1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rPr>
              <w:t>序号</w:t>
            </w:r>
          </w:p>
        </w:tc>
        <w:tc>
          <w:tcPr>
            <w:tcW w:w="796" w:type="pct"/>
            <w:tcBorders>
              <w:bottom w:val="single" w:color="auto" w:sz="4" w:space="0"/>
            </w:tcBorders>
            <w:vAlign w:val="center"/>
          </w:tcPr>
          <w:p w14:paraId="71A5C849">
            <w:pPr>
              <w:pStyle w:val="70"/>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snapToGrid w:val="0"/>
              <w:spacing w:before="0" w:beforeAutospacing="0" w:after="0" w:afterAutospacing="0" w:line="520" w:lineRule="exact"/>
              <w:ind w:left="0" w:right="-10" w:rightChars="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审查因素</w:t>
            </w:r>
          </w:p>
        </w:tc>
        <w:tc>
          <w:tcPr>
            <w:tcW w:w="2268" w:type="pct"/>
            <w:tcBorders>
              <w:bottom w:val="single" w:color="auto" w:sz="4" w:space="0"/>
            </w:tcBorders>
            <w:vAlign w:val="center"/>
          </w:tcPr>
          <w:p w14:paraId="665977D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right="-1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审查内容</w:t>
            </w:r>
          </w:p>
        </w:tc>
        <w:tc>
          <w:tcPr>
            <w:tcW w:w="1524" w:type="pct"/>
            <w:tcBorders>
              <w:bottom w:val="single" w:color="auto" w:sz="4" w:space="0"/>
            </w:tcBorders>
            <w:vAlign w:val="center"/>
          </w:tcPr>
          <w:p w14:paraId="106DD17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right="-1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rPr>
              <w:t>格式要求</w:t>
            </w:r>
          </w:p>
        </w:tc>
      </w:tr>
      <w:tr w14:paraId="21EC6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162677D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1</w:t>
            </w:r>
          </w:p>
        </w:tc>
        <w:tc>
          <w:tcPr>
            <w:tcW w:w="796" w:type="pct"/>
            <w:tcBorders>
              <w:bottom w:val="single" w:color="auto" w:sz="4" w:space="0"/>
            </w:tcBorders>
            <w:vAlign w:val="center"/>
          </w:tcPr>
          <w:p w14:paraId="622C4873">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2268" w:type="pct"/>
            <w:tcBorders>
              <w:bottom w:val="single" w:color="auto" w:sz="4" w:space="0"/>
            </w:tcBorders>
            <w:vAlign w:val="center"/>
          </w:tcPr>
          <w:p w14:paraId="1D2DE3D3">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供有效的营业执照；</w:t>
            </w:r>
          </w:p>
          <w:p w14:paraId="613C5876">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供有效的事业单位法人证书；</w:t>
            </w:r>
          </w:p>
          <w:p w14:paraId="775551C0">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登记证书等证明文件；</w:t>
            </w:r>
          </w:p>
          <w:p w14:paraId="677882D6">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供有效的个体工商户营业执照；</w:t>
            </w:r>
          </w:p>
          <w:p w14:paraId="48AC310F">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供有效的自然人身份证明。</w:t>
            </w:r>
          </w:p>
        </w:tc>
        <w:tc>
          <w:tcPr>
            <w:tcW w:w="1524" w:type="pct"/>
            <w:tcBorders>
              <w:bottom w:val="single" w:color="auto" w:sz="4" w:space="0"/>
            </w:tcBorders>
            <w:vAlign w:val="center"/>
          </w:tcPr>
          <w:p w14:paraId="5D8ACA40">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74F5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585B2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2</w:t>
            </w:r>
          </w:p>
        </w:tc>
        <w:tc>
          <w:tcPr>
            <w:tcW w:w="796" w:type="pct"/>
            <w:vAlign w:val="center"/>
          </w:tcPr>
          <w:p w14:paraId="25610BD7">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供应商资格声明书</w:t>
            </w:r>
          </w:p>
        </w:tc>
        <w:tc>
          <w:tcPr>
            <w:tcW w:w="2268" w:type="pct"/>
            <w:vAlign w:val="center"/>
          </w:tcPr>
          <w:p w14:paraId="6C1E3D48">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524" w:type="pct"/>
            <w:vAlign w:val="center"/>
          </w:tcPr>
          <w:p w14:paraId="43644E8B">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0FB3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AA7ACD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3</w:t>
            </w:r>
          </w:p>
        </w:tc>
        <w:tc>
          <w:tcPr>
            <w:tcW w:w="796" w:type="pct"/>
            <w:vAlign w:val="center"/>
          </w:tcPr>
          <w:p w14:paraId="03A6D295">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249572E7">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3条中</w:t>
            </w:r>
            <w:r>
              <w:rPr>
                <w:rFonts w:hint="eastAsia" w:ascii="宋体" w:hAnsi="宋体" w:eastAsia="宋体" w:cs="宋体"/>
                <w:color w:val="auto"/>
                <w:sz w:val="24"/>
                <w:szCs w:val="24"/>
                <w:highlight w:val="none"/>
              </w:rPr>
              <w:t>的不良信用记录情形</w:t>
            </w:r>
          </w:p>
        </w:tc>
        <w:tc>
          <w:tcPr>
            <w:tcW w:w="1524" w:type="pct"/>
            <w:vAlign w:val="center"/>
          </w:tcPr>
          <w:p w14:paraId="4FB2374A">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7715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715EC9F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right="-10" w:rightChars="0"/>
              <w:jc w:val="center"/>
              <w:rPr>
                <w:rFonts w:hint="eastAsia" w:ascii="宋体" w:hAnsi="宋体" w:eastAsia="宋体" w:cs="宋体"/>
                <w:color w:val="auto"/>
                <w:kern w:val="2"/>
                <w:sz w:val="24"/>
                <w:szCs w:val="24"/>
                <w:highlight w:val="none"/>
              </w:rPr>
            </w:pPr>
            <w:r>
              <w:rPr>
                <w:rFonts w:hint="eastAsia" w:cs="宋体"/>
                <w:color w:val="auto"/>
                <w:sz w:val="24"/>
                <w:szCs w:val="24"/>
                <w:highlight w:val="none"/>
                <w:lang w:val="en-US" w:eastAsia="zh-CN"/>
              </w:rPr>
              <w:t>4</w:t>
            </w:r>
          </w:p>
        </w:tc>
        <w:tc>
          <w:tcPr>
            <w:tcW w:w="796" w:type="pct"/>
            <w:vAlign w:val="center"/>
          </w:tcPr>
          <w:p w14:paraId="6265C776">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spacing w:val="10"/>
                <w:sz w:val="24"/>
                <w:szCs w:val="24"/>
                <w:highlight w:val="none"/>
              </w:rPr>
              <w:t>其他特定资格要求</w:t>
            </w:r>
          </w:p>
        </w:tc>
        <w:tc>
          <w:tcPr>
            <w:tcW w:w="2268" w:type="pct"/>
            <w:vAlign w:val="center"/>
          </w:tcPr>
          <w:p w14:paraId="3EFEB7CC">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spacing w:val="10"/>
                <w:sz w:val="24"/>
                <w:szCs w:val="24"/>
                <w:highlight w:val="none"/>
              </w:rPr>
              <w:t>见第一章《</w:t>
            </w:r>
            <w:r>
              <w:rPr>
                <w:rFonts w:hint="eastAsia" w:ascii="宋体" w:hAnsi="宋体" w:eastAsia="宋体" w:cs="宋体"/>
                <w:color w:val="auto"/>
                <w:spacing w:val="10"/>
                <w:sz w:val="24"/>
                <w:szCs w:val="24"/>
                <w:highlight w:val="none"/>
                <w:lang w:val="en-US" w:eastAsia="zh-CN"/>
              </w:rPr>
              <w:t>磋商</w:t>
            </w:r>
            <w:r>
              <w:rPr>
                <w:rFonts w:hint="eastAsia" w:ascii="宋体" w:hAnsi="宋体" w:eastAsia="宋体" w:cs="宋体"/>
                <w:color w:val="auto"/>
                <w:spacing w:val="10"/>
                <w:sz w:val="24"/>
                <w:szCs w:val="24"/>
                <w:highlight w:val="none"/>
              </w:rPr>
              <w:t>邀请》</w:t>
            </w:r>
          </w:p>
        </w:tc>
        <w:tc>
          <w:tcPr>
            <w:tcW w:w="1524" w:type="pct"/>
            <w:vAlign w:val="center"/>
          </w:tcPr>
          <w:p w14:paraId="2AFBB798">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宋体"/>
                <w:b w:val="0"/>
                <w:bCs w:val="0"/>
                <w:color w:val="auto"/>
                <w:sz w:val="24"/>
                <w:szCs w:val="24"/>
                <w:highlight w:val="none"/>
                <w:lang w:eastAsia="zh-CN"/>
              </w:rPr>
              <w:t>。</w:t>
            </w:r>
          </w:p>
        </w:tc>
      </w:tr>
      <w:tr w14:paraId="70DC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5BC618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right="-10" w:rightChars="0"/>
              <w:jc w:val="center"/>
              <w:rPr>
                <w:rFonts w:hint="eastAsia" w:ascii="宋体" w:hAnsi="宋体" w:eastAsia="宋体" w:cs="宋体"/>
                <w:color w:val="auto"/>
                <w:kern w:val="2"/>
                <w:sz w:val="24"/>
                <w:szCs w:val="24"/>
                <w:highlight w:val="none"/>
                <w:lang w:eastAsia="zh-CN"/>
              </w:rPr>
            </w:pPr>
            <w:r>
              <w:rPr>
                <w:rFonts w:hint="eastAsia" w:cs="宋体"/>
                <w:color w:val="auto"/>
                <w:kern w:val="2"/>
                <w:sz w:val="24"/>
                <w:szCs w:val="24"/>
                <w:highlight w:val="none"/>
                <w:lang w:val="en-US" w:eastAsia="zh-CN"/>
              </w:rPr>
              <w:t>5</w:t>
            </w:r>
          </w:p>
        </w:tc>
        <w:tc>
          <w:tcPr>
            <w:tcW w:w="796" w:type="pct"/>
            <w:vAlign w:val="center"/>
          </w:tcPr>
          <w:p w14:paraId="5A47965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授权书</w:t>
            </w:r>
          </w:p>
        </w:tc>
        <w:tc>
          <w:tcPr>
            <w:tcW w:w="2268" w:type="pct"/>
            <w:vAlign w:val="center"/>
          </w:tcPr>
          <w:p w14:paraId="220598AE">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right="-10" w:rightChars="0"/>
              <w:jc w:val="both"/>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格式、填写要求符合磋商文件规定并加盖供应商电子签章</w:t>
            </w:r>
          </w:p>
        </w:tc>
        <w:tc>
          <w:tcPr>
            <w:tcW w:w="1524" w:type="pct"/>
            <w:vAlign w:val="center"/>
          </w:tcPr>
          <w:p w14:paraId="63591154">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right="-10" w:rightChars="0"/>
              <w:jc w:val="both"/>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法定代表人参加磋商的无需此件，提供身份证明即可。详见第六章响应文件格式。</w:t>
            </w:r>
          </w:p>
        </w:tc>
      </w:tr>
      <w:tr w14:paraId="39AA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A950E5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right="-10" w:rightChars="0"/>
              <w:jc w:val="center"/>
              <w:rPr>
                <w:rFonts w:hint="eastAsia" w:ascii="宋体" w:hAnsi="宋体" w:eastAsia="宋体" w:cs="宋体"/>
                <w:color w:val="auto"/>
                <w:kern w:val="2"/>
                <w:sz w:val="24"/>
                <w:szCs w:val="24"/>
                <w:highlight w:val="none"/>
                <w:lang w:eastAsia="zh-CN"/>
              </w:rPr>
            </w:pPr>
            <w:r>
              <w:rPr>
                <w:rFonts w:hint="eastAsia" w:cs="宋体"/>
                <w:color w:val="auto"/>
                <w:kern w:val="2"/>
                <w:sz w:val="24"/>
                <w:szCs w:val="24"/>
                <w:highlight w:val="none"/>
                <w:lang w:val="en-US" w:eastAsia="zh-CN"/>
              </w:rPr>
              <w:t>6</w:t>
            </w:r>
          </w:p>
        </w:tc>
        <w:tc>
          <w:tcPr>
            <w:tcW w:w="796" w:type="pct"/>
            <w:vAlign w:val="center"/>
          </w:tcPr>
          <w:p w14:paraId="211CDD7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响应函</w:t>
            </w:r>
          </w:p>
        </w:tc>
        <w:tc>
          <w:tcPr>
            <w:tcW w:w="2268" w:type="pct"/>
            <w:vAlign w:val="center"/>
          </w:tcPr>
          <w:p w14:paraId="26A52CCE">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right="-10" w:rightChars="0"/>
              <w:jc w:val="both"/>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符合磋商文件要求。</w:t>
            </w:r>
          </w:p>
        </w:tc>
        <w:tc>
          <w:tcPr>
            <w:tcW w:w="1524" w:type="pct"/>
            <w:vAlign w:val="center"/>
          </w:tcPr>
          <w:p w14:paraId="0FCB5454">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right="-10" w:rightChars="0"/>
              <w:jc w:val="both"/>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详见第六章响应文件格式</w:t>
            </w:r>
          </w:p>
        </w:tc>
      </w:tr>
      <w:tr w14:paraId="17E2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C3B560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right="-10" w:rightChars="0"/>
              <w:jc w:val="center"/>
              <w:rPr>
                <w:rFonts w:hint="eastAsia" w:ascii="宋体" w:hAnsi="宋体" w:eastAsia="宋体" w:cs="宋体"/>
                <w:color w:val="auto"/>
                <w:kern w:val="2"/>
                <w:sz w:val="24"/>
                <w:szCs w:val="24"/>
                <w:highlight w:val="none"/>
                <w:lang w:eastAsia="zh-CN"/>
              </w:rPr>
            </w:pPr>
            <w:r>
              <w:rPr>
                <w:rFonts w:hint="eastAsia" w:cs="宋体"/>
                <w:color w:val="auto"/>
                <w:sz w:val="24"/>
                <w:szCs w:val="24"/>
                <w:highlight w:val="none"/>
                <w:lang w:val="en-US" w:eastAsia="zh-CN"/>
              </w:rPr>
              <w:t>7</w:t>
            </w:r>
          </w:p>
        </w:tc>
        <w:tc>
          <w:tcPr>
            <w:tcW w:w="796" w:type="pct"/>
            <w:vAlign w:val="center"/>
          </w:tcPr>
          <w:p w14:paraId="339EC71B">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p>
        </w:tc>
        <w:tc>
          <w:tcPr>
            <w:tcW w:w="2268" w:type="pct"/>
            <w:vAlign w:val="center"/>
          </w:tcPr>
          <w:p w14:paraId="4D1848FD">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要求</w:t>
            </w:r>
          </w:p>
        </w:tc>
        <w:tc>
          <w:tcPr>
            <w:tcW w:w="1524" w:type="pct"/>
            <w:vAlign w:val="center"/>
          </w:tcPr>
          <w:p w14:paraId="1199F70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right="-10" w:rightChars="0"/>
              <w:jc w:val="center"/>
              <w:rPr>
                <w:rFonts w:hint="eastAsia" w:ascii="宋体" w:hAnsi="宋体" w:eastAsia="宋体" w:cs="宋体"/>
                <w:color w:val="auto"/>
                <w:kern w:val="2"/>
                <w:sz w:val="24"/>
                <w:szCs w:val="24"/>
                <w:highlight w:val="none"/>
              </w:rPr>
            </w:pPr>
          </w:p>
        </w:tc>
      </w:tr>
      <w:tr w14:paraId="7BE2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00" w:type="pct"/>
            <w:gridSpan w:val="4"/>
            <w:tcBorders>
              <w:bottom w:val="single" w:color="auto" w:sz="4" w:space="0"/>
            </w:tcBorders>
            <w:vAlign w:val="center"/>
          </w:tcPr>
          <w:p w14:paraId="5FA70D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right="-1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评审指标通过标准：供应商必须通过上述全部指标。</w:t>
            </w:r>
          </w:p>
        </w:tc>
      </w:tr>
    </w:tbl>
    <w:p w14:paraId="6A369236">
      <w:pPr>
        <w:keepNext w:val="0"/>
        <w:keepLines w:val="0"/>
        <w:pageBreakBefore w:val="0"/>
        <w:kinsoku/>
        <w:wordWrap/>
        <w:overflowPunct/>
        <w:topLinePunct w:val="0"/>
        <w:autoSpaceDE/>
        <w:autoSpaceDN/>
        <w:bidi w:val="0"/>
        <w:spacing w:line="520" w:lineRule="exact"/>
        <w:ind w:firstLine="581" w:firstLineChars="241"/>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color w:val="auto"/>
          <w:sz w:val="24"/>
          <w:szCs w:val="24"/>
          <w:highlight w:val="none"/>
        </w:rPr>
        <w:t>供应商拟委任</w:t>
      </w:r>
      <w:r>
        <w:rPr>
          <w:rFonts w:hint="eastAsia" w:ascii="宋体" w:hAnsi="宋体" w:eastAsia="宋体" w:cs="宋体"/>
          <w:b/>
          <w:color w:val="auto"/>
          <w:sz w:val="24"/>
          <w:szCs w:val="24"/>
          <w:highlight w:val="none"/>
          <w:lang w:val="en-US" w:eastAsia="zh-CN"/>
        </w:rPr>
        <w:t>项目经理</w:t>
      </w:r>
      <w:r>
        <w:rPr>
          <w:rFonts w:hint="eastAsia" w:ascii="宋体" w:hAnsi="宋体" w:eastAsia="宋体" w:cs="宋体"/>
          <w:b/>
          <w:color w:val="auto"/>
          <w:sz w:val="24"/>
          <w:szCs w:val="24"/>
          <w:highlight w:val="none"/>
        </w:rPr>
        <w:t>为注册建造师（含一级、二级）的，须提供有效的纸质版电子证书。一级建造师打印电子证书后，应在个人签名处手写本人签名，未手写签名或与签名图像笔迹不一致的，该电子证书无效。</w:t>
      </w:r>
    </w:p>
    <w:p w14:paraId="30ADE43A">
      <w:pPr>
        <w:keepNext w:val="0"/>
        <w:keepLines w:val="0"/>
        <w:pageBreakBefore w:val="0"/>
        <w:kinsoku/>
        <w:wordWrap/>
        <w:overflowPunct/>
        <w:topLinePunct w:val="0"/>
        <w:autoSpaceDE/>
        <w:autoSpaceDN/>
        <w:bidi w:val="0"/>
        <w:spacing w:line="520" w:lineRule="exact"/>
        <w:ind w:firstLine="581" w:firstLineChars="241"/>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供应商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1F0D480D">
      <w:pPr>
        <w:keepNext w:val="0"/>
        <w:keepLines w:val="0"/>
        <w:pageBreakBefore w:val="0"/>
        <w:kinsoku/>
        <w:wordWrap/>
        <w:overflowPunct/>
        <w:topLinePunct w:val="0"/>
        <w:autoSpaceDE/>
        <w:autoSpaceDN/>
        <w:bidi w:val="0"/>
        <w:spacing w:line="520" w:lineRule="exact"/>
        <w:ind w:firstLine="43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初审指标通过标准：</w:t>
      </w:r>
      <w:r>
        <w:rPr>
          <w:rFonts w:hint="eastAsia" w:ascii="宋体" w:hAnsi="宋体" w:eastAsia="宋体" w:cs="宋体"/>
          <w:color w:val="auto"/>
          <w:sz w:val="24"/>
          <w:szCs w:val="24"/>
          <w:highlight w:val="none"/>
        </w:rPr>
        <w:t>供应商必须通过初审表中的全部评审指标。</w:t>
      </w:r>
    </w:p>
    <w:p w14:paraId="118333B3">
      <w:pPr>
        <w:keepNext w:val="0"/>
        <w:keepLines w:val="0"/>
        <w:pageBreakBefore w:val="0"/>
        <w:kinsoku/>
        <w:wordWrap/>
        <w:overflowPunct/>
        <w:topLinePunct w:val="0"/>
        <w:autoSpaceDE/>
        <w:autoSpaceDN/>
        <w:bidi w:val="0"/>
        <w:spacing w:line="520" w:lineRule="exact"/>
        <w:ind w:firstLine="435"/>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2.2综合评分</w:t>
      </w:r>
    </w:p>
    <w:p w14:paraId="5BB6273C">
      <w:pPr>
        <w:keepNext w:val="0"/>
        <w:keepLines w:val="0"/>
        <w:pageBreakBefore w:val="0"/>
        <w:kinsoku/>
        <w:wordWrap/>
        <w:overflowPunct/>
        <w:topLinePunct w:val="0"/>
        <w:autoSpaceDE/>
        <w:autoSpaceDN/>
        <w:bidi w:val="0"/>
        <w:spacing w:line="5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2.2.1磋商小组按照下表对进入综合评分的所有供应商的响应文件进行综合评分。</w:t>
      </w:r>
    </w:p>
    <w:p w14:paraId="2461496A">
      <w:pPr>
        <w:keepNext w:val="0"/>
        <w:keepLines w:val="0"/>
        <w:pageBreakBefore w:val="0"/>
        <w:kinsoku/>
        <w:wordWrap/>
        <w:overflowPunct/>
        <w:topLinePunct w:val="0"/>
        <w:autoSpaceDE/>
        <w:autoSpaceDN/>
        <w:bidi w:val="0"/>
        <w:spacing w:line="5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2.2.2本项目综合评分满分为100分，其中：技术资信分值占总分值的权重为</w:t>
      </w:r>
      <w:r>
        <w:rPr>
          <w:rFonts w:hint="eastAsia" w:cs="宋体"/>
          <w:color w:val="auto"/>
          <w:sz w:val="24"/>
          <w:szCs w:val="24"/>
          <w:highlight w:val="none"/>
          <w:u w:val="single"/>
          <w:lang w:val="en-US" w:eastAsia="zh-CN"/>
        </w:rPr>
        <w:t>59</w:t>
      </w:r>
      <w:r>
        <w:rPr>
          <w:rFonts w:hint="eastAsia" w:ascii="宋体" w:hAnsi="宋体" w:eastAsia="宋体" w:cs="宋体"/>
          <w:color w:val="auto"/>
          <w:sz w:val="24"/>
          <w:szCs w:val="24"/>
          <w:highlight w:val="none"/>
        </w:rPr>
        <w:t>%，价格分值占总分值的权重为</w:t>
      </w:r>
      <w:r>
        <w:rPr>
          <w:rFonts w:hint="eastAsia" w:cs="宋体"/>
          <w:color w:val="auto"/>
          <w:sz w:val="24"/>
          <w:szCs w:val="24"/>
          <w:highlight w:val="none"/>
          <w:u w:val="single"/>
          <w:lang w:val="en-US" w:eastAsia="zh-CN"/>
        </w:rPr>
        <w:t>41</w:t>
      </w:r>
      <w:r>
        <w:rPr>
          <w:rFonts w:hint="eastAsia" w:ascii="宋体" w:hAnsi="宋体" w:eastAsia="宋体" w:cs="宋体"/>
          <w:color w:val="auto"/>
          <w:sz w:val="24"/>
          <w:szCs w:val="24"/>
          <w:highlight w:val="none"/>
        </w:rPr>
        <w:t>%。具体评分细则如下：</w:t>
      </w:r>
    </w:p>
    <w:tbl>
      <w:tblPr>
        <w:tblStyle w:val="56"/>
        <w:tblW w:w="61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1750"/>
        <w:gridCol w:w="6772"/>
        <w:gridCol w:w="881"/>
      </w:tblGrid>
      <w:tr w14:paraId="769A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14:paraId="4CAAD4FA">
            <w:pPr>
              <w:keepNext w:val="0"/>
              <w:keepLines w:val="0"/>
              <w:suppressLineNumbers w:val="0"/>
              <w:spacing w:before="0" w:beforeAutospacing="0" w:after="0" w:afterAutospacing="0" w:line="360" w:lineRule="auto"/>
              <w:ind w:left="0" w:right="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类别</w:t>
            </w:r>
          </w:p>
        </w:tc>
        <w:tc>
          <w:tcPr>
            <w:tcW w:w="841" w:type="pct"/>
            <w:tcBorders>
              <w:top w:val="single" w:color="auto" w:sz="4" w:space="0"/>
              <w:left w:val="single" w:color="auto" w:sz="4" w:space="0"/>
              <w:bottom w:val="single" w:color="auto" w:sz="4" w:space="0"/>
              <w:right w:val="single" w:color="auto" w:sz="4" w:space="0"/>
            </w:tcBorders>
            <w:noWrap w:val="0"/>
            <w:vAlign w:val="center"/>
          </w:tcPr>
          <w:p w14:paraId="3B587087">
            <w:pPr>
              <w:keepNext w:val="0"/>
              <w:keepLines w:val="0"/>
              <w:suppressLineNumbers w:val="0"/>
              <w:spacing w:before="0" w:beforeAutospacing="0" w:after="0" w:afterAutospacing="0" w:line="360" w:lineRule="auto"/>
              <w:ind w:left="0" w:right="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评分内容</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07C8B39A">
            <w:pPr>
              <w:keepNext w:val="0"/>
              <w:keepLines w:val="0"/>
              <w:suppressLineNumbers w:val="0"/>
              <w:spacing w:before="0" w:beforeAutospacing="0" w:after="0" w:afterAutospacing="0" w:line="360" w:lineRule="auto"/>
              <w:ind w:left="0" w:right="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评分标准</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11C4E92B">
            <w:pPr>
              <w:keepNext w:val="0"/>
              <w:keepLines w:val="0"/>
              <w:suppressLineNumbers w:val="0"/>
              <w:spacing w:before="0" w:beforeAutospacing="0" w:after="0" w:afterAutospacing="0" w:line="360" w:lineRule="auto"/>
              <w:ind w:left="0" w:right="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分值范围</w:t>
            </w:r>
          </w:p>
        </w:tc>
      </w:tr>
      <w:tr w14:paraId="5463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Merge w:val="restart"/>
            <w:tcBorders>
              <w:top w:val="single" w:color="auto" w:sz="4" w:space="0"/>
              <w:left w:val="single" w:color="auto" w:sz="4" w:space="0"/>
              <w:right w:val="single" w:color="auto" w:sz="4" w:space="0"/>
            </w:tcBorders>
            <w:noWrap w:val="0"/>
            <w:vAlign w:val="center"/>
          </w:tcPr>
          <w:p w14:paraId="56409271">
            <w:pPr>
              <w:keepNext w:val="0"/>
              <w:keepLines w:val="0"/>
              <w:suppressLineNumbers w:val="0"/>
              <w:spacing w:before="0" w:beforeAutospacing="0" w:after="0" w:afterAutospacing="0" w:line="360" w:lineRule="auto"/>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技术资信分</w:t>
            </w:r>
          </w:p>
          <w:p w14:paraId="0A073181">
            <w:pPr>
              <w:keepNext w:val="0"/>
              <w:keepLines w:val="0"/>
              <w:suppressLineNumbers w:val="0"/>
              <w:spacing w:before="0" w:beforeAutospacing="0" w:after="0" w:afterAutospacing="0" w:line="360" w:lineRule="auto"/>
              <w:ind w:left="0" w:right="0"/>
              <w:jc w:val="center"/>
              <w:rPr>
                <w:rFonts w:hint="default" w:ascii="宋体" w:hAnsi="宋体" w:eastAsia="宋体"/>
                <w:b/>
                <w:bCs/>
                <w:color w:val="auto"/>
                <w:sz w:val="24"/>
                <w:szCs w:val="20"/>
                <w:highlight w:val="none"/>
              </w:rPr>
            </w:pPr>
            <w:r>
              <w:rPr>
                <w:rFonts w:hint="eastAsia" w:ascii="宋体" w:hAnsi="宋体" w:eastAsia="宋体"/>
                <w:color w:val="auto"/>
                <w:sz w:val="24"/>
                <w:szCs w:val="20"/>
                <w:highlight w:val="none"/>
              </w:rPr>
              <w:t>（</w:t>
            </w:r>
            <w:r>
              <w:rPr>
                <w:rFonts w:hint="eastAsia"/>
                <w:color w:val="auto"/>
                <w:sz w:val="24"/>
                <w:szCs w:val="20"/>
                <w:highlight w:val="none"/>
                <w:u w:val="single"/>
                <w:lang w:val="en-US" w:eastAsia="zh-CN"/>
              </w:rPr>
              <w:t>59</w:t>
            </w:r>
            <w:r>
              <w:rPr>
                <w:rFonts w:hint="eastAsia" w:ascii="宋体" w:hAnsi="宋体" w:eastAsia="宋体"/>
                <w:color w:val="auto"/>
                <w:sz w:val="24"/>
                <w:szCs w:val="20"/>
                <w:highlight w:val="none"/>
              </w:rPr>
              <w:t>分）</w:t>
            </w:r>
          </w:p>
        </w:tc>
        <w:tc>
          <w:tcPr>
            <w:tcW w:w="841" w:type="pct"/>
            <w:tcBorders>
              <w:top w:val="single" w:color="auto" w:sz="4" w:space="0"/>
              <w:left w:val="single" w:color="auto" w:sz="4" w:space="0"/>
              <w:bottom w:val="single" w:color="auto" w:sz="4" w:space="0"/>
              <w:right w:val="single" w:color="auto" w:sz="4" w:space="0"/>
            </w:tcBorders>
            <w:noWrap w:val="0"/>
            <w:vAlign w:val="center"/>
          </w:tcPr>
          <w:p w14:paraId="2A67B463">
            <w:pPr>
              <w:keepNext w:val="0"/>
              <w:keepLines w:val="0"/>
              <w:widowControl/>
              <w:suppressLineNumbers w:val="0"/>
              <w:spacing w:before="0" w:beforeAutospacing="0" w:after="0" w:afterAutospacing="0" w:line="440" w:lineRule="exact"/>
              <w:ind w:left="0" w:right="0"/>
              <w:textAlignment w:val="baseline"/>
              <w:rPr>
                <w:rFonts w:hint="default" w:ascii="宋体" w:hAnsi="宋体" w:eastAsia="宋体"/>
                <w:bCs/>
                <w:color w:val="auto"/>
                <w:sz w:val="24"/>
                <w:szCs w:val="20"/>
                <w:highlight w:val="none"/>
              </w:rPr>
            </w:pPr>
            <w:r>
              <w:rPr>
                <w:rFonts w:hint="eastAsia" w:ascii="宋体" w:hAnsi="宋体" w:eastAsia="宋体"/>
                <w:bCs/>
                <w:color w:val="auto"/>
                <w:sz w:val="24"/>
                <w:szCs w:val="20"/>
                <w:highlight w:val="none"/>
                <w:lang w:eastAsia="zh-CN"/>
              </w:rPr>
              <w:t>供应商</w:t>
            </w:r>
            <w:r>
              <w:rPr>
                <w:rFonts w:hint="eastAsia" w:ascii="宋体" w:hAnsi="宋体" w:eastAsia="宋体"/>
                <w:bCs/>
                <w:color w:val="auto"/>
                <w:sz w:val="24"/>
                <w:szCs w:val="20"/>
                <w:highlight w:val="none"/>
              </w:rPr>
              <w:t>业绩</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592F02BF">
            <w:pPr>
              <w:keepNext w:val="0"/>
              <w:keepLines w:val="0"/>
              <w:suppressLineNumbers w:val="0"/>
              <w:spacing w:before="0" w:beforeAutospacing="0" w:after="0" w:afterAutospacing="0" w:line="360" w:lineRule="auto"/>
              <w:ind w:left="0" w:right="0"/>
              <w:jc w:val="left"/>
              <w:rPr>
                <w:rFonts w:hint="eastAsia" w:ascii="宋体" w:hAnsi="宋体" w:eastAsia="宋体"/>
                <w:bCs/>
                <w:color w:val="auto"/>
                <w:sz w:val="24"/>
                <w:szCs w:val="20"/>
                <w:highlight w:val="none"/>
              </w:rPr>
            </w:pPr>
            <w:r>
              <w:rPr>
                <w:rFonts w:hint="eastAsia" w:ascii="宋体" w:hAnsi="宋体" w:eastAsia="宋体"/>
                <w:bCs/>
                <w:color w:val="auto"/>
                <w:sz w:val="24"/>
                <w:szCs w:val="20"/>
                <w:highlight w:val="none"/>
              </w:rPr>
              <w:t>自20</w:t>
            </w:r>
            <w:r>
              <w:rPr>
                <w:rFonts w:hint="eastAsia"/>
                <w:bCs/>
                <w:color w:val="auto"/>
                <w:sz w:val="24"/>
                <w:szCs w:val="20"/>
                <w:highlight w:val="none"/>
                <w:lang w:val="en-US" w:eastAsia="zh-CN"/>
              </w:rPr>
              <w:t>20</w:t>
            </w:r>
            <w:r>
              <w:rPr>
                <w:rFonts w:hint="eastAsia" w:ascii="宋体" w:hAnsi="宋体" w:eastAsia="宋体"/>
                <w:bCs/>
                <w:color w:val="auto"/>
                <w:sz w:val="24"/>
                <w:szCs w:val="20"/>
                <w:highlight w:val="none"/>
              </w:rPr>
              <w:t>年1</w:t>
            </w:r>
            <w:r>
              <w:rPr>
                <w:rFonts w:hint="eastAsia"/>
                <w:bCs/>
                <w:color w:val="auto"/>
                <w:sz w:val="24"/>
                <w:szCs w:val="20"/>
                <w:highlight w:val="none"/>
                <w:lang w:val="en-US" w:eastAsia="zh-CN"/>
              </w:rPr>
              <w:t>0</w:t>
            </w:r>
            <w:r>
              <w:rPr>
                <w:rFonts w:hint="eastAsia" w:ascii="宋体" w:hAnsi="宋体" w:eastAsia="宋体"/>
                <w:bCs/>
                <w:color w:val="auto"/>
                <w:sz w:val="24"/>
                <w:szCs w:val="20"/>
                <w:highlight w:val="none"/>
              </w:rPr>
              <w:t>月1日至响应截止时间止，每提供一个建筑装修装饰工程业绩</w:t>
            </w:r>
            <w:r>
              <w:rPr>
                <w:rFonts w:hint="eastAsia"/>
                <w:bCs/>
                <w:color w:val="auto"/>
                <w:sz w:val="24"/>
                <w:szCs w:val="20"/>
                <w:highlight w:val="none"/>
                <w:lang w:eastAsia="zh-CN"/>
              </w:rPr>
              <w:t>【</w:t>
            </w:r>
            <w:r>
              <w:rPr>
                <w:rFonts w:hint="eastAsia"/>
                <w:bCs/>
                <w:color w:val="auto"/>
                <w:sz w:val="24"/>
                <w:szCs w:val="20"/>
                <w:highlight w:val="none"/>
                <w:lang w:val="en-US" w:eastAsia="zh-CN"/>
              </w:rPr>
              <w:t>合同内容至少包括装饰装修、暖通及净化工程（至少</w:t>
            </w:r>
            <w:r>
              <w:rPr>
                <w:rFonts w:hint="eastAsia" w:asciiTheme="minorEastAsia" w:hAnsiTheme="minorEastAsia" w:eastAsiaTheme="minorEastAsia"/>
                <w:color w:val="auto"/>
                <w:kern w:val="2"/>
                <w:sz w:val="24"/>
                <w:szCs w:val="22"/>
                <w:highlight w:val="none"/>
              </w:rPr>
              <w:t>含有生化、免疫、微生物实验室等</w:t>
            </w:r>
            <w:r>
              <w:rPr>
                <w:rFonts w:hint="eastAsia" w:asciiTheme="minorEastAsia" w:hAnsiTheme="minorEastAsia" w:eastAsiaTheme="minorEastAsia"/>
                <w:color w:val="auto"/>
                <w:kern w:val="2"/>
                <w:sz w:val="24"/>
                <w:szCs w:val="22"/>
                <w:highlight w:val="none"/>
                <w:lang w:val="en-US" w:eastAsia="zh-CN"/>
              </w:rPr>
              <w:t>内容</w:t>
            </w:r>
            <w:r>
              <w:rPr>
                <w:rFonts w:hint="eastAsia"/>
                <w:bCs/>
                <w:color w:val="auto"/>
                <w:sz w:val="24"/>
                <w:szCs w:val="20"/>
                <w:highlight w:val="none"/>
                <w:lang w:val="en-US" w:eastAsia="zh-CN"/>
              </w:rPr>
              <w:t>）</w:t>
            </w:r>
            <w:r>
              <w:rPr>
                <w:rFonts w:hint="eastAsia"/>
                <w:bCs/>
                <w:color w:val="auto"/>
                <w:sz w:val="24"/>
                <w:szCs w:val="20"/>
                <w:highlight w:val="none"/>
                <w:lang w:eastAsia="zh-CN"/>
              </w:rPr>
              <w:t>】</w:t>
            </w:r>
            <w:r>
              <w:rPr>
                <w:rFonts w:hint="eastAsia" w:ascii="宋体" w:hAnsi="宋体" w:eastAsia="宋体"/>
                <w:bCs/>
                <w:color w:val="auto"/>
                <w:sz w:val="24"/>
                <w:szCs w:val="20"/>
                <w:highlight w:val="none"/>
              </w:rPr>
              <w:t>得2分，满分4分。</w:t>
            </w:r>
          </w:p>
          <w:p w14:paraId="606B3AF5">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4"/>
                <w:szCs w:val="24"/>
                <w:highlight w:val="none"/>
                <w:lang w:eastAsia="zh-CN"/>
              </w:rPr>
            </w:pPr>
            <w:r>
              <w:rPr>
                <w:rFonts w:hint="eastAsia" w:cs="宋体"/>
                <w:bCs/>
                <w:color w:val="auto"/>
                <w:sz w:val="24"/>
                <w:szCs w:val="24"/>
                <w:highlight w:val="none"/>
                <w:lang w:val="en-US" w:eastAsia="zh-CN"/>
              </w:rPr>
              <w:t>注：</w:t>
            </w: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1</w:t>
            </w:r>
            <w:r>
              <w:rPr>
                <w:rFonts w:hint="eastAsia" w:cs="宋体"/>
                <w:bCs/>
                <w:color w:val="auto"/>
                <w:sz w:val="24"/>
                <w:szCs w:val="24"/>
                <w:highlight w:val="none"/>
                <w:lang w:eastAsia="zh-CN"/>
              </w:rPr>
              <w:t>）</w:t>
            </w:r>
            <w:r>
              <w:rPr>
                <w:rFonts w:hint="eastAsia" w:ascii="宋体" w:hAnsi="宋体" w:eastAsia="宋体" w:cs="宋体"/>
                <w:bCs/>
                <w:color w:val="auto"/>
                <w:sz w:val="24"/>
                <w:szCs w:val="24"/>
                <w:highlight w:val="none"/>
              </w:rPr>
              <w:t>提供以下证明材料扫描件：合同关键页（包括但不限于封面页、内容页</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如合同中无法体现项目类型等内容</w:t>
            </w: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须提供工程量清单材料，如工程量清单材料也</w:t>
            </w:r>
            <w:r>
              <w:rPr>
                <w:rFonts w:hint="eastAsia" w:ascii="宋体" w:hAnsi="宋体" w:eastAsia="宋体" w:cs="宋体"/>
                <w:bCs/>
                <w:color w:val="auto"/>
                <w:sz w:val="24"/>
                <w:szCs w:val="24"/>
                <w:highlight w:val="none"/>
              </w:rPr>
              <w:t>无法体现项目类型等内容，须另外提供加盖业主单位公章的证明材料</w:t>
            </w:r>
            <w:r>
              <w:rPr>
                <w:rFonts w:hint="eastAsia" w:cs="宋体"/>
                <w:bCs/>
                <w:color w:val="auto"/>
                <w:sz w:val="24"/>
                <w:szCs w:val="24"/>
                <w:highlight w:val="none"/>
                <w:lang w:eastAsia="zh-CN"/>
              </w:rPr>
              <w:t>（</w:t>
            </w:r>
            <w:r>
              <w:rPr>
                <w:rFonts w:hint="eastAsia" w:ascii="宋体" w:hAnsi="宋体" w:eastAsia="宋体" w:cs="宋体"/>
                <w:bCs/>
                <w:color w:val="auto"/>
                <w:sz w:val="24"/>
                <w:szCs w:val="24"/>
                <w:highlight w:val="none"/>
              </w:rPr>
              <w:t>材料</w:t>
            </w:r>
            <w:r>
              <w:rPr>
                <w:rFonts w:hint="eastAsia" w:ascii="宋体" w:hAnsi="宋体" w:eastAsia="宋体" w:cs="宋体"/>
                <w:bCs/>
                <w:color w:val="auto"/>
                <w:sz w:val="24"/>
                <w:szCs w:val="24"/>
                <w:highlight w:val="none"/>
                <w:lang w:val="en-US" w:eastAsia="zh-CN"/>
              </w:rPr>
              <w:t>中须</w:t>
            </w:r>
            <w:r>
              <w:rPr>
                <w:rFonts w:hint="eastAsia" w:cs="宋体"/>
                <w:bCs/>
                <w:color w:val="auto"/>
                <w:sz w:val="24"/>
                <w:szCs w:val="24"/>
                <w:highlight w:val="none"/>
                <w:lang w:val="en-US" w:eastAsia="zh-CN"/>
              </w:rPr>
              <w:t>明确业主单位联系人及联系电话</w:t>
            </w:r>
            <w:r>
              <w:rPr>
                <w:rFonts w:hint="eastAsia" w:cs="宋体"/>
                <w:bCs/>
                <w:color w:val="auto"/>
                <w:sz w:val="24"/>
                <w:szCs w:val="24"/>
                <w:highlight w:val="none"/>
                <w:lang w:eastAsia="zh-CN"/>
              </w:rPr>
              <w:t>）</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业绩时间以</w:t>
            </w:r>
            <w:r>
              <w:rPr>
                <w:rFonts w:hint="eastAsia" w:ascii="宋体" w:hAnsi="宋体" w:eastAsia="宋体" w:cs="宋体"/>
                <w:bCs/>
                <w:color w:val="auto"/>
                <w:sz w:val="24"/>
                <w:szCs w:val="24"/>
                <w:highlight w:val="none"/>
                <w:lang w:eastAsia="zh-CN"/>
              </w:rPr>
              <w:t>合同签订时间为准。</w:t>
            </w:r>
          </w:p>
          <w:p w14:paraId="3606AF01">
            <w:pPr>
              <w:keepNext w:val="0"/>
              <w:keepLines w:val="0"/>
              <w:suppressLineNumbers w:val="0"/>
              <w:spacing w:before="0" w:beforeAutospacing="0" w:after="0" w:afterAutospacing="0" w:line="360" w:lineRule="auto"/>
              <w:ind w:left="0" w:right="0"/>
              <w:jc w:val="left"/>
              <w:rPr>
                <w:rFonts w:hint="default" w:ascii="宋体" w:hAnsi="宋体" w:eastAsia="宋体"/>
                <w:bCs/>
                <w:color w:val="auto"/>
                <w:sz w:val="24"/>
                <w:szCs w:val="20"/>
                <w:highlight w:val="none"/>
              </w:rPr>
            </w:pP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2</w:t>
            </w:r>
            <w:r>
              <w:rPr>
                <w:rFonts w:hint="eastAsia" w:cs="宋体"/>
                <w:bCs/>
                <w:color w:val="auto"/>
                <w:sz w:val="24"/>
                <w:szCs w:val="24"/>
                <w:highlight w:val="none"/>
                <w:lang w:eastAsia="zh-CN"/>
              </w:rPr>
              <w:t>）提供的项目业绩只计算评标分值对应的项目数量（</w:t>
            </w:r>
            <w:r>
              <w:rPr>
                <w:rFonts w:hint="eastAsia" w:cs="宋体"/>
                <w:bCs/>
                <w:color w:val="auto"/>
                <w:sz w:val="24"/>
                <w:szCs w:val="24"/>
                <w:highlight w:val="none"/>
                <w:lang w:val="en-US" w:eastAsia="zh-CN"/>
              </w:rPr>
              <w:t>2个</w:t>
            </w:r>
            <w:r>
              <w:rPr>
                <w:rFonts w:hint="eastAsia" w:cs="宋体"/>
                <w:bCs/>
                <w:color w:val="auto"/>
                <w:sz w:val="24"/>
                <w:szCs w:val="24"/>
                <w:highlight w:val="none"/>
                <w:lang w:eastAsia="zh-CN"/>
              </w:rPr>
              <w:t>），按照排列顺序从首个业绩开始评审至对应数量（2个），超出部分不进行评审。对应数量（2个）内业绩不符合磋商文件要求不得分的，不再补充评审超出部分业绩。如：提供</w:t>
            </w:r>
            <w:r>
              <w:rPr>
                <w:rFonts w:hint="eastAsia" w:cs="宋体"/>
                <w:bCs/>
                <w:color w:val="auto"/>
                <w:sz w:val="24"/>
                <w:szCs w:val="24"/>
                <w:highlight w:val="none"/>
                <w:lang w:val="en-US" w:eastAsia="zh-CN"/>
              </w:rPr>
              <w:t>2</w:t>
            </w:r>
            <w:r>
              <w:rPr>
                <w:rFonts w:hint="eastAsia" w:cs="宋体"/>
                <w:bCs/>
                <w:color w:val="auto"/>
                <w:sz w:val="24"/>
                <w:szCs w:val="24"/>
                <w:highlight w:val="none"/>
                <w:lang w:eastAsia="zh-CN"/>
              </w:rPr>
              <w:t>个业绩即得满分的，按照响应文件排序评审第一、</w:t>
            </w:r>
            <w:r>
              <w:rPr>
                <w:rFonts w:hint="eastAsia" w:cs="宋体"/>
                <w:bCs/>
                <w:color w:val="auto"/>
                <w:sz w:val="24"/>
                <w:szCs w:val="24"/>
                <w:highlight w:val="none"/>
                <w:lang w:val="en-US" w:eastAsia="zh-CN"/>
              </w:rPr>
              <w:t>二</w:t>
            </w:r>
            <w:r>
              <w:rPr>
                <w:rFonts w:hint="eastAsia" w:cs="宋体"/>
                <w:bCs/>
                <w:color w:val="auto"/>
                <w:sz w:val="24"/>
                <w:szCs w:val="24"/>
                <w:highlight w:val="none"/>
                <w:lang w:eastAsia="zh-CN"/>
              </w:rPr>
              <w:t>项业绩，其余超出部分不再评审。</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4018770A">
            <w:pPr>
              <w:keepNext w:val="0"/>
              <w:keepLines w:val="0"/>
              <w:suppressLineNumbers w:val="0"/>
              <w:spacing w:before="0" w:beforeAutospacing="0" w:after="0" w:afterAutospacing="0" w:line="360" w:lineRule="auto"/>
              <w:ind w:left="0" w:right="0"/>
              <w:jc w:val="center"/>
              <w:rPr>
                <w:rFonts w:hint="default" w:ascii="宋体" w:hAnsi="宋体" w:eastAsia="宋体"/>
                <w:b/>
                <w:bCs/>
                <w:color w:val="auto"/>
                <w:sz w:val="24"/>
                <w:szCs w:val="20"/>
                <w:highlight w:val="none"/>
                <w:lang w:val="en-US" w:eastAsia="zh-CN"/>
              </w:rPr>
            </w:pPr>
            <w:r>
              <w:rPr>
                <w:rFonts w:hint="eastAsia"/>
                <w:b/>
                <w:bCs/>
                <w:color w:val="auto"/>
                <w:sz w:val="24"/>
                <w:szCs w:val="20"/>
                <w:highlight w:val="none"/>
                <w:lang w:val="en-US" w:eastAsia="zh-CN"/>
              </w:rPr>
              <w:t>4</w:t>
            </w:r>
            <w:r>
              <w:rPr>
                <w:rFonts w:hint="eastAsia" w:ascii="宋体" w:hAnsi="宋体" w:eastAsia="宋体"/>
                <w:b/>
                <w:bCs/>
                <w:color w:val="auto"/>
                <w:sz w:val="24"/>
                <w:szCs w:val="20"/>
                <w:highlight w:val="none"/>
                <w:lang w:val="en-US" w:eastAsia="zh-CN"/>
              </w:rPr>
              <w:t>分</w:t>
            </w:r>
          </w:p>
        </w:tc>
      </w:tr>
      <w:tr w14:paraId="4EC8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Merge w:val="continue"/>
            <w:tcBorders>
              <w:left w:val="single" w:color="auto" w:sz="4" w:space="0"/>
              <w:right w:val="single" w:color="auto" w:sz="4" w:space="0"/>
            </w:tcBorders>
            <w:noWrap w:val="0"/>
            <w:vAlign w:val="center"/>
          </w:tcPr>
          <w:p w14:paraId="3BC2E114">
            <w:pPr>
              <w:keepNext w:val="0"/>
              <w:keepLines w:val="0"/>
              <w:suppressLineNumbers w:val="0"/>
              <w:spacing w:before="0" w:beforeAutospacing="0" w:after="0" w:afterAutospacing="0" w:line="360" w:lineRule="auto"/>
              <w:ind w:left="0" w:right="0"/>
              <w:jc w:val="center"/>
              <w:rPr>
                <w:rFonts w:hint="eastAsia" w:ascii="宋体" w:hAnsi="宋体" w:eastAsia="宋体"/>
                <w:color w:val="auto"/>
                <w:sz w:val="24"/>
                <w:szCs w:val="20"/>
                <w:highlight w:val="none"/>
              </w:rPr>
            </w:pPr>
          </w:p>
        </w:tc>
        <w:tc>
          <w:tcPr>
            <w:tcW w:w="841" w:type="pct"/>
            <w:tcBorders>
              <w:top w:val="single" w:color="auto" w:sz="4" w:space="0"/>
              <w:left w:val="single" w:color="auto" w:sz="4" w:space="0"/>
              <w:bottom w:val="single" w:color="auto" w:sz="4" w:space="0"/>
              <w:right w:val="single" w:color="auto" w:sz="4" w:space="0"/>
            </w:tcBorders>
            <w:noWrap w:val="0"/>
            <w:vAlign w:val="center"/>
          </w:tcPr>
          <w:p w14:paraId="3DAAD92A">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主要施工方法</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34696D37">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各主要分部施工方法</w:t>
            </w:r>
            <w:r>
              <w:rPr>
                <w:rFonts w:hint="eastAsia" w:ascii="宋体" w:hAnsi="宋体" w:eastAsia="宋体"/>
                <w:bCs/>
                <w:color w:val="auto"/>
                <w:sz w:val="24"/>
                <w:szCs w:val="20"/>
                <w:highlight w:val="none"/>
                <w:lang w:val="en-US" w:eastAsia="zh-CN"/>
              </w:rPr>
              <w:t>优于</w:t>
            </w:r>
            <w:r>
              <w:rPr>
                <w:rFonts w:hint="eastAsia" w:ascii="宋体" w:hAnsi="宋体" w:eastAsia="宋体"/>
                <w:bCs/>
                <w:color w:val="auto"/>
                <w:sz w:val="24"/>
                <w:szCs w:val="20"/>
                <w:highlight w:val="none"/>
                <w:lang w:eastAsia="zh-CN"/>
              </w:rPr>
              <w:t>项目实际，有详尽的施工技术方案，工艺先进、方法科学合理、可行，</w:t>
            </w:r>
            <w:r>
              <w:rPr>
                <w:rFonts w:hint="eastAsia" w:ascii="宋体" w:hAnsi="宋体" w:eastAsia="宋体"/>
                <w:bCs/>
                <w:color w:val="auto"/>
                <w:sz w:val="24"/>
                <w:szCs w:val="20"/>
                <w:highlight w:val="none"/>
                <w:lang w:val="en-US" w:eastAsia="zh-CN"/>
              </w:rPr>
              <w:t>能够高质高效的</w:t>
            </w:r>
            <w:r>
              <w:rPr>
                <w:rFonts w:hint="eastAsia" w:ascii="宋体" w:hAnsi="宋体" w:eastAsia="宋体"/>
                <w:bCs/>
                <w:color w:val="auto"/>
                <w:sz w:val="24"/>
                <w:szCs w:val="20"/>
                <w:highlight w:val="none"/>
                <w:lang w:eastAsia="zh-CN"/>
              </w:rPr>
              <w:t>施工并确保安全</w:t>
            </w:r>
            <w:r>
              <w:rPr>
                <w:rFonts w:hint="eastAsia" w:ascii="宋体" w:hAnsi="宋体" w:eastAsia="宋体"/>
                <w:bCs/>
                <w:color w:val="auto"/>
                <w:sz w:val="24"/>
                <w:szCs w:val="20"/>
                <w:highlight w:val="none"/>
                <w:lang w:val="en-US" w:eastAsia="zh-CN"/>
              </w:rPr>
              <w:t>得5分；</w:t>
            </w:r>
          </w:p>
          <w:p w14:paraId="14F92AE4">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各主要分部施工方法符合项目实际，施工技术方案</w:t>
            </w:r>
            <w:r>
              <w:rPr>
                <w:rFonts w:hint="eastAsia" w:ascii="宋体" w:hAnsi="宋体" w:eastAsia="宋体"/>
                <w:bCs/>
                <w:color w:val="auto"/>
                <w:sz w:val="24"/>
                <w:szCs w:val="20"/>
                <w:highlight w:val="none"/>
                <w:lang w:val="en-US" w:eastAsia="zh-CN"/>
              </w:rPr>
              <w:t>完整</w:t>
            </w:r>
            <w:r>
              <w:rPr>
                <w:rFonts w:hint="eastAsia" w:ascii="宋体" w:hAnsi="宋体" w:eastAsia="宋体"/>
                <w:bCs/>
                <w:color w:val="auto"/>
                <w:sz w:val="24"/>
                <w:szCs w:val="20"/>
                <w:highlight w:val="none"/>
                <w:lang w:eastAsia="zh-CN"/>
              </w:rPr>
              <w:t>，工艺</w:t>
            </w:r>
            <w:r>
              <w:rPr>
                <w:rFonts w:hint="eastAsia" w:ascii="宋体" w:hAnsi="宋体" w:eastAsia="宋体"/>
                <w:bCs/>
                <w:color w:val="auto"/>
                <w:sz w:val="24"/>
                <w:szCs w:val="20"/>
                <w:highlight w:val="none"/>
                <w:lang w:val="en-US" w:eastAsia="zh-CN"/>
              </w:rPr>
              <w:t>符合施工需求</w:t>
            </w:r>
            <w:r>
              <w:rPr>
                <w:rFonts w:hint="eastAsia" w:ascii="宋体" w:hAnsi="宋体" w:eastAsia="宋体"/>
                <w:bCs/>
                <w:color w:val="auto"/>
                <w:sz w:val="24"/>
                <w:szCs w:val="20"/>
                <w:highlight w:val="none"/>
                <w:lang w:eastAsia="zh-CN"/>
              </w:rPr>
              <w:t>、能指导具体施工</w:t>
            </w:r>
            <w:r>
              <w:rPr>
                <w:rFonts w:hint="eastAsia" w:ascii="宋体" w:hAnsi="宋体" w:eastAsia="宋体"/>
                <w:bCs/>
                <w:color w:val="auto"/>
                <w:sz w:val="24"/>
                <w:szCs w:val="20"/>
                <w:highlight w:val="none"/>
                <w:lang w:val="en-US" w:eastAsia="zh-CN"/>
              </w:rPr>
              <w:t>得4分；</w:t>
            </w:r>
          </w:p>
          <w:p w14:paraId="6279657A">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各主要分部施工方法符合项目实际，施工技术方案、工艺</w:t>
            </w:r>
            <w:r>
              <w:rPr>
                <w:rFonts w:hint="eastAsia" w:ascii="宋体" w:hAnsi="宋体" w:eastAsia="宋体"/>
                <w:bCs/>
                <w:color w:val="auto"/>
                <w:sz w:val="24"/>
                <w:szCs w:val="20"/>
                <w:highlight w:val="none"/>
                <w:lang w:val="en-US" w:eastAsia="zh-CN"/>
              </w:rPr>
              <w:t>部分存在不足，有待提升得3分。</w:t>
            </w:r>
          </w:p>
          <w:p w14:paraId="34E93C5A">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不合格的或未提供的不得分。</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17434464">
            <w:pPr>
              <w:keepNext w:val="0"/>
              <w:keepLines w:val="0"/>
              <w:suppressLineNumbers w:val="0"/>
              <w:spacing w:before="0" w:beforeAutospacing="0" w:after="0" w:afterAutospacing="0" w:line="360" w:lineRule="auto"/>
              <w:ind w:left="0" w:right="0"/>
              <w:jc w:val="center"/>
              <w:rPr>
                <w:rFonts w:hint="default" w:ascii="宋体" w:hAnsi="宋体" w:eastAsia="宋体"/>
                <w:b/>
                <w:bCs/>
                <w:color w:val="auto"/>
                <w:sz w:val="24"/>
                <w:szCs w:val="20"/>
                <w:highlight w:val="none"/>
                <w:lang w:val="en-US" w:eastAsia="zh-CN"/>
              </w:rPr>
            </w:pPr>
            <w:r>
              <w:rPr>
                <w:rFonts w:hint="eastAsia"/>
                <w:b/>
                <w:bCs/>
                <w:color w:val="auto"/>
                <w:sz w:val="24"/>
                <w:szCs w:val="20"/>
                <w:highlight w:val="none"/>
                <w:lang w:val="en-US" w:eastAsia="zh-CN"/>
              </w:rPr>
              <w:t>5</w:t>
            </w:r>
            <w:r>
              <w:rPr>
                <w:rFonts w:hint="eastAsia" w:ascii="宋体" w:hAnsi="宋体" w:eastAsia="宋体"/>
                <w:b/>
                <w:bCs/>
                <w:color w:val="auto"/>
                <w:sz w:val="24"/>
                <w:szCs w:val="20"/>
                <w:highlight w:val="none"/>
                <w:lang w:val="en-US" w:eastAsia="zh-CN"/>
              </w:rPr>
              <w:t>分</w:t>
            </w:r>
          </w:p>
        </w:tc>
      </w:tr>
      <w:tr w14:paraId="5D4D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Merge w:val="continue"/>
            <w:tcBorders>
              <w:left w:val="single" w:color="auto" w:sz="4" w:space="0"/>
              <w:right w:val="single" w:color="auto" w:sz="4" w:space="0"/>
            </w:tcBorders>
            <w:noWrap w:val="0"/>
            <w:vAlign w:val="center"/>
          </w:tcPr>
          <w:p w14:paraId="3DCCDFB8">
            <w:pPr>
              <w:keepNext w:val="0"/>
              <w:keepLines w:val="0"/>
              <w:suppressLineNumbers w:val="0"/>
              <w:spacing w:before="0" w:beforeAutospacing="0" w:after="0" w:afterAutospacing="0" w:line="360" w:lineRule="auto"/>
              <w:ind w:left="0" w:right="0"/>
              <w:jc w:val="center"/>
              <w:rPr>
                <w:rFonts w:hint="eastAsia" w:ascii="宋体" w:hAnsi="宋体" w:eastAsia="宋体"/>
                <w:color w:val="auto"/>
                <w:sz w:val="24"/>
                <w:szCs w:val="20"/>
                <w:highlight w:val="none"/>
              </w:rPr>
            </w:pPr>
          </w:p>
        </w:tc>
        <w:tc>
          <w:tcPr>
            <w:tcW w:w="841" w:type="pct"/>
            <w:tcBorders>
              <w:top w:val="single" w:color="auto" w:sz="4" w:space="0"/>
              <w:left w:val="single" w:color="auto" w:sz="4" w:space="0"/>
              <w:bottom w:val="single" w:color="auto" w:sz="4" w:space="0"/>
              <w:right w:val="single" w:color="auto" w:sz="4" w:space="0"/>
            </w:tcBorders>
            <w:noWrap w:val="0"/>
            <w:vAlign w:val="center"/>
          </w:tcPr>
          <w:p w14:paraId="7E61D751">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拟投入的主要施工机械、设备计划</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1EA5A77E">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投入的施工机械、设备、机具有详细计划且计划周密，设备数量</w:t>
            </w:r>
            <w:r>
              <w:rPr>
                <w:rFonts w:hint="eastAsia" w:ascii="宋体" w:hAnsi="宋体" w:eastAsia="宋体"/>
                <w:bCs/>
                <w:color w:val="auto"/>
                <w:sz w:val="24"/>
                <w:szCs w:val="20"/>
                <w:highlight w:val="none"/>
                <w:lang w:val="en-US" w:eastAsia="zh-CN"/>
              </w:rPr>
              <w:t>充足</w:t>
            </w:r>
            <w:r>
              <w:rPr>
                <w:rFonts w:hint="eastAsia" w:ascii="宋体" w:hAnsi="宋体" w:eastAsia="宋体"/>
                <w:bCs/>
                <w:color w:val="auto"/>
                <w:sz w:val="24"/>
                <w:szCs w:val="20"/>
                <w:highlight w:val="none"/>
                <w:lang w:eastAsia="zh-CN"/>
              </w:rPr>
              <w:t>、选型配置、进场数量、时间合理、</w:t>
            </w:r>
            <w:r>
              <w:rPr>
                <w:rFonts w:hint="eastAsia" w:ascii="宋体" w:hAnsi="宋体" w:eastAsia="宋体"/>
                <w:bCs/>
                <w:color w:val="auto"/>
                <w:sz w:val="24"/>
                <w:szCs w:val="20"/>
                <w:highlight w:val="none"/>
                <w:lang w:val="en-US" w:eastAsia="zh-CN"/>
              </w:rPr>
              <w:t>优于</w:t>
            </w:r>
            <w:r>
              <w:rPr>
                <w:rFonts w:hint="eastAsia" w:ascii="宋体" w:hAnsi="宋体" w:eastAsia="宋体"/>
                <w:bCs/>
                <w:color w:val="auto"/>
                <w:sz w:val="24"/>
                <w:szCs w:val="20"/>
                <w:highlight w:val="none"/>
                <w:lang w:eastAsia="zh-CN"/>
              </w:rPr>
              <w:t>施工需要</w:t>
            </w:r>
            <w:r>
              <w:rPr>
                <w:rFonts w:hint="eastAsia" w:ascii="宋体" w:hAnsi="宋体" w:eastAsia="宋体"/>
                <w:bCs/>
                <w:color w:val="auto"/>
                <w:sz w:val="24"/>
                <w:szCs w:val="20"/>
                <w:highlight w:val="none"/>
                <w:lang w:val="en-US" w:eastAsia="zh-CN"/>
              </w:rPr>
              <w:t>得5分；</w:t>
            </w:r>
          </w:p>
          <w:p w14:paraId="64D95BCD">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投入的施工机械、设备、机具有计划且计划</w:t>
            </w:r>
            <w:r>
              <w:rPr>
                <w:rFonts w:hint="eastAsia" w:ascii="宋体" w:hAnsi="宋体" w:eastAsia="宋体"/>
                <w:bCs/>
                <w:color w:val="auto"/>
                <w:sz w:val="24"/>
                <w:szCs w:val="20"/>
                <w:highlight w:val="none"/>
                <w:lang w:val="en-US" w:eastAsia="zh-CN"/>
              </w:rPr>
              <w:t>完整</w:t>
            </w:r>
            <w:r>
              <w:rPr>
                <w:rFonts w:hint="eastAsia" w:ascii="宋体" w:hAnsi="宋体" w:eastAsia="宋体"/>
                <w:bCs/>
                <w:color w:val="auto"/>
                <w:sz w:val="24"/>
                <w:szCs w:val="20"/>
                <w:highlight w:val="none"/>
                <w:lang w:eastAsia="zh-CN"/>
              </w:rPr>
              <w:t>，设备数量</w:t>
            </w:r>
            <w:r>
              <w:rPr>
                <w:rFonts w:hint="eastAsia" w:ascii="宋体" w:hAnsi="宋体" w:eastAsia="宋体"/>
                <w:bCs/>
                <w:color w:val="auto"/>
                <w:sz w:val="24"/>
                <w:szCs w:val="20"/>
                <w:highlight w:val="none"/>
                <w:lang w:val="en-US" w:eastAsia="zh-CN"/>
              </w:rPr>
              <w:t>适中</w:t>
            </w:r>
            <w:r>
              <w:rPr>
                <w:rFonts w:hint="eastAsia" w:ascii="宋体" w:hAnsi="宋体" w:eastAsia="宋体"/>
                <w:bCs/>
                <w:color w:val="auto"/>
                <w:sz w:val="24"/>
                <w:szCs w:val="20"/>
                <w:highlight w:val="none"/>
                <w:lang w:eastAsia="zh-CN"/>
              </w:rPr>
              <w:t>、选型配置、进场数量、时间</w:t>
            </w:r>
            <w:r>
              <w:rPr>
                <w:rFonts w:hint="eastAsia" w:ascii="宋体" w:hAnsi="宋体" w:eastAsia="宋体"/>
                <w:bCs/>
                <w:color w:val="auto"/>
                <w:sz w:val="24"/>
                <w:szCs w:val="20"/>
                <w:highlight w:val="none"/>
                <w:lang w:val="en-US" w:eastAsia="zh-CN"/>
              </w:rPr>
              <w:t>安排合理</w:t>
            </w:r>
            <w:r>
              <w:rPr>
                <w:rFonts w:hint="eastAsia" w:ascii="宋体" w:hAnsi="宋体" w:eastAsia="宋体"/>
                <w:bCs/>
                <w:color w:val="auto"/>
                <w:sz w:val="24"/>
                <w:szCs w:val="20"/>
                <w:highlight w:val="none"/>
                <w:lang w:eastAsia="zh-CN"/>
              </w:rPr>
              <w:t>、</w:t>
            </w:r>
            <w:r>
              <w:rPr>
                <w:rFonts w:hint="eastAsia" w:ascii="宋体" w:hAnsi="宋体" w:eastAsia="宋体"/>
                <w:bCs/>
                <w:color w:val="auto"/>
                <w:sz w:val="24"/>
                <w:szCs w:val="20"/>
                <w:highlight w:val="none"/>
                <w:lang w:val="en-US" w:eastAsia="zh-CN"/>
              </w:rPr>
              <w:t>能够</w:t>
            </w:r>
            <w:r>
              <w:rPr>
                <w:rFonts w:hint="eastAsia" w:ascii="宋体" w:hAnsi="宋体" w:eastAsia="宋体"/>
                <w:bCs/>
                <w:color w:val="auto"/>
                <w:sz w:val="24"/>
                <w:szCs w:val="20"/>
                <w:highlight w:val="none"/>
                <w:lang w:eastAsia="zh-CN"/>
              </w:rPr>
              <w:t>满足施工需要</w:t>
            </w:r>
            <w:r>
              <w:rPr>
                <w:rFonts w:hint="eastAsia" w:ascii="宋体" w:hAnsi="宋体" w:eastAsia="宋体"/>
                <w:bCs/>
                <w:color w:val="auto"/>
                <w:sz w:val="24"/>
                <w:szCs w:val="20"/>
                <w:highlight w:val="none"/>
                <w:lang w:val="en-US" w:eastAsia="zh-CN"/>
              </w:rPr>
              <w:t>得4分；</w:t>
            </w:r>
          </w:p>
          <w:p w14:paraId="429A16BE">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投入的施工机械、设备、机具、选型配置、进场数量、时间</w:t>
            </w:r>
            <w:r>
              <w:rPr>
                <w:rFonts w:hint="eastAsia" w:ascii="宋体" w:hAnsi="宋体" w:eastAsia="宋体"/>
                <w:bCs/>
                <w:color w:val="auto"/>
                <w:sz w:val="24"/>
                <w:szCs w:val="20"/>
                <w:highlight w:val="none"/>
                <w:lang w:val="en-US" w:eastAsia="zh-CN"/>
              </w:rPr>
              <w:t>部分存在缺失，有待完善得3分。</w:t>
            </w:r>
          </w:p>
          <w:p w14:paraId="0A60CBB7">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不合格的或未提供的不得分。</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7C37B865">
            <w:pPr>
              <w:keepNext w:val="0"/>
              <w:keepLines w:val="0"/>
              <w:suppressLineNumbers w:val="0"/>
              <w:spacing w:before="0" w:beforeAutospacing="0" w:after="0" w:afterAutospacing="0" w:line="360" w:lineRule="auto"/>
              <w:ind w:left="0" w:right="0"/>
              <w:jc w:val="center"/>
              <w:rPr>
                <w:rFonts w:hint="default" w:ascii="宋体" w:hAnsi="宋体" w:eastAsia="宋体"/>
                <w:b/>
                <w:bCs/>
                <w:color w:val="auto"/>
                <w:sz w:val="24"/>
                <w:szCs w:val="20"/>
                <w:highlight w:val="none"/>
                <w:lang w:val="en-US" w:eastAsia="zh-CN"/>
              </w:rPr>
            </w:pPr>
            <w:r>
              <w:rPr>
                <w:rFonts w:hint="eastAsia"/>
                <w:b/>
                <w:bCs/>
                <w:color w:val="auto"/>
                <w:sz w:val="24"/>
                <w:szCs w:val="20"/>
                <w:highlight w:val="none"/>
                <w:lang w:val="en-US" w:eastAsia="zh-CN"/>
              </w:rPr>
              <w:t>5</w:t>
            </w:r>
            <w:r>
              <w:rPr>
                <w:rFonts w:hint="eastAsia" w:ascii="宋体" w:hAnsi="宋体" w:eastAsia="宋体"/>
                <w:b/>
                <w:bCs/>
                <w:color w:val="auto"/>
                <w:sz w:val="24"/>
                <w:szCs w:val="20"/>
                <w:highlight w:val="none"/>
                <w:lang w:val="en-US" w:eastAsia="zh-CN"/>
              </w:rPr>
              <w:t>分</w:t>
            </w:r>
          </w:p>
        </w:tc>
      </w:tr>
      <w:tr w14:paraId="57E7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Merge w:val="continue"/>
            <w:tcBorders>
              <w:left w:val="single" w:color="auto" w:sz="4" w:space="0"/>
              <w:right w:val="single" w:color="auto" w:sz="4" w:space="0"/>
            </w:tcBorders>
            <w:noWrap w:val="0"/>
            <w:vAlign w:val="center"/>
          </w:tcPr>
          <w:p w14:paraId="5CF2ED76">
            <w:pPr>
              <w:keepNext w:val="0"/>
              <w:keepLines w:val="0"/>
              <w:suppressLineNumbers w:val="0"/>
              <w:spacing w:before="0" w:beforeAutospacing="0" w:after="0" w:afterAutospacing="0" w:line="360" w:lineRule="auto"/>
              <w:ind w:left="0" w:right="0"/>
              <w:jc w:val="center"/>
              <w:rPr>
                <w:rFonts w:hint="eastAsia" w:ascii="宋体" w:hAnsi="宋体" w:eastAsia="宋体"/>
                <w:color w:val="auto"/>
                <w:sz w:val="24"/>
                <w:szCs w:val="20"/>
                <w:highlight w:val="none"/>
              </w:rPr>
            </w:pPr>
          </w:p>
        </w:tc>
        <w:tc>
          <w:tcPr>
            <w:tcW w:w="841" w:type="pct"/>
            <w:tcBorders>
              <w:top w:val="single" w:color="auto" w:sz="4" w:space="0"/>
              <w:left w:val="single" w:color="auto" w:sz="4" w:space="0"/>
              <w:bottom w:val="single" w:color="auto" w:sz="4" w:space="0"/>
              <w:right w:val="single" w:color="auto" w:sz="4" w:space="0"/>
            </w:tcBorders>
            <w:noWrap w:val="0"/>
            <w:vAlign w:val="center"/>
          </w:tcPr>
          <w:p w14:paraId="352EC779">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劳动力安排计划</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3E6D1424">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各主要施工工序应有详细周密的劳动力安排计划明细，有各工种劳动力安排计划，</w:t>
            </w:r>
            <w:r>
              <w:rPr>
                <w:rFonts w:hint="eastAsia" w:ascii="宋体" w:hAnsi="宋体" w:eastAsia="宋体"/>
                <w:bCs/>
                <w:color w:val="auto"/>
                <w:sz w:val="24"/>
                <w:szCs w:val="20"/>
                <w:highlight w:val="none"/>
                <w:lang w:val="en-US" w:eastAsia="zh-CN"/>
              </w:rPr>
              <w:t>计划完整周密</w:t>
            </w:r>
            <w:r>
              <w:rPr>
                <w:rFonts w:hint="eastAsia" w:ascii="宋体" w:hAnsi="宋体" w:eastAsia="宋体"/>
                <w:bCs/>
                <w:color w:val="auto"/>
                <w:sz w:val="24"/>
                <w:szCs w:val="20"/>
                <w:highlight w:val="none"/>
                <w:lang w:eastAsia="zh-CN"/>
              </w:rPr>
              <w:t>，劳动力投入经济</w:t>
            </w:r>
            <w:r>
              <w:rPr>
                <w:rFonts w:hint="eastAsia" w:ascii="宋体" w:hAnsi="宋体" w:eastAsia="宋体"/>
                <w:bCs/>
                <w:color w:val="auto"/>
                <w:sz w:val="24"/>
                <w:szCs w:val="20"/>
                <w:highlight w:val="none"/>
                <w:lang w:val="en-US" w:eastAsia="zh-CN"/>
              </w:rPr>
              <w:t>高效</w:t>
            </w:r>
            <w:r>
              <w:rPr>
                <w:rFonts w:hint="eastAsia" w:ascii="宋体" w:hAnsi="宋体" w:eastAsia="宋体"/>
                <w:bCs/>
                <w:color w:val="auto"/>
                <w:sz w:val="24"/>
                <w:szCs w:val="20"/>
                <w:highlight w:val="none"/>
                <w:lang w:eastAsia="zh-CN"/>
              </w:rPr>
              <w:t>，</w:t>
            </w:r>
            <w:r>
              <w:rPr>
                <w:rFonts w:hint="eastAsia" w:ascii="宋体" w:hAnsi="宋体" w:eastAsia="宋体"/>
                <w:bCs/>
                <w:color w:val="auto"/>
                <w:sz w:val="24"/>
                <w:szCs w:val="20"/>
                <w:highlight w:val="none"/>
                <w:lang w:val="en-US" w:eastAsia="zh-CN"/>
              </w:rPr>
              <w:t>优于</w:t>
            </w:r>
            <w:r>
              <w:rPr>
                <w:rFonts w:hint="eastAsia" w:ascii="宋体" w:hAnsi="宋体" w:eastAsia="宋体"/>
                <w:bCs/>
                <w:color w:val="auto"/>
                <w:sz w:val="24"/>
                <w:szCs w:val="20"/>
                <w:highlight w:val="none"/>
                <w:lang w:eastAsia="zh-CN"/>
              </w:rPr>
              <w:t>施工需要</w:t>
            </w:r>
            <w:r>
              <w:rPr>
                <w:rFonts w:hint="eastAsia" w:ascii="宋体" w:hAnsi="宋体" w:eastAsia="宋体"/>
                <w:bCs/>
                <w:color w:val="auto"/>
                <w:sz w:val="24"/>
                <w:szCs w:val="20"/>
                <w:highlight w:val="none"/>
                <w:lang w:val="en-US" w:eastAsia="zh-CN"/>
              </w:rPr>
              <w:t>得5分；</w:t>
            </w:r>
          </w:p>
          <w:p w14:paraId="2FBE9CE4">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各主要施工工序有劳动力安排计划</w:t>
            </w:r>
            <w:r>
              <w:rPr>
                <w:rFonts w:hint="eastAsia" w:ascii="宋体" w:hAnsi="宋体" w:eastAsia="宋体"/>
                <w:bCs/>
                <w:color w:val="auto"/>
                <w:sz w:val="24"/>
                <w:szCs w:val="20"/>
                <w:highlight w:val="none"/>
                <w:lang w:val="en-US" w:eastAsia="zh-CN"/>
              </w:rPr>
              <w:t>且计划完整</w:t>
            </w:r>
            <w:r>
              <w:rPr>
                <w:rFonts w:hint="eastAsia" w:ascii="宋体" w:hAnsi="宋体" w:eastAsia="宋体"/>
                <w:bCs/>
                <w:color w:val="auto"/>
                <w:sz w:val="24"/>
                <w:szCs w:val="20"/>
                <w:highlight w:val="none"/>
                <w:lang w:eastAsia="zh-CN"/>
              </w:rPr>
              <w:t>，劳动力投入合理，</w:t>
            </w:r>
            <w:r>
              <w:rPr>
                <w:rFonts w:hint="eastAsia" w:ascii="宋体" w:hAnsi="宋体" w:eastAsia="宋体"/>
                <w:bCs/>
                <w:color w:val="auto"/>
                <w:sz w:val="24"/>
                <w:szCs w:val="20"/>
                <w:highlight w:val="none"/>
                <w:lang w:val="en-US" w:eastAsia="zh-CN"/>
              </w:rPr>
              <w:t>能够</w:t>
            </w:r>
            <w:r>
              <w:rPr>
                <w:rFonts w:hint="eastAsia" w:ascii="宋体" w:hAnsi="宋体" w:eastAsia="宋体"/>
                <w:bCs/>
                <w:color w:val="auto"/>
                <w:sz w:val="24"/>
                <w:szCs w:val="20"/>
                <w:highlight w:val="none"/>
                <w:lang w:eastAsia="zh-CN"/>
              </w:rPr>
              <w:t>满足施工需要</w:t>
            </w:r>
            <w:r>
              <w:rPr>
                <w:rFonts w:hint="eastAsia" w:ascii="宋体" w:hAnsi="宋体" w:eastAsia="宋体"/>
                <w:bCs/>
                <w:color w:val="auto"/>
                <w:sz w:val="24"/>
                <w:szCs w:val="20"/>
                <w:highlight w:val="none"/>
                <w:lang w:val="en-US" w:eastAsia="zh-CN"/>
              </w:rPr>
              <w:t>得4分；</w:t>
            </w:r>
          </w:p>
          <w:p w14:paraId="27A1D85D">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各主要施工工序</w:t>
            </w:r>
            <w:r>
              <w:rPr>
                <w:rFonts w:hint="eastAsia" w:ascii="宋体" w:hAnsi="宋体" w:eastAsia="宋体"/>
                <w:bCs/>
                <w:color w:val="auto"/>
                <w:sz w:val="24"/>
                <w:szCs w:val="20"/>
                <w:highlight w:val="none"/>
                <w:lang w:val="en-US" w:eastAsia="zh-CN"/>
              </w:rPr>
              <w:t>有基础的</w:t>
            </w:r>
            <w:r>
              <w:rPr>
                <w:rFonts w:hint="eastAsia" w:ascii="宋体" w:hAnsi="宋体" w:eastAsia="宋体"/>
                <w:bCs/>
                <w:color w:val="auto"/>
                <w:sz w:val="24"/>
                <w:szCs w:val="20"/>
                <w:highlight w:val="none"/>
                <w:lang w:eastAsia="zh-CN"/>
              </w:rPr>
              <w:t>劳动力安排计划，</w:t>
            </w:r>
            <w:r>
              <w:rPr>
                <w:rFonts w:hint="eastAsia" w:ascii="宋体" w:hAnsi="宋体" w:eastAsia="宋体"/>
                <w:bCs/>
                <w:color w:val="auto"/>
                <w:sz w:val="24"/>
                <w:szCs w:val="20"/>
                <w:highlight w:val="none"/>
                <w:lang w:val="en-US" w:eastAsia="zh-CN"/>
              </w:rPr>
              <w:t>但部分存在不足，有待提升的得3分。</w:t>
            </w:r>
          </w:p>
          <w:p w14:paraId="787C99A5">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不合格的或未提供的不得分。</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353A9AB3">
            <w:pPr>
              <w:keepNext w:val="0"/>
              <w:keepLines w:val="0"/>
              <w:suppressLineNumbers w:val="0"/>
              <w:spacing w:before="0" w:beforeAutospacing="0" w:after="0" w:afterAutospacing="0" w:line="360" w:lineRule="auto"/>
              <w:ind w:left="0" w:right="0"/>
              <w:jc w:val="center"/>
              <w:rPr>
                <w:rFonts w:hint="default" w:ascii="宋体" w:hAnsi="宋体" w:eastAsia="宋体"/>
                <w:b/>
                <w:bCs/>
                <w:color w:val="auto"/>
                <w:sz w:val="24"/>
                <w:szCs w:val="20"/>
                <w:highlight w:val="none"/>
                <w:lang w:val="en-US" w:eastAsia="zh-CN"/>
              </w:rPr>
            </w:pPr>
            <w:r>
              <w:rPr>
                <w:rFonts w:hint="eastAsia"/>
                <w:b/>
                <w:bCs/>
                <w:color w:val="auto"/>
                <w:sz w:val="24"/>
                <w:szCs w:val="20"/>
                <w:highlight w:val="none"/>
                <w:lang w:val="en-US" w:eastAsia="zh-CN"/>
              </w:rPr>
              <w:t>5</w:t>
            </w:r>
            <w:r>
              <w:rPr>
                <w:rFonts w:hint="eastAsia" w:ascii="宋体" w:hAnsi="宋体" w:eastAsia="宋体"/>
                <w:b/>
                <w:bCs/>
                <w:color w:val="auto"/>
                <w:sz w:val="24"/>
                <w:szCs w:val="20"/>
                <w:highlight w:val="none"/>
                <w:lang w:val="en-US" w:eastAsia="zh-CN"/>
              </w:rPr>
              <w:t>分</w:t>
            </w:r>
          </w:p>
        </w:tc>
      </w:tr>
      <w:tr w14:paraId="3242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Merge w:val="continue"/>
            <w:tcBorders>
              <w:left w:val="single" w:color="auto" w:sz="4" w:space="0"/>
              <w:right w:val="single" w:color="auto" w:sz="4" w:space="0"/>
            </w:tcBorders>
            <w:noWrap w:val="0"/>
            <w:vAlign w:val="center"/>
          </w:tcPr>
          <w:p w14:paraId="7F2857B6">
            <w:pPr>
              <w:keepNext w:val="0"/>
              <w:keepLines w:val="0"/>
              <w:suppressLineNumbers w:val="0"/>
              <w:spacing w:before="0" w:beforeAutospacing="0" w:after="0" w:afterAutospacing="0" w:line="360" w:lineRule="auto"/>
              <w:ind w:left="0" w:right="0"/>
              <w:jc w:val="center"/>
              <w:rPr>
                <w:rFonts w:hint="eastAsia" w:ascii="宋体" w:hAnsi="宋体" w:eastAsia="宋体"/>
                <w:color w:val="auto"/>
                <w:sz w:val="24"/>
                <w:szCs w:val="20"/>
                <w:highlight w:val="none"/>
              </w:rPr>
            </w:pPr>
          </w:p>
        </w:tc>
        <w:tc>
          <w:tcPr>
            <w:tcW w:w="841" w:type="pct"/>
            <w:tcBorders>
              <w:top w:val="single" w:color="auto" w:sz="4" w:space="0"/>
              <w:left w:val="single" w:color="auto" w:sz="4" w:space="0"/>
              <w:bottom w:val="single" w:color="auto" w:sz="4" w:space="0"/>
              <w:right w:val="single" w:color="auto" w:sz="4" w:space="0"/>
            </w:tcBorders>
            <w:noWrap w:val="0"/>
            <w:vAlign w:val="center"/>
          </w:tcPr>
          <w:p w14:paraId="3B50C654">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确保工程质量的技术组织措施</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4DB35E24">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施工项目有专门的质量技术管理班子和制度，且人员配备合理，制度健全，主要工序应有质量技术保证措施和手段，自控体系</w:t>
            </w:r>
            <w:r>
              <w:rPr>
                <w:rFonts w:hint="eastAsia" w:ascii="宋体" w:hAnsi="宋体" w:eastAsia="宋体"/>
                <w:bCs/>
                <w:color w:val="auto"/>
                <w:sz w:val="24"/>
                <w:szCs w:val="20"/>
                <w:highlight w:val="none"/>
                <w:lang w:val="en-US" w:eastAsia="zh-CN"/>
              </w:rPr>
              <w:t>完善</w:t>
            </w:r>
            <w:r>
              <w:rPr>
                <w:rFonts w:hint="eastAsia" w:ascii="宋体" w:hAnsi="宋体" w:eastAsia="宋体"/>
                <w:bCs/>
                <w:color w:val="auto"/>
                <w:sz w:val="24"/>
                <w:szCs w:val="20"/>
                <w:highlight w:val="none"/>
                <w:lang w:eastAsia="zh-CN"/>
              </w:rPr>
              <w:t>，能有效的保证技术质量，</w:t>
            </w:r>
            <w:r>
              <w:rPr>
                <w:rFonts w:hint="eastAsia" w:ascii="宋体" w:hAnsi="宋体" w:eastAsia="宋体"/>
                <w:bCs/>
                <w:color w:val="auto"/>
                <w:sz w:val="24"/>
                <w:szCs w:val="20"/>
                <w:highlight w:val="none"/>
                <w:lang w:val="en-US" w:eastAsia="zh-CN"/>
              </w:rPr>
              <w:t>优于</w:t>
            </w:r>
            <w:r>
              <w:rPr>
                <w:rFonts w:hint="eastAsia" w:ascii="宋体" w:hAnsi="宋体" w:eastAsia="宋体"/>
                <w:bCs/>
                <w:color w:val="auto"/>
                <w:sz w:val="24"/>
                <w:szCs w:val="20"/>
                <w:highlight w:val="none"/>
                <w:lang w:eastAsia="zh-CN"/>
              </w:rPr>
              <w:t>质量标准</w:t>
            </w:r>
            <w:r>
              <w:rPr>
                <w:rFonts w:hint="eastAsia" w:ascii="宋体" w:hAnsi="宋体" w:eastAsia="宋体"/>
                <w:bCs/>
                <w:color w:val="auto"/>
                <w:sz w:val="24"/>
                <w:szCs w:val="20"/>
                <w:highlight w:val="none"/>
                <w:lang w:val="en-US" w:eastAsia="zh-CN"/>
              </w:rPr>
              <w:t>得5分；</w:t>
            </w:r>
          </w:p>
          <w:p w14:paraId="4E3C8876">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施工项目</w:t>
            </w:r>
            <w:r>
              <w:rPr>
                <w:rFonts w:hint="eastAsia" w:ascii="宋体" w:hAnsi="宋体" w:eastAsia="宋体"/>
                <w:bCs/>
                <w:color w:val="auto"/>
                <w:sz w:val="24"/>
                <w:szCs w:val="20"/>
                <w:highlight w:val="none"/>
                <w:lang w:val="en-US" w:eastAsia="zh-CN"/>
              </w:rPr>
              <w:t>有</w:t>
            </w:r>
            <w:r>
              <w:rPr>
                <w:rFonts w:hint="eastAsia" w:ascii="宋体" w:hAnsi="宋体" w:eastAsia="宋体"/>
                <w:bCs/>
                <w:color w:val="auto"/>
                <w:sz w:val="24"/>
                <w:szCs w:val="20"/>
                <w:highlight w:val="none"/>
                <w:lang w:eastAsia="zh-CN"/>
              </w:rPr>
              <w:t>专门的质量技术管理班子和制度，且人员配备</w:t>
            </w:r>
            <w:r>
              <w:rPr>
                <w:rFonts w:hint="eastAsia" w:ascii="宋体" w:hAnsi="宋体" w:eastAsia="宋体"/>
                <w:bCs/>
                <w:color w:val="auto"/>
                <w:sz w:val="24"/>
                <w:szCs w:val="20"/>
                <w:highlight w:val="none"/>
                <w:lang w:val="en-US" w:eastAsia="zh-CN"/>
              </w:rPr>
              <w:t>适中</w:t>
            </w:r>
            <w:r>
              <w:rPr>
                <w:rFonts w:hint="eastAsia" w:ascii="宋体" w:hAnsi="宋体" w:eastAsia="宋体"/>
                <w:bCs/>
                <w:color w:val="auto"/>
                <w:sz w:val="24"/>
                <w:szCs w:val="20"/>
                <w:highlight w:val="none"/>
                <w:lang w:eastAsia="zh-CN"/>
              </w:rPr>
              <w:t>，制度</w:t>
            </w:r>
            <w:r>
              <w:rPr>
                <w:rFonts w:hint="eastAsia" w:ascii="宋体" w:hAnsi="宋体" w:eastAsia="宋体"/>
                <w:bCs/>
                <w:color w:val="auto"/>
                <w:sz w:val="24"/>
                <w:szCs w:val="20"/>
                <w:highlight w:val="none"/>
                <w:lang w:val="en-US" w:eastAsia="zh-CN"/>
              </w:rPr>
              <w:t>完整</w:t>
            </w:r>
            <w:r>
              <w:rPr>
                <w:rFonts w:hint="eastAsia" w:ascii="宋体" w:hAnsi="宋体" w:eastAsia="宋体"/>
                <w:bCs/>
                <w:color w:val="auto"/>
                <w:sz w:val="24"/>
                <w:szCs w:val="20"/>
                <w:highlight w:val="none"/>
                <w:lang w:eastAsia="zh-CN"/>
              </w:rPr>
              <w:t>，主要工序应有质量技术保证措施和手段，能</w:t>
            </w:r>
            <w:r>
              <w:rPr>
                <w:rFonts w:hint="eastAsia" w:ascii="宋体" w:hAnsi="宋体" w:eastAsia="宋体"/>
                <w:bCs/>
                <w:color w:val="auto"/>
                <w:sz w:val="24"/>
                <w:szCs w:val="20"/>
                <w:highlight w:val="none"/>
                <w:lang w:val="en-US" w:eastAsia="zh-CN"/>
              </w:rPr>
              <w:t>够</w:t>
            </w:r>
            <w:r>
              <w:rPr>
                <w:rFonts w:hint="eastAsia" w:ascii="宋体" w:hAnsi="宋体" w:eastAsia="宋体"/>
                <w:bCs/>
                <w:color w:val="auto"/>
                <w:sz w:val="24"/>
                <w:szCs w:val="20"/>
                <w:highlight w:val="none"/>
                <w:lang w:eastAsia="zh-CN"/>
              </w:rPr>
              <w:t>保证技术质量，</w:t>
            </w:r>
            <w:r>
              <w:rPr>
                <w:rFonts w:hint="eastAsia" w:ascii="宋体" w:hAnsi="宋体" w:eastAsia="宋体"/>
                <w:bCs/>
                <w:color w:val="auto"/>
                <w:sz w:val="24"/>
                <w:szCs w:val="20"/>
                <w:highlight w:val="none"/>
                <w:lang w:val="en-US" w:eastAsia="zh-CN"/>
              </w:rPr>
              <w:t>能够</w:t>
            </w:r>
            <w:r>
              <w:rPr>
                <w:rFonts w:hint="eastAsia" w:ascii="宋体" w:hAnsi="宋体" w:eastAsia="宋体"/>
                <w:bCs/>
                <w:color w:val="auto"/>
                <w:sz w:val="24"/>
                <w:szCs w:val="20"/>
                <w:highlight w:val="none"/>
                <w:lang w:eastAsia="zh-CN"/>
              </w:rPr>
              <w:t>达到承诺的质量标准</w:t>
            </w:r>
            <w:r>
              <w:rPr>
                <w:rFonts w:hint="eastAsia" w:ascii="宋体" w:hAnsi="宋体" w:eastAsia="宋体"/>
                <w:bCs/>
                <w:color w:val="auto"/>
                <w:sz w:val="24"/>
                <w:szCs w:val="20"/>
                <w:highlight w:val="none"/>
                <w:lang w:val="en-US" w:eastAsia="zh-CN"/>
              </w:rPr>
              <w:t>得4分；</w:t>
            </w:r>
          </w:p>
          <w:p w14:paraId="357DC205">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施工项目专门的质量技术管理班子和制度，</w:t>
            </w:r>
            <w:r>
              <w:rPr>
                <w:rFonts w:hint="eastAsia" w:ascii="宋体" w:hAnsi="宋体" w:eastAsia="宋体"/>
                <w:bCs/>
                <w:color w:val="auto"/>
                <w:sz w:val="24"/>
                <w:szCs w:val="20"/>
                <w:highlight w:val="none"/>
                <w:lang w:val="en-US" w:eastAsia="zh-CN"/>
              </w:rPr>
              <w:t>有</w:t>
            </w:r>
            <w:r>
              <w:rPr>
                <w:rFonts w:hint="eastAsia" w:ascii="宋体" w:hAnsi="宋体" w:eastAsia="宋体"/>
                <w:bCs/>
                <w:color w:val="auto"/>
                <w:sz w:val="24"/>
                <w:szCs w:val="20"/>
                <w:highlight w:val="none"/>
                <w:lang w:eastAsia="zh-CN"/>
              </w:rPr>
              <w:t>人员配备，</w:t>
            </w:r>
            <w:r>
              <w:rPr>
                <w:rFonts w:hint="eastAsia" w:ascii="宋体" w:hAnsi="宋体" w:eastAsia="宋体"/>
                <w:bCs/>
                <w:color w:val="auto"/>
                <w:sz w:val="24"/>
                <w:szCs w:val="20"/>
                <w:highlight w:val="none"/>
                <w:lang w:val="en-US" w:eastAsia="zh-CN"/>
              </w:rPr>
              <w:t>有</w:t>
            </w:r>
            <w:r>
              <w:rPr>
                <w:rFonts w:hint="eastAsia" w:ascii="宋体" w:hAnsi="宋体" w:eastAsia="宋体"/>
                <w:bCs/>
                <w:color w:val="auto"/>
                <w:sz w:val="24"/>
                <w:szCs w:val="20"/>
                <w:highlight w:val="none"/>
                <w:lang w:eastAsia="zh-CN"/>
              </w:rPr>
              <w:t>制度，</w:t>
            </w:r>
            <w:r>
              <w:rPr>
                <w:rFonts w:hint="eastAsia" w:ascii="宋体" w:hAnsi="宋体" w:eastAsia="宋体"/>
                <w:bCs/>
                <w:color w:val="auto"/>
                <w:sz w:val="24"/>
                <w:szCs w:val="20"/>
                <w:highlight w:val="none"/>
                <w:lang w:val="en-US" w:eastAsia="zh-CN"/>
              </w:rPr>
              <w:t>部分存在不足，有待完善的得3分；</w:t>
            </w:r>
          </w:p>
          <w:p w14:paraId="5746956E">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不合格的或未提供的不得分。</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5A67060D">
            <w:pPr>
              <w:keepNext w:val="0"/>
              <w:keepLines w:val="0"/>
              <w:suppressLineNumbers w:val="0"/>
              <w:spacing w:before="0" w:beforeAutospacing="0" w:after="0" w:afterAutospacing="0" w:line="360" w:lineRule="auto"/>
              <w:ind w:left="0" w:right="0"/>
              <w:jc w:val="center"/>
              <w:rPr>
                <w:rFonts w:hint="default" w:ascii="宋体" w:hAnsi="宋体" w:eastAsia="宋体"/>
                <w:b/>
                <w:bCs/>
                <w:color w:val="auto"/>
                <w:sz w:val="24"/>
                <w:szCs w:val="20"/>
                <w:highlight w:val="none"/>
                <w:lang w:val="en-US" w:eastAsia="zh-CN"/>
              </w:rPr>
            </w:pPr>
            <w:r>
              <w:rPr>
                <w:rFonts w:hint="eastAsia"/>
                <w:b/>
                <w:bCs/>
                <w:color w:val="auto"/>
                <w:sz w:val="24"/>
                <w:szCs w:val="20"/>
                <w:highlight w:val="none"/>
                <w:lang w:val="en-US" w:eastAsia="zh-CN"/>
              </w:rPr>
              <w:t>5</w:t>
            </w:r>
            <w:r>
              <w:rPr>
                <w:rFonts w:hint="eastAsia" w:ascii="宋体" w:hAnsi="宋体" w:eastAsia="宋体"/>
                <w:b/>
                <w:bCs/>
                <w:color w:val="auto"/>
                <w:sz w:val="24"/>
                <w:szCs w:val="20"/>
                <w:highlight w:val="none"/>
                <w:lang w:val="en-US" w:eastAsia="zh-CN"/>
              </w:rPr>
              <w:t>分</w:t>
            </w:r>
          </w:p>
        </w:tc>
      </w:tr>
      <w:tr w14:paraId="330A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Merge w:val="continue"/>
            <w:tcBorders>
              <w:left w:val="single" w:color="auto" w:sz="4" w:space="0"/>
              <w:right w:val="single" w:color="auto" w:sz="4" w:space="0"/>
            </w:tcBorders>
            <w:noWrap w:val="0"/>
            <w:vAlign w:val="center"/>
          </w:tcPr>
          <w:p w14:paraId="2C6DCD84">
            <w:pPr>
              <w:keepNext w:val="0"/>
              <w:keepLines w:val="0"/>
              <w:suppressLineNumbers w:val="0"/>
              <w:spacing w:before="0" w:beforeAutospacing="0" w:after="0" w:afterAutospacing="0" w:line="360" w:lineRule="auto"/>
              <w:ind w:left="0" w:right="0"/>
              <w:jc w:val="center"/>
              <w:rPr>
                <w:rFonts w:hint="eastAsia" w:ascii="宋体" w:hAnsi="宋体" w:eastAsia="宋体"/>
                <w:color w:val="auto"/>
                <w:sz w:val="24"/>
                <w:szCs w:val="20"/>
                <w:highlight w:val="none"/>
              </w:rPr>
            </w:pPr>
          </w:p>
        </w:tc>
        <w:tc>
          <w:tcPr>
            <w:tcW w:w="841" w:type="pct"/>
            <w:tcBorders>
              <w:top w:val="single" w:color="auto" w:sz="4" w:space="0"/>
              <w:left w:val="single" w:color="auto" w:sz="4" w:space="0"/>
              <w:bottom w:val="single" w:color="auto" w:sz="4" w:space="0"/>
              <w:right w:val="single" w:color="auto" w:sz="4" w:space="0"/>
            </w:tcBorders>
            <w:noWrap w:val="0"/>
            <w:vAlign w:val="center"/>
          </w:tcPr>
          <w:p w14:paraId="608BAF9B">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确保安全生产的技术组织措施</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44A64CB5">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施工项目有专门的安全管理人员和制度，且人员配备</w:t>
            </w:r>
            <w:r>
              <w:rPr>
                <w:rFonts w:hint="eastAsia" w:ascii="宋体" w:hAnsi="宋体" w:eastAsia="宋体"/>
                <w:bCs/>
                <w:color w:val="auto"/>
                <w:sz w:val="24"/>
                <w:szCs w:val="20"/>
                <w:highlight w:val="none"/>
                <w:lang w:val="en-US" w:eastAsia="zh-CN"/>
              </w:rPr>
              <w:t>充足</w:t>
            </w:r>
            <w:r>
              <w:rPr>
                <w:rFonts w:hint="eastAsia" w:ascii="宋体" w:hAnsi="宋体" w:eastAsia="宋体"/>
                <w:bCs/>
                <w:color w:val="auto"/>
                <w:sz w:val="24"/>
                <w:szCs w:val="20"/>
                <w:highlight w:val="none"/>
                <w:lang w:eastAsia="zh-CN"/>
              </w:rPr>
              <w:t>，制度健全，各道工序安全技术措施针对性强，符合实际且满足有关安全技术标准要求。现场防火、社会治安安全措施得力</w:t>
            </w:r>
            <w:r>
              <w:rPr>
                <w:rFonts w:hint="eastAsia" w:ascii="宋体" w:hAnsi="宋体" w:eastAsia="宋体"/>
                <w:bCs/>
                <w:color w:val="auto"/>
                <w:sz w:val="24"/>
                <w:szCs w:val="20"/>
                <w:highlight w:val="none"/>
                <w:lang w:val="en-US" w:eastAsia="zh-CN"/>
              </w:rPr>
              <w:t>得5分；</w:t>
            </w:r>
          </w:p>
          <w:p w14:paraId="17F91ABC">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施工项目有专门的安全管理人员和制度，且人员配备</w:t>
            </w:r>
            <w:r>
              <w:rPr>
                <w:rFonts w:hint="eastAsia" w:ascii="宋体" w:hAnsi="宋体" w:eastAsia="宋体"/>
                <w:bCs/>
                <w:color w:val="auto"/>
                <w:sz w:val="24"/>
                <w:szCs w:val="20"/>
                <w:highlight w:val="none"/>
                <w:lang w:val="en-US" w:eastAsia="zh-CN"/>
              </w:rPr>
              <w:t>适中</w:t>
            </w:r>
            <w:r>
              <w:rPr>
                <w:rFonts w:hint="eastAsia" w:ascii="宋体" w:hAnsi="宋体" w:eastAsia="宋体"/>
                <w:bCs/>
                <w:color w:val="auto"/>
                <w:sz w:val="24"/>
                <w:szCs w:val="20"/>
                <w:highlight w:val="none"/>
                <w:lang w:eastAsia="zh-CN"/>
              </w:rPr>
              <w:t>，制度</w:t>
            </w:r>
            <w:r>
              <w:rPr>
                <w:rFonts w:hint="eastAsia" w:ascii="宋体" w:hAnsi="宋体" w:eastAsia="宋体"/>
                <w:bCs/>
                <w:color w:val="auto"/>
                <w:sz w:val="24"/>
                <w:szCs w:val="20"/>
                <w:highlight w:val="none"/>
                <w:lang w:val="en-US" w:eastAsia="zh-CN"/>
              </w:rPr>
              <w:t>完整</w:t>
            </w:r>
            <w:r>
              <w:rPr>
                <w:rFonts w:hint="eastAsia" w:ascii="宋体" w:hAnsi="宋体" w:eastAsia="宋体"/>
                <w:bCs/>
                <w:color w:val="auto"/>
                <w:sz w:val="24"/>
                <w:szCs w:val="20"/>
                <w:highlight w:val="none"/>
                <w:lang w:eastAsia="zh-CN"/>
              </w:rPr>
              <w:t>，各道工序安全技术措施</w:t>
            </w:r>
            <w:r>
              <w:rPr>
                <w:rFonts w:hint="eastAsia" w:ascii="宋体" w:hAnsi="宋体" w:eastAsia="宋体"/>
                <w:bCs/>
                <w:color w:val="auto"/>
                <w:sz w:val="24"/>
                <w:szCs w:val="20"/>
                <w:highlight w:val="none"/>
                <w:lang w:val="en-US" w:eastAsia="zh-CN"/>
              </w:rPr>
              <w:t>完善</w:t>
            </w:r>
            <w:r>
              <w:rPr>
                <w:rFonts w:hint="eastAsia" w:ascii="宋体" w:hAnsi="宋体" w:eastAsia="宋体"/>
                <w:bCs/>
                <w:color w:val="auto"/>
                <w:sz w:val="24"/>
                <w:szCs w:val="20"/>
                <w:highlight w:val="none"/>
                <w:lang w:eastAsia="zh-CN"/>
              </w:rPr>
              <w:t>，</w:t>
            </w:r>
            <w:r>
              <w:rPr>
                <w:rFonts w:hint="eastAsia" w:ascii="宋体" w:hAnsi="宋体" w:eastAsia="宋体"/>
                <w:bCs/>
                <w:color w:val="auto"/>
                <w:sz w:val="24"/>
                <w:szCs w:val="20"/>
                <w:highlight w:val="none"/>
                <w:lang w:val="en-US" w:eastAsia="zh-CN"/>
              </w:rPr>
              <w:t>能够满足项目需求得4分；</w:t>
            </w:r>
          </w:p>
          <w:p w14:paraId="4A9EC7EE">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施工项目有专门的安全管理人员和制度，人员配备</w:t>
            </w:r>
            <w:r>
              <w:rPr>
                <w:rFonts w:hint="eastAsia" w:ascii="宋体" w:hAnsi="宋体" w:eastAsia="宋体"/>
                <w:bCs/>
                <w:color w:val="auto"/>
                <w:sz w:val="24"/>
                <w:szCs w:val="20"/>
                <w:highlight w:val="none"/>
                <w:lang w:val="en-US" w:eastAsia="zh-CN"/>
              </w:rPr>
              <w:t>少</w:t>
            </w:r>
            <w:r>
              <w:rPr>
                <w:rFonts w:hint="eastAsia" w:ascii="宋体" w:hAnsi="宋体" w:eastAsia="宋体"/>
                <w:bCs/>
                <w:color w:val="auto"/>
                <w:sz w:val="24"/>
                <w:szCs w:val="20"/>
                <w:highlight w:val="none"/>
                <w:lang w:eastAsia="zh-CN"/>
              </w:rPr>
              <w:t>，制度</w:t>
            </w:r>
            <w:r>
              <w:rPr>
                <w:rFonts w:hint="eastAsia" w:ascii="宋体" w:hAnsi="宋体" w:eastAsia="宋体"/>
                <w:bCs/>
                <w:color w:val="auto"/>
                <w:sz w:val="24"/>
                <w:szCs w:val="20"/>
                <w:highlight w:val="none"/>
                <w:lang w:val="en-US" w:eastAsia="zh-CN"/>
              </w:rPr>
              <w:t>欠缺，部分存在不足，有待完善的得3分；</w:t>
            </w:r>
          </w:p>
          <w:p w14:paraId="6A998F3F">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不合格的或未提供的不得分。</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4D09145C">
            <w:pPr>
              <w:keepNext w:val="0"/>
              <w:keepLines w:val="0"/>
              <w:suppressLineNumbers w:val="0"/>
              <w:spacing w:before="0" w:beforeAutospacing="0" w:after="0" w:afterAutospacing="0" w:line="360" w:lineRule="auto"/>
              <w:ind w:left="0" w:right="0"/>
              <w:jc w:val="center"/>
              <w:rPr>
                <w:rFonts w:hint="default" w:ascii="宋体" w:hAnsi="宋体" w:eastAsia="宋体"/>
                <w:b/>
                <w:bCs/>
                <w:color w:val="auto"/>
                <w:sz w:val="24"/>
                <w:szCs w:val="20"/>
                <w:highlight w:val="none"/>
                <w:lang w:val="en-US" w:eastAsia="zh-CN"/>
              </w:rPr>
            </w:pPr>
            <w:r>
              <w:rPr>
                <w:rFonts w:hint="eastAsia" w:ascii="宋体" w:hAnsi="宋体" w:eastAsia="宋体"/>
                <w:b/>
                <w:bCs/>
                <w:color w:val="auto"/>
                <w:sz w:val="24"/>
                <w:szCs w:val="20"/>
                <w:highlight w:val="none"/>
                <w:lang w:val="en-US" w:eastAsia="zh-CN"/>
              </w:rPr>
              <w:t>5分</w:t>
            </w:r>
          </w:p>
        </w:tc>
      </w:tr>
      <w:tr w14:paraId="1BF2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Merge w:val="continue"/>
            <w:tcBorders>
              <w:left w:val="single" w:color="auto" w:sz="4" w:space="0"/>
              <w:right w:val="single" w:color="auto" w:sz="4" w:space="0"/>
            </w:tcBorders>
            <w:noWrap w:val="0"/>
            <w:vAlign w:val="center"/>
          </w:tcPr>
          <w:p w14:paraId="1AFD006F">
            <w:pPr>
              <w:keepNext w:val="0"/>
              <w:keepLines w:val="0"/>
              <w:suppressLineNumbers w:val="0"/>
              <w:spacing w:before="0" w:beforeAutospacing="0" w:after="0" w:afterAutospacing="0" w:line="360" w:lineRule="auto"/>
              <w:ind w:left="0" w:right="0"/>
              <w:jc w:val="center"/>
              <w:rPr>
                <w:rFonts w:hint="eastAsia" w:ascii="宋体" w:hAnsi="宋体" w:eastAsia="宋体"/>
                <w:color w:val="auto"/>
                <w:sz w:val="24"/>
                <w:szCs w:val="20"/>
                <w:highlight w:val="none"/>
              </w:rPr>
            </w:pPr>
          </w:p>
        </w:tc>
        <w:tc>
          <w:tcPr>
            <w:tcW w:w="841" w:type="pct"/>
            <w:tcBorders>
              <w:top w:val="single" w:color="auto" w:sz="4" w:space="0"/>
              <w:left w:val="single" w:color="auto" w:sz="4" w:space="0"/>
              <w:bottom w:val="single" w:color="auto" w:sz="4" w:space="0"/>
              <w:right w:val="single" w:color="auto" w:sz="4" w:space="0"/>
            </w:tcBorders>
            <w:noWrap w:val="0"/>
            <w:vAlign w:val="center"/>
          </w:tcPr>
          <w:p w14:paraId="1E3BB056">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确保工期的技术组织措施</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17A51B37">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在施工工艺、施工方法、材料选用、劳动力安排、技术等方面有保证工期的具体措施且措施得当。有控制工期的施工进度计划。有施工总进度表或施工网络图，各项计划图表编制完善，</w:t>
            </w:r>
            <w:r>
              <w:rPr>
                <w:rFonts w:hint="eastAsia" w:ascii="宋体" w:hAnsi="宋体" w:eastAsia="宋体"/>
                <w:bCs/>
                <w:color w:val="auto"/>
                <w:sz w:val="24"/>
                <w:szCs w:val="20"/>
                <w:highlight w:val="none"/>
                <w:lang w:val="en-US" w:eastAsia="zh-CN"/>
              </w:rPr>
              <w:t>优于</w:t>
            </w:r>
            <w:r>
              <w:rPr>
                <w:rFonts w:hint="eastAsia" w:ascii="宋体" w:hAnsi="宋体" w:eastAsia="宋体"/>
                <w:bCs/>
                <w:color w:val="auto"/>
                <w:sz w:val="24"/>
                <w:szCs w:val="20"/>
                <w:highlight w:val="none"/>
                <w:lang w:eastAsia="zh-CN"/>
              </w:rPr>
              <w:t>本项目施工实际要求</w:t>
            </w:r>
            <w:r>
              <w:rPr>
                <w:rFonts w:hint="eastAsia" w:ascii="宋体" w:hAnsi="宋体" w:eastAsia="宋体"/>
                <w:bCs/>
                <w:color w:val="auto"/>
                <w:sz w:val="24"/>
                <w:szCs w:val="20"/>
                <w:highlight w:val="none"/>
                <w:lang w:val="en-US" w:eastAsia="zh-CN"/>
              </w:rPr>
              <w:t>的，得5分；</w:t>
            </w:r>
          </w:p>
          <w:p w14:paraId="128C0C29">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在施工工艺、施工方法、材料选用、劳动力安排、技术等方面有保证工期的措施。有控制工期的施工进度计划。有施工总进度表或施工网络图，各项计划图表编制</w:t>
            </w:r>
            <w:r>
              <w:rPr>
                <w:rFonts w:hint="eastAsia" w:ascii="宋体" w:hAnsi="宋体" w:eastAsia="宋体"/>
                <w:bCs/>
                <w:color w:val="auto"/>
                <w:sz w:val="24"/>
                <w:szCs w:val="20"/>
                <w:highlight w:val="none"/>
                <w:lang w:val="en-US" w:eastAsia="zh-CN"/>
              </w:rPr>
              <w:t>完善</w:t>
            </w:r>
            <w:r>
              <w:rPr>
                <w:rFonts w:hint="eastAsia" w:ascii="宋体" w:hAnsi="宋体" w:eastAsia="宋体"/>
                <w:bCs/>
                <w:color w:val="auto"/>
                <w:sz w:val="24"/>
                <w:szCs w:val="20"/>
                <w:highlight w:val="none"/>
                <w:lang w:eastAsia="zh-CN"/>
              </w:rPr>
              <w:t>，</w:t>
            </w:r>
            <w:r>
              <w:rPr>
                <w:rFonts w:hint="eastAsia" w:ascii="宋体" w:hAnsi="宋体" w:eastAsia="宋体"/>
                <w:bCs/>
                <w:color w:val="auto"/>
                <w:sz w:val="24"/>
                <w:szCs w:val="20"/>
                <w:highlight w:val="none"/>
                <w:lang w:val="en-US" w:eastAsia="zh-CN"/>
              </w:rPr>
              <w:t>能够满足</w:t>
            </w:r>
            <w:r>
              <w:rPr>
                <w:rFonts w:hint="eastAsia" w:ascii="宋体" w:hAnsi="宋体" w:eastAsia="宋体"/>
                <w:bCs/>
                <w:color w:val="auto"/>
                <w:sz w:val="24"/>
                <w:szCs w:val="20"/>
                <w:highlight w:val="none"/>
                <w:lang w:eastAsia="zh-CN"/>
              </w:rPr>
              <w:t>本项目施工</w:t>
            </w:r>
            <w:r>
              <w:rPr>
                <w:rFonts w:hint="eastAsia" w:ascii="宋体" w:hAnsi="宋体" w:eastAsia="宋体"/>
                <w:bCs/>
                <w:color w:val="auto"/>
                <w:sz w:val="24"/>
                <w:szCs w:val="20"/>
                <w:highlight w:val="none"/>
                <w:lang w:val="en-US" w:eastAsia="zh-CN"/>
              </w:rPr>
              <w:t>部分需求得4分；</w:t>
            </w:r>
          </w:p>
          <w:p w14:paraId="6104D359">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在施工工艺、施工方法、材料选用、劳动力安排、技术等方面有保证工期的措施。有控制工期的施工进度计划</w:t>
            </w:r>
            <w:r>
              <w:rPr>
                <w:rFonts w:hint="eastAsia" w:ascii="宋体" w:hAnsi="宋体" w:eastAsia="宋体"/>
                <w:bCs/>
                <w:color w:val="auto"/>
                <w:sz w:val="24"/>
                <w:szCs w:val="20"/>
                <w:highlight w:val="none"/>
                <w:lang w:val="en-US" w:eastAsia="zh-CN"/>
              </w:rPr>
              <w:t>，但部分存在不足，有待提升得3分；</w:t>
            </w:r>
          </w:p>
          <w:p w14:paraId="33CC453C">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不合格的或未提供的不得分。</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080BF0AE">
            <w:pPr>
              <w:keepNext w:val="0"/>
              <w:keepLines w:val="0"/>
              <w:suppressLineNumbers w:val="0"/>
              <w:spacing w:before="0" w:beforeAutospacing="0" w:after="0" w:afterAutospacing="0" w:line="360" w:lineRule="auto"/>
              <w:ind w:left="0" w:right="0"/>
              <w:jc w:val="center"/>
              <w:rPr>
                <w:rFonts w:hint="default" w:ascii="宋体" w:hAnsi="宋体" w:eastAsia="宋体"/>
                <w:b/>
                <w:bCs/>
                <w:color w:val="auto"/>
                <w:sz w:val="24"/>
                <w:szCs w:val="20"/>
                <w:highlight w:val="none"/>
                <w:lang w:val="en-US" w:eastAsia="zh-CN"/>
              </w:rPr>
            </w:pPr>
            <w:r>
              <w:rPr>
                <w:rFonts w:hint="eastAsia" w:ascii="宋体" w:hAnsi="宋体" w:eastAsia="宋体"/>
                <w:b/>
                <w:bCs/>
                <w:color w:val="auto"/>
                <w:sz w:val="24"/>
                <w:szCs w:val="20"/>
                <w:highlight w:val="none"/>
                <w:lang w:val="en-US" w:eastAsia="zh-CN"/>
              </w:rPr>
              <w:t>5分</w:t>
            </w:r>
          </w:p>
        </w:tc>
      </w:tr>
      <w:tr w14:paraId="7846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Merge w:val="continue"/>
            <w:tcBorders>
              <w:left w:val="single" w:color="auto" w:sz="4" w:space="0"/>
              <w:right w:val="single" w:color="auto" w:sz="4" w:space="0"/>
            </w:tcBorders>
            <w:noWrap w:val="0"/>
            <w:vAlign w:val="center"/>
          </w:tcPr>
          <w:p w14:paraId="071C800F">
            <w:pPr>
              <w:keepNext w:val="0"/>
              <w:keepLines w:val="0"/>
              <w:suppressLineNumbers w:val="0"/>
              <w:spacing w:before="0" w:beforeAutospacing="0" w:after="0" w:afterAutospacing="0" w:line="360" w:lineRule="auto"/>
              <w:ind w:left="0" w:right="0"/>
              <w:jc w:val="center"/>
              <w:rPr>
                <w:rFonts w:hint="eastAsia" w:ascii="宋体" w:hAnsi="宋体" w:eastAsia="宋体"/>
                <w:color w:val="auto"/>
                <w:sz w:val="24"/>
                <w:szCs w:val="20"/>
                <w:highlight w:val="none"/>
              </w:rPr>
            </w:pPr>
          </w:p>
        </w:tc>
        <w:tc>
          <w:tcPr>
            <w:tcW w:w="841" w:type="pct"/>
            <w:tcBorders>
              <w:top w:val="single" w:color="auto" w:sz="4" w:space="0"/>
              <w:left w:val="single" w:color="auto" w:sz="4" w:space="0"/>
              <w:bottom w:val="single" w:color="auto" w:sz="4" w:space="0"/>
              <w:right w:val="single" w:color="auto" w:sz="4" w:space="0"/>
            </w:tcBorders>
            <w:noWrap w:val="0"/>
            <w:vAlign w:val="center"/>
          </w:tcPr>
          <w:p w14:paraId="138433E9">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确保文明施工的技术组织措施</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57887C5E">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针对本工程特点，有现场文明施工计划，环境保护措施。各项措施周全、具体、有效。有具体实现现场文明施工目标的承诺</w:t>
            </w:r>
            <w:r>
              <w:rPr>
                <w:rFonts w:hint="eastAsia" w:ascii="宋体" w:hAnsi="宋体" w:eastAsia="宋体"/>
                <w:bCs/>
                <w:color w:val="auto"/>
                <w:sz w:val="24"/>
                <w:szCs w:val="20"/>
                <w:highlight w:val="none"/>
                <w:lang w:val="en-US" w:eastAsia="zh-CN"/>
              </w:rPr>
              <w:t>得5分；</w:t>
            </w:r>
          </w:p>
          <w:p w14:paraId="5CE7286D">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针对本工程特点，有现场文明施工计划，环境保护措施的</w:t>
            </w:r>
            <w:r>
              <w:rPr>
                <w:rFonts w:hint="eastAsia" w:ascii="宋体" w:hAnsi="宋体" w:eastAsia="宋体"/>
                <w:bCs/>
                <w:color w:val="auto"/>
                <w:sz w:val="24"/>
                <w:szCs w:val="20"/>
                <w:highlight w:val="none"/>
                <w:lang w:val="en-US" w:eastAsia="zh-CN"/>
              </w:rPr>
              <w:t>得4分；</w:t>
            </w:r>
          </w:p>
          <w:p w14:paraId="66612B30">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针对本工程特点，有现场文明施工计划，环境保护措施，</w:t>
            </w:r>
            <w:r>
              <w:rPr>
                <w:rFonts w:hint="eastAsia" w:ascii="宋体" w:hAnsi="宋体" w:eastAsia="宋体"/>
                <w:bCs/>
                <w:color w:val="auto"/>
                <w:sz w:val="24"/>
                <w:szCs w:val="20"/>
                <w:highlight w:val="none"/>
                <w:lang w:val="en-US" w:eastAsia="zh-CN"/>
              </w:rPr>
              <w:t>但部分存在不足的得3分；</w:t>
            </w:r>
          </w:p>
          <w:p w14:paraId="293753F9">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不合格的或未提供的不得分。</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27757871">
            <w:pPr>
              <w:keepNext w:val="0"/>
              <w:keepLines w:val="0"/>
              <w:suppressLineNumbers w:val="0"/>
              <w:spacing w:before="0" w:beforeAutospacing="0" w:after="0" w:afterAutospacing="0" w:line="360" w:lineRule="auto"/>
              <w:ind w:left="0" w:right="0"/>
              <w:jc w:val="center"/>
              <w:rPr>
                <w:rFonts w:hint="default" w:ascii="宋体" w:hAnsi="宋体" w:eastAsia="宋体"/>
                <w:b/>
                <w:bCs/>
                <w:color w:val="auto"/>
                <w:sz w:val="24"/>
                <w:szCs w:val="20"/>
                <w:highlight w:val="none"/>
                <w:lang w:val="en-US" w:eastAsia="zh-CN"/>
              </w:rPr>
            </w:pPr>
            <w:r>
              <w:rPr>
                <w:rFonts w:hint="eastAsia" w:ascii="宋体" w:hAnsi="宋体" w:eastAsia="宋体"/>
                <w:b/>
                <w:bCs/>
                <w:color w:val="auto"/>
                <w:sz w:val="24"/>
                <w:szCs w:val="20"/>
                <w:highlight w:val="none"/>
                <w:lang w:val="en-US" w:eastAsia="zh-CN"/>
              </w:rPr>
              <w:t>5分</w:t>
            </w:r>
          </w:p>
        </w:tc>
      </w:tr>
      <w:tr w14:paraId="48B0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Merge w:val="continue"/>
            <w:tcBorders>
              <w:left w:val="single" w:color="auto" w:sz="4" w:space="0"/>
              <w:right w:val="single" w:color="auto" w:sz="4" w:space="0"/>
            </w:tcBorders>
            <w:noWrap w:val="0"/>
            <w:vAlign w:val="center"/>
          </w:tcPr>
          <w:p w14:paraId="4A7AE0A3">
            <w:pPr>
              <w:keepNext w:val="0"/>
              <w:keepLines w:val="0"/>
              <w:suppressLineNumbers w:val="0"/>
              <w:spacing w:before="0" w:beforeAutospacing="0" w:after="0" w:afterAutospacing="0" w:line="360" w:lineRule="auto"/>
              <w:ind w:left="0" w:right="0"/>
              <w:jc w:val="center"/>
              <w:rPr>
                <w:rFonts w:hint="eastAsia" w:ascii="宋体" w:hAnsi="宋体" w:eastAsia="宋体"/>
                <w:color w:val="auto"/>
                <w:sz w:val="24"/>
                <w:szCs w:val="20"/>
                <w:highlight w:val="none"/>
              </w:rPr>
            </w:pPr>
          </w:p>
        </w:tc>
        <w:tc>
          <w:tcPr>
            <w:tcW w:w="841" w:type="pct"/>
            <w:tcBorders>
              <w:top w:val="single" w:color="auto" w:sz="4" w:space="0"/>
              <w:left w:val="single" w:color="auto" w:sz="4" w:space="0"/>
              <w:bottom w:val="single" w:color="auto" w:sz="4" w:space="0"/>
              <w:right w:val="single" w:color="auto" w:sz="4" w:space="0"/>
            </w:tcBorders>
            <w:noWrap w:val="0"/>
            <w:vAlign w:val="center"/>
          </w:tcPr>
          <w:p w14:paraId="1111C23D">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eastAsia="zh-CN"/>
              </w:rPr>
              <w:t>重点及保证措施</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5FD972CA">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针对本工程特点，列出本工程的重点，并且有具体的保证措施。各项措施周全、具体、有效，有针对性的得5分；</w:t>
            </w:r>
          </w:p>
          <w:p w14:paraId="4BEBDAF4">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针对本工程特点，列出本工程的重点，并且有具体的保证措施。各项措施内容清晰、完善的得4分；</w:t>
            </w:r>
          </w:p>
          <w:p w14:paraId="6CF41C3D">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针对本工程特点，列出本工程的重点，并且有具体的保证措施。但缺项或关键点缺失或出现非专门针对本项目特性内容的得3分；</w:t>
            </w:r>
          </w:p>
          <w:p w14:paraId="6BD410BB">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不合格的或未提供的不得分。</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2D8C6EC2">
            <w:pPr>
              <w:keepNext w:val="0"/>
              <w:keepLines w:val="0"/>
              <w:suppressLineNumbers w:val="0"/>
              <w:spacing w:before="0" w:beforeAutospacing="0" w:after="0" w:afterAutospacing="0" w:line="360" w:lineRule="auto"/>
              <w:ind w:left="0" w:right="0"/>
              <w:jc w:val="center"/>
              <w:rPr>
                <w:rFonts w:hint="default" w:ascii="宋体" w:hAnsi="宋体" w:eastAsia="宋体"/>
                <w:b/>
                <w:bCs/>
                <w:color w:val="auto"/>
                <w:sz w:val="24"/>
                <w:szCs w:val="20"/>
                <w:highlight w:val="none"/>
                <w:lang w:val="en-US" w:eastAsia="zh-CN"/>
              </w:rPr>
            </w:pPr>
            <w:r>
              <w:rPr>
                <w:rFonts w:hint="eastAsia" w:ascii="宋体" w:hAnsi="宋体" w:eastAsia="宋体"/>
                <w:b/>
                <w:bCs/>
                <w:color w:val="auto"/>
                <w:sz w:val="24"/>
                <w:szCs w:val="20"/>
                <w:highlight w:val="none"/>
                <w:lang w:val="en-US" w:eastAsia="zh-CN"/>
              </w:rPr>
              <w:t>5分</w:t>
            </w:r>
          </w:p>
        </w:tc>
      </w:tr>
      <w:tr w14:paraId="2DF6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Merge w:val="continue"/>
            <w:tcBorders>
              <w:left w:val="single" w:color="auto" w:sz="4" w:space="0"/>
              <w:right w:val="single" w:color="auto" w:sz="4" w:space="0"/>
            </w:tcBorders>
            <w:noWrap w:val="0"/>
            <w:vAlign w:val="center"/>
          </w:tcPr>
          <w:p w14:paraId="3C74AE74">
            <w:pPr>
              <w:keepNext w:val="0"/>
              <w:keepLines w:val="0"/>
              <w:suppressLineNumbers w:val="0"/>
              <w:spacing w:before="0" w:beforeAutospacing="0" w:after="0" w:afterAutospacing="0" w:line="360" w:lineRule="auto"/>
              <w:ind w:left="0" w:right="0"/>
              <w:jc w:val="center"/>
              <w:rPr>
                <w:rFonts w:hint="eastAsia" w:ascii="宋体" w:hAnsi="宋体" w:eastAsia="宋体"/>
                <w:color w:val="auto"/>
                <w:sz w:val="24"/>
                <w:szCs w:val="20"/>
                <w:highlight w:val="none"/>
              </w:rPr>
            </w:pPr>
          </w:p>
        </w:tc>
        <w:tc>
          <w:tcPr>
            <w:tcW w:w="841" w:type="pct"/>
            <w:tcBorders>
              <w:top w:val="single" w:color="auto" w:sz="4" w:space="0"/>
              <w:left w:val="single" w:color="auto" w:sz="4" w:space="0"/>
              <w:bottom w:val="single" w:color="auto" w:sz="4" w:space="0"/>
              <w:right w:val="single" w:color="auto" w:sz="4" w:space="0"/>
            </w:tcBorders>
            <w:noWrap w:val="0"/>
            <w:vAlign w:val="center"/>
          </w:tcPr>
          <w:p w14:paraId="6EEADE48">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新技术、新工艺、新方法</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4D5E4C10">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针对本工程特点，能提出新技术、新工艺、新方法且合理有效、能节省资金且保证项目质量的得5分；</w:t>
            </w:r>
          </w:p>
          <w:p w14:paraId="76B5BCDC">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针对本工程特点，能提出新技术、新工艺、新方法，内容清晰、完善的得4分；</w:t>
            </w:r>
          </w:p>
          <w:p w14:paraId="4C2D5ED1">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针对本工程特点，有一定的新技术、新工艺、新方法但缺项或关键点缺失或出现非专门针对本项目特性内容的得3分；</w:t>
            </w:r>
          </w:p>
          <w:p w14:paraId="724F34B8">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不合格的或未提供的不得分。</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496F30E1">
            <w:pPr>
              <w:keepNext w:val="0"/>
              <w:keepLines w:val="0"/>
              <w:suppressLineNumbers w:val="0"/>
              <w:spacing w:before="0" w:beforeAutospacing="0" w:after="0" w:afterAutospacing="0" w:line="360" w:lineRule="auto"/>
              <w:ind w:left="0" w:right="0"/>
              <w:jc w:val="center"/>
              <w:rPr>
                <w:rFonts w:hint="default" w:ascii="宋体" w:hAnsi="宋体" w:eastAsia="宋体"/>
                <w:b/>
                <w:bCs/>
                <w:color w:val="auto"/>
                <w:sz w:val="24"/>
                <w:szCs w:val="20"/>
                <w:highlight w:val="none"/>
                <w:lang w:val="en-US" w:eastAsia="zh-CN"/>
              </w:rPr>
            </w:pPr>
            <w:r>
              <w:rPr>
                <w:rFonts w:hint="eastAsia" w:ascii="宋体" w:hAnsi="宋体" w:eastAsia="宋体"/>
                <w:b/>
                <w:bCs/>
                <w:color w:val="auto"/>
                <w:sz w:val="24"/>
                <w:szCs w:val="20"/>
                <w:highlight w:val="none"/>
                <w:lang w:val="en-US" w:eastAsia="zh-CN"/>
              </w:rPr>
              <w:t>5分</w:t>
            </w:r>
          </w:p>
        </w:tc>
      </w:tr>
      <w:tr w14:paraId="01DA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Merge w:val="continue"/>
            <w:tcBorders>
              <w:left w:val="single" w:color="auto" w:sz="4" w:space="0"/>
              <w:right w:val="single" w:color="auto" w:sz="4" w:space="0"/>
            </w:tcBorders>
            <w:noWrap w:val="0"/>
            <w:vAlign w:val="center"/>
          </w:tcPr>
          <w:p w14:paraId="59CCD0DD">
            <w:pPr>
              <w:keepNext w:val="0"/>
              <w:keepLines w:val="0"/>
              <w:suppressLineNumbers w:val="0"/>
              <w:spacing w:before="0" w:beforeAutospacing="0" w:after="0" w:afterAutospacing="0" w:line="360" w:lineRule="auto"/>
              <w:ind w:left="0" w:right="0"/>
              <w:jc w:val="center"/>
              <w:rPr>
                <w:rFonts w:hint="eastAsia" w:ascii="宋体" w:hAnsi="宋体" w:eastAsia="宋体"/>
                <w:color w:val="auto"/>
                <w:sz w:val="24"/>
                <w:szCs w:val="20"/>
                <w:highlight w:val="none"/>
              </w:rPr>
            </w:pPr>
          </w:p>
          <w:p w14:paraId="4DD9F9F9">
            <w:pPr>
              <w:pStyle w:val="2"/>
              <w:keepNext w:val="0"/>
              <w:keepLines w:val="0"/>
              <w:suppressLineNumbers w:val="0"/>
              <w:spacing w:before="0" w:beforeAutospacing="0" w:afterAutospacing="0"/>
              <w:ind w:right="0"/>
              <w:rPr>
                <w:rFonts w:hint="eastAsia"/>
                <w:color w:val="auto"/>
                <w:highlight w:val="none"/>
              </w:rPr>
            </w:pPr>
          </w:p>
        </w:tc>
        <w:tc>
          <w:tcPr>
            <w:tcW w:w="841" w:type="pct"/>
            <w:tcBorders>
              <w:top w:val="single" w:color="auto" w:sz="4" w:space="0"/>
              <w:left w:val="single" w:color="auto" w:sz="4" w:space="0"/>
              <w:bottom w:val="single" w:color="auto" w:sz="4" w:space="0"/>
              <w:right w:val="single" w:color="auto" w:sz="4" w:space="0"/>
            </w:tcBorders>
            <w:noWrap w:val="0"/>
            <w:vAlign w:val="center"/>
          </w:tcPr>
          <w:p w14:paraId="0EC396CE">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合理化建议</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1F5DDF35">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针对本工程特点，列出对本工程的建议，建议科学合理并且有具体的保证措施。各项措施周全、具体、有效，有针对性的得5分；</w:t>
            </w:r>
          </w:p>
          <w:p w14:paraId="6C795263">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针对本工程特点，列出本工程的建议，建议合理并且有具体的保证措施。各项措施内容清晰、完善的得4分；</w:t>
            </w:r>
          </w:p>
          <w:p w14:paraId="5D4FD33F">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针对本工程特点，列出本工程的建议及保证措施，但关键点缺失有待完善的得3分；</w:t>
            </w:r>
          </w:p>
          <w:p w14:paraId="0A72123E">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不合格的或未提供的不得分。</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5F65E6A0">
            <w:pPr>
              <w:keepNext w:val="0"/>
              <w:keepLines w:val="0"/>
              <w:suppressLineNumbers w:val="0"/>
              <w:spacing w:before="0" w:beforeAutospacing="0" w:after="0" w:afterAutospacing="0" w:line="360" w:lineRule="auto"/>
              <w:ind w:left="0" w:right="0"/>
              <w:jc w:val="center"/>
              <w:rPr>
                <w:rFonts w:hint="default" w:ascii="宋体" w:hAnsi="宋体" w:eastAsia="宋体"/>
                <w:b/>
                <w:bCs/>
                <w:color w:val="auto"/>
                <w:sz w:val="24"/>
                <w:szCs w:val="20"/>
                <w:highlight w:val="none"/>
                <w:lang w:val="en-US" w:eastAsia="zh-CN"/>
              </w:rPr>
            </w:pPr>
            <w:r>
              <w:rPr>
                <w:rFonts w:hint="eastAsia" w:ascii="宋体" w:hAnsi="宋体" w:eastAsia="宋体"/>
                <w:b/>
                <w:bCs/>
                <w:color w:val="auto"/>
                <w:sz w:val="24"/>
                <w:szCs w:val="20"/>
                <w:highlight w:val="none"/>
                <w:lang w:val="en-US" w:eastAsia="zh-CN"/>
              </w:rPr>
              <w:t>5分</w:t>
            </w:r>
          </w:p>
        </w:tc>
      </w:tr>
      <w:tr w14:paraId="06E8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Merge w:val="continue"/>
            <w:tcBorders>
              <w:left w:val="single" w:color="auto" w:sz="4" w:space="0"/>
              <w:right w:val="single" w:color="auto" w:sz="4" w:space="0"/>
            </w:tcBorders>
            <w:noWrap w:val="0"/>
            <w:vAlign w:val="center"/>
          </w:tcPr>
          <w:p w14:paraId="5666216B">
            <w:pPr>
              <w:pStyle w:val="2"/>
              <w:keepNext w:val="0"/>
              <w:keepLines w:val="0"/>
              <w:suppressLineNumbers w:val="0"/>
              <w:spacing w:before="0" w:beforeAutospacing="0" w:afterAutospacing="0"/>
              <w:ind w:right="0"/>
              <w:rPr>
                <w:rFonts w:hint="eastAsia"/>
                <w:color w:val="auto"/>
                <w:highlight w:val="none"/>
              </w:rPr>
            </w:pPr>
          </w:p>
        </w:tc>
        <w:tc>
          <w:tcPr>
            <w:tcW w:w="841" w:type="pct"/>
            <w:tcBorders>
              <w:top w:val="single" w:color="auto" w:sz="4" w:space="0"/>
              <w:left w:val="single" w:color="auto" w:sz="4" w:space="0"/>
              <w:bottom w:val="single" w:color="auto" w:sz="4" w:space="0"/>
              <w:right w:val="single" w:color="auto" w:sz="4" w:space="0"/>
            </w:tcBorders>
            <w:noWrap w:val="0"/>
            <w:vAlign w:val="center"/>
          </w:tcPr>
          <w:p w14:paraId="0CEF4123">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缺陷期服务</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48B1107D">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有详细的施工缺陷责任期服务计划，包括但不限于维修、响应时间、人员安排等。各项服务周全、具体、有效，有针对性的得5分；</w:t>
            </w:r>
          </w:p>
          <w:p w14:paraId="1F020321">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有详细的施工缺陷责任期服务计划，提供保障措施的得4分；</w:t>
            </w:r>
          </w:p>
          <w:p w14:paraId="530AD9D9">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有详细的施工缺陷责任期服务计划，但缺项或关键点缺失，有待提升的得3分；</w:t>
            </w:r>
          </w:p>
          <w:p w14:paraId="68E6F820">
            <w:pPr>
              <w:keepNext w:val="0"/>
              <w:keepLines w:val="0"/>
              <w:widowControl/>
              <w:suppressLineNumbers w:val="0"/>
              <w:spacing w:before="0" w:beforeAutospacing="0" w:after="0" w:afterAutospacing="0" w:line="440" w:lineRule="exact"/>
              <w:ind w:left="0" w:right="0"/>
              <w:textAlignment w:val="baseline"/>
              <w:rPr>
                <w:rFonts w:hint="eastAsia" w:ascii="宋体" w:hAnsi="宋体" w:eastAsia="宋体"/>
                <w:bCs/>
                <w:color w:val="auto"/>
                <w:sz w:val="24"/>
                <w:szCs w:val="20"/>
                <w:highlight w:val="none"/>
                <w:lang w:val="en-US" w:eastAsia="zh-CN"/>
              </w:rPr>
            </w:pPr>
            <w:r>
              <w:rPr>
                <w:rFonts w:hint="eastAsia" w:ascii="宋体" w:hAnsi="宋体" w:eastAsia="宋体"/>
                <w:bCs/>
                <w:color w:val="auto"/>
                <w:sz w:val="24"/>
                <w:szCs w:val="20"/>
                <w:highlight w:val="none"/>
                <w:lang w:val="en-US" w:eastAsia="zh-CN"/>
              </w:rPr>
              <w:t>不合格的或未提供的不得分。</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2751CBBA">
            <w:pPr>
              <w:keepNext w:val="0"/>
              <w:keepLines w:val="0"/>
              <w:suppressLineNumbers w:val="0"/>
              <w:spacing w:before="0" w:beforeAutospacing="0" w:after="0" w:afterAutospacing="0" w:line="360" w:lineRule="auto"/>
              <w:ind w:left="0" w:right="0"/>
              <w:jc w:val="center"/>
              <w:rPr>
                <w:rFonts w:hint="default" w:ascii="宋体" w:hAnsi="宋体" w:eastAsia="宋体"/>
                <w:b/>
                <w:bCs/>
                <w:color w:val="auto"/>
                <w:sz w:val="24"/>
                <w:szCs w:val="20"/>
                <w:highlight w:val="none"/>
                <w:lang w:val="en-US" w:eastAsia="zh-CN"/>
              </w:rPr>
            </w:pPr>
            <w:r>
              <w:rPr>
                <w:rFonts w:hint="eastAsia" w:ascii="宋体" w:hAnsi="宋体" w:eastAsia="宋体"/>
                <w:b/>
                <w:bCs/>
                <w:color w:val="auto"/>
                <w:sz w:val="24"/>
                <w:szCs w:val="20"/>
                <w:highlight w:val="none"/>
                <w:lang w:val="en-US" w:eastAsia="zh-CN"/>
              </w:rPr>
              <w:t>5分</w:t>
            </w:r>
          </w:p>
        </w:tc>
      </w:tr>
      <w:tr w14:paraId="1B46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tcBorders>
              <w:left w:val="single" w:color="auto" w:sz="4" w:space="0"/>
              <w:right w:val="single" w:color="auto" w:sz="4" w:space="0"/>
            </w:tcBorders>
            <w:noWrap w:val="0"/>
            <w:vAlign w:val="center"/>
          </w:tcPr>
          <w:p w14:paraId="63B05F32">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71D652A8">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jc w:val="center"/>
              <w:rPr>
                <w:rFonts w:hint="default" w:ascii="宋体" w:hAnsi="宋体" w:eastAsia="宋体"/>
                <w:b/>
                <w:bCs/>
                <w:color w:val="auto"/>
                <w:sz w:val="24"/>
                <w:szCs w:val="20"/>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u w:val="single"/>
                <w:lang w:val="en-US" w:eastAsia="zh-CN"/>
              </w:rPr>
              <w:t>41</w:t>
            </w:r>
            <w:r>
              <w:rPr>
                <w:rFonts w:hint="eastAsia" w:ascii="宋体" w:hAnsi="宋体" w:eastAsia="宋体" w:cs="宋体"/>
                <w:color w:val="auto"/>
                <w:sz w:val="24"/>
                <w:szCs w:val="24"/>
                <w:highlight w:val="none"/>
              </w:rPr>
              <w:t>分）</w:t>
            </w:r>
          </w:p>
        </w:tc>
        <w:tc>
          <w:tcPr>
            <w:tcW w:w="4518" w:type="pct"/>
            <w:gridSpan w:val="3"/>
            <w:tcBorders>
              <w:top w:val="single" w:color="auto" w:sz="4" w:space="0"/>
              <w:left w:val="single" w:color="auto" w:sz="4" w:space="0"/>
              <w:bottom w:val="single" w:color="auto" w:sz="4" w:space="0"/>
              <w:right w:val="single" w:color="auto" w:sz="4" w:space="0"/>
            </w:tcBorders>
            <w:noWrap w:val="0"/>
            <w:vAlign w:val="center"/>
          </w:tcPr>
          <w:p w14:paraId="36A13192">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价格分统一采用低价优先法，即满足磋商文件要求且最后报价最低的供应商的价格为磋商基准价，其价格分为满分</w:t>
            </w:r>
            <w:r>
              <w:rPr>
                <w:rFonts w:hint="eastAsia" w:cs="宋体"/>
                <w:color w:val="auto"/>
                <w:sz w:val="24"/>
                <w:szCs w:val="24"/>
                <w:highlight w:val="none"/>
                <w:u w:val="single"/>
                <w:lang w:val="en-US" w:eastAsia="zh-CN"/>
              </w:rPr>
              <w:t>41</w:t>
            </w:r>
            <w:r>
              <w:rPr>
                <w:rFonts w:hint="eastAsia" w:ascii="宋体" w:hAnsi="宋体" w:eastAsia="宋体" w:cs="宋体"/>
                <w:color w:val="auto"/>
                <w:sz w:val="24"/>
                <w:szCs w:val="24"/>
                <w:highlight w:val="none"/>
              </w:rPr>
              <w:t>分。其他供应商的价格分统一按照下列公式计算：</w:t>
            </w:r>
          </w:p>
          <w:p w14:paraId="1516F49E">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rPr>
                <w:rFonts w:hint="default" w:ascii="宋体" w:hAnsi="宋体" w:eastAsia="宋体"/>
                <w:b/>
                <w:bCs/>
                <w:color w:val="auto"/>
                <w:sz w:val="24"/>
                <w:szCs w:val="20"/>
                <w:highlight w:val="none"/>
              </w:rPr>
            </w:pPr>
            <w:r>
              <w:rPr>
                <w:rFonts w:hint="eastAsia" w:ascii="宋体" w:hAnsi="宋体" w:eastAsia="宋体" w:cs="宋体"/>
                <w:color w:val="auto"/>
                <w:sz w:val="24"/>
                <w:szCs w:val="24"/>
                <w:highlight w:val="none"/>
              </w:rPr>
              <w:t>磋商报价得分＝（磋商基准价/最后磋商报价）×</w:t>
            </w:r>
            <w:r>
              <w:rPr>
                <w:rFonts w:hint="eastAsia" w:cs="宋体"/>
                <w:color w:val="auto"/>
                <w:sz w:val="24"/>
                <w:szCs w:val="24"/>
                <w:highlight w:val="none"/>
                <w:u w:val="single"/>
                <w:lang w:val="en-US" w:eastAsia="zh-CN"/>
              </w:rPr>
              <w:t>41</w:t>
            </w:r>
            <w:r>
              <w:rPr>
                <w:rFonts w:hint="eastAsia" w:ascii="宋体" w:hAnsi="宋体" w:eastAsia="宋体" w:cs="宋体"/>
                <w:color w:val="auto"/>
                <w:sz w:val="24"/>
                <w:szCs w:val="24"/>
                <w:highlight w:val="none"/>
              </w:rPr>
              <w:t>％×100</w:t>
            </w:r>
          </w:p>
        </w:tc>
      </w:tr>
    </w:tbl>
    <w:p w14:paraId="4D5F7C77">
      <w:pPr>
        <w:keepNext w:val="0"/>
        <w:keepLines w:val="0"/>
        <w:pageBreakBefore w:val="0"/>
        <w:kinsoku/>
        <w:wordWrap/>
        <w:overflowPunct/>
        <w:topLinePunct w:val="0"/>
        <w:autoSpaceDE/>
        <w:autoSpaceDN/>
        <w:bidi w:val="0"/>
        <w:spacing w:line="5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2.2.3分值汇总</w:t>
      </w:r>
    </w:p>
    <w:p w14:paraId="668ECC1F">
      <w:pPr>
        <w:keepNext w:val="0"/>
        <w:keepLines w:val="0"/>
        <w:pageBreakBefore w:val="0"/>
        <w:kinsoku/>
        <w:wordWrap/>
        <w:overflowPunct/>
        <w:topLinePunct w:val="0"/>
        <w:autoSpaceDE/>
        <w:autoSpaceDN/>
        <w:bidi w:val="0"/>
        <w:spacing w:line="5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10CFE74">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（2）将每个供应商的技术资信分加上根据上述标准计算出的价格分，即为该供应商的综合总得分。</w:t>
      </w:r>
    </w:p>
    <w:p w14:paraId="03F70957">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Times New Roman"/>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三、无效响应条款</w:t>
      </w:r>
    </w:p>
    <w:p w14:paraId="59671F6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3.1响应文件有下列情形之一的,其响应文件拒收:</w:t>
      </w:r>
    </w:p>
    <w:p w14:paraId="3845958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(1)未在响应文件递交截止时间前通过网上招标投标系统递交有效电子响应文件的，系统不予接收，其将被拒绝。</w:t>
      </w:r>
    </w:p>
    <w:p w14:paraId="6C17D14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供应商接到远程解密指令后，须在规定时间内解密。因供应商自身原因导致响应文件在规定时间内未能解密、解密失败或解密超时，响应文件无效；解密时间：从本项目解密程序开始时计时，至完成响应文件解密时间，不得超过60分钟，否则响应文件将被拒绝。</w:t>
      </w:r>
    </w:p>
    <w:p w14:paraId="3687B91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3.2供应商有下列情形之一的,资格审查后其作无效响应处理：</w:t>
      </w:r>
    </w:p>
    <w:p w14:paraId="2286D83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（1）供应商为本项目提供采购代理服务的；</w:t>
      </w:r>
    </w:p>
    <w:p w14:paraId="4B078FA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（2）供应商与在本项目代理机构存在相互任职或工作的；</w:t>
      </w:r>
    </w:p>
    <w:p w14:paraId="3024EA4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（3）与采购人存在利害关系可能影响采购公正性的法人、其他组织或者个人；</w:t>
      </w:r>
    </w:p>
    <w:p w14:paraId="5964A4E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（4）竞争性谈判公告写明专门面向中小企业采购，供应商提供的货物非中小企业制造的；</w:t>
      </w:r>
    </w:p>
    <w:p w14:paraId="1856EDF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（5）要求供应商以联合体形式参加采购活动，供应商非联合体或者联合协议中中小企业合同金额未达到应当达到的比例；</w:t>
      </w:r>
    </w:p>
    <w:p w14:paraId="1F8C990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（6）要求获得采购合同的供应商向中小企业分包，供应商未提供分包意向协议或者分包意向协议中中小企业合同金额未达到应当达到的比例；</w:t>
      </w:r>
    </w:p>
    <w:p w14:paraId="187A873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（7）无法查看并检验电子响应文件中相关资料的；</w:t>
      </w:r>
    </w:p>
    <w:p w14:paraId="261AE39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（8）联合体参与未提交联合体协议的；</w:t>
      </w:r>
    </w:p>
    <w:p w14:paraId="1CBF625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（9）责令停产停业的；</w:t>
      </w:r>
    </w:p>
    <w:p w14:paraId="16039EE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（10）暂停或者取消参与政府采购项目资格的；</w:t>
      </w:r>
    </w:p>
    <w:p w14:paraId="46CC8AB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（11）单位负责人为同一人或者存在直接控股、管理关系的不同单位的；</w:t>
      </w:r>
    </w:p>
    <w:p w14:paraId="7B1479D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（12）供应商基本资格条件和特定资格条件中有一项及以上不符合要求的；</w:t>
      </w:r>
    </w:p>
    <w:p w14:paraId="4D6D5B2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13）谈判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w:t>
      </w:r>
    </w:p>
    <w:p w14:paraId="754F0F6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（14）其它情形按无效响应处理，并经公共资源交易监督部门核准的；</w:t>
      </w:r>
    </w:p>
    <w:p w14:paraId="22B2806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（15）供应商响应MAC地址或供应商联系人或联系电话相同的，由磋商小组否决其响应，并报告监管部门作不良行为处理和进一步调查；</w:t>
      </w:r>
    </w:p>
    <w:p w14:paraId="0D0D802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（16）供应商单方面出现其他供应商材料的</w:t>
      </w:r>
      <w:r>
        <w:rPr>
          <w:rFonts w:hint="eastAsia" w:ascii="宋体" w:hAnsi="宋体" w:eastAsia="宋体" w:cs="宋体"/>
          <w:b w:val="0"/>
          <w:bCs/>
          <w:color w:val="auto"/>
          <w:kern w:val="2"/>
          <w:sz w:val="24"/>
          <w:szCs w:val="24"/>
          <w:highlight w:val="none"/>
          <w:lang w:val="en-US" w:eastAsia="zh-CN" w:bidi="ar"/>
        </w:rPr>
        <w:t>（组成联合体响应的除外）</w:t>
      </w:r>
      <w:r>
        <w:rPr>
          <w:rFonts w:hint="eastAsia" w:ascii="宋体" w:hAnsi="宋体" w:eastAsia="宋体" w:cs="宋体"/>
          <w:color w:val="auto"/>
          <w:kern w:val="0"/>
          <w:sz w:val="24"/>
          <w:szCs w:val="24"/>
          <w:highlight w:val="none"/>
          <w:lang w:val="en-US" w:eastAsia="zh-CN" w:bidi="ar"/>
        </w:rPr>
        <w:t>；</w:t>
      </w:r>
    </w:p>
    <w:p w14:paraId="04B476F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（17）竞争性谈判公告未写明允许采购进口产品，供应商所投产品为进口产品的；</w:t>
      </w:r>
    </w:p>
    <w:p w14:paraId="1A123EB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（18）磋商文件规定的其它无效情形。</w:t>
      </w:r>
    </w:p>
    <w:p w14:paraId="5AF49B5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3.3 供应商有下列情形之一的,符合性审查后其按无效响应处理：</w:t>
      </w:r>
    </w:p>
    <w:p w14:paraId="51DCC7C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（1）响应文件签章不全，经磋商小组一致认定对响应内容有实质性影响并经公共资源交易监督部门核准的；</w:t>
      </w:r>
    </w:p>
    <w:p w14:paraId="0DDC93E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（2）未按规定的格式填写导致实质性内容不全以及实质上不响应，或者关键字迹模糊、无法辨认；经公共资源交易监督部门核准的；</w:t>
      </w:r>
    </w:p>
    <w:p w14:paraId="15AE1A0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（3）同一供应商提交两个或以上不同的响应文件或者报价，但磋商文件规定提交备选方案的除外；</w:t>
      </w:r>
    </w:p>
    <w:p w14:paraId="287F057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（4）响应文件没有对磋商文件的实质性要求和条件作出响应；</w:t>
      </w:r>
    </w:p>
    <w:p w14:paraId="5F0CF64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（5）报价超出规定的最高限价或公布的采购预算的或供应商的报价各项单价高于磋商文件给定的单价最高限价；</w:t>
      </w:r>
    </w:p>
    <w:p w14:paraId="29FC50E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（6）不按磋商小组要求澄清、说明或补正的，或者磋商小组根据磋商文件的规定对响应文件的计算错误进行修正后，供应商不接受修正的报价的。</w:t>
      </w:r>
    </w:p>
    <w:p w14:paraId="5A34820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（7）其它情形，经磋商小组提出按无效响应处理，并经公共资源交易监督部门核准的；</w:t>
      </w:r>
    </w:p>
    <w:p w14:paraId="6D9AA3B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（8）响应文件含有采购人不能接受的附加条件的；</w:t>
      </w:r>
    </w:p>
    <w:p w14:paraId="75660A8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（9）磋商文件规定的其它无效响应情形。</w:t>
      </w:r>
    </w:p>
    <w:p w14:paraId="6F37D2E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3.4 供应商有下列情形之一的, 详细评审后其按无效响应处理：</w:t>
      </w:r>
    </w:p>
    <w:p w14:paraId="3EE63A4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（1）产品不符合必须强制执行的国家标准的；</w:t>
      </w:r>
    </w:p>
    <w:p w14:paraId="21FAB8B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（2）供应商有串通、弄虚作假、行贿等违法行为；</w:t>
      </w:r>
    </w:p>
    <w:p w14:paraId="64FAA66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（3）响应文件含有违反国家法律、法规的内容，或附有采购人不能接受的条件的；</w:t>
      </w:r>
    </w:p>
    <w:p w14:paraId="550E032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（4）报价明显低于其他供应商，且不能证明报价合理性的响应无效；</w:t>
      </w:r>
    </w:p>
    <w:p w14:paraId="13E4AD1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（5）拒不确认磋商小组评审修正的响应无效；</w:t>
      </w:r>
    </w:p>
    <w:p w14:paraId="283C09C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（6）其它情形，经磋商小组提出按无效响应处理，并经公共资源交易监督部门核准的；</w:t>
      </w:r>
    </w:p>
    <w:p w14:paraId="27619A9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w:t>
      </w:r>
      <w:r>
        <w:rPr>
          <w:rFonts w:hint="eastAsia" w:cs="宋体"/>
          <w:color w:val="auto"/>
          <w:kern w:val="0"/>
          <w:sz w:val="24"/>
          <w:szCs w:val="24"/>
          <w:highlight w:val="none"/>
          <w:lang w:val="en-US" w:eastAsia="zh-CN" w:bidi="ar"/>
        </w:rPr>
        <w:t>磋商文件</w:t>
      </w:r>
      <w:r>
        <w:rPr>
          <w:rFonts w:hint="eastAsia" w:ascii="宋体" w:hAnsi="宋体" w:eastAsia="宋体" w:cs="宋体"/>
          <w:color w:val="auto"/>
          <w:kern w:val="0"/>
          <w:sz w:val="24"/>
          <w:szCs w:val="24"/>
          <w:highlight w:val="none"/>
          <w:lang w:val="en-US" w:eastAsia="zh-CN" w:bidi="ar"/>
        </w:rPr>
        <w:t>规定的其它无效响应情形。</w:t>
      </w:r>
    </w:p>
    <w:p w14:paraId="283C28EE">
      <w:pPr>
        <w:keepNext w:val="0"/>
        <w:keepLines w:val="0"/>
        <w:pageBreakBefore w:val="0"/>
        <w:kinsoku/>
        <w:wordWrap/>
        <w:overflowPunct/>
        <w:topLinePunct w:val="0"/>
        <w:autoSpaceDE/>
        <w:autoSpaceDN/>
        <w:bidi w:val="0"/>
        <w:spacing w:line="520" w:lineRule="exact"/>
        <w:ind w:firstLine="435"/>
        <w:rPr>
          <w:rFonts w:hint="eastAsia" w:ascii="宋体" w:hAnsi="宋体" w:eastAsia="宋体" w:cs="宋体"/>
          <w:color w:val="auto"/>
          <w:sz w:val="24"/>
          <w:szCs w:val="24"/>
          <w:highlight w:val="none"/>
        </w:rPr>
      </w:pPr>
    </w:p>
    <w:p w14:paraId="28613CA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9E5170F">
      <w:pPr>
        <w:spacing w:line="360" w:lineRule="auto"/>
        <w:jc w:val="center"/>
        <w:outlineLvl w:val="0"/>
        <w:rPr>
          <w:rFonts w:hint="eastAsia" w:asciiTheme="minorEastAsia" w:hAnsiTheme="minorEastAsia" w:eastAsiaTheme="minorEastAsia"/>
          <w:b/>
          <w:color w:val="auto"/>
          <w:sz w:val="28"/>
          <w:highlight w:val="none"/>
        </w:rPr>
      </w:pPr>
      <w:bookmarkStart w:id="32" w:name="_Toc31277"/>
      <w:r>
        <w:rPr>
          <w:rFonts w:hint="eastAsia" w:asciiTheme="minorEastAsia" w:hAnsiTheme="minorEastAsia" w:eastAsiaTheme="minorEastAsia"/>
          <w:b/>
          <w:color w:val="auto"/>
          <w:sz w:val="28"/>
          <w:highlight w:val="none"/>
        </w:rPr>
        <w:t>第五章  政府采购合同</w:t>
      </w:r>
      <w:bookmarkEnd w:id="32"/>
    </w:p>
    <w:p w14:paraId="12C6EE86">
      <w:pPr>
        <w:keepNext/>
        <w:keepLines/>
        <w:snapToGrid w:val="0"/>
        <w:spacing w:before="312" w:beforeLines="100" w:after="312" w:afterLines="100" w:line="360" w:lineRule="auto"/>
        <w:jc w:val="center"/>
        <w:outlineLvl w:val="1"/>
        <w:rPr>
          <w:rFonts w:cs="宋体"/>
          <w:b/>
          <w:bCs/>
          <w:color w:val="auto"/>
          <w:sz w:val="21"/>
          <w:szCs w:val="21"/>
          <w:highlight w:val="none"/>
        </w:rPr>
      </w:pPr>
      <w:bookmarkStart w:id="33" w:name="_Toc28799376"/>
      <w:bookmarkStart w:id="34" w:name="_Toc130919120"/>
      <w:bookmarkStart w:id="35" w:name="_Toc9907"/>
      <w:r>
        <w:rPr>
          <w:rFonts w:hint="eastAsia" w:cs="宋体"/>
          <w:b/>
          <w:bCs/>
          <w:color w:val="auto"/>
          <w:sz w:val="21"/>
          <w:szCs w:val="21"/>
          <w:highlight w:val="none"/>
        </w:rPr>
        <w:t>第一节  合同协议书</w:t>
      </w:r>
    </w:p>
    <w:p w14:paraId="3A7D48D5">
      <w:pPr>
        <w:spacing w:line="360" w:lineRule="auto"/>
        <w:rPr>
          <w:rFonts w:hint="default" w:eastAsia="宋体" w:cs="宋体"/>
          <w:b/>
          <w:color w:val="auto"/>
          <w:sz w:val="21"/>
          <w:szCs w:val="21"/>
          <w:highlight w:val="none"/>
          <w:u w:val="single"/>
          <w:lang w:val="en-US" w:eastAsia="zh-CN"/>
        </w:rPr>
      </w:pPr>
      <w:r>
        <w:rPr>
          <w:rFonts w:hint="eastAsia" w:cs="宋体"/>
          <w:b/>
          <w:color w:val="auto"/>
          <w:sz w:val="21"/>
          <w:szCs w:val="21"/>
          <w:highlight w:val="none"/>
        </w:rPr>
        <w:t>发包人（全称）：</w:t>
      </w:r>
      <w:r>
        <w:rPr>
          <w:rFonts w:hint="eastAsia" w:cs="宋体"/>
          <w:b/>
          <w:color w:val="auto"/>
          <w:sz w:val="21"/>
          <w:szCs w:val="21"/>
          <w:highlight w:val="none"/>
          <w:u w:val="single"/>
        </w:rPr>
        <w:t></w:t>
      </w:r>
      <w:r>
        <w:rPr>
          <w:rFonts w:hint="eastAsia" w:cs="宋体"/>
          <w:b/>
          <w:color w:val="auto"/>
          <w:sz w:val="21"/>
          <w:szCs w:val="21"/>
          <w:highlight w:val="none"/>
          <w:u w:val="single"/>
          <w:lang w:val="en-US" w:eastAsia="zh-CN"/>
        </w:rPr>
        <w:t xml:space="preserve">                         </w:t>
      </w:r>
    </w:p>
    <w:p w14:paraId="10ED1063">
      <w:pPr>
        <w:spacing w:line="360" w:lineRule="auto"/>
        <w:rPr>
          <w:rFonts w:cs="宋体"/>
          <w:b/>
          <w:color w:val="auto"/>
          <w:sz w:val="21"/>
          <w:szCs w:val="21"/>
          <w:highlight w:val="none"/>
          <w:u w:val="single"/>
        </w:rPr>
      </w:pPr>
      <w:r>
        <w:rPr>
          <w:rFonts w:hint="eastAsia" w:cs="宋体"/>
          <w:b/>
          <w:color w:val="auto"/>
          <w:sz w:val="21"/>
          <w:szCs w:val="21"/>
          <w:highlight w:val="none"/>
        </w:rPr>
        <w:t>承包人（全称）：</w:t>
      </w:r>
      <w:r>
        <w:rPr>
          <w:rFonts w:hint="eastAsia" w:cs="宋体"/>
          <w:b/>
          <w:color w:val="auto"/>
          <w:sz w:val="21"/>
          <w:szCs w:val="21"/>
          <w:highlight w:val="none"/>
          <w:u w:val="single"/>
        </w:rPr>
        <w:t xml:space="preserve">    </w:t>
      </w:r>
      <w:r>
        <w:rPr>
          <w:rFonts w:hint="eastAsia" w:cs="宋体"/>
          <w:b/>
          <w:color w:val="auto"/>
          <w:sz w:val="21"/>
          <w:szCs w:val="21"/>
          <w:highlight w:val="none"/>
          <w:u w:val="single"/>
          <w:lang w:val="en-US" w:eastAsia="zh-CN"/>
        </w:rPr>
        <w:t xml:space="preserve">            </w:t>
      </w:r>
      <w:r>
        <w:rPr>
          <w:rFonts w:hint="eastAsia" w:cs="宋体"/>
          <w:b/>
          <w:color w:val="auto"/>
          <w:sz w:val="21"/>
          <w:szCs w:val="21"/>
          <w:highlight w:val="none"/>
          <w:u w:val="single"/>
        </w:rPr>
        <w:t xml:space="preserve">    </w:t>
      </w:r>
    </w:p>
    <w:p w14:paraId="631263DB">
      <w:pPr>
        <w:spacing w:line="360" w:lineRule="auto"/>
        <w:rPr>
          <w:rFonts w:ascii="Times New Roman" w:hAnsi="Times New Roman" w:eastAsia="仿宋_GB2312" w:cs="Times New Roman"/>
          <w:b/>
          <w:color w:val="auto"/>
          <w:kern w:val="2"/>
          <w:sz w:val="21"/>
          <w:szCs w:val="21"/>
          <w:highlight w:val="none"/>
          <w:u w:val="single"/>
        </w:rPr>
      </w:pPr>
    </w:p>
    <w:p w14:paraId="02E5D83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滁州市第一人民医院北区扩建项目检验中心专项工程（净化工程） </w:t>
      </w:r>
      <w:r>
        <w:rPr>
          <w:rFonts w:hint="eastAsia" w:cs="宋体"/>
          <w:color w:val="auto"/>
          <w:sz w:val="21"/>
          <w:szCs w:val="21"/>
          <w:highlight w:val="none"/>
        </w:rPr>
        <w:t>工程施工及有关事项协商一致，共同达成如下协议：</w:t>
      </w:r>
    </w:p>
    <w:p w14:paraId="3440F52E">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650BEE99">
      <w:pPr>
        <w:keepNext w:val="0"/>
        <w:keepLines w:val="0"/>
        <w:pageBreakBefore w:val="0"/>
        <w:widowControl w:val="0"/>
        <w:kinsoku/>
        <w:wordWrap/>
        <w:overflowPunct/>
        <w:topLinePunct w:val="0"/>
        <w:autoSpaceDE/>
        <w:autoSpaceDN/>
        <w:bidi w:val="0"/>
        <w:adjustRightInd/>
        <w:snapToGrid w:val="0"/>
        <w:spacing w:line="360" w:lineRule="auto"/>
        <w:ind w:firstLine="411" w:firstLineChars="196"/>
        <w:textAlignment w:val="auto"/>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lang w:val="en-US" w:eastAsia="zh-CN"/>
        </w:rPr>
        <w:t xml:space="preserve"> 滁州市第一人民医院北区扩建项目检验中心专项工程（净化工程） </w:t>
      </w:r>
      <w:r>
        <w:rPr>
          <w:rFonts w:hint="eastAsia" w:cs="宋体"/>
          <w:color w:val="auto"/>
          <w:sz w:val="21"/>
          <w:szCs w:val="21"/>
          <w:highlight w:val="none"/>
        </w:rPr>
        <w:t>。</w:t>
      </w:r>
    </w:p>
    <w:p w14:paraId="2624ECFE">
      <w:pPr>
        <w:keepNext w:val="0"/>
        <w:keepLines w:val="0"/>
        <w:pageBreakBefore w:val="0"/>
        <w:widowControl w:val="0"/>
        <w:kinsoku/>
        <w:wordWrap/>
        <w:overflowPunct/>
        <w:topLinePunct w:val="0"/>
        <w:autoSpaceDE/>
        <w:autoSpaceDN/>
        <w:bidi w:val="0"/>
        <w:adjustRightInd/>
        <w:snapToGrid w:val="0"/>
        <w:spacing w:line="360" w:lineRule="auto"/>
        <w:ind w:firstLine="411" w:firstLineChars="196"/>
        <w:textAlignment w:val="auto"/>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rPr>
        <w:t></w:t>
      </w:r>
      <w:r>
        <w:rPr>
          <w:rFonts w:hint="eastAsia" w:cs="宋体"/>
          <w:color w:val="auto"/>
          <w:sz w:val="21"/>
          <w:szCs w:val="21"/>
          <w:highlight w:val="none"/>
          <w:u w:val="single"/>
          <w:lang w:val="en-US" w:eastAsia="zh-CN"/>
        </w:rPr>
        <w:t xml:space="preserve">滁州市内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7510A07">
      <w:pPr>
        <w:keepNext w:val="0"/>
        <w:keepLines w:val="0"/>
        <w:pageBreakBefore w:val="0"/>
        <w:widowControl w:val="0"/>
        <w:kinsoku/>
        <w:wordWrap/>
        <w:overflowPunct/>
        <w:topLinePunct w:val="0"/>
        <w:autoSpaceDE/>
        <w:autoSpaceDN/>
        <w:bidi w:val="0"/>
        <w:adjustRightInd/>
        <w:snapToGrid w:val="0"/>
        <w:spacing w:line="360" w:lineRule="auto"/>
        <w:ind w:firstLine="411" w:firstLineChars="196"/>
        <w:textAlignment w:val="auto"/>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rPr>
        <w:t></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bCs/>
          <w:color w:val="auto"/>
          <w:sz w:val="21"/>
          <w:szCs w:val="21"/>
          <w:highlight w:val="none"/>
        </w:rPr>
        <w:t>。</w:t>
      </w:r>
    </w:p>
    <w:p w14:paraId="6FD5AEC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cs="宋体"/>
          <w:bCs/>
          <w:color w:val="auto"/>
          <w:sz w:val="21"/>
          <w:szCs w:val="21"/>
          <w:highlight w:val="none"/>
        </w:rPr>
      </w:pPr>
      <w:bookmarkStart w:id="36" w:name="_Toc351203482"/>
      <w:r>
        <w:rPr>
          <w:rFonts w:hint="eastAsia" w:ascii="宋体" w:cs="宋体"/>
          <w:bCs/>
          <w:color w:val="auto"/>
          <w:sz w:val="21"/>
          <w:szCs w:val="21"/>
          <w:highlight w:val="none"/>
        </w:rPr>
        <w:t>4.资金来源：</w:t>
      </w:r>
      <w:r>
        <w:rPr>
          <w:rFonts w:hint="eastAsia" w:ascii="宋体" w:cs="宋体"/>
          <w:bCs/>
          <w:color w:val="auto"/>
          <w:sz w:val="21"/>
          <w:szCs w:val="21"/>
          <w:highlight w:val="none"/>
          <w:u w:val="single"/>
        </w:rPr>
        <w:t xml:space="preserve">       </w:t>
      </w:r>
      <w:r>
        <w:rPr>
          <w:rFonts w:hint="eastAsia" w:ascii="宋体" w:cs="宋体"/>
          <w:bCs/>
          <w:color w:val="auto"/>
          <w:sz w:val="21"/>
          <w:szCs w:val="21"/>
          <w:highlight w:val="none"/>
          <w:u w:val="single"/>
          <w:lang w:val="en-US" w:eastAsia="zh-CN"/>
        </w:rPr>
        <w:t xml:space="preserve"> </w:t>
      </w:r>
      <w:r>
        <w:rPr>
          <w:rFonts w:hint="eastAsia" w:ascii="宋体" w:cs="宋体"/>
          <w:bCs/>
          <w:color w:val="auto"/>
          <w:sz w:val="21"/>
          <w:szCs w:val="21"/>
          <w:highlight w:val="none"/>
          <w:u w:val="single"/>
        </w:rPr>
        <w:t xml:space="preserve"> </w:t>
      </w:r>
      <w:r>
        <w:rPr>
          <w:rFonts w:hint="eastAsia" w:ascii="宋体" w:cs="宋体"/>
          <w:bCs/>
          <w:color w:val="auto"/>
          <w:sz w:val="21"/>
          <w:szCs w:val="21"/>
          <w:highlight w:val="none"/>
          <w:u w:val="single"/>
          <w:lang w:val="en-US" w:eastAsia="zh-CN"/>
        </w:rPr>
        <w:t>财政资金</w:t>
      </w:r>
      <w:r>
        <w:rPr>
          <w:rFonts w:hint="eastAsia" w:ascii="宋体" w:cs="宋体"/>
          <w:bCs/>
          <w:color w:val="auto"/>
          <w:sz w:val="21"/>
          <w:szCs w:val="21"/>
          <w:highlight w:val="none"/>
          <w:u w:val="single"/>
        </w:rPr>
        <w:t xml:space="preserve">               </w:t>
      </w:r>
      <w:r>
        <w:rPr>
          <w:rFonts w:hint="eastAsia" w:ascii="宋体" w:cs="宋体"/>
          <w:color w:val="auto"/>
          <w:sz w:val="21"/>
          <w:szCs w:val="21"/>
          <w:highlight w:val="none"/>
          <w:u w:val="single"/>
        </w:rPr>
        <w:t xml:space="preserve">       </w:t>
      </w:r>
      <w:r>
        <w:rPr>
          <w:rFonts w:hint="eastAsia" w:ascii="宋体" w:cs="宋体"/>
          <w:bCs/>
          <w:color w:val="auto"/>
          <w:sz w:val="21"/>
          <w:szCs w:val="21"/>
          <w:highlight w:val="none"/>
        </w:rPr>
        <w:t>。</w:t>
      </w:r>
    </w:p>
    <w:p w14:paraId="3184D78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cs="宋体"/>
          <w:bCs/>
          <w:color w:val="auto"/>
          <w:sz w:val="21"/>
          <w:szCs w:val="21"/>
          <w:highlight w:val="none"/>
        </w:rPr>
      </w:pPr>
      <w:r>
        <w:rPr>
          <w:rFonts w:hint="eastAsia" w:ascii="宋体" w:cs="宋体"/>
          <w:bCs/>
          <w:color w:val="auto"/>
          <w:sz w:val="21"/>
          <w:szCs w:val="21"/>
          <w:highlight w:val="none"/>
        </w:rPr>
        <w:t>5.工程内容：</w:t>
      </w:r>
      <w:r>
        <w:rPr>
          <w:rFonts w:hint="eastAsia" w:ascii="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cs="宋体"/>
          <w:color w:val="auto"/>
          <w:sz w:val="21"/>
          <w:szCs w:val="21"/>
          <w:highlight w:val="none"/>
          <w:u w:val="single"/>
        </w:rPr>
        <w:t>以施工图纸及工程量清单内容为准</w:t>
      </w:r>
      <w:r>
        <w:rPr>
          <w:rFonts w:hint="eastAsia" w:cs="宋体"/>
          <w:color w:val="auto"/>
          <w:sz w:val="21"/>
          <w:szCs w:val="21"/>
          <w:highlight w:val="none"/>
          <w:u w:val="single"/>
          <w:lang w:val="en-US" w:eastAsia="zh-CN"/>
        </w:rPr>
        <w:t xml:space="preserve">  </w:t>
      </w:r>
      <w:r>
        <w:rPr>
          <w:rFonts w:hint="eastAsia" w:ascii="宋体" w:cs="宋体"/>
          <w:color w:val="auto"/>
          <w:sz w:val="21"/>
          <w:szCs w:val="21"/>
          <w:highlight w:val="none"/>
          <w:u w:val="single"/>
        </w:rPr>
        <w:t xml:space="preserve">  </w:t>
      </w:r>
      <w:r>
        <w:rPr>
          <w:rFonts w:hint="eastAsia" w:ascii="宋体" w:cs="宋体"/>
          <w:bCs/>
          <w:color w:val="auto"/>
          <w:sz w:val="21"/>
          <w:szCs w:val="21"/>
          <w:highlight w:val="none"/>
        </w:rPr>
        <w:t>。</w:t>
      </w:r>
    </w:p>
    <w:p w14:paraId="5909FB3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cs="宋体"/>
          <w:bCs/>
          <w:color w:val="auto"/>
          <w:sz w:val="21"/>
          <w:szCs w:val="21"/>
          <w:highlight w:val="none"/>
        </w:rPr>
      </w:pPr>
      <w:r>
        <w:rPr>
          <w:rFonts w:hint="eastAsia" w:ascii="宋体" w:cs="宋体"/>
          <w:color w:val="auto"/>
          <w:sz w:val="21"/>
          <w:szCs w:val="21"/>
          <w:highlight w:val="none"/>
        </w:rPr>
        <w:t>群体工程应附《承包人承揽工程项目一览表》（附件1）。</w:t>
      </w:r>
    </w:p>
    <w:p w14:paraId="7FB163EF">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420" w:firstLineChars="200"/>
        <w:textAlignment w:val="auto"/>
        <w:rPr>
          <w:rFonts w:hint="eastAsia" w:ascii="宋体" w:cs="宋体"/>
          <w:color w:val="auto"/>
          <w:sz w:val="21"/>
          <w:szCs w:val="21"/>
          <w:highlight w:val="none"/>
        </w:rPr>
      </w:pPr>
      <w:r>
        <w:rPr>
          <w:rFonts w:hint="eastAsia" w:ascii="宋体" w:cs="宋体"/>
          <w:bCs/>
          <w:color w:val="auto"/>
          <w:sz w:val="21"/>
          <w:szCs w:val="21"/>
          <w:highlight w:val="none"/>
        </w:rPr>
        <w:t>工程承包范围：</w:t>
      </w:r>
      <w:r>
        <w:rPr>
          <w:rFonts w:hint="eastAsia" w:ascii="宋体" w:hAnsi="宋体" w:cs="宋体"/>
          <w:b/>
          <w:bCs/>
          <w:color w:val="auto"/>
          <w:sz w:val="21"/>
          <w:szCs w:val="21"/>
          <w:highlight w:val="none"/>
          <w:u w:val="single"/>
        </w:rPr>
        <w:t>施工图纸和工程量清单载明的施工内容及施工过程中的变更调整内容（如施工图纸和工程量清单不一致，由</w:t>
      </w:r>
      <w:r>
        <w:rPr>
          <w:rFonts w:hint="eastAsia" w:ascii="宋体" w:hAnsi="宋体" w:cs="宋体"/>
          <w:b/>
          <w:bCs/>
          <w:color w:val="auto"/>
          <w:sz w:val="21"/>
          <w:szCs w:val="21"/>
          <w:highlight w:val="none"/>
          <w:u w:val="single"/>
          <w:lang w:eastAsia="zh-CN"/>
        </w:rPr>
        <w:t>采购人</w:t>
      </w:r>
      <w:r>
        <w:rPr>
          <w:rFonts w:hint="eastAsia" w:ascii="宋体" w:hAnsi="宋体" w:cs="宋体"/>
          <w:b/>
          <w:bCs/>
          <w:color w:val="auto"/>
          <w:sz w:val="21"/>
          <w:szCs w:val="21"/>
          <w:highlight w:val="none"/>
          <w:u w:val="single"/>
        </w:rPr>
        <w:t>负责解释</w:t>
      </w:r>
      <w:r>
        <w:rPr>
          <w:rFonts w:hint="eastAsia" w:ascii="宋体" w:hAnsi="宋体" w:cs="宋体"/>
          <w:color w:val="auto"/>
          <w:sz w:val="21"/>
          <w:szCs w:val="21"/>
          <w:highlight w:val="none"/>
          <w:u w:val="single"/>
        </w:rPr>
        <w:t>）</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w:t>
      </w:r>
    </w:p>
    <w:p w14:paraId="5F044E96">
      <w:pPr>
        <w:numPr>
          <w:ilvl w:val="0"/>
          <w:numId w:val="0"/>
        </w:num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二、合同工期</w:t>
      </w:r>
      <w:bookmarkEnd w:id="36"/>
    </w:p>
    <w:p w14:paraId="65BA4132">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lang w:val="en-US" w:eastAsia="zh-CN"/>
        </w:rPr>
        <w:t>2025</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r>
        <w:rPr>
          <w:rFonts w:hint="eastAsia" w:cs="宋体"/>
          <w:color w:val="auto"/>
          <w:sz w:val="21"/>
          <w:szCs w:val="21"/>
          <w:highlight w:val="none"/>
          <w:lang w:val="en-US" w:eastAsia="zh-CN"/>
        </w:rPr>
        <w:t>具体以监理发出的开工令为准。</w:t>
      </w:r>
    </w:p>
    <w:p w14:paraId="03006E2D">
      <w:pPr>
        <w:snapToGrid w:val="0"/>
        <w:spacing w:line="360" w:lineRule="auto"/>
        <w:ind w:firstLine="459"/>
        <w:rPr>
          <w:rFonts w:hint="default" w:eastAsia="宋体" w:cs="宋体"/>
          <w:color w:val="auto"/>
          <w:sz w:val="21"/>
          <w:szCs w:val="21"/>
          <w:highlight w:val="none"/>
          <w:lang w:val="en-US" w:eastAsia="zh-CN"/>
        </w:rPr>
      </w:pPr>
      <w:r>
        <w:rPr>
          <w:rFonts w:hint="eastAsia" w:cs="宋体"/>
          <w:color w:val="auto"/>
          <w:sz w:val="21"/>
          <w:szCs w:val="21"/>
          <w:highlight w:val="none"/>
        </w:rPr>
        <w:t>计划竣工日期：</w:t>
      </w:r>
      <w:r>
        <w:rPr>
          <w:rFonts w:hint="eastAsia" w:cs="宋体"/>
          <w:color w:val="auto"/>
          <w:sz w:val="21"/>
          <w:szCs w:val="21"/>
          <w:highlight w:val="none"/>
          <w:u w:val="single"/>
          <w:lang w:val="en-US" w:eastAsia="zh-CN"/>
        </w:rPr>
        <w:t>2025</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36BF1BB0">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rPr>
        <w:t></w:t>
      </w:r>
      <w:r>
        <w:rPr>
          <w:rFonts w:hint="eastAsia" w:cs="宋体"/>
          <w:color w:val="auto"/>
          <w:sz w:val="21"/>
          <w:szCs w:val="21"/>
          <w:highlight w:val="none"/>
        </w:rPr>
        <w:t>天。</w:t>
      </w:r>
      <w:r>
        <w:rPr>
          <w:rFonts w:hint="eastAsia" w:ascii="宋体" w:cs="宋体"/>
          <w:color w:val="auto"/>
          <w:sz w:val="21"/>
          <w:szCs w:val="21"/>
          <w:highlight w:val="none"/>
        </w:rPr>
        <w:t>供应商自报的承诺工期为考核标准</w:t>
      </w:r>
      <w:r>
        <w:rPr>
          <w:rFonts w:hint="eastAsia" w:ascii="宋体" w:cs="宋体"/>
          <w:color w:val="auto"/>
          <w:sz w:val="21"/>
          <w:szCs w:val="21"/>
          <w:highlight w:val="none"/>
          <w:lang w:eastAsia="zh-CN"/>
        </w:rPr>
        <w:t>。</w:t>
      </w:r>
      <w:r>
        <w:rPr>
          <w:rFonts w:hint="eastAsia" w:ascii="宋体" w:cs="宋体"/>
          <w:color w:val="auto"/>
          <w:sz w:val="21"/>
          <w:szCs w:val="21"/>
          <w:highlight w:val="none"/>
          <w:lang w:val="en-US" w:eastAsia="zh-CN"/>
        </w:rPr>
        <w:t>因</w:t>
      </w:r>
      <w:r>
        <w:rPr>
          <w:rFonts w:hint="eastAsia" w:ascii="宋体" w:cs="宋体"/>
          <w:color w:val="auto"/>
          <w:sz w:val="21"/>
          <w:szCs w:val="21"/>
          <w:highlight w:val="none"/>
        </w:rPr>
        <w:t>供应商</w:t>
      </w:r>
      <w:r>
        <w:rPr>
          <w:rFonts w:hint="eastAsia" w:ascii="宋体" w:cs="宋体"/>
          <w:color w:val="auto"/>
          <w:sz w:val="21"/>
          <w:szCs w:val="21"/>
          <w:highlight w:val="none"/>
          <w:lang w:val="en-US" w:eastAsia="zh-CN"/>
        </w:rPr>
        <w:t>原因造成的工期延误，每推迟一天，按合同价款（扣除暂估价和暂列金）万分之二处以违约金</w:t>
      </w:r>
      <w:r>
        <w:rPr>
          <w:rFonts w:hint="eastAsia" w:cs="宋体"/>
          <w:color w:val="auto"/>
          <w:sz w:val="21"/>
          <w:szCs w:val="21"/>
          <w:highlight w:val="none"/>
        </w:rPr>
        <w:t>。</w:t>
      </w:r>
    </w:p>
    <w:p w14:paraId="78DFC1A0">
      <w:pPr>
        <w:snapToGrid w:val="0"/>
        <w:spacing w:line="360" w:lineRule="auto"/>
        <w:ind w:firstLine="422" w:firstLineChars="200"/>
        <w:rPr>
          <w:rFonts w:cs="宋体"/>
          <w:b/>
          <w:color w:val="auto"/>
          <w:sz w:val="21"/>
          <w:szCs w:val="21"/>
          <w:highlight w:val="none"/>
        </w:rPr>
      </w:pPr>
      <w:bookmarkStart w:id="37" w:name="_Toc351203483"/>
      <w:r>
        <w:rPr>
          <w:rFonts w:hint="eastAsia" w:cs="宋体"/>
          <w:b/>
          <w:color w:val="auto"/>
          <w:sz w:val="21"/>
          <w:szCs w:val="21"/>
          <w:highlight w:val="none"/>
        </w:rPr>
        <w:t>三、质量标准</w:t>
      </w:r>
      <w:bookmarkEnd w:id="37"/>
    </w:p>
    <w:p w14:paraId="0919B579">
      <w:pPr>
        <w:snapToGrid w:val="0"/>
        <w:spacing w:line="360" w:lineRule="auto"/>
        <w:ind w:firstLine="459"/>
        <w:rPr>
          <w:rFonts w:cs="宋体"/>
          <w:color w:val="auto"/>
          <w:sz w:val="21"/>
          <w:szCs w:val="21"/>
          <w:highlight w:val="none"/>
        </w:rPr>
      </w:pPr>
      <w:r>
        <w:rPr>
          <w:rFonts w:hint="eastAsia"/>
          <w:color w:val="auto"/>
          <w:sz w:val="21"/>
          <w:szCs w:val="21"/>
          <w:highlight w:val="none"/>
        </w:rPr>
        <w:t>工程质量必须达到国家工程施工质量验收</w:t>
      </w:r>
      <w:r>
        <w:rPr>
          <w:rFonts w:hint="eastAsia"/>
          <w:b/>
          <w:color w:val="auto"/>
          <w:sz w:val="21"/>
          <w:szCs w:val="21"/>
          <w:highlight w:val="none"/>
          <w:u w:val="single"/>
        </w:rPr>
        <w:t xml:space="preserve">  合格  </w:t>
      </w:r>
      <w:r>
        <w:rPr>
          <w:rFonts w:hint="eastAsia"/>
          <w:color w:val="auto"/>
          <w:sz w:val="21"/>
          <w:szCs w:val="21"/>
          <w:highlight w:val="none"/>
        </w:rPr>
        <w:t>标准</w:t>
      </w:r>
      <w:r>
        <w:rPr>
          <w:rFonts w:hint="eastAsia" w:cs="宋体"/>
          <w:color w:val="auto"/>
          <w:sz w:val="21"/>
          <w:szCs w:val="21"/>
          <w:highlight w:val="none"/>
        </w:rPr>
        <w:t>。</w:t>
      </w:r>
    </w:p>
    <w:p w14:paraId="2D4613AF">
      <w:pPr>
        <w:snapToGrid w:val="0"/>
        <w:spacing w:line="360" w:lineRule="auto"/>
        <w:ind w:firstLine="422" w:firstLineChars="200"/>
        <w:rPr>
          <w:rFonts w:cs="宋体"/>
          <w:b/>
          <w:color w:val="auto"/>
          <w:sz w:val="21"/>
          <w:szCs w:val="21"/>
          <w:highlight w:val="none"/>
        </w:rPr>
      </w:pPr>
      <w:bookmarkStart w:id="38" w:name="_Toc351203484"/>
      <w:r>
        <w:rPr>
          <w:rFonts w:hint="eastAsia" w:cs="宋体"/>
          <w:b/>
          <w:color w:val="auto"/>
          <w:sz w:val="21"/>
          <w:szCs w:val="21"/>
          <w:highlight w:val="none"/>
        </w:rPr>
        <w:t>四、签约合同价与合同价格形式</w:t>
      </w:r>
      <w:bookmarkEnd w:id="38"/>
    </w:p>
    <w:p w14:paraId="03BE343F">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73A9EF8C">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0562488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其中：</w:t>
      </w:r>
    </w:p>
    <w:p w14:paraId="283E9CF8">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（1）安全文明施工费：</w:t>
      </w:r>
    </w:p>
    <w:p w14:paraId="3156EFC3">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5D3941CE">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（2）材料和工程设备暂估价金额：</w:t>
      </w:r>
    </w:p>
    <w:p w14:paraId="692B2E20">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6C55BA5F">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（3）专业工程暂估价金额：</w:t>
      </w:r>
    </w:p>
    <w:p w14:paraId="5F4919A3">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6C85137A">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（4）暂列金额：</w:t>
      </w:r>
    </w:p>
    <w:p w14:paraId="095F633C">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1B750C42">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合同价格形式：</w:t>
      </w:r>
      <w:r>
        <w:rPr>
          <w:rFonts w:hint="eastAsia" w:cs="宋体"/>
          <w:color w:val="auto"/>
          <w:sz w:val="21"/>
          <w:szCs w:val="21"/>
          <w:highlight w:val="none"/>
          <w:u w:val="single"/>
        </w:rPr>
        <w:t></w:t>
      </w:r>
      <w:r>
        <w:rPr>
          <w:rFonts w:hint="eastAsia" w:ascii="宋体" w:cs="宋体"/>
          <w:color w:val="auto"/>
          <w:sz w:val="21"/>
          <w:szCs w:val="21"/>
          <w:highlight w:val="none"/>
          <w:u w:val="single"/>
          <w:lang w:val="en-US" w:eastAsia="zh-CN"/>
        </w:rPr>
        <w:t>单价</w:t>
      </w:r>
      <w:r>
        <w:rPr>
          <w:rFonts w:hint="eastAsia" w:ascii="宋体" w:cs="宋体"/>
          <w:color w:val="auto"/>
          <w:sz w:val="21"/>
          <w:szCs w:val="21"/>
          <w:highlight w:val="none"/>
          <w:u w:val="single"/>
        </w:rPr>
        <w:t>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A49801">
      <w:pPr>
        <w:snapToGrid w:val="0"/>
        <w:spacing w:line="360" w:lineRule="auto"/>
        <w:ind w:firstLine="422" w:firstLineChars="200"/>
        <w:rPr>
          <w:rFonts w:cs="宋体"/>
          <w:b/>
          <w:color w:val="auto"/>
          <w:sz w:val="21"/>
          <w:szCs w:val="21"/>
          <w:highlight w:val="none"/>
        </w:rPr>
      </w:pPr>
      <w:bookmarkStart w:id="39" w:name="_Toc351203485"/>
      <w:r>
        <w:rPr>
          <w:rFonts w:hint="eastAsia" w:cs="宋体"/>
          <w:b/>
          <w:color w:val="auto"/>
          <w:sz w:val="21"/>
          <w:szCs w:val="21"/>
          <w:highlight w:val="none"/>
        </w:rPr>
        <w:t>五、</w:t>
      </w:r>
      <w:bookmarkEnd w:id="39"/>
      <w:r>
        <w:rPr>
          <w:rFonts w:hint="eastAsia" w:cs="宋体"/>
          <w:b/>
          <w:color w:val="auto"/>
          <w:sz w:val="21"/>
          <w:szCs w:val="21"/>
          <w:highlight w:val="none"/>
        </w:rPr>
        <w:t>项目经理（建造师）</w:t>
      </w:r>
    </w:p>
    <w:p w14:paraId="3F2BFB2E">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承包人项目经理（建造师）：</w:t>
      </w:r>
      <w:r>
        <w:rPr>
          <w:rFonts w:hint="eastAsia" w:cs="宋体"/>
          <w:color w:val="auto"/>
          <w:sz w:val="21"/>
          <w:szCs w:val="21"/>
          <w:highlight w:val="none"/>
          <w:u w:val="single"/>
        </w:rPr>
        <w:t>                     </w:t>
      </w:r>
      <w:r>
        <w:rPr>
          <w:rFonts w:hint="eastAsia" w:cs="宋体"/>
          <w:color w:val="auto"/>
          <w:sz w:val="21"/>
          <w:szCs w:val="21"/>
          <w:highlight w:val="none"/>
        </w:rPr>
        <w:t>。</w:t>
      </w:r>
    </w:p>
    <w:p w14:paraId="78D6ECF6">
      <w:pPr>
        <w:snapToGrid w:val="0"/>
        <w:spacing w:line="360" w:lineRule="auto"/>
        <w:ind w:firstLine="422" w:firstLineChars="200"/>
        <w:rPr>
          <w:rFonts w:cs="宋体"/>
          <w:b/>
          <w:color w:val="auto"/>
          <w:sz w:val="21"/>
          <w:szCs w:val="21"/>
          <w:highlight w:val="none"/>
        </w:rPr>
      </w:pPr>
      <w:bookmarkStart w:id="40" w:name="_Toc351203486"/>
      <w:r>
        <w:rPr>
          <w:rFonts w:hint="eastAsia" w:cs="宋体"/>
          <w:b/>
          <w:color w:val="auto"/>
          <w:sz w:val="21"/>
          <w:szCs w:val="21"/>
          <w:highlight w:val="none"/>
        </w:rPr>
        <w:t>六、合同文件构成</w:t>
      </w:r>
      <w:bookmarkEnd w:id="40"/>
    </w:p>
    <w:p w14:paraId="5F594F14">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467D61DC">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（1）中标通知书（如果有）；</w:t>
      </w:r>
    </w:p>
    <w:p w14:paraId="7B7FE64B">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（2）投标函及其附录（如果有）； </w:t>
      </w:r>
    </w:p>
    <w:p w14:paraId="2911B0C9">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（3）专用合同条款及其附件；</w:t>
      </w:r>
    </w:p>
    <w:p w14:paraId="0774CD98">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（4）通用合同条款；</w:t>
      </w:r>
    </w:p>
    <w:p w14:paraId="4626267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（5）技术标准和要求；</w:t>
      </w:r>
    </w:p>
    <w:p w14:paraId="30E83127">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（6）图纸；</w:t>
      </w:r>
    </w:p>
    <w:p w14:paraId="1B037BF8">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（7）已标价工程量清单或预算书；</w:t>
      </w:r>
    </w:p>
    <w:p w14:paraId="24B51495">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（8）其他合同文件。</w:t>
      </w:r>
    </w:p>
    <w:p w14:paraId="646E4FC0">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2330D49F">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235E809E">
      <w:pPr>
        <w:snapToGrid w:val="0"/>
        <w:spacing w:line="360" w:lineRule="auto"/>
        <w:ind w:firstLine="422" w:firstLineChars="200"/>
        <w:rPr>
          <w:rFonts w:cs="宋体"/>
          <w:b/>
          <w:color w:val="auto"/>
          <w:sz w:val="21"/>
          <w:szCs w:val="21"/>
          <w:highlight w:val="none"/>
        </w:rPr>
      </w:pPr>
      <w:bookmarkStart w:id="41" w:name="_Toc351203487"/>
      <w:r>
        <w:rPr>
          <w:rFonts w:hint="eastAsia" w:cs="宋体"/>
          <w:b/>
          <w:color w:val="auto"/>
          <w:sz w:val="21"/>
          <w:szCs w:val="21"/>
          <w:highlight w:val="none"/>
        </w:rPr>
        <w:t>七、承诺</w:t>
      </w:r>
      <w:bookmarkEnd w:id="41"/>
    </w:p>
    <w:p w14:paraId="64CDF284">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0AF9B6FE">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1EE91836">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68DF8526">
      <w:pPr>
        <w:snapToGrid w:val="0"/>
        <w:spacing w:line="360" w:lineRule="auto"/>
        <w:ind w:firstLine="422" w:firstLineChars="200"/>
        <w:rPr>
          <w:rFonts w:cs="宋体"/>
          <w:b/>
          <w:color w:val="auto"/>
          <w:sz w:val="21"/>
          <w:szCs w:val="21"/>
          <w:highlight w:val="none"/>
        </w:rPr>
      </w:pPr>
      <w:bookmarkStart w:id="42" w:name="_Toc351203488"/>
      <w:r>
        <w:rPr>
          <w:rFonts w:hint="eastAsia" w:cs="宋体"/>
          <w:b/>
          <w:color w:val="auto"/>
          <w:sz w:val="21"/>
          <w:szCs w:val="21"/>
          <w:highlight w:val="none"/>
        </w:rPr>
        <w:t>八、词语含义</w:t>
      </w:r>
      <w:bookmarkEnd w:id="42"/>
    </w:p>
    <w:p w14:paraId="4354787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5C0A2947">
      <w:pPr>
        <w:snapToGrid w:val="0"/>
        <w:spacing w:line="360" w:lineRule="auto"/>
        <w:ind w:firstLine="422" w:firstLineChars="200"/>
        <w:rPr>
          <w:rFonts w:cs="宋体"/>
          <w:b/>
          <w:color w:val="auto"/>
          <w:sz w:val="21"/>
          <w:szCs w:val="21"/>
          <w:highlight w:val="none"/>
        </w:rPr>
      </w:pPr>
      <w:bookmarkStart w:id="43" w:name="_Toc351203489"/>
      <w:r>
        <w:rPr>
          <w:rFonts w:hint="eastAsia" w:cs="宋体"/>
          <w:b/>
          <w:color w:val="auto"/>
          <w:sz w:val="21"/>
          <w:szCs w:val="21"/>
          <w:highlight w:val="none"/>
        </w:rPr>
        <w:t>九、签订时间</w:t>
      </w:r>
      <w:bookmarkEnd w:id="43"/>
    </w:p>
    <w:p w14:paraId="518B39D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lang w:val="en-US" w:eastAsia="zh-CN"/>
        </w:rPr>
        <w:t>2025</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40EA691E">
      <w:pPr>
        <w:snapToGrid w:val="0"/>
        <w:spacing w:line="360" w:lineRule="auto"/>
        <w:ind w:firstLine="422" w:firstLineChars="200"/>
        <w:rPr>
          <w:rFonts w:cs="宋体"/>
          <w:b/>
          <w:color w:val="auto"/>
          <w:sz w:val="21"/>
          <w:szCs w:val="21"/>
          <w:highlight w:val="none"/>
        </w:rPr>
      </w:pPr>
      <w:bookmarkStart w:id="44" w:name="_Toc351203490"/>
      <w:r>
        <w:rPr>
          <w:rFonts w:hint="eastAsia" w:cs="宋体"/>
          <w:b/>
          <w:color w:val="auto"/>
          <w:sz w:val="21"/>
          <w:szCs w:val="21"/>
          <w:highlight w:val="none"/>
        </w:rPr>
        <w:t>十、签订地点</w:t>
      </w:r>
      <w:bookmarkEnd w:id="44"/>
    </w:p>
    <w:p w14:paraId="4C850B6C">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滁州市第一人民医院、滁州市重点工程建设管理处</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3FABEAAA">
      <w:pPr>
        <w:snapToGrid w:val="0"/>
        <w:spacing w:line="360" w:lineRule="auto"/>
        <w:ind w:firstLine="422" w:firstLineChars="200"/>
        <w:rPr>
          <w:rFonts w:cs="宋体"/>
          <w:b/>
          <w:color w:val="auto"/>
          <w:sz w:val="21"/>
          <w:szCs w:val="21"/>
          <w:highlight w:val="none"/>
        </w:rPr>
      </w:pPr>
      <w:bookmarkStart w:id="45" w:name="_Toc351203491"/>
      <w:r>
        <w:rPr>
          <w:rFonts w:hint="eastAsia" w:cs="宋体"/>
          <w:b/>
          <w:color w:val="auto"/>
          <w:sz w:val="21"/>
          <w:szCs w:val="21"/>
          <w:highlight w:val="none"/>
        </w:rPr>
        <w:t>十一、补充协议</w:t>
      </w:r>
      <w:bookmarkEnd w:id="45"/>
    </w:p>
    <w:p w14:paraId="1B390B34">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628CEFCA">
      <w:pPr>
        <w:snapToGrid w:val="0"/>
        <w:spacing w:line="360" w:lineRule="auto"/>
        <w:ind w:firstLine="422" w:firstLineChars="200"/>
        <w:rPr>
          <w:rFonts w:cs="宋体"/>
          <w:b/>
          <w:color w:val="auto"/>
          <w:sz w:val="21"/>
          <w:szCs w:val="21"/>
          <w:highlight w:val="none"/>
        </w:rPr>
      </w:pPr>
      <w:bookmarkStart w:id="46" w:name="_Toc351203492"/>
      <w:r>
        <w:rPr>
          <w:rFonts w:hint="eastAsia" w:cs="宋体"/>
          <w:b/>
          <w:color w:val="auto"/>
          <w:sz w:val="21"/>
          <w:szCs w:val="21"/>
          <w:highlight w:val="none"/>
        </w:rPr>
        <w:t>十二、合同生效</w:t>
      </w:r>
      <w:bookmarkEnd w:id="46"/>
    </w:p>
    <w:p w14:paraId="07E2F4D6">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ascii="宋体" w:cs="宋体"/>
          <w:color w:val="auto"/>
          <w:sz w:val="21"/>
          <w:szCs w:val="21"/>
          <w:highlight w:val="none"/>
          <w:u w:val="single"/>
        </w:rPr>
        <w:t>双方签字盖章后</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64F110D1">
      <w:pPr>
        <w:snapToGrid w:val="0"/>
        <w:spacing w:line="360" w:lineRule="auto"/>
        <w:ind w:firstLine="422" w:firstLineChars="200"/>
        <w:rPr>
          <w:rFonts w:cs="宋体"/>
          <w:b/>
          <w:color w:val="auto"/>
          <w:sz w:val="21"/>
          <w:szCs w:val="21"/>
          <w:highlight w:val="none"/>
        </w:rPr>
      </w:pPr>
      <w:bookmarkStart w:id="47" w:name="_Toc351203493"/>
      <w:r>
        <w:rPr>
          <w:rFonts w:hint="eastAsia" w:cs="宋体"/>
          <w:b/>
          <w:color w:val="auto"/>
          <w:sz w:val="21"/>
          <w:szCs w:val="21"/>
          <w:highlight w:val="none"/>
        </w:rPr>
        <w:t>十三、合同份数</w:t>
      </w:r>
      <w:bookmarkEnd w:id="47"/>
    </w:p>
    <w:p w14:paraId="539BC630">
      <w:pPr>
        <w:snapToGrid w:val="0"/>
        <w:spacing w:line="360" w:lineRule="auto"/>
        <w:ind w:firstLine="420" w:firstLineChars="200"/>
        <w:rPr>
          <w:rFonts w:cs="宋体"/>
          <w:bCs/>
          <w:color w:val="auto"/>
          <w:sz w:val="21"/>
          <w:szCs w:val="21"/>
          <w:highlight w:val="none"/>
        </w:rPr>
      </w:pPr>
      <w:r>
        <w:rPr>
          <w:rFonts w:hint="eastAsia" w:ascii="宋体" w:cs="宋体"/>
          <w:bCs/>
          <w:color w:val="auto"/>
          <w:sz w:val="21"/>
          <w:szCs w:val="21"/>
          <w:highlight w:val="none"/>
        </w:rPr>
        <w:t>本合同一式捌份，正本贰份、副本陆份，均具有同等法律效力，发包人执正本壹份、副本</w:t>
      </w:r>
      <w:r>
        <w:rPr>
          <w:rFonts w:hint="eastAsia" w:ascii="宋体" w:cs="宋体"/>
          <w:bCs/>
          <w:color w:val="auto"/>
          <w:sz w:val="21"/>
          <w:szCs w:val="21"/>
          <w:highlight w:val="none"/>
          <w:lang w:val="en-US" w:eastAsia="zh-CN"/>
        </w:rPr>
        <w:t>叁</w:t>
      </w:r>
      <w:r>
        <w:rPr>
          <w:rFonts w:hint="eastAsia" w:ascii="宋体" w:cs="宋体"/>
          <w:bCs/>
          <w:color w:val="auto"/>
          <w:sz w:val="21"/>
          <w:szCs w:val="21"/>
          <w:highlight w:val="none"/>
        </w:rPr>
        <w:t>份，承包人执正本壹份、副本</w:t>
      </w:r>
      <w:r>
        <w:rPr>
          <w:rFonts w:hint="eastAsia" w:ascii="宋体" w:cs="宋体"/>
          <w:bCs/>
          <w:color w:val="auto"/>
          <w:sz w:val="21"/>
          <w:szCs w:val="21"/>
          <w:highlight w:val="none"/>
          <w:lang w:val="en-US" w:eastAsia="zh-CN"/>
        </w:rPr>
        <w:t>叁</w:t>
      </w:r>
      <w:r>
        <w:rPr>
          <w:rFonts w:hint="eastAsia" w:ascii="宋体" w:cs="宋体"/>
          <w:bCs/>
          <w:color w:val="auto"/>
          <w:sz w:val="21"/>
          <w:szCs w:val="21"/>
          <w:highlight w:val="none"/>
        </w:rPr>
        <w:t>份</w:t>
      </w:r>
      <w:r>
        <w:rPr>
          <w:rFonts w:hint="eastAsia" w:cs="宋体"/>
          <w:bCs/>
          <w:color w:val="auto"/>
          <w:sz w:val="21"/>
          <w:szCs w:val="21"/>
          <w:highlight w:val="none"/>
        </w:rPr>
        <w:t>。</w:t>
      </w:r>
    </w:p>
    <w:p w14:paraId="4256EAD5">
      <w:pPr>
        <w:snapToGrid w:val="0"/>
        <w:spacing w:line="360" w:lineRule="auto"/>
        <w:rPr>
          <w:rFonts w:cs="宋体"/>
          <w:bCs/>
          <w:color w:val="auto"/>
          <w:sz w:val="21"/>
          <w:szCs w:val="21"/>
          <w:highlight w:val="none"/>
        </w:rPr>
      </w:pPr>
    </w:p>
    <w:p w14:paraId="271A7500">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2B76EE95">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2DF089A5">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6E7493D2">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4BE506BE">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0A732C01">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0200BE79">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01423B49">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599A3883">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17E54D56">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52C20B5E">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773CD48E">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40AB5C32">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661C2098">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r>
        <w:rPr>
          <w:rFonts w:hint="eastAsia" w:ascii="等线" w:hAnsi="等线" w:eastAsia="等线" w:cs="@仿宋_GB2312"/>
          <w:b/>
          <w:color w:val="auto"/>
          <w:kern w:val="2"/>
          <w:sz w:val="24"/>
          <w:highlight w:val="none"/>
        </w:rPr>
        <w:t>第二节  通用合同条款</w:t>
      </w:r>
    </w:p>
    <w:p w14:paraId="4B50E8C2">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采用《建设工程施工合同（示范文本）》（GF-2017-0201）中通用合同条款。（因办理施工许可证时需要通用条款，请签订施工合同时</w:t>
      </w:r>
      <w:r>
        <w:rPr>
          <w:rFonts w:hint="eastAsia" w:cs="Times New Roman"/>
          <w:snapToGrid w:val="0"/>
          <w:color w:val="auto"/>
          <w:sz w:val="28"/>
          <w:szCs w:val="24"/>
          <w:highlight w:val="none"/>
          <w:lang w:eastAsia="zh-CN"/>
        </w:rPr>
        <w:t>，</w:t>
      </w:r>
      <w:r>
        <w:rPr>
          <w:rFonts w:hint="eastAsia" w:cs="Times New Roman"/>
          <w:snapToGrid w:val="0"/>
          <w:color w:val="auto"/>
          <w:sz w:val="28"/>
          <w:szCs w:val="24"/>
          <w:highlight w:val="none"/>
        </w:rPr>
        <w:t>一并打印出来。）</w:t>
      </w:r>
    </w:p>
    <w:p w14:paraId="345DA1F7">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r>
        <w:rPr>
          <w:rFonts w:hint="eastAsia" w:ascii="等线" w:hAnsi="等线" w:eastAsia="等线" w:cs="@仿宋_GB2312"/>
          <w:b/>
          <w:color w:val="auto"/>
          <w:kern w:val="2"/>
          <w:sz w:val="24"/>
          <w:highlight w:val="none"/>
        </w:rPr>
        <w:t>第三节  专用合同条款</w:t>
      </w:r>
    </w:p>
    <w:p w14:paraId="1D87D99A">
      <w:pPr>
        <w:snapToGrid w:val="0"/>
        <w:spacing w:before="312" w:beforeLines="100" w:after="312" w:afterLines="100" w:line="360" w:lineRule="auto"/>
        <w:jc w:val="center"/>
        <w:outlineLvl w:val="2"/>
        <w:rPr>
          <w:rFonts w:cs="宋体"/>
          <w:color w:val="auto"/>
          <w:sz w:val="21"/>
          <w:szCs w:val="21"/>
          <w:highlight w:val="none"/>
        </w:rPr>
      </w:pPr>
      <w:r>
        <w:rPr>
          <w:rFonts w:hint="eastAsia" w:cs="宋体"/>
          <w:color w:val="auto"/>
          <w:sz w:val="21"/>
          <w:szCs w:val="21"/>
          <w:highlight w:val="none"/>
        </w:rPr>
        <w:t>专用合同条款数据表</w:t>
      </w:r>
    </w:p>
    <w:p w14:paraId="174DD849">
      <w:pPr>
        <w:pStyle w:val="3"/>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6"/>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75B4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blHeader/>
        </w:trPr>
        <w:tc>
          <w:tcPr>
            <w:tcW w:w="629" w:type="dxa"/>
            <w:noWrap w:val="0"/>
            <w:vAlign w:val="center"/>
          </w:tcPr>
          <w:p w14:paraId="7680BD2A">
            <w:pPr>
              <w:keepNext w:val="0"/>
              <w:keepLines w:val="0"/>
              <w:suppressLineNumbers w:val="0"/>
              <w:snapToGrid w:val="0"/>
              <w:spacing w:before="100" w:beforeAutospacing="1" w:after="0" w:afterAutospacing="0" w:line="360" w:lineRule="auto"/>
              <w:ind w:left="-100" w:leftChars="-50" w:right="-100" w:rightChars="-50"/>
              <w:jc w:val="center"/>
              <w:rPr>
                <w:rFonts w:hint="default" w:cs="宋体"/>
                <w:b/>
                <w:color w:val="auto"/>
                <w:sz w:val="21"/>
                <w:szCs w:val="21"/>
                <w:highlight w:val="none"/>
              </w:rPr>
            </w:pPr>
            <w:r>
              <w:rPr>
                <w:rFonts w:hint="eastAsia" w:cs="宋体"/>
                <w:b/>
                <w:color w:val="auto"/>
                <w:sz w:val="21"/>
                <w:szCs w:val="21"/>
                <w:highlight w:val="none"/>
              </w:rPr>
              <w:t>序号</w:t>
            </w:r>
          </w:p>
        </w:tc>
        <w:tc>
          <w:tcPr>
            <w:tcW w:w="1111" w:type="dxa"/>
            <w:noWrap w:val="0"/>
            <w:vAlign w:val="center"/>
          </w:tcPr>
          <w:p w14:paraId="2546A163">
            <w:pPr>
              <w:keepNext w:val="0"/>
              <w:keepLines w:val="0"/>
              <w:suppressLineNumbers w:val="0"/>
              <w:snapToGrid w:val="0"/>
              <w:spacing w:before="0" w:beforeAutospacing="0" w:after="0" w:afterAutospacing="0" w:line="360" w:lineRule="auto"/>
              <w:ind w:left="-100" w:leftChars="-50" w:right="-100" w:rightChars="-50"/>
              <w:jc w:val="center"/>
              <w:rPr>
                <w:rFonts w:hint="default" w:cs="宋体"/>
                <w:b/>
                <w:color w:val="auto"/>
                <w:sz w:val="21"/>
                <w:szCs w:val="21"/>
                <w:highlight w:val="none"/>
              </w:rPr>
            </w:pPr>
            <w:r>
              <w:rPr>
                <w:rFonts w:hint="eastAsia" w:cs="宋体"/>
                <w:b/>
                <w:color w:val="auto"/>
                <w:sz w:val="21"/>
                <w:szCs w:val="21"/>
                <w:highlight w:val="none"/>
              </w:rPr>
              <w:t>条目号</w:t>
            </w:r>
          </w:p>
        </w:tc>
        <w:tc>
          <w:tcPr>
            <w:tcW w:w="7304" w:type="dxa"/>
            <w:noWrap w:val="0"/>
            <w:vAlign w:val="center"/>
          </w:tcPr>
          <w:p w14:paraId="71351EA3">
            <w:pPr>
              <w:keepNext w:val="0"/>
              <w:keepLines w:val="0"/>
              <w:suppressLineNumbers w:val="0"/>
              <w:snapToGrid w:val="0"/>
              <w:spacing w:before="0" w:beforeAutospacing="0" w:after="0" w:afterAutospacing="0" w:line="360" w:lineRule="auto"/>
              <w:ind w:left="0" w:right="0"/>
              <w:jc w:val="center"/>
              <w:rPr>
                <w:rFonts w:hint="default" w:cs="宋体"/>
                <w:b/>
                <w:color w:val="auto"/>
                <w:sz w:val="21"/>
                <w:szCs w:val="21"/>
                <w:highlight w:val="none"/>
              </w:rPr>
            </w:pPr>
            <w:r>
              <w:rPr>
                <w:rFonts w:hint="eastAsia" w:cs="宋体"/>
                <w:b/>
                <w:color w:val="auto"/>
                <w:sz w:val="21"/>
                <w:szCs w:val="21"/>
                <w:highlight w:val="none"/>
              </w:rPr>
              <w:t>信息或数据</w:t>
            </w:r>
          </w:p>
        </w:tc>
      </w:tr>
      <w:tr w14:paraId="1544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15007949">
            <w:pPr>
              <w:keepNext w:val="0"/>
              <w:keepLines w:val="0"/>
              <w:numPr>
                <w:ilvl w:val="0"/>
                <w:numId w:val="3"/>
              </w:numPr>
              <w:suppressLineNumbers w:val="0"/>
              <w:snapToGrid w:val="0"/>
              <w:spacing w:before="0" w:beforeAutospacing="0" w:after="0" w:afterAutospacing="0" w:line="360" w:lineRule="auto"/>
              <w:ind w:right="0"/>
              <w:jc w:val="center"/>
              <w:rPr>
                <w:rFonts w:hint="default" w:cs="宋体"/>
                <w:bCs/>
                <w:color w:val="auto"/>
                <w:kern w:val="2"/>
                <w:sz w:val="21"/>
                <w:szCs w:val="21"/>
                <w:highlight w:val="none"/>
              </w:rPr>
            </w:pPr>
          </w:p>
        </w:tc>
        <w:tc>
          <w:tcPr>
            <w:tcW w:w="1111" w:type="dxa"/>
            <w:noWrap w:val="0"/>
            <w:vAlign w:val="center"/>
          </w:tcPr>
          <w:p w14:paraId="39BB7AAD">
            <w:pPr>
              <w:keepNext w:val="0"/>
              <w:keepLines w:val="0"/>
              <w:suppressLineNumbers w:val="0"/>
              <w:snapToGrid w:val="0"/>
              <w:spacing w:before="0" w:beforeAutospacing="0" w:after="0" w:afterAutospacing="0" w:line="360" w:lineRule="auto"/>
              <w:ind w:left="0" w:right="0"/>
              <w:jc w:val="center"/>
              <w:rPr>
                <w:rFonts w:hint="default" w:cs="宋体"/>
                <w:bCs/>
                <w:color w:val="auto"/>
                <w:sz w:val="21"/>
                <w:szCs w:val="21"/>
                <w:highlight w:val="none"/>
              </w:rPr>
            </w:pPr>
            <w:r>
              <w:rPr>
                <w:rFonts w:hint="eastAsia" w:cs="宋体"/>
                <w:bCs/>
                <w:color w:val="auto"/>
                <w:sz w:val="21"/>
                <w:szCs w:val="21"/>
                <w:highlight w:val="none"/>
              </w:rPr>
              <w:t>2.5</w:t>
            </w:r>
          </w:p>
        </w:tc>
        <w:tc>
          <w:tcPr>
            <w:tcW w:w="7304" w:type="dxa"/>
            <w:noWrap w:val="0"/>
            <w:vAlign w:val="center"/>
          </w:tcPr>
          <w:p w14:paraId="1012FD7F">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u w:val="single"/>
              </w:rPr>
            </w:pPr>
            <w:r>
              <w:rPr>
                <w:rFonts w:hint="eastAsia" w:cs="宋体"/>
                <w:bCs/>
                <w:color w:val="auto"/>
                <w:sz w:val="21"/>
                <w:szCs w:val="21"/>
                <w:highlight w:val="none"/>
              </w:rPr>
              <w:t xml:space="preserve">发包人提供资金来源证明的期限要求： </w:t>
            </w:r>
            <w:r>
              <w:rPr>
                <w:rFonts w:hint="eastAsia" w:cs="宋体"/>
                <w:bCs/>
                <w:color w:val="auto"/>
                <w:sz w:val="21"/>
                <w:szCs w:val="21"/>
                <w:highlight w:val="none"/>
                <w:u w:val="single"/>
              </w:rPr>
              <w:t xml:space="preserve"> </w:t>
            </w:r>
            <w:r>
              <w:rPr>
                <w:rFonts w:hint="eastAsia" w:ascii="宋体" w:cs="宋体"/>
                <w:color w:val="auto"/>
                <w:sz w:val="20"/>
                <w:szCs w:val="21"/>
                <w:highlight w:val="none"/>
                <w:u w:val="single"/>
              </w:rPr>
              <w:t>财政资金，不需提供</w:t>
            </w:r>
            <w:r>
              <w:rPr>
                <w:rFonts w:hint="eastAsia" w:cs="宋体"/>
                <w:bCs/>
                <w:color w:val="auto"/>
                <w:sz w:val="21"/>
                <w:szCs w:val="21"/>
                <w:highlight w:val="none"/>
                <w:u w:val="single"/>
              </w:rPr>
              <w:t xml:space="preserve">  </w:t>
            </w:r>
          </w:p>
          <w:p w14:paraId="77C60AF3">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 xml:space="preserve">发包人是否提供支付担保：  </w:t>
            </w:r>
            <w:r>
              <w:rPr>
                <w:rFonts w:hint="eastAsia" w:cs="宋体"/>
                <w:bCs/>
                <w:color w:val="auto"/>
                <w:sz w:val="21"/>
                <w:szCs w:val="21"/>
                <w:highlight w:val="none"/>
                <w:u w:val="single"/>
              </w:rPr>
              <w:t xml:space="preserve"> </w:t>
            </w:r>
            <w:r>
              <w:rPr>
                <w:rFonts w:hint="eastAsia" w:ascii="宋体" w:cs="宋体"/>
                <w:color w:val="auto"/>
                <w:sz w:val="20"/>
                <w:szCs w:val="21"/>
                <w:highlight w:val="none"/>
                <w:u w:val="single"/>
              </w:rPr>
              <w:t>财政资金，不需提供</w:t>
            </w:r>
            <w:r>
              <w:rPr>
                <w:rFonts w:hint="eastAsia" w:cs="宋体"/>
                <w:bCs/>
                <w:color w:val="auto"/>
                <w:sz w:val="21"/>
                <w:szCs w:val="21"/>
                <w:highlight w:val="none"/>
                <w:u w:val="single"/>
              </w:rPr>
              <w:t xml:space="preserve"> </w:t>
            </w:r>
          </w:p>
          <w:p w14:paraId="6B44B26D">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u w:val="single"/>
              </w:rPr>
            </w:pPr>
            <w:r>
              <w:rPr>
                <w:rFonts w:hint="eastAsia" w:cs="宋体"/>
                <w:bCs/>
                <w:color w:val="auto"/>
                <w:sz w:val="21"/>
                <w:szCs w:val="21"/>
                <w:highlight w:val="none"/>
              </w:rPr>
              <w:t>发包人提供支付担保的形式：</w:t>
            </w:r>
            <w:r>
              <w:rPr>
                <w:rFonts w:hint="eastAsia" w:cs="宋体"/>
                <w:bCs/>
                <w:color w:val="auto"/>
                <w:sz w:val="21"/>
                <w:szCs w:val="21"/>
                <w:highlight w:val="none"/>
                <w:u w:val="single"/>
              </w:rPr>
              <w:t xml:space="preserve"> </w:t>
            </w:r>
            <w:r>
              <w:rPr>
                <w:rFonts w:hint="eastAsia" w:ascii="宋体" w:cs="宋体"/>
                <w:color w:val="auto"/>
                <w:sz w:val="20"/>
                <w:szCs w:val="21"/>
                <w:highlight w:val="none"/>
                <w:u w:val="single"/>
              </w:rPr>
              <w:t>财政资金，不需提供</w:t>
            </w:r>
            <w:r>
              <w:rPr>
                <w:rFonts w:hint="eastAsia" w:cs="宋体"/>
                <w:bCs/>
                <w:color w:val="auto"/>
                <w:sz w:val="21"/>
                <w:szCs w:val="21"/>
                <w:highlight w:val="none"/>
                <w:u w:val="single"/>
              </w:rPr>
              <w:t xml:space="preserve"> </w:t>
            </w:r>
          </w:p>
        </w:tc>
      </w:tr>
      <w:tr w14:paraId="5AC3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5671E9C1">
            <w:pPr>
              <w:keepNext w:val="0"/>
              <w:keepLines w:val="0"/>
              <w:numPr>
                <w:ilvl w:val="0"/>
                <w:numId w:val="3"/>
              </w:numPr>
              <w:suppressLineNumbers w:val="0"/>
              <w:snapToGrid w:val="0"/>
              <w:spacing w:before="0" w:beforeAutospacing="0" w:after="0" w:afterAutospacing="0" w:line="360" w:lineRule="auto"/>
              <w:ind w:right="0"/>
              <w:jc w:val="center"/>
              <w:rPr>
                <w:rFonts w:hint="default" w:cs="宋体"/>
                <w:bCs/>
                <w:color w:val="auto"/>
                <w:kern w:val="2"/>
                <w:sz w:val="21"/>
                <w:szCs w:val="21"/>
                <w:highlight w:val="none"/>
              </w:rPr>
            </w:pPr>
          </w:p>
        </w:tc>
        <w:tc>
          <w:tcPr>
            <w:tcW w:w="1111" w:type="dxa"/>
            <w:noWrap w:val="0"/>
            <w:vAlign w:val="center"/>
          </w:tcPr>
          <w:p w14:paraId="31A8ECE9">
            <w:pPr>
              <w:keepNext w:val="0"/>
              <w:keepLines w:val="0"/>
              <w:suppressLineNumbers w:val="0"/>
              <w:snapToGrid w:val="0"/>
              <w:spacing w:before="0" w:beforeAutospacing="0" w:after="0" w:afterAutospacing="0" w:line="360" w:lineRule="auto"/>
              <w:ind w:left="0" w:right="0"/>
              <w:jc w:val="center"/>
              <w:rPr>
                <w:rFonts w:hint="default" w:cs="宋体"/>
                <w:bCs/>
                <w:color w:val="auto"/>
                <w:kern w:val="2"/>
                <w:sz w:val="21"/>
                <w:szCs w:val="21"/>
                <w:highlight w:val="none"/>
              </w:rPr>
            </w:pPr>
            <w:r>
              <w:rPr>
                <w:rFonts w:hint="eastAsia" w:cs="宋体"/>
                <w:bCs/>
                <w:color w:val="auto"/>
                <w:sz w:val="21"/>
                <w:szCs w:val="21"/>
                <w:highlight w:val="none"/>
              </w:rPr>
              <w:t>3.2.1</w:t>
            </w:r>
          </w:p>
        </w:tc>
        <w:tc>
          <w:tcPr>
            <w:tcW w:w="7304" w:type="dxa"/>
            <w:noWrap w:val="0"/>
            <w:vAlign w:val="center"/>
          </w:tcPr>
          <w:p w14:paraId="5CC9CEFE">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项目经理</w:t>
            </w:r>
          </w:p>
          <w:p w14:paraId="3B539600">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7E87261E">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09842845">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5B714C6A">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5DCA6E0C">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2A834888">
            <w:pPr>
              <w:keepNext w:val="0"/>
              <w:keepLines w:val="0"/>
              <w:suppressLineNumbers w:val="0"/>
              <w:snapToGrid w:val="0"/>
              <w:spacing w:before="0" w:beforeAutospacing="0" w:after="0" w:afterAutospacing="0" w:line="360" w:lineRule="auto"/>
              <w:ind w:left="0" w:right="0"/>
              <w:rPr>
                <w:rFonts w:hint="default" w:cs="宋体"/>
                <w:bCs/>
                <w:color w:val="auto"/>
                <w:kern w:val="2"/>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20</w:t>
            </w:r>
            <w:r>
              <w:rPr>
                <w:rFonts w:hint="eastAsia" w:cs="宋体"/>
                <w:bCs/>
                <w:color w:val="auto"/>
                <w:sz w:val="21"/>
                <w:szCs w:val="21"/>
                <w:highlight w:val="none"/>
                <w:u w:val="single"/>
              </w:rPr>
              <w:t xml:space="preserve"> </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8 </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tc>
      </w:tr>
      <w:tr w14:paraId="47C2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5F5F8447">
            <w:pPr>
              <w:keepNext w:val="0"/>
              <w:keepLines w:val="0"/>
              <w:numPr>
                <w:ilvl w:val="0"/>
                <w:numId w:val="3"/>
              </w:numPr>
              <w:suppressLineNumbers w:val="0"/>
              <w:snapToGrid w:val="0"/>
              <w:spacing w:before="0" w:beforeAutospacing="0" w:after="0" w:afterAutospacing="0" w:line="360" w:lineRule="auto"/>
              <w:ind w:right="0"/>
              <w:jc w:val="center"/>
              <w:rPr>
                <w:rFonts w:hint="default" w:cs="宋体"/>
                <w:bCs/>
                <w:color w:val="auto"/>
                <w:kern w:val="2"/>
                <w:sz w:val="21"/>
                <w:szCs w:val="21"/>
                <w:highlight w:val="none"/>
              </w:rPr>
            </w:pPr>
          </w:p>
        </w:tc>
        <w:tc>
          <w:tcPr>
            <w:tcW w:w="1111" w:type="dxa"/>
            <w:noWrap w:val="0"/>
            <w:vAlign w:val="center"/>
          </w:tcPr>
          <w:p w14:paraId="6A6D1BD4">
            <w:pPr>
              <w:keepNext w:val="0"/>
              <w:keepLines w:val="0"/>
              <w:suppressLineNumbers w:val="0"/>
              <w:snapToGrid w:val="0"/>
              <w:spacing w:before="0" w:beforeAutospacing="0" w:after="0" w:afterAutospacing="0" w:line="360" w:lineRule="auto"/>
              <w:ind w:left="0" w:right="0"/>
              <w:jc w:val="center"/>
              <w:rPr>
                <w:rFonts w:hint="default" w:cs="宋体"/>
                <w:bCs/>
                <w:color w:val="auto"/>
                <w:kern w:val="2"/>
                <w:sz w:val="21"/>
                <w:szCs w:val="21"/>
                <w:highlight w:val="none"/>
              </w:rPr>
            </w:pPr>
            <w:r>
              <w:rPr>
                <w:rFonts w:hint="eastAsia" w:cs="宋体"/>
                <w:bCs/>
                <w:color w:val="auto"/>
                <w:sz w:val="21"/>
                <w:szCs w:val="21"/>
                <w:highlight w:val="none"/>
              </w:rPr>
              <w:t>3.7</w:t>
            </w:r>
          </w:p>
        </w:tc>
        <w:tc>
          <w:tcPr>
            <w:tcW w:w="7304" w:type="dxa"/>
            <w:noWrap w:val="0"/>
            <w:vAlign w:val="center"/>
          </w:tcPr>
          <w:p w14:paraId="757C3CAB">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承包人是否提供履约保证金：</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2B3C9BE4">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承包人提供履约保证金的形式：</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26F80D1F">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履约保证金的金额：中标合同金额的</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462EDA8E">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履约保证金提交期限的要求：签订合同前。</w:t>
            </w:r>
          </w:p>
          <w:p w14:paraId="0504AD0A">
            <w:pPr>
              <w:keepNext w:val="0"/>
              <w:keepLines w:val="0"/>
              <w:suppressLineNumbers w:val="0"/>
              <w:snapToGrid w:val="0"/>
              <w:spacing w:before="0" w:beforeAutospacing="0" w:after="0" w:afterAutospacing="0" w:line="360" w:lineRule="auto"/>
              <w:ind w:left="0" w:right="0"/>
              <w:rPr>
                <w:rFonts w:hint="default" w:cs="宋体"/>
                <w:bCs/>
                <w:color w:val="auto"/>
                <w:kern w:val="2"/>
                <w:sz w:val="21"/>
                <w:szCs w:val="21"/>
                <w:highlight w:val="none"/>
              </w:rPr>
            </w:pPr>
            <w:r>
              <w:rPr>
                <w:rFonts w:hint="eastAsia" w:cs="宋体"/>
                <w:bCs/>
                <w:color w:val="auto"/>
                <w:sz w:val="21"/>
                <w:szCs w:val="21"/>
                <w:highlight w:val="none"/>
              </w:rPr>
              <w:t>履约保证金退还时限：</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02FF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37612823">
            <w:pPr>
              <w:keepNext w:val="0"/>
              <w:keepLines w:val="0"/>
              <w:numPr>
                <w:ilvl w:val="0"/>
                <w:numId w:val="3"/>
              </w:numPr>
              <w:suppressLineNumbers w:val="0"/>
              <w:snapToGrid w:val="0"/>
              <w:spacing w:before="0" w:beforeAutospacing="0" w:after="0" w:afterAutospacing="0" w:line="360" w:lineRule="auto"/>
              <w:ind w:right="0"/>
              <w:jc w:val="center"/>
              <w:rPr>
                <w:rFonts w:hint="default" w:cs="宋体"/>
                <w:bCs/>
                <w:color w:val="auto"/>
                <w:sz w:val="21"/>
                <w:szCs w:val="21"/>
                <w:highlight w:val="none"/>
              </w:rPr>
            </w:pPr>
          </w:p>
        </w:tc>
        <w:tc>
          <w:tcPr>
            <w:tcW w:w="1111" w:type="dxa"/>
            <w:noWrap w:val="0"/>
            <w:vAlign w:val="center"/>
          </w:tcPr>
          <w:p w14:paraId="735C941A">
            <w:pPr>
              <w:keepNext w:val="0"/>
              <w:keepLines w:val="0"/>
              <w:suppressLineNumbers w:val="0"/>
              <w:snapToGrid w:val="0"/>
              <w:spacing w:before="0" w:beforeAutospacing="0" w:after="0" w:afterAutospacing="0" w:line="360" w:lineRule="auto"/>
              <w:ind w:left="0" w:right="0"/>
              <w:jc w:val="center"/>
              <w:rPr>
                <w:rFonts w:hint="default" w:cs="宋体"/>
                <w:bCs/>
                <w:color w:val="auto"/>
                <w:sz w:val="21"/>
                <w:szCs w:val="21"/>
                <w:highlight w:val="none"/>
              </w:rPr>
            </w:pPr>
            <w:r>
              <w:rPr>
                <w:rFonts w:hint="eastAsia" w:cs="宋体"/>
                <w:bCs/>
                <w:color w:val="auto"/>
                <w:sz w:val="21"/>
                <w:szCs w:val="21"/>
                <w:highlight w:val="none"/>
              </w:rPr>
              <w:t>5.1.1</w:t>
            </w:r>
          </w:p>
        </w:tc>
        <w:tc>
          <w:tcPr>
            <w:tcW w:w="7304" w:type="dxa"/>
            <w:noWrap w:val="0"/>
            <w:vAlign w:val="center"/>
          </w:tcPr>
          <w:p w14:paraId="38B3E15F">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5.1.1 特殊质量标准和要求：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1DC7EE91">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关于工程奖项的约定：</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6077F9E1">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关于建造要求：</w:t>
            </w:r>
          </w:p>
          <w:p w14:paraId="7711BC05">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（1）绿色建筑等级要求：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5A61F75">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（2）智慧工地管理要求：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1AC1567D">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（3）建筑垃圾减量化目标：</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C198EC8">
            <w:pPr>
              <w:keepNext w:val="0"/>
              <w:keepLines w:val="0"/>
              <w:suppressLineNumbers w:val="0"/>
              <w:snapToGrid w:val="0"/>
              <w:spacing w:before="0" w:beforeAutospacing="0" w:after="0" w:afterAutospacing="0" w:line="360" w:lineRule="auto"/>
              <w:ind w:left="0" w:right="0"/>
              <w:rPr>
                <w:rFonts w:hint="default" w:eastAsia="宋体" w:cs="宋体"/>
                <w:bCs/>
                <w:color w:val="auto"/>
                <w:sz w:val="21"/>
                <w:szCs w:val="21"/>
                <w:highlight w:val="none"/>
                <w:lang w:val="en-US" w:eastAsia="zh-CN"/>
              </w:rPr>
            </w:pPr>
            <w:r>
              <w:rPr>
                <w:rFonts w:hint="eastAsia" w:cs="宋体"/>
                <w:bCs/>
                <w:color w:val="auto"/>
                <w:sz w:val="21"/>
                <w:szCs w:val="21"/>
                <w:highlight w:val="none"/>
              </w:rPr>
              <w:t>（4）装配式建筑装配率要求：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011D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629" w:type="dxa"/>
            <w:noWrap w:val="0"/>
            <w:vAlign w:val="center"/>
          </w:tcPr>
          <w:p w14:paraId="257D1B7F">
            <w:pPr>
              <w:keepNext w:val="0"/>
              <w:keepLines w:val="0"/>
              <w:numPr>
                <w:ilvl w:val="0"/>
                <w:numId w:val="3"/>
              </w:numPr>
              <w:suppressLineNumbers w:val="0"/>
              <w:snapToGrid w:val="0"/>
              <w:spacing w:before="0" w:beforeAutospacing="0" w:after="0" w:afterAutospacing="0" w:line="360" w:lineRule="auto"/>
              <w:ind w:right="0"/>
              <w:jc w:val="center"/>
              <w:rPr>
                <w:rFonts w:hint="default" w:cs="宋体"/>
                <w:bCs/>
                <w:color w:val="auto"/>
                <w:kern w:val="2"/>
                <w:sz w:val="21"/>
                <w:szCs w:val="21"/>
                <w:highlight w:val="none"/>
              </w:rPr>
            </w:pPr>
          </w:p>
        </w:tc>
        <w:tc>
          <w:tcPr>
            <w:tcW w:w="1111" w:type="dxa"/>
            <w:noWrap w:val="0"/>
            <w:vAlign w:val="center"/>
          </w:tcPr>
          <w:p w14:paraId="5F66826B">
            <w:pPr>
              <w:keepNext w:val="0"/>
              <w:keepLines w:val="0"/>
              <w:suppressLineNumbers w:val="0"/>
              <w:snapToGrid w:val="0"/>
              <w:spacing w:before="0" w:beforeAutospacing="0" w:after="0" w:afterAutospacing="0" w:line="360" w:lineRule="auto"/>
              <w:ind w:left="0" w:right="0"/>
              <w:jc w:val="center"/>
              <w:rPr>
                <w:rFonts w:hint="default"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noWrap w:val="0"/>
            <w:vAlign w:val="center"/>
          </w:tcPr>
          <w:p w14:paraId="0B301BC4">
            <w:pPr>
              <w:keepNext w:val="0"/>
              <w:keepLines w:val="0"/>
              <w:suppressLineNumbers w:val="0"/>
              <w:snapToGrid w:val="0"/>
              <w:spacing w:before="0" w:beforeAutospacing="0" w:after="0" w:afterAutospacing="0" w:line="360" w:lineRule="auto"/>
              <w:ind w:left="0" w:right="0"/>
              <w:rPr>
                <w:rFonts w:hint="default" w:cs="宋体"/>
                <w:bCs/>
                <w:color w:val="auto"/>
                <w:kern w:val="2"/>
                <w:sz w:val="21"/>
                <w:szCs w:val="21"/>
                <w:highlight w:val="none"/>
              </w:rPr>
            </w:pPr>
            <w:r>
              <w:rPr>
                <w:rFonts w:hint="eastAsia" w:cs="宋体"/>
                <w:bCs/>
                <w:color w:val="auto"/>
                <w:kern w:val="2"/>
                <w:sz w:val="21"/>
                <w:szCs w:val="21"/>
                <w:highlight w:val="none"/>
              </w:rPr>
              <w:t>因承包人原因造成工期延误，逾期竣工违约金的计算方法为：</w:t>
            </w:r>
            <w:r>
              <w:rPr>
                <w:rFonts w:hint="eastAsia"/>
                <w:color w:val="auto"/>
                <w:sz w:val="21"/>
                <w:szCs w:val="21"/>
                <w:highlight w:val="none"/>
                <w:u w:val="single"/>
                <w:shd w:val="clear" w:color="auto" w:fill="auto"/>
                <w:lang w:val="en-US" w:eastAsia="zh-CN"/>
              </w:rPr>
              <w:t>每推迟一天，按合同价款（扣除暂估价和暂列金）万分之二处以违约金</w:t>
            </w:r>
            <w:r>
              <w:rPr>
                <w:rFonts w:hint="eastAsia" w:cs="宋体"/>
                <w:bCs/>
                <w:color w:val="auto"/>
                <w:kern w:val="2"/>
                <w:sz w:val="21"/>
                <w:szCs w:val="21"/>
                <w:highlight w:val="none"/>
              </w:rPr>
              <w:t>。</w:t>
            </w:r>
          </w:p>
          <w:p w14:paraId="7AC7673A">
            <w:pPr>
              <w:keepNext w:val="0"/>
              <w:keepLines w:val="0"/>
              <w:suppressLineNumbers w:val="0"/>
              <w:snapToGrid w:val="0"/>
              <w:spacing w:before="0" w:beforeAutospacing="0" w:after="0" w:afterAutospacing="0" w:line="360" w:lineRule="auto"/>
              <w:ind w:left="0" w:right="0"/>
              <w:rPr>
                <w:rFonts w:hint="default" w:cs="宋体"/>
                <w:bCs/>
                <w:color w:val="auto"/>
                <w:kern w:val="2"/>
                <w:sz w:val="21"/>
                <w:szCs w:val="21"/>
                <w:highlight w:val="none"/>
              </w:rPr>
            </w:pPr>
            <w:r>
              <w:rPr>
                <w:rFonts w:hint="eastAsia" w:cs="宋体"/>
                <w:bCs/>
                <w:color w:val="auto"/>
                <w:kern w:val="2"/>
                <w:sz w:val="21"/>
                <w:szCs w:val="21"/>
                <w:highlight w:val="none"/>
              </w:rPr>
              <w:t>因承包人原因造成工期延误，逾期竣工违约金的上限：</w:t>
            </w:r>
            <w:r>
              <w:rPr>
                <w:rFonts w:hint="eastAsia" w:cs="宋体"/>
                <w:bCs/>
                <w:color w:val="auto"/>
                <w:kern w:val="2"/>
                <w:sz w:val="21"/>
                <w:szCs w:val="21"/>
                <w:highlight w:val="none"/>
                <w:u w:val="single"/>
                <w:lang w:val="en-US" w:eastAsia="zh-CN"/>
              </w:rPr>
              <w:t>合同价的2%</w:t>
            </w:r>
            <w:r>
              <w:rPr>
                <w:rFonts w:hint="eastAsia" w:cs="宋体"/>
                <w:bCs/>
                <w:color w:val="auto"/>
                <w:kern w:val="2"/>
                <w:sz w:val="21"/>
                <w:szCs w:val="21"/>
                <w:highlight w:val="none"/>
              </w:rPr>
              <w:t>。</w:t>
            </w:r>
          </w:p>
        </w:tc>
      </w:tr>
      <w:tr w14:paraId="4726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23C37EFF">
            <w:pPr>
              <w:keepNext w:val="0"/>
              <w:keepLines w:val="0"/>
              <w:numPr>
                <w:ilvl w:val="0"/>
                <w:numId w:val="3"/>
              </w:numPr>
              <w:suppressLineNumbers w:val="0"/>
              <w:snapToGrid w:val="0"/>
              <w:spacing w:before="0" w:beforeAutospacing="0" w:after="0" w:afterAutospacing="0" w:line="360" w:lineRule="auto"/>
              <w:ind w:right="0"/>
              <w:jc w:val="center"/>
              <w:rPr>
                <w:rFonts w:hint="default" w:cs="宋体"/>
                <w:bCs/>
                <w:color w:val="auto"/>
                <w:kern w:val="2"/>
                <w:sz w:val="21"/>
                <w:szCs w:val="21"/>
                <w:highlight w:val="none"/>
              </w:rPr>
            </w:pPr>
          </w:p>
        </w:tc>
        <w:tc>
          <w:tcPr>
            <w:tcW w:w="1111" w:type="dxa"/>
            <w:noWrap w:val="0"/>
            <w:vAlign w:val="center"/>
          </w:tcPr>
          <w:p w14:paraId="2AC1DD8D">
            <w:pPr>
              <w:keepNext w:val="0"/>
              <w:keepLines w:val="0"/>
              <w:suppressLineNumbers w:val="0"/>
              <w:snapToGrid w:val="0"/>
              <w:spacing w:before="0" w:beforeAutospacing="0" w:after="0" w:afterAutospacing="0" w:line="360" w:lineRule="auto"/>
              <w:ind w:left="0" w:right="0"/>
              <w:jc w:val="center"/>
              <w:rPr>
                <w:rFonts w:hint="default"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noWrap w:val="0"/>
            <w:vAlign w:val="center"/>
          </w:tcPr>
          <w:p w14:paraId="064BAC74">
            <w:pPr>
              <w:keepNext w:val="0"/>
              <w:keepLines w:val="0"/>
              <w:suppressLineNumbers w:val="0"/>
              <w:snapToGrid w:val="0"/>
              <w:spacing w:before="0" w:beforeAutospacing="0" w:after="0" w:afterAutospacing="0" w:line="360" w:lineRule="auto"/>
              <w:ind w:left="0" w:right="0"/>
              <w:rPr>
                <w:rFonts w:hint="default" w:cs="宋体"/>
                <w:bCs/>
                <w:color w:val="auto"/>
                <w:kern w:val="2"/>
                <w:sz w:val="21"/>
                <w:szCs w:val="21"/>
                <w:highlight w:val="none"/>
              </w:rPr>
            </w:pPr>
            <w:r>
              <w:rPr>
                <w:rFonts w:hint="eastAsia" w:cs="宋体"/>
                <w:color w:val="auto"/>
                <w:sz w:val="21"/>
                <w:szCs w:val="21"/>
                <w:highlight w:val="none"/>
              </w:rPr>
              <w:t>提前竣工的奖励：</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tc>
      </w:tr>
      <w:tr w14:paraId="5F95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50A20E10">
            <w:pPr>
              <w:keepNext w:val="0"/>
              <w:keepLines w:val="0"/>
              <w:numPr>
                <w:ilvl w:val="0"/>
                <w:numId w:val="3"/>
              </w:numPr>
              <w:suppressLineNumbers w:val="0"/>
              <w:snapToGrid w:val="0"/>
              <w:spacing w:before="0" w:beforeAutospacing="0" w:after="0" w:afterAutospacing="0" w:line="360" w:lineRule="auto"/>
              <w:ind w:right="0"/>
              <w:jc w:val="center"/>
              <w:rPr>
                <w:rFonts w:hint="default" w:cs="宋体"/>
                <w:bCs/>
                <w:color w:val="auto"/>
                <w:kern w:val="2"/>
                <w:sz w:val="21"/>
                <w:szCs w:val="21"/>
                <w:highlight w:val="none"/>
              </w:rPr>
            </w:pPr>
          </w:p>
        </w:tc>
        <w:tc>
          <w:tcPr>
            <w:tcW w:w="1111" w:type="dxa"/>
            <w:noWrap w:val="0"/>
            <w:vAlign w:val="center"/>
          </w:tcPr>
          <w:p w14:paraId="334584A7">
            <w:pPr>
              <w:keepNext w:val="0"/>
              <w:keepLines w:val="0"/>
              <w:suppressLineNumbers w:val="0"/>
              <w:snapToGrid w:val="0"/>
              <w:spacing w:before="0" w:beforeAutospacing="0" w:after="0" w:afterAutospacing="0" w:line="360" w:lineRule="auto"/>
              <w:ind w:left="0" w:right="0"/>
              <w:jc w:val="center"/>
              <w:rPr>
                <w:rFonts w:hint="default"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noWrap w:val="0"/>
            <w:vAlign w:val="center"/>
          </w:tcPr>
          <w:p w14:paraId="688178B6">
            <w:pPr>
              <w:pStyle w:val="34"/>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kern w:val="2"/>
                <w:sz w:val="21"/>
                <w:szCs w:val="21"/>
                <w:highlight w:val="none"/>
              </w:rPr>
            </w:pPr>
            <w:r>
              <w:rPr>
                <w:rFonts w:hint="eastAsia" w:cs="宋体"/>
                <w:bCs/>
                <w:color w:val="auto"/>
                <w:kern w:val="2"/>
                <w:sz w:val="21"/>
                <w:szCs w:val="21"/>
                <w:highlight w:val="none"/>
              </w:rPr>
              <w:t>市场价格波动是否调整合同价格的约定：</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u w:val="single"/>
                <w:lang w:val="en-US" w:eastAsia="zh-CN"/>
              </w:rPr>
              <w:t>不调整</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tc>
      </w:tr>
      <w:tr w14:paraId="3D56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4D465994">
            <w:pPr>
              <w:keepNext w:val="0"/>
              <w:keepLines w:val="0"/>
              <w:numPr>
                <w:ilvl w:val="0"/>
                <w:numId w:val="3"/>
              </w:numPr>
              <w:suppressLineNumbers w:val="0"/>
              <w:snapToGrid w:val="0"/>
              <w:spacing w:before="0" w:beforeAutospacing="0" w:after="0" w:afterAutospacing="0" w:line="360" w:lineRule="auto"/>
              <w:ind w:right="0"/>
              <w:jc w:val="center"/>
              <w:rPr>
                <w:rFonts w:hint="default" w:cs="宋体"/>
                <w:bCs/>
                <w:color w:val="auto"/>
                <w:sz w:val="21"/>
                <w:szCs w:val="21"/>
                <w:highlight w:val="none"/>
              </w:rPr>
            </w:pPr>
          </w:p>
        </w:tc>
        <w:tc>
          <w:tcPr>
            <w:tcW w:w="1111" w:type="dxa"/>
            <w:noWrap w:val="0"/>
            <w:vAlign w:val="center"/>
          </w:tcPr>
          <w:p w14:paraId="5581C6A6">
            <w:pPr>
              <w:keepNext w:val="0"/>
              <w:keepLines w:val="0"/>
              <w:suppressLineNumbers w:val="0"/>
              <w:snapToGrid w:val="0"/>
              <w:spacing w:before="0" w:beforeAutospacing="0" w:after="0" w:afterAutospacing="0" w:line="360" w:lineRule="auto"/>
              <w:ind w:left="0" w:right="0"/>
              <w:jc w:val="center"/>
              <w:rPr>
                <w:rFonts w:hint="default"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noWrap w:val="0"/>
            <w:vAlign w:val="center"/>
          </w:tcPr>
          <w:p w14:paraId="392C4112">
            <w:pPr>
              <w:pStyle w:val="34"/>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合同价格形式</w:t>
            </w:r>
          </w:p>
          <w:p w14:paraId="4AF89F39">
            <w:pPr>
              <w:pStyle w:val="34"/>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(1)单价合同。</w:t>
            </w:r>
          </w:p>
          <w:p w14:paraId="3DC9B560">
            <w:pPr>
              <w:pStyle w:val="34"/>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综合单价包含的风险范围：</w:t>
            </w:r>
            <w:r>
              <w:rPr>
                <w:rFonts w:hint="eastAsia" w:cs="宋体"/>
                <w:bCs/>
                <w:color w:val="auto"/>
                <w:sz w:val="21"/>
                <w:szCs w:val="21"/>
                <w:highlight w:val="none"/>
                <w:u w:val="single"/>
              </w:rPr>
              <w:t>各种因素引起的材料价格（合同允许调差的材料除外）、机械使用费、管理费、利润等。</w:t>
            </w:r>
          </w:p>
          <w:p w14:paraId="31619DC3">
            <w:pPr>
              <w:pStyle w:val="34"/>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不考虑</w:t>
            </w:r>
            <w:r>
              <w:rPr>
                <w:rFonts w:hint="eastAsia" w:cs="宋体"/>
                <w:bCs/>
                <w:color w:val="auto"/>
                <w:sz w:val="21"/>
                <w:szCs w:val="21"/>
                <w:highlight w:val="none"/>
              </w:rPr>
              <w:t>。</w:t>
            </w:r>
          </w:p>
          <w:p w14:paraId="6A1F3097">
            <w:pPr>
              <w:pStyle w:val="34"/>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见合同约定</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11F87078">
            <w:pPr>
              <w:pStyle w:val="34"/>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(2)总价合同。</w:t>
            </w:r>
          </w:p>
          <w:p w14:paraId="1F0CFE83">
            <w:pPr>
              <w:pStyle w:val="34"/>
              <w:keepNext w:val="0"/>
              <w:keepLines w:val="0"/>
              <w:suppressLineNumbers w:val="0"/>
              <w:tabs>
                <w:tab w:val="clear" w:pos="4153"/>
                <w:tab w:val="clear" w:pos="8306"/>
              </w:tabs>
              <w:spacing w:before="0" w:beforeAutospacing="0" w:after="0" w:afterAutospacing="0" w:line="360" w:lineRule="auto"/>
              <w:ind w:left="0" w:right="0"/>
              <w:rPr>
                <w:rFonts w:hint="eastAsia" w:cs="宋体"/>
                <w:bCs/>
                <w:color w:val="auto"/>
                <w:sz w:val="21"/>
                <w:szCs w:val="21"/>
                <w:highlight w:val="none"/>
                <w:u w:val="single"/>
                <w:lang w:val="en-US" w:eastAsia="zh-CN"/>
              </w:rPr>
            </w:pPr>
            <w:r>
              <w:rPr>
                <w:rFonts w:hint="eastAsia" w:cs="宋体"/>
                <w:bCs/>
                <w:color w:val="auto"/>
                <w:sz w:val="21"/>
                <w:szCs w:val="21"/>
                <w:highlight w:val="none"/>
              </w:rPr>
              <w:t>总价包含的风险范围：</w:t>
            </w:r>
            <w:r>
              <w:rPr>
                <w:rFonts w:hint="eastAsia" w:cs="宋体"/>
                <w:bCs/>
                <w:color w:val="auto"/>
                <w:sz w:val="21"/>
                <w:szCs w:val="21"/>
                <w:highlight w:val="none"/>
                <w:u w:val="single"/>
                <w:lang w:val="en-US" w:eastAsia="zh-CN"/>
              </w:rPr>
              <w:t>/。</w:t>
            </w:r>
          </w:p>
          <w:p w14:paraId="4C07C789">
            <w:pPr>
              <w:pStyle w:val="34"/>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1B7E0379">
            <w:pPr>
              <w:pStyle w:val="34"/>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5276B70">
            <w:pPr>
              <w:pStyle w:val="34"/>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（3）其他价格方式：</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2492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7040FC5E">
            <w:pPr>
              <w:keepNext w:val="0"/>
              <w:keepLines w:val="0"/>
              <w:numPr>
                <w:ilvl w:val="0"/>
                <w:numId w:val="3"/>
              </w:numPr>
              <w:suppressLineNumbers w:val="0"/>
              <w:snapToGrid w:val="0"/>
              <w:spacing w:before="0" w:beforeAutospacing="0" w:after="0" w:afterAutospacing="0" w:line="360" w:lineRule="auto"/>
              <w:ind w:right="0"/>
              <w:jc w:val="center"/>
              <w:rPr>
                <w:rFonts w:hint="default" w:cs="宋体"/>
                <w:bCs/>
                <w:color w:val="auto"/>
                <w:kern w:val="2"/>
                <w:sz w:val="21"/>
                <w:szCs w:val="21"/>
                <w:highlight w:val="none"/>
              </w:rPr>
            </w:pPr>
          </w:p>
        </w:tc>
        <w:tc>
          <w:tcPr>
            <w:tcW w:w="1111" w:type="dxa"/>
            <w:noWrap w:val="0"/>
            <w:vAlign w:val="center"/>
          </w:tcPr>
          <w:p w14:paraId="43F083E0">
            <w:pPr>
              <w:keepNext w:val="0"/>
              <w:keepLines w:val="0"/>
              <w:suppressLineNumbers w:val="0"/>
              <w:snapToGrid w:val="0"/>
              <w:spacing w:before="0" w:beforeAutospacing="0" w:after="0" w:afterAutospacing="0" w:line="360" w:lineRule="auto"/>
              <w:ind w:left="0" w:right="0"/>
              <w:jc w:val="center"/>
              <w:rPr>
                <w:rFonts w:hint="default" w:cs="宋体"/>
                <w:bCs/>
                <w:color w:val="auto"/>
                <w:kern w:val="2"/>
                <w:sz w:val="21"/>
                <w:szCs w:val="21"/>
                <w:highlight w:val="none"/>
              </w:rPr>
            </w:pPr>
            <w:r>
              <w:rPr>
                <w:rFonts w:hint="eastAsia" w:cs="宋体"/>
                <w:bCs/>
                <w:color w:val="auto"/>
                <w:sz w:val="21"/>
                <w:szCs w:val="21"/>
                <w:highlight w:val="none"/>
              </w:rPr>
              <w:t xml:space="preserve">12.2.1 </w:t>
            </w:r>
          </w:p>
        </w:tc>
        <w:tc>
          <w:tcPr>
            <w:tcW w:w="7304" w:type="dxa"/>
            <w:tcBorders>
              <w:bottom w:val="single" w:color="auto" w:sz="4" w:space="0"/>
            </w:tcBorders>
            <w:noWrap w:val="0"/>
            <w:vAlign w:val="center"/>
          </w:tcPr>
          <w:p w14:paraId="596FF81B">
            <w:pPr>
              <w:keepNext w:val="0"/>
              <w:keepLines w:val="0"/>
              <w:suppressLineNumbers w:val="0"/>
              <w:adjustRightInd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预付款的支付</w:t>
            </w:r>
          </w:p>
          <w:p w14:paraId="7C547DFF">
            <w:pPr>
              <w:keepNext w:val="0"/>
              <w:keepLines w:val="0"/>
              <w:suppressLineNumbers w:val="0"/>
              <w:adjustRightInd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预付款支付比例或金额：</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40% </w:t>
            </w:r>
            <w:r>
              <w:rPr>
                <w:rFonts w:hint="eastAsia" w:cs="宋体"/>
                <w:bCs/>
                <w:color w:val="auto"/>
                <w:sz w:val="21"/>
                <w:szCs w:val="21"/>
                <w:highlight w:val="none"/>
                <w:u w:val="single"/>
              </w:rPr>
              <w:t xml:space="preserve"> </w:t>
            </w:r>
          </w:p>
          <w:p w14:paraId="74C9B043">
            <w:pPr>
              <w:keepNext w:val="0"/>
              <w:keepLines w:val="0"/>
              <w:suppressLineNumbers w:val="0"/>
              <w:adjustRightInd w:val="0"/>
              <w:snapToGrid w:val="0"/>
              <w:spacing w:before="0" w:beforeAutospacing="0" w:after="0" w:afterAutospacing="0" w:line="360" w:lineRule="auto"/>
              <w:ind w:left="0" w:right="0"/>
              <w:rPr>
                <w:rFonts w:hint="default" w:cs="宋体"/>
                <w:bCs/>
                <w:color w:val="auto"/>
                <w:sz w:val="21"/>
                <w:szCs w:val="21"/>
                <w:highlight w:val="none"/>
                <w:lang w:val="en-US"/>
              </w:rPr>
            </w:pPr>
            <w:r>
              <w:rPr>
                <w:rFonts w:hint="eastAsia" w:cs="宋体"/>
                <w:bCs/>
                <w:color w:val="auto"/>
                <w:sz w:val="21"/>
                <w:szCs w:val="21"/>
                <w:highlight w:val="none"/>
              </w:rPr>
              <w:t>预付款支付期限：</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合同签订具备实施条件后支付合同价的40%预付款 </w:t>
            </w:r>
          </w:p>
          <w:p w14:paraId="68C18502">
            <w:pPr>
              <w:keepNext w:val="0"/>
              <w:keepLines w:val="0"/>
              <w:suppressLineNumbers w:val="0"/>
              <w:adjustRightInd w:val="0"/>
              <w:snapToGrid w:val="0"/>
              <w:spacing w:before="0" w:beforeAutospacing="0" w:after="0" w:afterAutospacing="0" w:line="360" w:lineRule="auto"/>
              <w:ind w:left="0" w:right="0"/>
              <w:rPr>
                <w:rFonts w:hint="default" w:eastAsia="宋体" w:cs="宋体"/>
                <w:bCs/>
                <w:color w:val="auto"/>
                <w:kern w:val="2"/>
                <w:sz w:val="21"/>
                <w:szCs w:val="21"/>
                <w:highlight w:val="none"/>
                <w:lang w:val="en-US" w:eastAsia="zh-CN"/>
              </w:rPr>
            </w:pPr>
            <w:r>
              <w:rPr>
                <w:rFonts w:hint="eastAsia" w:cs="宋体"/>
                <w:bCs/>
                <w:color w:val="auto"/>
                <w:sz w:val="21"/>
                <w:szCs w:val="21"/>
                <w:highlight w:val="none"/>
              </w:rPr>
              <w:t>预付款扣回的方式：</w:t>
            </w:r>
            <w:r>
              <w:rPr>
                <w:rFonts w:hint="eastAsia" w:cs="宋体"/>
                <w:bCs/>
                <w:color w:val="auto"/>
                <w:sz w:val="21"/>
                <w:szCs w:val="21"/>
                <w:highlight w:val="none"/>
                <w:u w:val="single"/>
                <w:lang w:val="en-US" w:eastAsia="zh-CN"/>
              </w:rPr>
              <w:t>付款时扣除</w:t>
            </w:r>
          </w:p>
        </w:tc>
      </w:tr>
      <w:tr w14:paraId="5428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noWrap w:val="0"/>
            <w:vAlign w:val="center"/>
          </w:tcPr>
          <w:p w14:paraId="06ABBE4E">
            <w:pPr>
              <w:keepNext w:val="0"/>
              <w:keepLines w:val="0"/>
              <w:numPr>
                <w:ilvl w:val="0"/>
                <w:numId w:val="3"/>
              </w:numPr>
              <w:suppressLineNumbers w:val="0"/>
              <w:snapToGrid w:val="0"/>
              <w:spacing w:before="0" w:beforeAutospacing="0" w:after="0" w:afterAutospacing="0" w:line="360" w:lineRule="auto"/>
              <w:ind w:right="0"/>
              <w:jc w:val="center"/>
              <w:rPr>
                <w:rFonts w:hint="default" w:cs="宋体"/>
                <w:bCs/>
                <w:color w:val="auto"/>
                <w:kern w:val="2"/>
                <w:sz w:val="21"/>
                <w:szCs w:val="21"/>
                <w:highlight w:val="none"/>
              </w:rPr>
            </w:pPr>
          </w:p>
        </w:tc>
        <w:tc>
          <w:tcPr>
            <w:tcW w:w="1111" w:type="dxa"/>
            <w:noWrap w:val="0"/>
            <w:vAlign w:val="center"/>
          </w:tcPr>
          <w:p w14:paraId="2F9D9F57">
            <w:pPr>
              <w:keepNext w:val="0"/>
              <w:keepLines w:val="0"/>
              <w:suppressLineNumbers w:val="0"/>
              <w:snapToGrid w:val="0"/>
              <w:spacing w:before="0" w:beforeAutospacing="0" w:after="0" w:afterAutospacing="0" w:line="360" w:lineRule="auto"/>
              <w:ind w:left="0" w:right="0"/>
              <w:jc w:val="center"/>
              <w:rPr>
                <w:rFonts w:hint="default"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noWrap w:val="0"/>
            <w:vAlign w:val="center"/>
          </w:tcPr>
          <w:p w14:paraId="0DC353AE">
            <w:pPr>
              <w:keepNext w:val="0"/>
              <w:keepLines w:val="0"/>
              <w:suppressLineNumbers w:val="0"/>
              <w:adjustRightInd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预付款担保</w:t>
            </w:r>
          </w:p>
          <w:p w14:paraId="51BF0897">
            <w:pPr>
              <w:keepNext w:val="0"/>
              <w:keepLines w:val="0"/>
              <w:suppressLineNumbers w:val="0"/>
              <w:adjustRightInd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承包人提交预付款担保的期限：</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预付款支付前</w:t>
            </w:r>
            <w:r>
              <w:rPr>
                <w:rFonts w:hint="eastAsia" w:cs="宋体"/>
                <w:bCs/>
                <w:color w:val="auto"/>
                <w:sz w:val="21"/>
                <w:szCs w:val="21"/>
                <w:highlight w:val="none"/>
                <w:u w:val="single"/>
              </w:rPr>
              <w:t xml:space="preserve"> </w:t>
            </w:r>
          </w:p>
          <w:p w14:paraId="5269D2B2">
            <w:pPr>
              <w:keepNext w:val="0"/>
              <w:keepLines w:val="0"/>
              <w:suppressLineNumbers w:val="0"/>
              <w:adjustRightInd w:val="0"/>
              <w:snapToGrid w:val="0"/>
              <w:spacing w:before="0" w:beforeAutospacing="0" w:after="0" w:afterAutospacing="0" w:line="360" w:lineRule="auto"/>
              <w:ind w:left="0" w:right="0"/>
              <w:rPr>
                <w:rFonts w:hint="default" w:cs="宋体"/>
                <w:bCs/>
                <w:color w:val="auto"/>
                <w:kern w:val="2"/>
                <w:sz w:val="21"/>
                <w:szCs w:val="21"/>
                <w:highlight w:val="none"/>
              </w:rPr>
            </w:pPr>
            <w:r>
              <w:rPr>
                <w:rFonts w:hint="eastAsia" w:cs="宋体"/>
                <w:bCs/>
                <w:color w:val="auto"/>
                <w:sz w:val="21"/>
                <w:szCs w:val="21"/>
                <w:highlight w:val="none"/>
              </w:rPr>
              <w:t>预付款担保的形式为：</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保函（见索即付）</w:t>
            </w:r>
            <w:r>
              <w:rPr>
                <w:rFonts w:hint="eastAsia" w:cs="宋体"/>
                <w:bCs/>
                <w:color w:val="auto"/>
                <w:sz w:val="21"/>
                <w:szCs w:val="21"/>
                <w:highlight w:val="none"/>
                <w:u w:val="single"/>
              </w:rPr>
              <w:t xml:space="preserve"> </w:t>
            </w:r>
          </w:p>
        </w:tc>
      </w:tr>
      <w:tr w14:paraId="7210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6DD917A5">
            <w:pPr>
              <w:keepNext w:val="0"/>
              <w:keepLines w:val="0"/>
              <w:numPr>
                <w:ilvl w:val="0"/>
                <w:numId w:val="3"/>
              </w:numPr>
              <w:suppressLineNumbers w:val="0"/>
              <w:snapToGrid w:val="0"/>
              <w:spacing w:before="0" w:beforeAutospacing="0" w:after="0" w:afterAutospacing="0" w:line="360" w:lineRule="auto"/>
              <w:ind w:right="0"/>
              <w:jc w:val="center"/>
              <w:rPr>
                <w:rFonts w:hint="default" w:cs="宋体"/>
                <w:bCs/>
                <w:color w:val="auto"/>
                <w:kern w:val="2"/>
                <w:sz w:val="21"/>
                <w:szCs w:val="21"/>
                <w:highlight w:val="none"/>
              </w:rPr>
            </w:pPr>
          </w:p>
        </w:tc>
        <w:tc>
          <w:tcPr>
            <w:tcW w:w="1111" w:type="dxa"/>
            <w:noWrap w:val="0"/>
            <w:vAlign w:val="center"/>
          </w:tcPr>
          <w:p w14:paraId="38DC5B98">
            <w:pPr>
              <w:keepNext w:val="0"/>
              <w:keepLines w:val="0"/>
              <w:suppressLineNumbers w:val="0"/>
              <w:snapToGrid w:val="0"/>
              <w:spacing w:before="0" w:beforeAutospacing="0" w:after="0" w:afterAutospacing="0" w:line="360" w:lineRule="auto"/>
              <w:ind w:left="0" w:right="0"/>
              <w:jc w:val="center"/>
              <w:rPr>
                <w:rFonts w:hint="default"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noWrap w:val="0"/>
            <w:vAlign w:val="center"/>
          </w:tcPr>
          <w:p w14:paraId="591F4EFB">
            <w:pPr>
              <w:keepNext w:val="0"/>
              <w:keepLines w:val="0"/>
              <w:suppressLineNumbers w:val="0"/>
              <w:adjustRightInd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付款周期</w:t>
            </w:r>
          </w:p>
          <w:p w14:paraId="21E3C01D">
            <w:pPr>
              <w:keepNext w:val="0"/>
              <w:keepLines w:val="0"/>
              <w:suppressLineNumbers w:val="0"/>
              <w:adjustRightInd w:val="0"/>
              <w:snapToGrid w:val="0"/>
              <w:spacing w:before="0" w:beforeAutospacing="0" w:after="0" w:afterAutospacing="0" w:line="360" w:lineRule="auto"/>
              <w:ind w:left="0" w:right="0"/>
              <w:rPr>
                <w:rFonts w:hint="eastAsia" w:cs="宋体"/>
                <w:bCs/>
                <w:color w:val="auto"/>
                <w:sz w:val="21"/>
                <w:szCs w:val="21"/>
                <w:highlight w:val="none"/>
                <w:lang w:val="en-US" w:eastAsia="zh-CN"/>
              </w:rPr>
            </w:pPr>
            <w:r>
              <w:rPr>
                <w:rFonts w:hint="eastAsia" w:cs="宋体"/>
                <w:bCs/>
                <w:color w:val="auto"/>
                <w:sz w:val="21"/>
                <w:szCs w:val="21"/>
                <w:highlight w:val="none"/>
              </w:rPr>
              <w:t>关于付款周期的约定：</w:t>
            </w:r>
            <w:r>
              <w:rPr>
                <w:rFonts w:hint="eastAsia" w:cs="宋体"/>
                <w:bCs/>
                <w:color w:val="auto"/>
                <w:sz w:val="21"/>
                <w:szCs w:val="21"/>
                <w:highlight w:val="none"/>
                <w:lang w:val="en-US" w:eastAsia="zh-CN"/>
              </w:rPr>
              <w:t>合同签订具备实施条件后支付合同价的40%预付款（预付款支付前，中标人须提供同等金额预付款等额保函（见索即付）），按期完成进度计划的合格分部分项工程付至85%的进度款；工程完工后付至合格工程量价款的90%；竣工验收合格取得验收报告后，付至合格工程量价款的95%；完成竣工结算审计且工程移交后付至结算总造价的100%，同时承包人须提交结算总造价的2%（作为工程质量保证金）至采购人处（注：发包人在政府资金调度会批准且发票送达后完成支付）。</w:t>
            </w:r>
          </w:p>
          <w:p w14:paraId="40387C3D">
            <w:pPr>
              <w:keepNext w:val="0"/>
              <w:keepLines w:val="0"/>
              <w:suppressLineNumbers w:val="0"/>
              <w:adjustRightInd w:val="0"/>
              <w:snapToGrid w:val="0"/>
              <w:spacing w:before="0" w:beforeAutospacing="0" w:after="0" w:afterAutospacing="0" w:line="360" w:lineRule="auto"/>
              <w:ind w:left="0" w:right="0"/>
              <w:rPr>
                <w:rFonts w:hint="default"/>
                <w:color w:val="auto"/>
                <w:sz w:val="20"/>
                <w:szCs w:val="20"/>
                <w:highlight w:val="none"/>
              </w:rPr>
            </w:pPr>
            <w:r>
              <w:rPr>
                <w:rFonts w:hint="eastAsia" w:cs="宋体"/>
                <w:bCs/>
                <w:color w:val="auto"/>
                <w:sz w:val="21"/>
                <w:szCs w:val="21"/>
                <w:highlight w:val="none"/>
                <w:lang w:val="en-US" w:eastAsia="zh-CN"/>
              </w:rPr>
              <w:t>质量保证金支持保函（银行保函、担保机构担保、保证保险）使用。采用保函的，保函有效期须与工程缺陷责任期截止时间保持一致。</w:t>
            </w:r>
          </w:p>
        </w:tc>
      </w:tr>
      <w:tr w14:paraId="0A5F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039FD492">
            <w:pPr>
              <w:keepNext w:val="0"/>
              <w:keepLines w:val="0"/>
              <w:numPr>
                <w:ilvl w:val="0"/>
                <w:numId w:val="3"/>
              </w:numPr>
              <w:suppressLineNumbers w:val="0"/>
              <w:snapToGrid w:val="0"/>
              <w:spacing w:before="0" w:beforeAutospacing="0" w:after="0" w:afterAutospacing="0" w:line="360" w:lineRule="auto"/>
              <w:ind w:right="0"/>
              <w:jc w:val="center"/>
              <w:rPr>
                <w:rFonts w:hint="default" w:cs="宋体"/>
                <w:bCs/>
                <w:color w:val="auto"/>
                <w:kern w:val="2"/>
                <w:sz w:val="21"/>
                <w:szCs w:val="21"/>
                <w:highlight w:val="none"/>
              </w:rPr>
            </w:pPr>
          </w:p>
        </w:tc>
        <w:tc>
          <w:tcPr>
            <w:tcW w:w="1111" w:type="dxa"/>
            <w:noWrap w:val="0"/>
            <w:vAlign w:val="center"/>
          </w:tcPr>
          <w:p w14:paraId="3CBD0F88">
            <w:pPr>
              <w:keepNext w:val="0"/>
              <w:keepLines w:val="0"/>
              <w:suppressLineNumbers w:val="0"/>
              <w:snapToGrid w:val="0"/>
              <w:spacing w:before="0" w:beforeAutospacing="0" w:after="0" w:afterAutospacing="0" w:line="360" w:lineRule="auto"/>
              <w:ind w:left="0" w:right="0"/>
              <w:jc w:val="center"/>
              <w:rPr>
                <w:rFonts w:hint="default" w:cs="宋体"/>
                <w:bCs/>
                <w:color w:val="auto"/>
                <w:kern w:val="2"/>
                <w:sz w:val="21"/>
                <w:szCs w:val="21"/>
                <w:highlight w:val="none"/>
              </w:rPr>
            </w:pPr>
            <w:r>
              <w:rPr>
                <w:rFonts w:hint="eastAsia" w:cs="宋体"/>
                <w:bCs/>
                <w:color w:val="auto"/>
                <w:sz w:val="21"/>
                <w:szCs w:val="21"/>
                <w:highlight w:val="none"/>
              </w:rPr>
              <w:t>15.2.1</w:t>
            </w:r>
          </w:p>
        </w:tc>
        <w:tc>
          <w:tcPr>
            <w:tcW w:w="7304" w:type="dxa"/>
            <w:noWrap w:val="0"/>
            <w:vAlign w:val="center"/>
          </w:tcPr>
          <w:p w14:paraId="262F1CAF">
            <w:pPr>
              <w:keepNext w:val="0"/>
              <w:keepLines w:val="0"/>
              <w:suppressLineNumbers w:val="0"/>
              <w:snapToGrid w:val="0"/>
              <w:spacing w:before="0" w:beforeAutospacing="0" w:after="0" w:afterAutospacing="0" w:line="360" w:lineRule="auto"/>
              <w:ind w:left="0" w:right="0"/>
              <w:rPr>
                <w:rFonts w:hint="default" w:cs="宋体"/>
                <w:bCs/>
                <w:color w:val="auto"/>
                <w:kern w:val="2"/>
                <w:sz w:val="21"/>
                <w:szCs w:val="21"/>
                <w:highlight w:val="none"/>
              </w:rPr>
            </w:pPr>
            <w:r>
              <w:rPr>
                <w:rFonts w:hint="eastAsia" w:cs="宋体"/>
                <w:color w:val="auto"/>
                <w:sz w:val="21"/>
                <w:szCs w:val="21"/>
                <w:highlight w:val="none"/>
              </w:rPr>
              <w:t>缺陷责任期的具体期限：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24个月</w:t>
            </w:r>
            <w:r>
              <w:rPr>
                <w:rFonts w:hint="eastAsia" w:cs="宋体"/>
                <w:color w:val="auto"/>
                <w:sz w:val="21"/>
                <w:szCs w:val="21"/>
                <w:highlight w:val="none"/>
                <w:u w:val="single"/>
              </w:rPr>
              <w:t xml:space="preserve"> </w:t>
            </w:r>
            <w:r>
              <w:rPr>
                <w:rFonts w:hint="eastAsia" w:cs="宋体"/>
                <w:color w:val="auto"/>
                <w:sz w:val="21"/>
                <w:szCs w:val="21"/>
                <w:highlight w:val="none"/>
              </w:rPr>
              <w:t>。</w:t>
            </w:r>
          </w:p>
        </w:tc>
      </w:tr>
      <w:tr w14:paraId="21F4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7CFC0A73">
            <w:pPr>
              <w:keepNext w:val="0"/>
              <w:keepLines w:val="0"/>
              <w:numPr>
                <w:ilvl w:val="0"/>
                <w:numId w:val="3"/>
              </w:numPr>
              <w:suppressLineNumbers w:val="0"/>
              <w:snapToGrid w:val="0"/>
              <w:spacing w:before="0" w:beforeAutospacing="0" w:after="0" w:afterAutospacing="0" w:line="360" w:lineRule="auto"/>
              <w:ind w:right="0"/>
              <w:jc w:val="center"/>
              <w:rPr>
                <w:rFonts w:hint="default" w:cs="宋体"/>
                <w:bCs/>
                <w:color w:val="auto"/>
                <w:kern w:val="2"/>
                <w:sz w:val="21"/>
                <w:szCs w:val="21"/>
                <w:highlight w:val="none"/>
              </w:rPr>
            </w:pPr>
          </w:p>
        </w:tc>
        <w:tc>
          <w:tcPr>
            <w:tcW w:w="1111" w:type="dxa"/>
            <w:noWrap w:val="0"/>
            <w:vAlign w:val="center"/>
          </w:tcPr>
          <w:p w14:paraId="13CC9281">
            <w:pPr>
              <w:keepNext w:val="0"/>
              <w:keepLines w:val="0"/>
              <w:suppressLineNumbers w:val="0"/>
              <w:snapToGrid w:val="0"/>
              <w:spacing w:before="0" w:beforeAutospacing="0" w:after="0" w:afterAutospacing="0" w:line="360" w:lineRule="auto"/>
              <w:ind w:left="0" w:right="0"/>
              <w:jc w:val="center"/>
              <w:rPr>
                <w:rFonts w:hint="default" w:cs="宋体"/>
                <w:bCs/>
                <w:color w:val="auto"/>
                <w:kern w:val="2"/>
                <w:sz w:val="21"/>
                <w:szCs w:val="21"/>
                <w:highlight w:val="none"/>
              </w:rPr>
            </w:pPr>
            <w:r>
              <w:rPr>
                <w:rFonts w:hint="eastAsia" w:cs="宋体"/>
                <w:bCs/>
                <w:color w:val="auto"/>
                <w:sz w:val="21"/>
                <w:szCs w:val="21"/>
                <w:highlight w:val="none"/>
              </w:rPr>
              <w:t>15.3.1</w:t>
            </w:r>
          </w:p>
        </w:tc>
        <w:tc>
          <w:tcPr>
            <w:tcW w:w="7304" w:type="dxa"/>
            <w:noWrap w:val="0"/>
            <w:vAlign w:val="center"/>
          </w:tcPr>
          <w:p w14:paraId="5B484605">
            <w:pPr>
              <w:keepNext w:val="0"/>
              <w:keepLines w:val="0"/>
              <w:suppressLineNumbers w:val="0"/>
              <w:adjustRightInd w:val="0"/>
              <w:snapToGrid w:val="0"/>
              <w:spacing w:before="0" w:beforeAutospacing="0" w:after="0" w:afterAutospacing="0" w:line="360" w:lineRule="auto"/>
              <w:ind w:left="0" w:right="0"/>
              <w:rPr>
                <w:rFonts w:hint="default" w:cs="宋体"/>
                <w:color w:val="auto"/>
                <w:sz w:val="21"/>
                <w:szCs w:val="21"/>
                <w:highlight w:val="none"/>
              </w:rPr>
            </w:pPr>
            <w:r>
              <w:rPr>
                <w:rFonts w:hint="eastAsia" w:cs="宋体"/>
                <w:color w:val="auto"/>
                <w:sz w:val="21"/>
                <w:szCs w:val="21"/>
                <w:highlight w:val="none"/>
              </w:rPr>
              <w:t>质量保证金可采用以下任意一种方式：</w:t>
            </w:r>
          </w:p>
          <w:p w14:paraId="7671CAA8">
            <w:pPr>
              <w:keepNext w:val="0"/>
              <w:keepLines w:val="0"/>
              <w:suppressLineNumbers w:val="0"/>
              <w:adjustRightInd w:val="0"/>
              <w:snapToGrid w:val="0"/>
              <w:spacing w:before="0" w:beforeAutospacing="0" w:after="0" w:afterAutospacing="0" w:line="360" w:lineRule="auto"/>
              <w:ind w:left="0" w:right="0"/>
              <w:rPr>
                <w:rFonts w:hint="default"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w:t>
            </w:r>
          </w:p>
          <w:p w14:paraId="7795F2CC">
            <w:pPr>
              <w:keepNext w:val="0"/>
              <w:keepLines w:val="0"/>
              <w:suppressLineNumbers w:val="0"/>
              <w:adjustRightInd w:val="0"/>
              <w:snapToGrid w:val="0"/>
              <w:spacing w:before="0" w:beforeAutospacing="0" w:after="0" w:afterAutospacing="0" w:line="360" w:lineRule="auto"/>
              <w:ind w:left="0" w:right="0"/>
              <w:rPr>
                <w:rFonts w:hint="default" w:cs="宋体"/>
                <w:color w:val="auto"/>
                <w:sz w:val="21"/>
                <w:szCs w:val="21"/>
                <w:highlight w:val="none"/>
              </w:rPr>
            </w:pPr>
            <w:r>
              <w:rPr>
                <w:rFonts w:hint="eastAsia" w:cs="宋体"/>
                <w:color w:val="auto"/>
                <w:sz w:val="21"/>
                <w:szCs w:val="21"/>
                <w:highlight w:val="none"/>
              </w:rPr>
              <w:t xml:space="preserve">（2） </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p>
          <w:p w14:paraId="4E638353">
            <w:pPr>
              <w:keepNext w:val="0"/>
              <w:keepLines w:val="0"/>
              <w:suppressLineNumbers w:val="0"/>
              <w:adjustRightInd w:val="0"/>
              <w:snapToGrid w:val="0"/>
              <w:spacing w:before="0" w:beforeAutospacing="0" w:after="0" w:afterAutospacing="0" w:line="360" w:lineRule="auto"/>
              <w:ind w:left="0" w:right="0"/>
              <w:rPr>
                <w:rFonts w:hint="default"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 xml:space="preserve">  </w:t>
            </w:r>
            <w:r>
              <w:rPr>
                <w:rFonts w:hint="eastAsia" w:ascii="宋体" w:cs="宋体"/>
                <w:color w:val="auto"/>
                <w:kern w:val="0"/>
                <w:sz w:val="21"/>
                <w:szCs w:val="21"/>
                <w:highlight w:val="none"/>
                <w:u w:val="single"/>
                <w:shd w:val="clear" w:color="auto" w:fill="auto"/>
                <w:lang w:val="en-US" w:eastAsia="zh-CN"/>
              </w:rPr>
              <w:t>详见工程款</w:t>
            </w:r>
            <w:r>
              <w:rPr>
                <w:rFonts w:hint="eastAsia" w:ascii="宋体" w:cs="宋体"/>
                <w:color w:val="auto"/>
                <w:kern w:val="0"/>
                <w:sz w:val="21"/>
                <w:szCs w:val="21"/>
                <w:highlight w:val="none"/>
                <w:u w:val="single"/>
                <w:shd w:val="clear" w:color="auto" w:fill="auto"/>
              </w:rPr>
              <w:t>支付方式</w:t>
            </w:r>
            <w:r>
              <w:rPr>
                <w:rFonts w:hint="eastAsia" w:cs="宋体"/>
                <w:color w:val="auto"/>
                <w:sz w:val="21"/>
                <w:szCs w:val="21"/>
                <w:highlight w:val="none"/>
                <w:u w:val="single"/>
              </w:rPr>
              <w:t>。</w:t>
            </w:r>
          </w:p>
          <w:p w14:paraId="28938989">
            <w:pPr>
              <w:pStyle w:val="8"/>
              <w:suppressLineNumbers w:val="0"/>
              <w:snapToGrid w:val="0"/>
              <w:spacing w:beforeAutospacing="0" w:afterAutospacing="0" w:line="360" w:lineRule="auto"/>
              <w:ind w:left="0" w:right="0"/>
              <w:rPr>
                <w:rFonts w:hint="default" w:cs="宋体"/>
                <w:bCs w:val="0"/>
                <w:color w:val="auto"/>
                <w:kern w:val="2"/>
                <w:sz w:val="21"/>
                <w:szCs w:val="21"/>
                <w:highlight w:val="none"/>
              </w:rPr>
            </w:pPr>
            <w:r>
              <w:rPr>
                <w:rFonts w:hint="eastAsia" w:cs="宋体"/>
                <w:bCs w:val="0"/>
                <w:color w:val="auto"/>
                <w:sz w:val="21"/>
                <w:szCs w:val="21"/>
                <w:highlight w:val="none"/>
              </w:rPr>
              <w:t>注：以现金形式提交质量保证金的（含从工程款中以扣留方式提交的），同时退还银行同期活期存款利息。</w:t>
            </w:r>
          </w:p>
        </w:tc>
      </w:tr>
    </w:tbl>
    <w:p w14:paraId="0EA74D45">
      <w:pPr>
        <w:pageBreakBefore w:val="0"/>
        <w:kinsoku/>
        <w:wordWrap/>
        <w:overflowPunct/>
        <w:topLinePunct w:val="0"/>
        <w:autoSpaceDE/>
        <w:autoSpaceDN/>
        <w:bidi w:val="0"/>
        <w:snapToGrid w:val="0"/>
        <w:spacing w:line="400" w:lineRule="exact"/>
        <w:textAlignment w:val="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w:t>
      </w:r>
      <w:bookmarkStart w:id="48" w:name="_Toc296503156"/>
      <w:bookmarkStart w:id="49" w:name="_Toc296346657"/>
      <w:bookmarkStart w:id="50" w:name="_Toc292559866"/>
      <w:bookmarkStart w:id="51" w:name="_Toc296347155"/>
      <w:bookmarkStart w:id="52" w:name="_Toc297048342"/>
      <w:bookmarkStart w:id="53" w:name="_Toc297120456"/>
      <w:bookmarkStart w:id="54" w:name="_Toc292559361"/>
      <w:bookmarkStart w:id="55" w:name="_Toc296890984"/>
      <w:bookmarkStart w:id="56" w:name="_Toc296944495"/>
      <w:bookmarkStart w:id="57" w:name="_Toc296891196"/>
      <w:r>
        <w:rPr>
          <w:rFonts w:hint="eastAsia" w:cs="宋体"/>
          <w:color w:val="auto"/>
          <w:sz w:val="21"/>
          <w:szCs w:val="21"/>
          <w:highlight w:val="none"/>
        </w:rPr>
        <w:t>. 一般约定</w:t>
      </w:r>
    </w:p>
    <w:bookmarkEnd w:id="48"/>
    <w:bookmarkEnd w:id="49"/>
    <w:bookmarkEnd w:id="50"/>
    <w:bookmarkEnd w:id="51"/>
    <w:bookmarkEnd w:id="52"/>
    <w:bookmarkEnd w:id="53"/>
    <w:bookmarkEnd w:id="54"/>
    <w:bookmarkEnd w:id="55"/>
    <w:bookmarkEnd w:id="56"/>
    <w:bookmarkEnd w:id="57"/>
    <w:p w14:paraId="14B3F22C">
      <w:pPr>
        <w:keepNext/>
        <w:keepLines/>
        <w:pageBreakBefore w:val="0"/>
        <w:kinsoku/>
        <w:wordWrap/>
        <w:overflowPunct/>
        <w:topLinePunct w:val="0"/>
        <w:autoSpaceDE/>
        <w:autoSpaceDN/>
        <w:bidi w:val="0"/>
        <w:snapToGrid w:val="0"/>
        <w:spacing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1.1 词语定义与解释</w:t>
      </w:r>
    </w:p>
    <w:p w14:paraId="0141DD93">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1.1.1 合同</w:t>
      </w:r>
    </w:p>
    <w:p w14:paraId="1CD7AA46">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本项目</w:t>
      </w:r>
      <w:r>
        <w:rPr>
          <w:rFonts w:hint="eastAsia" w:ascii="宋体" w:cs="宋体"/>
          <w:color w:val="auto"/>
          <w:sz w:val="21"/>
          <w:szCs w:val="21"/>
          <w:highlight w:val="none"/>
          <w:u w:val="single"/>
          <w:lang w:val="en-US" w:eastAsia="zh-CN"/>
        </w:rPr>
        <w:t>磋商</w:t>
      </w:r>
      <w:r>
        <w:rPr>
          <w:rFonts w:hint="eastAsia" w:ascii="宋体" w:cs="宋体"/>
          <w:color w:val="auto"/>
          <w:sz w:val="21"/>
          <w:szCs w:val="21"/>
          <w:highlight w:val="none"/>
          <w:u w:val="single"/>
          <w:lang w:eastAsia="zh-CN"/>
        </w:rPr>
        <w:t>文件</w:t>
      </w:r>
      <w:r>
        <w:rPr>
          <w:rFonts w:hint="eastAsia" w:ascii="宋体" w:cs="宋体"/>
          <w:color w:val="auto"/>
          <w:sz w:val="21"/>
          <w:szCs w:val="21"/>
          <w:highlight w:val="none"/>
          <w:u w:val="single"/>
        </w:rPr>
        <w:t>、在合同订立及履行过程中形成的与合同有关的文件均构成合同文件组成部分</w:t>
      </w:r>
      <w:r>
        <w:rPr>
          <w:rFonts w:hint="eastAsia" w:cs="宋体"/>
          <w:color w:val="auto"/>
          <w:sz w:val="21"/>
          <w:szCs w:val="21"/>
          <w:highlight w:val="none"/>
          <w:u w:val="single"/>
        </w:rPr>
        <w:t></w:t>
      </w:r>
    </w:p>
    <w:p w14:paraId="08DF6A8B">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1.1.2 合同当事人及其他相关方</w:t>
      </w:r>
    </w:p>
    <w:p w14:paraId="3E334B3A">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1.1.2.4 监理人：</w:t>
      </w:r>
    </w:p>
    <w:p w14:paraId="106A1617">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rPr>
      </w:pPr>
      <w:r>
        <w:rPr>
          <w:rFonts w:hint="eastAsia" w:ascii="宋体" w:cs="宋体"/>
          <w:color w:val="auto"/>
          <w:sz w:val="21"/>
          <w:szCs w:val="21"/>
          <w:highlight w:val="none"/>
        </w:rPr>
        <w:t>名    称：</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详见监理合同</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w:t>
      </w:r>
    </w:p>
    <w:p w14:paraId="58BB829A">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rPr>
      </w:pPr>
      <w:r>
        <w:rPr>
          <w:rFonts w:hint="eastAsia" w:ascii="宋体" w:cs="宋体"/>
          <w:color w:val="auto"/>
          <w:sz w:val="21"/>
          <w:szCs w:val="21"/>
          <w:highlight w:val="none"/>
        </w:rPr>
        <w:t>资质类别和等级：</w:t>
      </w:r>
      <w:r>
        <w:rPr>
          <w:rFonts w:hint="eastAsia" w:ascii="宋体" w:cs="宋体"/>
          <w:color w:val="auto"/>
          <w:sz w:val="21"/>
          <w:szCs w:val="21"/>
          <w:highlight w:val="none"/>
          <w:u w:val="single"/>
        </w:rPr>
        <w:t></w:t>
      </w:r>
      <w:r>
        <w:rPr>
          <w:rFonts w:hint="eastAsia" w:ascii="宋体" w:hAnsi="宋体" w:cs="宋体"/>
          <w:color w:val="auto"/>
          <w:sz w:val="21"/>
          <w:szCs w:val="21"/>
          <w:highlight w:val="none"/>
          <w:u w:val="single"/>
        </w:rPr>
        <w:t>详见监理合同</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w:t>
      </w:r>
    </w:p>
    <w:p w14:paraId="4FA7D8E8">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rPr>
      </w:pPr>
      <w:r>
        <w:rPr>
          <w:rFonts w:hint="eastAsia" w:ascii="宋体" w:cs="宋体"/>
          <w:color w:val="auto"/>
          <w:sz w:val="21"/>
          <w:szCs w:val="21"/>
          <w:highlight w:val="none"/>
        </w:rPr>
        <w:t>联系电话：</w:t>
      </w:r>
      <w:r>
        <w:rPr>
          <w:rFonts w:hint="eastAsia" w:ascii="宋体" w:cs="宋体"/>
          <w:color w:val="auto"/>
          <w:sz w:val="21"/>
          <w:szCs w:val="21"/>
          <w:highlight w:val="none"/>
          <w:u w:val="single"/>
        </w:rPr>
        <w:t></w:t>
      </w:r>
      <w:r>
        <w:rPr>
          <w:rFonts w:hint="eastAsia" w:ascii="宋体" w:hAnsi="宋体" w:cs="宋体"/>
          <w:color w:val="auto"/>
          <w:sz w:val="21"/>
          <w:szCs w:val="21"/>
          <w:highlight w:val="none"/>
          <w:u w:val="single"/>
        </w:rPr>
        <w:t>详见监理合同</w:t>
      </w:r>
      <w:r>
        <w:rPr>
          <w:rFonts w:hint="eastAsia" w:ascii="宋体" w:cs="宋体"/>
          <w:color w:val="auto"/>
          <w:sz w:val="21"/>
          <w:szCs w:val="21"/>
          <w:highlight w:val="none"/>
          <w:u w:val="single"/>
        </w:rPr>
        <w:t></w:t>
      </w:r>
      <w:r>
        <w:rPr>
          <w:rFonts w:hint="eastAsia" w:ascii="宋体" w:cs="宋体"/>
          <w:color w:val="auto"/>
          <w:sz w:val="21"/>
          <w:szCs w:val="21"/>
          <w:highlight w:val="none"/>
        </w:rPr>
        <w:t>；</w:t>
      </w:r>
    </w:p>
    <w:p w14:paraId="1BD42330">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rPr>
      </w:pPr>
      <w:r>
        <w:rPr>
          <w:rFonts w:hint="eastAsia" w:ascii="宋体" w:cs="宋体"/>
          <w:color w:val="auto"/>
          <w:sz w:val="21"/>
          <w:szCs w:val="21"/>
          <w:highlight w:val="none"/>
        </w:rPr>
        <w:t>电子信箱：</w:t>
      </w:r>
      <w:r>
        <w:rPr>
          <w:rFonts w:hint="eastAsia" w:ascii="宋体" w:cs="宋体"/>
          <w:color w:val="auto"/>
          <w:sz w:val="21"/>
          <w:szCs w:val="21"/>
          <w:highlight w:val="none"/>
          <w:u w:val="single"/>
        </w:rPr>
        <w:t></w:t>
      </w:r>
      <w:r>
        <w:rPr>
          <w:rFonts w:hint="eastAsia" w:asci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详见监理合同</w:t>
      </w:r>
      <w:r>
        <w:rPr>
          <w:rFonts w:hint="eastAsia" w:ascii="宋体" w:hAnsi="宋体" w:cs="宋体"/>
          <w:color w:val="auto"/>
          <w:sz w:val="21"/>
          <w:szCs w:val="21"/>
          <w:highlight w:val="none"/>
          <w:u w:val="single"/>
          <w:lang w:val="en-US" w:eastAsia="zh-CN"/>
        </w:rPr>
        <w:t xml:space="preserve"> </w:t>
      </w:r>
      <w:r>
        <w:rPr>
          <w:rFonts w:hint="eastAsia" w:ascii="宋体" w:cs="宋体"/>
          <w:color w:val="auto"/>
          <w:sz w:val="21"/>
          <w:szCs w:val="21"/>
          <w:highlight w:val="none"/>
          <w:u w:val="single"/>
        </w:rPr>
        <w:t></w:t>
      </w:r>
      <w:r>
        <w:rPr>
          <w:rFonts w:hint="eastAsia" w:ascii="宋体" w:cs="宋体"/>
          <w:color w:val="auto"/>
          <w:sz w:val="21"/>
          <w:szCs w:val="21"/>
          <w:highlight w:val="none"/>
        </w:rPr>
        <w:t>；</w:t>
      </w:r>
    </w:p>
    <w:p w14:paraId="5900B31A">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rPr>
      </w:pPr>
      <w:r>
        <w:rPr>
          <w:rFonts w:hint="eastAsia" w:ascii="宋体" w:cs="宋体"/>
          <w:color w:val="auto"/>
          <w:sz w:val="21"/>
          <w:szCs w:val="21"/>
          <w:highlight w:val="none"/>
        </w:rPr>
        <w:t>通信地址：</w:t>
      </w:r>
      <w:r>
        <w:rPr>
          <w:rFonts w:hint="eastAsia" w:ascii="宋体" w:cs="宋体"/>
          <w:color w:val="auto"/>
          <w:sz w:val="21"/>
          <w:szCs w:val="21"/>
          <w:highlight w:val="none"/>
          <w:u w:val="single"/>
        </w:rPr>
        <w:t></w:t>
      </w:r>
      <w:r>
        <w:rPr>
          <w:rFonts w:hint="eastAsia" w:asci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详见监理合同</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w:t>
      </w:r>
    </w:p>
    <w:p w14:paraId="7146C55B">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1.1.2.5 设计人：</w:t>
      </w:r>
    </w:p>
    <w:p w14:paraId="3703B8D9">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rPr>
      </w:pPr>
      <w:r>
        <w:rPr>
          <w:rFonts w:hint="eastAsia" w:ascii="宋体" w:cs="宋体"/>
          <w:color w:val="auto"/>
          <w:sz w:val="21"/>
          <w:szCs w:val="21"/>
          <w:highlight w:val="none"/>
        </w:rPr>
        <w:t>名    称：</w:t>
      </w:r>
      <w:r>
        <w:rPr>
          <w:rFonts w:hint="eastAsia" w:ascii="宋体" w:cs="宋体"/>
          <w:color w:val="auto"/>
          <w:sz w:val="21"/>
          <w:szCs w:val="21"/>
          <w:highlight w:val="none"/>
          <w:u w:val="single"/>
        </w:rPr>
        <w:t xml:space="preserve">    </w:t>
      </w:r>
      <w:r>
        <w:rPr>
          <w:rFonts w:hint="eastAsia" w:ascii="宋体" w:hAnsi="宋体" w:cs="宋体"/>
          <w:color w:val="auto"/>
          <w:sz w:val="21"/>
          <w:szCs w:val="21"/>
          <w:highlight w:val="none"/>
          <w:u w:val="single"/>
        </w:rPr>
        <w:t>详见设计合同</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w:t>
      </w:r>
    </w:p>
    <w:p w14:paraId="063F3319">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rPr>
      </w:pPr>
      <w:r>
        <w:rPr>
          <w:rFonts w:hint="eastAsia" w:ascii="宋体" w:cs="宋体"/>
          <w:color w:val="auto"/>
          <w:sz w:val="21"/>
          <w:szCs w:val="21"/>
          <w:highlight w:val="none"/>
        </w:rPr>
        <w:t>资质类别和等级：</w:t>
      </w:r>
      <w:r>
        <w:rPr>
          <w:rFonts w:hint="eastAsia" w:ascii="宋体" w:cs="宋体"/>
          <w:color w:val="auto"/>
          <w:sz w:val="21"/>
          <w:szCs w:val="21"/>
          <w:highlight w:val="none"/>
          <w:u w:val="single"/>
        </w:rPr>
        <w:t></w:t>
      </w:r>
      <w:r>
        <w:rPr>
          <w:rFonts w:hint="eastAsia" w:ascii="宋体" w:hAnsi="宋体" w:cs="宋体"/>
          <w:color w:val="auto"/>
          <w:sz w:val="21"/>
          <w:szCs w:val="21"/>
          <w:highlight w:val="none"/>
          <w:u w:val="single"/>
        </w:rPr>
        <w:t>详见设计合同</w:t>
      </w:r>
      <w:r>
        <w:rPr>
          <w:rFonts w:hint="eastAsia" w:ascii="宋体" w:cs="宋体"/>
          <w:color w:val="auto"/>
          <w:sz w:val="21"/>
          <w:szCs w:val="21"/>
          <w:highlight w:val="none"/>
          <w:u w:val="single"/>
        </w:rPr>
        <w:t xml:space="preserve">  </w:t>
      </w:r>
      <w:r>
        <w:rPr>
          <w:rFonts w:hint="eastAsia" w:ascii="宋体" w:cs="宋体"/>
          <w:color w:val="auto"/>
          <w:sz w:val="21"/>
          <w:szCs w:val="21"/>
          <w:highlight w:val="none"/>
        </w:rPr>
        <w:t>；</w:t>
      </w:r>
    </w:p>
    <w:p w14:paraId="7446272C">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rPr>
      </w:pPr>
      <w:r>
        <w:rPr>
          <w:rFonts w:hint="eastAsia" w:ascii="宋体" w:cs="宋体"/>
          <w:color w:val="auto"/>
          <w:sz w:val="21"/>
          <w:szCs w:val="21"/>
          <w:highlight w:val="none"/>
        </w:rPr>
        <w:t>联系电话：</w:t>
      </w:r>
      <w:r>
        <w:rPr>
          <w:rFonts w:hint="eastAsia" w:ascii="宋体" w:cs="宋体"/>
          <w:color w:val="auto"/>
          <w:sz w:val="21"/>
          <w:szCs w:val="21"/>
          <w:highlight w:val="none"/>
          <w:u w:val="single"/>
        </w:rPr>
        <w:t></w:t>
      </w:r>
      <w:r>
        <w:rPr>
          <w:rFonts w:hint="eastAsia" w:asci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详见设计合同</w:t>
      </w:r>
      <w:r>
        <w:rPr>
          <w:rFonts w:hint="eastAsia" w:ascii="宋体" w:cs="宋体"/>
          <w:color w:val="auto"/>
          <w:sz w:val="21"/>
          <w:szCs w:val="21"/>
          <w:highlight w:val="none"/>
          <w:u w:val="single"/>
        </w:rPr>
        <w:t xml:space="preserve">  </w:t>
      </w:r>
      <w:r>
        <w:rPr>
          <w:rFonts w:hint="eastAsia" w:ascii="宋体" w:cs="宋体"/>
          <w:color w:val="auto"/>
          <w:sz w:val="21"/>
          <w:szCs w:val="21"/>
          <w:highlight w:val="none"/>
        </w:rPr>
        <w:t>；</w:t>
      </w:r>
    </w:p>
    <w:p w14:paraId="6ADFA16B">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rPr>
      </w:pPr>
      <w:r>
        <w:rPr>
          <w:rFonts w:hint="eastAsia" w:ascii="宋体" w:cs="宋体"/>
          <w:color w:val="auto"/>
          <w:sz w:val="21"/>
          <w:szCs w:val="21"/>
          <w:highlight w:val="none"/>
        </w:rPr>
        <w:t>电子信箱：</w:t>
      </w:r>
      <w:r>
        <w:rPr>
          <w:rFonts w:hint="eastAsia" w:ascii="宋体" w:cs="宋体"/>
          <w:color w:val="auto"/>
          <w:sz w:val="21"/>
          <w:szCs w:val="21"/>
          <w:highlight w:val="none"/>
          <w:u w:val="single"/>
        </w:rPr>
        <w:t></w:t>
      </w:r>
      <w:r>
        <w:rPr>
          <w:rFonts w:hint="eastAsia" w:asci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详见设计合同</w:t>
      </w:r>
      <w:r>
        <w:rPr>
          <w:rFonts w:hint="eastAsia" w:ascii="宋体" w:cs="宋体"/>
          <w:color w:val="auto"/>
          <w:sz w:val="21"/>
          <w:szCs w:val="21"/>
          <w:highlight w:val="none"/>
          <w:u w:val="single"/>
        </w:rPr>
        <w:t xml:space="preserve">       </w:t>
      </w:r>
      <w:r>
        <w:rPr>
          <w:rFonts w:hint="eastAsia" w:ascii="宋体" w:cs="宋体"/>
          <w:color w:val="auto"/>
          <w:sz w:val="21"/>
          <w:szCs w:val="21"/>
          <w:highlight w:val="none"/>
        </w:rPr>
        <w:t>；</w:t>
      </w:r>
    </w:p>
    <w:p w14:paraId="2ADEAB37">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rPr>
      </w:pPr>
      <w:r>
        <w:rPr>
          <w:rFonts w:hint="eastAsia" w:ascii="宋体" w:cs="宋体"/>
          <w:color w:val="auto"/>
          <w:sz w:val="21"/>
          <w:szCs w:val="21"/>
          <w:highlight w:val="none"/>
        </w:rPr>
        <w:t>通信地址：</w:t>
      </w:r>
      <w:r>
        <w:rPr>
          <w:rFonts w:hint="eastAsia" w:ascii="宋体" w:cs="宋体"/>
          <w:color w:val="auto"/>
          <w:sz w:val="21"/>
          <w:szCs w:val="21"/>
          <w:highlight w:val="none"/>
          <w:u w:val="single"/>
        </w:rPr>
        <w:t></w:t>
      </w:r>
      <w:r>
        <w:rPr>
          <w:rFonts w:hint="eastAsia" w:ascii="宋体" w:hAnsi="宋体" w:cs="宋体"/>
          <w:color w:val="auto"/>
          <w:sz w:val="21"/>
          <w:szCs w:val="21"/>
          <w:highlight w:val="none"/>
          <w:u w:val="single"/>
        </w:rPr>
        <w:t>详见设计合同</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w:t>
      </w:r>
    </w:p>
    <w:p w14:paraId="1060B77B">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1.1.3 工程和设备</w:t>
      </w:r>
    </w:p>
    <w:p w14:paraId="55C52195">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1.1.3.7 作为施工现场组成部分的其他场所包括：</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见施工图纸并现场确定</w:t>
      </w:r>
      <w:r>
        <w:rPr>
          <w:rFonts w:hint="eastAsia" w:cs="宋体"/>
          <w:color w:val="auto"/>
          <w:sz w:val="21"/>
          <w:szCs w:val="21"/>
          <w:highlight w:val="none"/>
          <w:u w:val="single"/>
        </w:rPr>
        <w:t></w:t>
      </w:r>
      <w:r>
        <w:rPr>
          <w:rFonts w:hint="eastAsia" w:cs="宋体"/>
          <w:color w:val="auto"/>
          <w:sz w:val="21"/>
          <w:szCs w:val="21"/>
          <w:highlight w:val="none"/>
        </w:rPr>
        <w:t>。</w:t>
      </w:r>
    </w:p>
    <w:p w14:paraId="1B47E9A2">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1.1.3.9 永久占地包括：</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见施工图纸</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9C4588">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1.1.3.10 临时占地包括：</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现场确定</w:t>
      </w:r>
      <w:r>
        <w:rPr>
          <w:rFonts w:hint="eastAsia" w:cs="宋体"/>
          <w:color w:val="auto"/>
          <w:sz w:val="21"/>
          <w:szCs w:val="21"/>
          <w:highlight w:val="none"/>
          <w:u w:val="single"/>
        </w:rPr>
        <w:t></w:t>
      </w:r>
      <w:r>
        <w:rPr>
          <w:rFonts w:hint="eastAsia" w:cs="宋体"/>
          <w:color w:val="auto"/>
          <w:sz w:val="21"/>
          <w:szCs w:val="21"/>
          <w:highlight w:val="none"/>
        </w:rPr>
        <w:t>。</w:t>
      </w:r>
    </w:p>
    <w:p w14:paraId="05380FF7">
      <w:pPr>
        <w:keepNext/>
        <w:keepLines/>
        <w:pageBreakBefore w:val="0"/>
        <w:kinsoku/>
        <w:wordWrap/>
        <w:overflowPunct/>
        <w:topLinePunct w:val="0"/>
        <w:autoSpaceDE/>
        <w:autoSpaceDN/>
        <w:bidi w:val="0"/>
        <w:snapToGrid w:val="0"/>
        <w:spacing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 xml:space="preserve">1.3 法律 </w:t>
      </w:r>
    </w:p>
    <w:p w14:paraId="0E9F14EE">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highlight w:val="none"/>
        </w:rPr>
        <w:t>。</w:t>
      </w:r>
    </w:p>
    <w:p w14:paraId="4F4F50C4">
      <w:pPr>
        <w:keepNext/>
        <w:keepLines/>
        <w:pageBreakBefore w:val="0"/>
        <w:kinsoku/>
        <w:wordWrap/>
        <w:overflowPunct/>
        <w:topLinePunct w:val="0"/>
        <w:autoSpaceDE/>
        <w:autoSpaceDN/>
        <w:bidi w:val="0"/>
        <w:snapToGrid w:val="0"/>
        <w:spacing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1.4 标准和规范</w:t>
      </w:r>
    </w:p>
    <w:p w14:paraId="2CFF4309">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1.4.1 适用于工程的标准规范包括：</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 xml:space="preserve"> 中华人民共和国住房和城乡建设部等部门及省、市发布的有关文件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AD9F615">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1.4.2 发包人提供国外标准、规范的名称：</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承包人自备国内现行适用的标准、规范</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DC80B27">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发包人提供国外标准、规范的份数：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72ADEB">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发包人提供国外标准、规范的时间：</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50DECA">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1.4.3 发包人对工程的技术标准和功能要求的特殊要求：</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按现行规范执行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4D025A">
      <w:pPr>
        <w:keepNext/>
        <w:keepLines/>
        <w:pageBreakBefore w:val="0"/>
        <w:kinsoku/>
        <w:wordWrap/>
        <w:overflowPunct/>
        <w:topLinePunct w:val="0"/>
        <w:autoSpaceDE/>
        <w:autoSpaceDN/>
        <w:bidi w:val="0"/>
        <w:snapToGrid w:val="0"/>
        <w:spacing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64CC44D0">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b/>
          <w:color w:val="auto"/>
          <w:sz w:val="21"/>
          <w:szCs w:val="21"/>
          <w:highlight w:val="none"/>
          <w:u w:val="single"/>
        </w:rPr>
      </w:pPr>
      <w:r>
        <w:rPr>
          <w:rFonts w:hint="eastAsia" w:cs="宋体"/>
          <w:color w:val="auto"/>
          <w:sz w:val="21"/>
          <w:szCs w:val="21"/>
          <w:highlight w:val="none"/>
        </w:rPr>
        <w:t>合同文件组成及优先顺序为：</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（1）合同协议书；（2）</w:t>
      </w:r>
      <w:r>
        <w:rPr>
          <w:rFonts w:hint="eastAsia" w:ascii="宋体" w:cs="宋体"/>
          <w:color w:val="auto"/>
          <w:sz w:val="21"/>
          <w:szCs w:val="21"/>
          <w:highlight w:val="none"/>
          <w:u w:val="single"/>
          <w:lang w:val="en-US" w:eastAsia="zh-CN"/>
        </w:rPr>
        <w:t>成交</w:t>
      </w:r>
      <w:r>
        <w:rPr>
          <w:rFonts w:hint="eastAsia" w:ascii="宋体" w:cs="宋体"/>
          <w:color w:val="auto"/>
          <w:sz w:val="21"/>
          <w:szCs w:val="21"/>
          <w:highlight w:val="none"/>
          <w:u w:val="single"/>
        </w:rPr>
        <w:t>通知书；（3）确认函及其附录；（4）</w:t>
      </w:r>
      <w:r>
        <w:rPr>
          <w:rFonts w:hint="eastAsia" w:ascii="宋体" w:cs="宋体"/>
          <w:color w:val="auto"/>
          <w:sz w:val="21"/>
          <w:szCs w:val="21"/>
          <w:highlight w:val="none"/>
          <w:u w:val="single"/>
          <w:lang w:val="en-US" w:eastAsia="zh-CN"/>
        </w:rPr>
        <w:t>磋商</w:t>
      </w:r>
      <w:r>
        <w:rPr>
          <w:rFonts w:hint="eastAsia" w:ascii="宋体" w:cs="宋体"/>
          <w:color w:val="auto"/>
          <w:sz w:val="21"/>
          <w:szCs w:val="21"/>
          <w:highlight w:val="none"/>
          <w:u w:val="single"/>
          <w:lang w:eastAsia="zh-CN"/>
        </w:rPr>
        <w:t>文件</w:t>
      </w:r>
      <w:r>
        <w:rPr>
          <w:rFonts w:hint="eastAsia" w:ascii="宋体" w:cs="宋体"/>
          <w:color w:val="auto"/>
          <w:sz w:val="21"/>
          <w:szCs w:val="21"/>
          <w:highlight w:val="none"/>
          <w:u w:val="single"/>
        </w:rPr>
        <w:t>；（5）专用合同条款及其附件；（6）通用合同条款；（7）技术标准和要求；（8）图纸；（9）已标价工程量清单或预算书；（10）其他合同文件</w:t>
      </w:r>
      <w:r>
        <w:rPr>
          <w:rFonts w:hint="eastAsia" w:ascii="宋体" w:cs="宋体"/>
          <w:color w:val="auto"/>
          <w:sz w:val="21"/>
          <w:szCs w:val="21"/>
          <w:highlight w:val="none"/>
          <w:u w:val="single"/>
          <w:lang w:eastAsia="zh-CN"/>
        </w:rPr>
        <w:t>。</w:t>
      </w:r>
      <w:r>
        <w:rPr>
          <w:rFonts w:hint="eastAsia" w:cs="宋体"/>
          <w:color w:val="auto"/>
          <w:sz w:val="21"/>
          <w:szCs w:val="21"/>
          <w:highlight w:val="none"/>
          <w:u w:val="single"/>
        </w:rPr>
        <w:t xml:space="preserve"> </w:t>
      </w:r>
    </w:p>
    <w:p w14:paraId="6479262C">
      <w:pPr>
        <w:pStyle w:val="2"/>
        <w:pageBreakBefore w:val="0"/>
        <w:kinsoku/>
        <w:wordWrap/>
        <w:overflowPunct/>
        <w:topLinePunct w:val="0"/>
        <w:autoSpaceDE/>
        <w:autoSpaceDN/>
        <w:bidi w:val="0"/>
        <w:spacing w:after="0" w:afterLines="0" w:line="400" w:lineRule="exact"/>
        <w:ind w:left="0" w:leftChars="0"/>
        <w:textAlignment w:val="auto"/>
        <w:rPr>
          <w:color w:val="auto"/>
          <w:sz w:val="21"/>
          <w:szCs w:val="21"/>
          <w:highlight w:val="none"/>
        </w:rPr>
      </w:pPr>
      <w:r>
        <w:rPr>
          <w:color w:val="auto"/>
          <w:sz w:val="21"/>
          <w:szCs w:val="21"/>
          <w:highlight w:val="none"/>
        </w:rPr>
        <w:t>上述各项合同文件包括合同当事人就该项合同文件所作出的补充和修改，属于同一类内容的文件，应以最新签署的为准。</w:t>
      </w:r>
    </w:p>
    <w:p w14:paraId="64E5D872">
      <w:pPr>
        <w:keepNext/>
        <w:keepLines/>
        <w:pageBreakBefore w:val="0"/>
        <w:kinsoku/>
        <w:wordWrap/>
        <w:overflowPunct/>
        <w:topLinePunct w:val="0"/>
        <w:autoSpaceDE/>
        <w:autoSpaceDN/>
        <w:bidi w:val="0"/>
        <w:snapToGrid w:val="0"/>
        <w:spacing w:line="400" w:lineRule="exact"/>
        <w:ind w:firstLine="420" w:firstLineChars="200"/>
        <w:textAlignment w:val="auto"/>
        <w:outlineLvl w:val="3"/>
        <w:rPr>
          <w:rFonts w:hint="eastAsia" w:eastAsia="宋体" w:cs="宋体"/>
          <w:bCs/>
          <w:color w:val="auto"/>
          <w:sz w:val="21"/>
          <w:szCs w:val="21"/>
          <w:highlight w:val="none"/>
          <w:lang w:eastAsia="zh-CN"/>
        </w:rPr>
      </w:pPr>
      <w:r>
        <w:rPr>
          <w:color w:val="auto"/>
          <w:sz w:val="21"/>
          <w:szCs w:val="21"/>
          <w:highlight w:val="none"/>
        </w:rPr>
        <w:t>在合同订立及履行过程中形成的与合同有关的文件均构成合同文件组成部分，并根据其性质确定优先解释顺序</w:t>
      </w:r>
      <w:r>
        <w:rPr>
          <w:rFonts w:hint="eastAsia"/>
          <w:color w:val="auto"/>
          <w:sz w:val="21"/>
          <w:szCs w:val="21"/>
          <w:highlight w:val="none"/>
          <w:lang w:eastAsia="zh-CN"/>
        </w:rPr>
        <w:t>。</w:t>
      </w:r>
    </w:p>
    <w:p w14:paraId="4930B1E1">
      <w:pPr>
        <w:keepNext/>
        <w:keepLines/>
        <w:pageBreakBefore w:val="0"/>
        <w:kinsoku/>
        <w:wordWrap/>
        <w:overflowPunct/>
        <w:topLinePunct w:val="0"/>
        <w:autoSpaceDE/>
        <w:autoSpaceDN/>
        <w:bidi w:val="0"/>
        <w:snapToGrid w:val="0"/>
        <w:spacing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1.6 图纸和承包人文件</w:t>
      </w:r>
      <w:r>
        <w:rPr>
          <w:rFonts w:hint="eastAsia" w:cs="宋体"/>
          <w:bCs/>
          <w:color w:val="auto"/>
          <w:sz w:val="21"/>
          <w:szCs w:val="21"/>
          <w:highlight w:val="none"/>
        </w:rPr>
        <w:tab/>
      </w:r>
    </w:p>
    <w:p w14:paraId="1F6FAAA6">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1.6.1 图纸的提供和交底</w:t>
      </w:r>
    </w:p>
    <w:p w14:paraId="44533AC3">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开工前14天</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27F77FE">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提供</w:t>
      </w:r>
      <w:r>
        <w:rPr>
          <w:rFonts w:hint="eastAsia" w:cs="宋体"/>
          <w:color w:val="auto"/>
          <w:sz w:val="21"/>
          <w:szCs w:val="21"/>
          <w:highlight w:val="none"/>
          <w:u w:val="single"/>
          <w:lang w:val="en-US" w:eastAsia="zh-CN"/>
        </w:rPr>
        <w:t>3</w:t>
      </w:r>
      <w:r>
        <w:rPr>
          <w:rFonts w:hint="eastAsia" w:cs="宋体"/>
          <w:color w:val="auto"/>
          <w:sz w:val="21"/>
          <w:szCs w:val="21"/>
          <w:highlight w:val="none"/>
          <w:u w:val="single"/>
        </w:rPr>
        <w:t>套，不足的由承包人自行复制，费用自理；</w:t>
      </w:r>
    </w:p>
    <w:p w14:paraId="0D2B29C7">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全套施工图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1636DA">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1.6.4 承包人文件</w:t>
      </w:r>
    </w:p>
    <w:p w14:paraId="622D3D83">
      <w:pPr>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cs="宋体"/>
          <w:color w:val="auto"/>
          <w:sz w:val="21"/>
          <w:szCs w:val="21"/>
          <w:highlight w:val="none"/>
          <w:u w:val="single"/>
        </w:rPr>
      </w:pPr>
      <w:r>
        <w:rPr>
          <w:rFonts w:hint="eastAsia" w:ascii="宋体" w:cs="宋体"/>
          <w:color w:val="auto"/>
          <w:sz w:val="21"/>
          <w:szCs w:val="21"/>
          <w:highlight w:val="none"/>
        </w:rPr>
        <w:t>需要由承包人提供的文件，包括：</w:t>
      </w:r>
      <w:r>
        <w:rPr>
          <w:rFonts w:hint="eastAsia" w:ascii="宋体" w:cs="宋体"/>
          <w:color w:val="auto"/>
          <w:sz w:val="21"/>
          <w:szCs w:val="21"/>
          <w:highlight w:val="none"/>
          <w:u w:val="single"/>
        </w:rPr>
        <w:t>按监理要求执行，包括但不限于项目部人员证书（在领取</w:t>
      </w:r>
      <w:r>
        <w:rPr>
          <w:rFonts w:hint="eastAsia" w:ascii="宋体" w:cs="宋体"/>
          <w:color w:val="auto"/>
          <w:sz w:val="21"/>
          <w:szCs w:val="21"/>
          <w:highlight w:val="none"/>
          <w:u w:val="single"/>
          <w:lang w:val="en-US" w:eastAsia="zh-CN"/>
        </w:rPr>
        <w:t>成交</w:t>
      </w:r>
      <w:r>
        <w:rPr>
          <w:rFonts w:hint="eastAsia" w:ascii="宋体" w:cs="宋体"/>
          <w:color w:val="auto"/>
          <w:sz w:val="21"/>
          <w:szCs w:val="21"/>
          <w:highlight w:val="none"/>
          <w:u w:val="single"/>
        </w:rPr>
        <w:t xml:space="preserve">通知书前）、项目部任命文、实施性施工组织设计等  </w:t>
      </w:r>
      <w:r>
        <w:rPr>
          <w:rFonts w:hint="eastAsia" w:ascii="宋体" w:cs="宋体"/>
          <w:color w:val="auto"/>
          <w:sz w:val="21"/>
          <w:szCs w:val="21"/>
          <w:highlight w:val="none"/>
        </w:rPr>
        <w:t>；</w:t>
      </w:r>
    </w:p>
    <w:p w14:paraId="255FD01C">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rPr>
      </w:pPr>
      <w:r>
        <w:rPr>
          <w:rFonts w:hint="eastAsia" w:ascii="宋体" w:cs="宋体"/>
          <w:color w:val="auto"/>
          <w:sz w:val="21"/>
          <w:szCs w:val="21"/>
          <w:highlight w:val="none"/>
        </w:rPr>
        <w:t>承包人提供的文件的期限为：</w:t>
      </w:r>
      <w:r>
        <w:rPr>
          <w:rFonts w:hint="eastAsia" w:ascii="宋体" w:cs="宋体"/>
          <w:color w:val="auto"/>
          <w:sz w:val="21"/>
          <w:szCs w:val="21"/>
          <w:highlight w:val="none"/>
          <w:u w:val="single"/>
        </w:rPr>
        <w:t xml:space="preserve">按监理要求执行    </w:t>
      </w:r>
      <w:r>
        <w:rPr>
          <w:rFonts w:hint="eastAsia" w:ascii="宋体" w:cs="宋体"/>
          <w:color w:val="auto"/>
          <w:sz w:val="21"/>
          <w:szCs w:val="21"/>
          <w:highlight w:val="none"/>
        </w:rPr>
        <w:t>；</w:t>
      </w:r>
    </w:p>
    <w:p w14:paraId="5771A7C9">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rPr>
      </w:pPr>
      <w:r>
        <w:rPr>
          <w:rFonts w:hint="eastAsia" w:ascii="宋体" w:cs="宋体"/>
          <w:color w:val="auto"/>
          <w:sz w:val="21"/>
          <w:szCs w:val="21"/>
          <w:highlight w:val="none"/>
        </w:rPr>
        <w:t>承包人提供的文件的数量为：</w:t>
      </w:r>
      <w:r>
        <w:rPr>
          <w:rFonts w:hint="eastAsia" w:ascii="宋体" w:cs="宋体"/>
          <w:color w:val="auto"/>
          <w:sz w:val="21"/>
          <w:szCs w:val="21"/>
          <w:highlight w:val="none"/>
          <w:u w:val="single"/>
        </w:rPr>
        <w:t xml:space="preserve">  按监理要求执行    </w:t>
      </w:r>
      <w:r>
        <w:rPr>
          <w:rFonts w:hint="eastAsia" w:ascii="宋体" w:cs="宋体"/>
          <w:color w:val="auto"/>
          <w:sz w:val="21"/>
          <w:szCs w:val="21"/>
          <w:highlight w:val="none"/>
        </w:rPr>
        <w:t>；</w:t>
      </w:r>
    </w:p>
    <w:p w14:paraId="6FC01B63">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rPr>
      </w:pPr>
      <w:r>
        <w:rPr>
          <w:rFonts w:hint="eastAsia" w:ascii="宋体" w:cs="宋体"/>
          <w:color w:val="auto"/>
          <w:sz w:val="21"/>
          <w:szCs w:val="21"/>
          <w:highlight w:val="none"/>
        </w:rPr>
        <w:t>承包人提供的文件的形式为：</w:t>
      </w:r>
      <w:r>
        <w:rPr>
          <w:rFonts w:hint="eastAsia" w:ascii="宋体" w:cs="宋体"/>
          <w:color w:val="auto"/>
          <w:sz w:val="21"/>
          <w:szCs w:val="21"/>
          <w:highlight w:val="none"/>
          <w:u w:val="single"/>
        </w:rPr>
        <w:t>按监理要求执行  </w:t>
      </w:r>
      <w:r>
        <w:rPr>
          <w:rFonts w:hint="eastAsia" w:ascii="宋体" w:cs="宋体"/>
          <w:color w:val="auto"/>
          <w:sz w:val="21"/>
          <w:szCs w:val="21"/>
          <w:highlight w:val="none"/>
        </w:rPr>
        <w:t>；</w:t>
      </w:r>
    </w:p>
    <w:p w14:paraId="31B8B121">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ascii="宋体" w:cs="宋体"/>
          <w:color w:val="auto"/>
          <w:sz w:val="21"/>
          <w:szCs w:val="21"/>
          <w:highlight w:val="none"/>
        </w:rPr>
        <w:t>发包人审批承包人文件的期限：</w:t>
      </w:r>
      <w:r>
        <w:rPr>
          <w:rFonts w:hint="eastAsia" w:ascii="宋体" w:cs="宋体"/>
          <w:color w:val="auto"/>
          <w:sz w:val="21"/>
          <w:szCs w:val="21"/>
          <w:highlight w:val="none"/>
          <w:u w:val="single"/>
        </w:rPr>
        <w:t>  7天 </w:t>
      </w:r>
      <w:r>
        <w:rPr>
          <w:rFonts w:hint="eastAsia" w:cs="宋体"/>
          <w:color w:val="auto"/>
          <w:sz w:val="21"/>
          <w:szCs w:val="21"/>
          <w:highlight w:val="none"/>
        </w:rPr>
        <w:t>。</w:t>
      </w:r>
    </w:p>
    <w:p w14:paraId="351FA4C5">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1.6.5 图纸和承包人文件的保管</w:t>
      </w:r>
    </w:p>
    <w:p w14:paraId="0557665A">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除专用合同条款另有约定外，承包人应在施工现场另外保存一套完整的图纸和承包人文件，供发包人、监理人及有关人员进行工程检查时使用</w:t>
      </w:r>
      <w:r>
        <w:rPr>
          <w:rFonts w:hint="eastAsia" w:cs="宋体"/>
          <w:color w:val="auto"/>
          <w:sz w:val="21"/>
          <w:szCs w:val="21"/>
          <w:highlight w:val="none"/>
        </w:rPr>
        <w:t>。</w:t>
      </w:r>
    </w:p>
    <w:p w14:paraId="1C08F401">
      <w:pPr>
        <w:keepNext/>
        <w:keepLines/>
        <w:pageBreakBefore w:val="0"/>
        <w:kinsoku/>
        <w:wordWrap/>
        <w:overflowPunct/>
        <w:topLinePunct w:val="0"/>
        <w:autoSpaceDE/>
        <w:autoSpaceDN/>
        <w:bidi w:val="0"/>
        <w:snapToGrid w:val="0"/>
        <w:spacing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1.7 联络</w:t>
      </w:r>
    </w:p>
    <w:p w14:paraId="55F74129">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6D44CA62">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  </w:t>
      </w:r>
      <w:r>
        <w:rPr>
          <w:rFonts w:hint="eastAsia" w:ascii="宋体" w:cs="宋体"/>
          <w:color w:val="auto"/>
          <w:sz w:val="21"/>
          <w:szCs w:val="21"/>
          <w:highlight w:val="none"/>
          <w:u w:val="single"/>
          <w:lang w:val="en-US" w:eastAsia="zh-CN"/>
        </w:rPr>
        <w:t>滁州市重点工程建设管理处或项目部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A9AD398">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发包人代表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7C0E24">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承包人接收文件的地点：</w:t>
      </w:r>
      <w:r>
        <w:rPr>
          <w:rFonts w:hint="eastAsia" w:ascii="宋体" w:cs="宋体"/>
          <w:color w:val="auto"/>
          <w:sz w:val="21"/>
          <w:szCs w:val="21"/>
          <w:highlight w:val="none"/>
          <w:u w:val="single"/>
        </w:rPr>
        <w:t></w:t>
      </w:r>
      <w:r>
        <w:rPr>
          <w:rFonts w:hint="eastAsia" w:ascii="宋体" w:cs="宋体"/>
          <w:color w:val="auto"/>
          <w:sz w:val="21"/>
          <w:szCs w:val="21"/>
          <w:highlight w:val="none"/>
          <w:u w:val="single"/>
          <w:lang w:val="en-US" w:eastAsia="zh-CN"/>
        </w:rPr>
        <w:t>滁州市重点工程建设管理处或</w:t>
      </w:r>
      <w:r>
        <w:rPr>
          <w:rFonts w:hint="eastAsia" w:ascii="宋体" w:cs="宋体"/>
          <w:color w:val="auto"/>
          <w:sz w:val="21"/>
          <w:szCs w:val="21"/>
          <w:highlight w:val="none"/>
          <w:u w:val="single"/>
        </w:rPr>
        <w:t>项目部</w:t>
      </w:r>
      <w:r>
        <w:rPr>
          <w:rFonts w:hint="eastAsia" w:ascii="宋体" w:cs="宋体"/>
          <w:color w:val="auto"/>
          <w:kern w:val="0"/>
          <w:sz w:val="21"/>
          <w:szCs w:val="21"/>
          <w:highlight w:val="none"/>
        </w:rPr>
        <w:t>；</w:t>
      </w:r>
    </w:p>
    <w:p w14:paraId="402AA4FF">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承包人指定的接收人为：</w:t>
      </w:r>
      <w:r>
        <w:rPr>
          <w:rFonts w:hint="eastAsia" w:ascii="宋体" w:cs="宋体"/>
          <w:color w:val="auto"/>
          <w:sz w:val="21"/>
          <w:szCs w:val="21"/>
          <w:highlight w:val="none"/>
          <w:u w:val="single"/>
        </w:rPr>
        <w:t>项目负责人</w:t>
      </w:r>
      <w:r>
        <w:rPr>
          <w:rFonts w:hint="eastAsia" w:ascii="宋体" w:cs="宋体"/>
          <w:color w:val="auto"/>
          <w:kern w:val="0"/>
          <w:sz w:val="21"/>
          <w:szCs w:val="21"/>
          <w:highlight w:val="none"/>
        </w:rPr>
        <w:t>。</w:t>
      </w:r>
    </w:p>
    <w:p w14:paraId="2267FC62">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监理人接收文件的地点：</w:t>
      </w:r>
      <w:r>
        <w:rPr>
          <w:rFonts w:hint="eastAsia" w:ascii="宋体" w:cs="宋体"/>
          <w:color w:val="auto"/>
          <w:sz w:val="21"/>
          <w:szCs w:val="21"/>
          <w:highlight w:val="none"/>
          <w:u w:val="single"/>
        </w:rPr>
        <w:t></w:t>
      </w:r>
      <w:r>
        <w:rPr>
          <w:rFonts w:hint="eastAsia" w:ascii="宋体" w:cs="宋体"/>
          <w:color w:val="auto"/>
          <w:sz w:val="21"/>
          <w:szCs w:val="21"/>
          <w:highlight w:val="none"/>
          <w:u w:val="single"/>
          <w:lang w:val="en-US" w:eastAsia="zh-CN"/>
        </w:rPr>
        <w:t>滁州市重点工程建设管理处或</w:t>
      </w:r>
      <w:r>
        <w:rPr>
          <w:rFonts w:hint="eastAsia" w:ascii="宋体" w:cs="宋体"/>
          <w:color w:val="auto"/>
          <w:sz w:val="21"/>
          <w:szCs w:val="21"/>
          <w:highlight w:val="none"/>
          <w:u w:val="single"/>
        </w:rPr>
        <w:t>监理部</w:t>
      </w:r>
      <w:r>
        <w:rPr>
          <w:rFonts w:hint="eastAsia" w:ascii="宋体" w:cs="宋体"/>
          <w:color w:val="auto"/>
          <w:kern w:val="0"/>
          <w:sz w:val="21"/>
          <w:szCs w:val="21"/>
          <w:highlight w:val="none"/>
        </w:rPr>
        <w:t>；</w:t>
      </w:r>
    </w:p>
    <w:p w14:paraId="5B5B45BD">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ascii="宋体" w:cs="宋体"/>
          <w:color w:val="auto"/>
          <w:kern w:val="0"/>
          <w:sz w:val="21"/>
          <w:szCs w:val="21"/>
          <w:highlight w:val="none"/>
        </w:rPr>
        <w:t>监理人指定的接收人为：</w:t>
      </w:r>
      <w:r>
        <w:rPr>
          <w:rFonts w:hint="eastAsia" w:ascii="宋体" w:cs="宋体"/>
          <w:color w:val="auto"/>
          <w:sz w:val="21"/>
          <w:szCs w:val="21"/>
          <w:highlight w:val="none"/>
          <w:u w:val="single"/>
        </w:rPr>
        <w:t>总监理工程师或总监代表 </w:t>
      </w:r>
      <w:r>
        <w:rPr>
          <w:rFonts w:hint="eastAsia" w:cs="宋体"/>
          <w:color w:val="auto"/>
          <w:sz w:val="21"/>
          <w:szCs w:val="21"/>
          <w:highlight w:val="none"/>
        </w:rPr>
        <w:t>。</w:t>
      </w:r>
    </w:p>
    <w:p w14:paraId="007A2C94">
      <w:pPr>
        <w:keepNext/>
        <w:keepLines/>
        <w:pageBreakBefore w:val="0"/>
        <w:kinsoku/>
        <w:wordWrap/>
        <w:overflowPunct/>
        <w:topLinePunct w:val="0"/>
        <w:autoSpaceDE/>
        <w:autoSpaceDN/>
        <w:bidi w:val="0"/>
        <w:snapToGrid w:val="0"/>
        <w:spacing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1.10 交通运输</w:t>
      </w:r>
    </w:p>
    <w:p w14:paraId="0E22983D">
      <w:pPr>
        <w:pageBreakBefore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w:t>
      </w:r>
      <w:bookmarkStart w:id="58" w:name="_Toc300934943"/>
      <w:bookmarkStart w:id="59" w:name="_Toc318581155"/>
      <w:bookmarkStart w:id="60" w:name="_Toc312677986"/>
      <w:bookmarkStart w:id="61" w:name="_Toc303539100"/>
      <w:bookmarkStart w:id="62" w:name="_Toc304295521"/>
      <w:r>
        <w:rPr>
          <w:rFonts w:hint="eastAsia" w:cs="宋体"/>
          <w:color w:val="auto"/>
          <w:sz w:val="21"/>
          <w:szCs w:val="21"/>
          <w:highlight w:val="none"/>
        </w:rPr>
        <w:t>.10.1 出入现场的权利</w:t>
      </w:r>
    </w:p>
    <w:bookmarkEnd w:id="58"/>
    <w:bookmarkEnd w:id="59"/>
    <w:bookmarkEnd w:id="60"/>
    <w:bookmarkEnd w:id="61"/>
    <w:bookmarkEnd w:id="62"/>
    <w:p w14:paraId="36C8D622">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rPr>
      </w:pPr>
      <w:r>
        <w:rPr>
          <w:rFonts w:hint="eastAsia" w:ascii="宋体" w:cs="宋体"/>
          <w:color w:val="auto"/>
          <w:sz w:val="21"/>
          <w:szCs w:val="21"/>
          <w:highlight w:val="none"/>
        </w:rPr>
        <w:t>1.10.1 出入现场的权利</w:t>
      </w:r>
    </w:p>
    <w:p w14:paraId="44B746DD">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u w:val="single"/>
        </w:rPr>
      </w:pPr>
      <w:r>
        <w:rPr>
          <w:rFonts w:hint="eastAsia" w:ascii="宋体" w:cs="宋体"/>
          <w:color w:val="auto"/>
          <w:sz w:val="21"/>
          <w:szCs w:val="21"/>
          <w:highlight w:val="none"/>
        </w:rPr>
        <w:t>关于出入现场的权利的约定：</w:t>
      </w:r>
      <w:r>
        <w:rPr>
          <w:rFonts w:hint="eastAsia" w:ascii="宋体" w:cs="宋体"/>
          <w:color w:val="auto"/>
          <w:sz w:val="21"/>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54BDF2D9">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u w:val="single"/>
        </w:rPr>
      </w:pPr>
      <w:r>
        <w:rPr>
          <w:rFonts w:hint="eastAsia" w:ascii="宋体" w:cs="宋体"/>
          <w:color w:val="auto"/>
          <w:sz w:val="21"/>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14:paraId="615EA8E0">
      <w:pPr>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rPr>
      </w:pPr>
      <w:r>
        <w:rPr>
          <w:rFonts w:hint="eastAsia" w:ascii="宋体" w:cs="宋体"/>
          <w:color w:val="auto"/>
          <w:sz w:val="21"/>
          <w:szCs w:val="21"/>
          <w:highlight w:val="none"/>
        </w:rPr>
        <w:t>1</w:t>
      </w:r>
      <w:bookmarkStart w:id="63" w:name="_Toc304295522"/>
      <w:bookmarkStart w:id="64" w:name="_Toc303539101"/>
      <w:bookmarkStart w:id="65" w:name="_Toc312677987"/>
      <w:bookmarkStart w:id="66" w:name="_Toc318581156"/>
      <w:bookmarkStart w:id="67" w:name="_Toc300934944"/>
      <w:r>
        <w:rPr>
          <w:rFonts w:hint="eastAsia" w:ascii="宋体" w:cs="宋体"/>
          <w:color w:val="auto"/>
          <w:sz w:val="21"/>
          <w:szCs w:val="21"/>
          <w:highlight w:val="none"/>
        </w:rPr>
        <w:t>.10.3 场内交通</w:t>
      </w:r>
    </w:p>
    <w:p w14:paraId="503B361F">
      <w:pPr>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cs="宋体"/>
          <w:color w:val="auto"/>
          <w:sz w:val="21"/>
          <w:szCs w:val="21"/>
          <w:highlight w:val="none"/>
          <w:u w:val="single"/>
        </w:rPr>
      </w:pPr>
      <w:r>
        <w:rPr>
          <w:rFonts w:hint="eastAsia" w:ascii="宋体" w:cs="宋体"/>
          <w:color w:val="auto"/>
          <w:kern w:val="0"/>
          <w:sz w:val="21"/>
          <w:szCs w:val="21"/>
          <w:highlight w:val="none"/>
        </w:rPr>
        <w:t>关于场外交通和场内交通的边界的约定：</w:t>
      </w:r>
      <w:r>
        <w:rPr>
          <w:rFonts w:hint="eastAsia" w:ascii="宋体" w:cs="宋体"/>
          <w:color w:val="auto"/>
          <w:sz w:val="21"/>
          <w:szCs w:val="21"/>
          <w:highlight w:val="none"/>
          <w:u w:val="single"/>
        </w:rPr>
        <w:t>场内交通设施和道路由承包人负责建设，发包人不另支付费用，场内交通边界现场确定</w:t>
      </w:r>
      <w:r>
        <w:rPr>
          <w:rFonts w:hint="eastAsia" w:ascii="宋体" w:cs="宋体"/>
          <w:color w:val="auto"/>
          <w:sz w:val="21"/>
          <w:szCs w:val="21"/>
          <w:highlight w:val="none"/>
        </w:rPr>
        <w:t>。</w:t>
      </w:r>
    </w:p>
    <w:p w14:paraId="6EF7AFE1">
      <w:pPr>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cs="宋体"/>
          <w:color w:val="auto"/>
          <w:sz w:val="21"/>
          <w:szCs w:val="21"/>
          <w:highlight w:val="none"/>
        </w:rPr>
      </w:pPr>
      <w:r>
        <w:rPr>
          <w:rFonts w:hint="eastAsia" w:ascii="宋体" w:cs="宋体"/>
          <w:color w:val="auto"/>
          <w:sz w:val="21"/>
          <w:szCs w:val="21"/>
          <w:highlight w:val="none"/>
        </w:rPr>
        <w:t>关于发包人向承包人免费提供满足工程施工需要的场内道路和交通设施的约定：</w:t>
      </w:r>
      <w:r>
        <w:rPr>
          <w:rFonts w:hint="eastAsia" w:ascii="宋体" w:cs="宋体"/>
          <w:color w:val="auto"/>
          <w:sz w:val="21"/>
          <w:szCs w:val="21"/>
          <w:highlight w:val="none"/>
          <w:u w:val="single"/>
        </w:rPr>
        <w:t xml:space="preserve">自行踏勘，自行解决 </w:t>
      </w:r>
      <w:r>
        <w:rPr>
          <w:rFonts w:hint="eastAsia" w:ascii="宋体" w:cs="宋体"/>
          <w:color w:val="auto"/>
          <w:sz w:val="21"/>
          <w:szCs w:val="21"/>
          <w:highlight w:val="none"/>
        </w:rPr>
        <w:t>。</w:t>
      </w:r>
      <w:bookmarkEnd w:id="63"/>
      <w:bookmarkEnd w:id="64"/>
      <w:bookmarkEnd w:id="65"/>
      <w:bookmarkEnd w:id="66"/>
      <w:bookmarkEnd w:id="67"/>
      <w:bookmarkStart w:id="68" w:name="_Toc318581157"/>
    </w:p>
    <w:p w14:paraId="4FC57200">
      <w:pPr>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cs="宋体"/>
          <w:color w:val="auto"/>
          <w:sz w:val="21"/>
          <w:szCs w:val="21"/>
          <w:highlight w:val="none"/>
        </w:rPr>
      </w:pPr>
      <w:r>
        <w:rPr>
          <w:rFonts w:hint="eastAsia" w:ascii="宋体" w:cs="宋体"/>
          <w:color w:val="auto"/>
          <w:sz w:val="21"/>
          <w:szCs w:val="21"/>
          <w:highlight w:val="none"/>
        </w:rPr>
        <w:t>1.10.4超大件和超重件的运输</w:t>
      </w:r>
    </w:p>
    <w:p w14:paraId="4BA6B18F">
      <w:pPr>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cs="宋体"/>
          <w:color w:val="auto"/>
          <w:sz w:val="21"/>
          <w:szCs w:val="21"/>
          <w:highlight w:val="none"/>
        </w:rPr>
      </w:pPr>
      <w:r>
        <w:rPr>
          <w:rFonts w:hint="eastAsia" w:ascii="宋体" w:cs="宋体"/>
          <w:color w:val="auto"/>
          <w:sz w:val="21"/>
          <w:szCs w:val="21"/>
          <w:highlight w:val="none"/>
        </w:rPr>
        <w:t>运输超大件或超重件所需的道路和桥梁临时加固改造费用和其他有关费用由</w:t>
      </w:r>
      <w:r>
        <w:rPr>
          <w:rFonts w:hint="eastAsia" w:ascii="宋体" w:cs="宋体"/>
          <w:color w:val="auto"/>
          <w:sz w:val="21"/>
          <w:szCs w:val="21"/>
          <w:highlight w:val="none"/>
          <w:u w:val="single"/>
        </w:rPr>
        <w:t xml:space="preserve">  承包方 </w:t>
      </w:r>
      <w:r>
        <w:rPr>
          <w:rFonts w:hint="eastAsia" w:ascii="宋体" w:cs="宋体"/>
          <w:color w:val="auto"/>
          <w:sz w:val="21"/>
          <w:szCs w:val="21"/>
          <w:highlight w:val="none"/>
        </w:rPr>
        <w:t>承担。</w:t>
      </w:r>
    </w:p>
    <w:bookmarkEnd w:id="68"/>
    <w:p w14:paraId="7AB9FD74">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rPr>
      </w:pPr>
      <w:r>
        <w:rPr>
          <w:rFonts w:hint="eastAsia" w:ascii="宋体" w:cs="宋体"/>
          <w:color w:val="auto"/>
          <w:sz w:val="21"/>
          <w:szCs w:val="21"/>
          <w:highlight w:val="none"/>
        </w:rPr>
        <w:t>1.11 知识产权</w:t>
      </w:r>
    </w:p>
    <w:p w14:paraId="61D984CB">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u w:val="single"/>
        </w:rPr>
      </w:pPr>
      <w:r>
        <w:rPr>
          <w:rFonts w:hint="eastAsia" w:ascii="宋体" w:cs="宋体"/>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 w:val="21"/>
          <w:szCs w:val="21"/>
          <w:highlight w:val="none"/>
          <w:u w:val="single"/>
        </w:rPr>
        <w:t xml:space="preserve">发包人 </w:t>
      </w:r>
      <w:r>
        <w:rPr>
          <w:rFonts w:hint="eastAsia" w:ascii="宋体" w:cs="宋体"/>
          <w:color w:val="auto"/>
          <w:sz w:val="21"/>
          <w:szCs w:val="21"/>
          <w:highlight w:val="none"/>
        </w:rPr>
        <w:t>。</w:t>
      </w:r>
    </w:p>
    <w:p w14:paraId="34BF7D34">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rPr>
      </w:pPr>
      <w:r>
        <w:rPr>
          <w:rFonts w:hint="eastAsia" w:ascii="宋体" w:cs="宋体"/>
          <w:color w:val="auto"/>
          <w:sz w:val="21"/>
          <w:szCs w:val="21"/>
          <w:highlight w:val="none"/>
        </w:rPr>
        <w:t>关于发包人提供的上述文件的使用限制的要求：</w:t>
      </w:r>
      <w:r>
        <w:rPr>
          <w:rFonts w:hint="eastAsia" w:ascii="宋体" w:cs="宋体"/>
          <w:color w:val="auto"/>
          <w:sz w:val="21"/>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52405DE2">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rPr>
      </w:pPr>
      <w:r>
        <w:rPr>
          <w:rFonts w:hint="eastAsia" w:ascii="宋体" w:cs="宋体"/>
          <w:color w:val="auto"/>
          <w:sz w:val="21"/>
          <w:szCs w:val="21"/>
          <w:highlight w:val="none"/>
        </w:rPr>
        <w:t>1.11.2关于承包人为实施工程所编制文件的著作权的归属：</w:t>
      </w:r>
      <w:r>
        <w:rPr>
          <w:rFonts w:hint="eastAsia" w:ascii="宋体" w:cs="宋体"/>
          <w:color w:val="auto"/>
          <w:sz w:val="21"/>
          <w:szCs w:val="21"/>
          <w:highlight w:val="none"/>
          <w:u w:val="single"/>
        </w:rPr>
        <w:t xml:space="preserve"> 发包人  </w:t>
      </w:r>
      <w:r>
        <w:rPr>
          <w:rFonts w:hint="eastAsia" w:ascii="宋体" w:cs="宋体"/>
          <w:color w:val="auto"/>
          <w:sz w:val="21"/>
          <w:szCs w:val="21"/>
          <w:highlight w:val="none"/>
        </w:rPr>
        <w:t>。</w:t>
      </w:r>
    </w:p>
    <w:p w14:paraId="04A3561B">
      <w:pPr>
        <w:pageBreakBefore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u w:val="single"/>
        </w:rPr>
      </w:pPr>
      <w:r>
        <w:rPr>
          <w:rFonts w:hint="eastAsia" w:ascii="宋体" w:cs="宋体"/>
          <w:color w:val="auto"/>
          <w:sz w:val="21"/>
          <w:szCs w:val="21"/>
          <w:highlight w:val="none"/>
        </w:rPr>
        <w:t>关于承包人提供的上述文件的使用限制的要求：</w:t>
      </w:r>
      <w:r>
        <w:rPr>
          <w:rFonts w:hint="eastAsia" w:ascii="宋体" w:cs="宋体"/>
          <w:color w:val="auto"/>
          <w:sz w:val="21"/>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20EC8875">
      <w:pPr>
        <w:pageBreakBefore w:val="0"/>
        <w:kinsoku/>
        <w:wordWrap/>
        <w:overflowPunct/>
        <w:topLinePunct w:val="0"/>
        <w:autoSpaceDE/>
        <w:autoSpaceDN/>
        <w:bidi w:val="0"/>
        <w:snapToGrid w:val="0"/>
        <w:spacing w:line="400" w:lineRule="exact"/>
        <w:ind w:firstLine="420" w:firstLineChars="200"/>
        <w:textAlignment w:val="auto"/>
        <w:rPr>
          <w:rFonts w:cs="宋体"/>
          <w:color w:val="auto"/>
          <w:sz w:val="21"/>
          <w:szCs w:val="21"/>
          <w:highlight w:val="none"/>
        </w:rPr>
      </w:pPr>
      <w:r>
        <w:rPr>
          <w:rFonts w:hint="eastAsia" w:ascii="宋体" w:cs="宋体"/>
          <w:color w:val="auto"/>
          <w:sz w:val="21"/>
          <w:szCs w:val="21"/>
          <w:highlight w:val="none"/>
        </w:rPr>
        <w:t>1.11.4承包人在施工过程中所采用的专利、专有技术、技术秘密的使用费的承担方式：</w:t>
      </w:r>
      <w:r>
        <w:rPr>
          <w:rFonts w:hint="eastAsia" w:ascii="宋体" w:cs="宋体"/>
          <w:color w:val="auto"/>
          <w:sz w:val="21"/>
          <w:szCs w:val="21"/>
          <w:highlight w:val="none"/>
          <w:u w:val="single"/>
        </w:rPr>
        <w:t>该费用已包含在签约合同价中</w:t>
      </w:r>
      <w:r>
        <w:rPr>
          <w:rFonts w:hint="eastAsia" w:cs="宋体"/>
          <w:color w:val="auto"/>
          <w:sz w:val="21"/>
          <w:szCs w:val="21"/>
          <w:highlight w:val="none"/>
        </w:rPr>
        <w:t>。</w:t>
      </w:r>
    </w:p>
    <w:p w14:paraId="51A0EA54">
      <w:pPr>
        <w:keepNext/>
        <w:keepLines/>
        <w:pageBreakBefore w:val="0"/>
        <w:kinsoku/>
        <w:wordWrap/>
        <w:overflowPunct/>
        <w:topLinePunct w:val="0"/>
        <w:autoSpaceDE/>
        <w:autoSpaceDN/>
        <w:bidi w:val="0"/>
        <w:snapToGrid w:val="0"/>
        <w:spacing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55E705D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bookmarkStart w:id="69" w:name="_Toc351203634"/>
      <w:r>
        <w:rPr>
          <w:rFonts w:hint="eastAsia" w:ascii="宋体" w:hAnsi="宋体" w:cs="宋体"/>
          <w:color w:val="auto"/>
          <w:sz w:val="21"/>
          <w:szCs w:val="21"/>
          <w:highlight w:val="none"/>
        </w:rPr>
        <w:t>出现工程量清单错误时，是否调整合同价格：</w:t>
      </w:r>
      <w:r>
        <w:rPr>
          <w:rFonts w:hint="eastAsia" w:ascii="宋体" w:hAnsi="宋体" w:cs="宋体"/>
          <w:color w:val="auto"/>
          <w:sz w:val="21"/>
          <w:szCs w:val="21"/>
          <w:highlight w:val="none"/>
          <w:u w:val="single"/>
        </w:rPr>
        <w:t xml:space="preserve">  是，具体调整方式见下款  </w:t>
      </w:r>
      <w:r>
        <w:rPr>
          <w:rFonts w:hint="eastAsia" w:ascii="宋体" w:hAnsi="宋体" w:cs="宋体"/>
          <w:color w:val="auto"/>
          <w:sz w:val="21"/>
          <w:szCs w:val="21"/>
          <w:highlight w:val="none"/>
        </w:rPr>
        <w:t>。</w:t>
      </w:r>
    </w:p>
    <w:p w14:paraId="26E00C60">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允许调整合同价格的工程量偏差范围：</w:t>
      </w:r>
    </w:p>
    <w:p w14:paraId="57AE1D3F">
      <w:pPr>
        <w:pageBreakBefore w:val="0"/>
        <w:kinsoku/>
        <w:wordWrap/>
        <w:overflowPunct/>
        <w:topLinePunct w:val="0"/>
        <w:autoSpaceDE/>
        <w:autoSpaceDN/>
        <w:bidi w:val="0"/>
        <w:snapToGrid w:val="0"/>
        <w:spacing w:line="400" w:lineRule="exact"/>
        <w:ind w:firstLine="422" w:firstLineChars="200"/>
        <w:textAlignment w:val="auto"/>
        <w:rPr>
          <w:rFonts w:hint="eastAsia" w:ascii="宋体" w:hAnsi="宋体" w:cs="宋体"/>
          <w:color w:val="auto"/>
          <w:sz w:val="21"/>
          <w:szCs w:val="21"/>
          <w:highlight w:val="none"/>
        </w:rPr>
      </w:pPr>
      <w:r>
        <w:rPr>
          <w:rFonts w:hint="eastAsia" w:ascii="宋体" w:hAnsi="宋体" w:eastAsia="宋体" w:cs="宋体"/>
          <w:b/>
          <w:bCs/>
          <w:color w:val="auto"/>
          <w:sz w:val="21"/>
          <w:szCs w:val="21"/>
          <w:highlight w:val="none"/>
          <w:u w:val="single"/>
        </w:rPr>
        <w:t>承包人拒绝实施因</w:t>
      </w:r>
      <w:r>
        <w:rPr>
          <w:rFonts w:hint="eastAsia" w:ascii="宋体" w:hAnsi="宋体" w:eastAsia="宋体" w:cs="宋体"/>
          <w:b/>
          <w:bCs/>
          <w:color w:val="auto"/>
          <w:spacing w:val="-6"/>
          <w:kern w:val="0"/>
          <w:sz w:val="21"/>
          <w:szCs w:val="21"/>
          <w:highlight w:val="none"/>
          <w:u w:val="single"/>
        </w:rPr>
        <w:t>此产生变化的施工内容或范围</w:t>
      </w:r>
      <w:r>
        <w:rPr>
          <w:rFonts w:hint="eastAsia" w:ascii="宋体" w:hAnsi="宋体" w:eastAsia="宋体" w:cs="宋体"/>
          <w:b/>
          <w:bCs/>
          <w:color w:val="auto"/>
          <w:sz w:val="21"/>
          <w:szCs w:val="21"/>
          <w:highlight w:val="none"/>
          <w:u w:val="single"/>
        </w:rPr>
        <w:t>，将被视为违约，发包人视情节轻重给予违约处罚。结算时，工程量按实计算。结算工程量减少0-100%或增加15%以内部分，执行中标单价；超出15%以外部分，结算单价按最高投标限价单价×投标让利幅度计算且结算单价不得高于中标单价；</w:t>
      </w:r>
      <w:r>
        <w:rPr>
          <w:rFonts w:hint="eastAsia" w:ascii="宋体" w:hAnsi="宋体" w:eastAsia="宋体" w:cs="宋体"/>
          <w:b/>
          <w:bCs/>
          <w:color w:val="auto"/>
          <w:spacing w:val="-6"/>
          <w:kern w:val="0"/>
          <w:sz w:val="21"/>
          <w:szCs w:val="21"/>
          <w:highlight w:val="none"/>
          <w:u w:val="single"/>
        </w:rPr>
        <w:t>缺漏</w:t>
      </w:r>
      <w:r>
        <w:rPr>
          <w:rFonts w:hint="eastAsia" w:ascii="宋体" w:hAnsi="宋体" w:eastAsia="宋体" w:cs="宋体"/>
          <w:b/>
          <w:bCs/>
          <w:color w:val="auto"/>
          <w:sz w:val="21"/>
          <w:szCs w:val="21"/>
          <w:highlight w:val="none"/>
          <w:u w:val="single"/>
        </w:rPr>
        <w:t>项目单价按照最高投标限价的编制原则重新组价×投标让利幅度（上述投标让利幅度为中标价/最高投标限价，其中中标价和最高投标限价均扣除暂列金额、暂估价及相应税金）</w:t>
      </w:r>
    </w:p>
    <w:p w14:paraId="4434243D">
      <w:pPr>
        <w:pageBreakBefore w:val="0"/>
        <w:kinsoku/>
        <w:wordWrap/>
        <w:overflowPunct/>
        <w:topLinePunct w:val="0"/>
        <w:autoSpaceDE/>
        <w:autoSpaceDN/>
        <w:bidi w:val="0"/>
        <w:snapToGrid w:val="0"/>
        <w:spacing w:line="400" w:lineRule="exact"/>
        <w:ind w:firstLine="420" w:firstLineChars="200"/>
        <w:textAlignment w:val="auto"/>
        <w:rPr>
          <w:rFonts w:ascii="宋体" w:hAnsi="宋体" w:cs="宋体"/>
          <w:b/>
          <w:color w:val="auto"/>
          <w:sz w:val="21"/>
          <w:szCs w:val="21"/>
          <w:highlight w:val="none"/>
          <w:u w:val="single"/>
        </w:rPr>
      </w:pPr>
      <w:r>
        <w:rPr>
          <w:rFonts w:hint="eastAsia" w:ascii="宋体" w:hAnsi="宋体" w:cs="宋体"/>
          <w:color w:val="auto"/>
          <w:sz w:val="21"/>
          <w:szCs w:val="21"/>
          <w:highlight w:val="none"/>
        </w:rPr>
        <w:t>技术措施费调整：</w:t>
      </w:r>
      <w:r>
        <w:rPr>
          <w:rFonts w:hint="eastAsia" w:ascii="宋体" w:hAnsi="宋体" w:cs="宋体"/>
          <w:b/>
          <w:color w:val="auto"/>
          <w:sz w:val="21"/>
          <w:szCs w:val="21"/>
          <w:highlight w:val="none"/>
          <w:u w:val="single"/>
        </w:rPr>
        <w:t>因承包人改变施工技术措施，造成的价格变动，措施费不予调整。因工程量清单错误必须改变原来施工技术措施，造成价格变动的，按实调整，变更组价原则同上。</w:t>
      </w:r>
    </w:p>
    <w:p w14:paraId="5585AB0E">
      <w:pPr>
        <w:pageBreakBefore w:val="0"/>
        <w:kinsoku/>
        <w:wordWrap/>
        <w:overflowPunct/>
        <w:topLinePunct w:val="0"/>
        <w:autoSpaceDE/>
        <w:autoSpaceDN/>
        <w:bidi w:val="0"/>
        <w:snapToGrid w:val="0"/>
        <w:spacing w:line="400" w:lineRule="exact"/>
        <w:ind w:firstLine="420" w:firstLineChars="200"/>
        <w:textAlignment w:val="auto"/>
        <w:rPr>
          <w:rFonts w:ascii="宋体" w:hAnsi="宋体" w:cs="宋体"/>
          <w:color w:val="auto"/>
          <w:sz w:val="21"/>
          <w:szCs w:val="21"/>
          <w:highlight w:val="none"/>
          <w:u w:val="single"/>
        </w:rPr>
      </w:pPr>
      <w:r>
        <w:rPr>
          <w:rFonts w:hint="eastAsia" w:ascii="宋体" w:hAnsi="宋体" w:cs="宋体"/>
          <w:color w:val="auto"/>
          <w:sz w:val="21"/>
          <w:szCs w:val="21"/>
          <w:highlight w:val="none"/>
        </w:rPr>
        <w:t>组织措施费调整：</w:t>
      </w:r>
      <w:r>
        <w:rPr>
          <w:rFonts w:hint="eastAsia" w:ascii="宋体" w:hAnsi="宋体" w:cs="宋体"/>
          <w:b/>
          <w:color w:val="auto"/>
          <w:sz w:val="21"/>
          <w:szCs w:val="21"/>
          <w:highlight w:val="none"/>
          <w:u w:val="single"/>
        </w:rPr>
        <w:t>按实调整。</w:t>
      </w:r>
    </w:p>
    <w:p w14:paraId="18947CC5">
      <w:pPr>
        <w:pageBreakBefore w:val="0"/>
        <w:widowControl w:val="0"/>
        <w:kinsoku/>
        <w:wordWrap/>
        <w:overflowPunct/>
        <w:topLinePunct w:val="0"/>
        <w:autoSpaceDE/>
        <w:autoSpaceDN/>
        <w:bidi w:val="0"/>
        <w:snapToGrid w:val="0"/>
        <w:spacing w:line="440" w:lineRule="exact"/>
        <w:textAlignment w:val="auto"/>
        <w:outlineLvl w:val="2"/>
        <w:rPr>
          <w:rFonts w:cs="宋体"/>
          <w:color w:val="auto"/>
          <w:sz w:val="21"/>
          <w:szCs w:val="21"/>
          <w:highlight w:val="none"/>
        </w:rPr>
      </w:pPr>
      <w:r>
        <w:rPr>
          <w:rFonts w:hint="eastAsia" w:cs="宋体"/>
          <w:color w:val="auto"/>
          <w:sz w:val="21"/>
          <w:szCs w:val="21"/>
          <w:highlight w:val="none"/>
        </w:rPr>
        <w:t>2</w:t>
      </w:r>
      <w:bookmarkStart w:id="70" w:name="_Toc292559362"/>
      <w:bookmarkStart w:id="71" w:name="_Toc296890985"/>
      <w:bookmarkStart w:id="72" w:name="_Toc297120457"/>
      <w:bookmarkStart w:id="73" w:name="_Toc292559867"/>
      <w:bookmarkStart w:id="74" w:name="_Toc297048343"/>
      <w:bookmarkStart w:id="75" w:name="_Toc296503157"/>
      <w:bookmarkStart w:id="76" w:name="_Toc296346658"/>
      <w:bookmarkStart w:id="77" w:name="_Toc296347156"/>
      <w:bookmarkStart w:id="78" w:name="_Toc296891197"/>
      <w:bookmarkStart w:id="79" w:name="_Toc296944496"/>
      <w:r>
        <w:rPr>
          <w:rFonts w:hint="eastAsia" w:cs="宋体"/>
          <w:color w:val="auto"/>
          <w:sz w:val="21"/>
          <w:szCs w:val="21"/>
          <w:highlight w:val="none"/>
        </w:rPr>
        <w:t>. 发包人</w:t>
      </w:r>
      <w:bookmarkEnd w:id="69"/>
    </w:p>
    <w:bookmarkEnd w:id="70"/>
    <w:bookmarkEnd w:id="71"/>
    <w:bookmarkEnd w:id="72"/>
    <w:bookmarkEnd w:id="73"/>
    <w:bookmarkEnd w:id="74"/>
    <w:bookmarkEnd w:id="75"/>
    <w:bookmarkEnd w:id="76"/>
    <w:bookmarkEnd w:id="77"/>
    <w:bookmarkEnd w:id="78"/>
    <w:bookmarkEnd w:id="79"/>
    <w:p w14:paraId="5D61E77F">
      <w:pPr>
        <w:keepNext/>
        <w:keepLines/>
        <w:pageBreakBefore w:val="0"/>
        <w:widowControl w:val="0"/>
        <w:kinsoku/>
        <w:wordWrap/>
        <w:overflowPunct/>
        <w:topLinePunct w:val="0"/>
        <w:autoSpaceDE/>
        <w:autoSpaceDN/>
        <w:bidi w:val="0"/>
        <w:snapToGrid w:val="0"/>
        <w:spacing w:line="44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2.2 发包人代表</w:t>
      </w:r>
    </w:p>
    <w:p w14:paraId="5479642C">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发包人代表：</w:t>
      </w:r>
    </w:p>
    <w:p w14:paraId="3D341B06">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B5E193C">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E37B0D">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34B71FC">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A3531E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1185FA2">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664D3C">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ascii="宋体" w:cs="宋体"/>
          <w:color w:val="auto"/>
          <w:sz w:val="21"/>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r>
        <w:rPr>
          <w:rFonts w:hint="eastAsia" w:cs="宋体"/>
          <w:color w:val="auto"/>
          <w:sz w:val="21"/>
          <w:szCs w:val="21"/>
          <w:highlight w:val="none"/>
        </w:rPr>
        <w:t>。</w:t>
      </w:r>
    </w:p>
    <w:p w14:paraId="324BD662">
      <w:pPr>
        <w:keepNext/>
        <w:keepLines/>
        <w:pageBreakBefore w:val="0"/>
        <w:widowControl w:val="0"/>
        <w:kinsoku/>
        <w:wordWrap/>
        <w:overflowPunct/>
        <w:topLinePunct w:val="0"/>
        <w:autoSpaceDE/>
        <w:autoSpaceDN/>
        <w:bidi w:val="0"/>
        <w:snapToGrid w:val="0"/>
        <w:spacing w:line="44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73520D68">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2.4.1 提供施工现场</w:t>
      </w:r>
    </w:p>
    <w:p w14:paraId="5E31956C">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ascii="宋体" w:cs="宋体"/>
          <w:color w:val="auto"/>
          <w:sz w:val="21"/>
          <w:szCs w:val="21"/>
          <w:highlight w:val="none"/>
          <w:u w:val="single"/>
        </w:rPr>
        <w:t>发包人应最迟于开工日期7天前向承包人移交施工现场。</w:t>
      </w:r>
      <w:r>
        <w:rPr>
          <w:rFonts w:hint="eastAsia" w:cs="宋体"/>
          <w:color w:val="auto"/>
          <w:sz w:val="21"/>
          <w:szCs w:val="21"/>
          <w:highlight w:val="none"/>
        </w:rPr>
        <w:t>。</w:t>
      </w:r>
    </w:p>
    <w:p w14:paraId="1710B29E">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2.4.2 提供施工条件</w:t>
      </w:r>
    </w:p>
    <w:p w14:paraId="1C239928">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ascii="宋体" w:cs="宋体"/>
          <w:color w:val="auto"/>
          <w:sz w:val="21"/>
          <w:szCs w:val="21"/>
          <w:highlight w:val="none"/>
          <w:u w:val="single"/>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r>
        <w:rPr>
          <w:rFonts w:hint="eastAsia" w:cs="宋体"/>
          <w:color w:val="auto"/>
          <w:sz w:val="21"/>
          <w:szCs w:val="21"/>
          <w:highlight w:val="none"/>
        </w:rPr>
        <w:t>。</w:t>
      </w:r>
    </w:p>
    <w:p w14:paraId="713FC84B">
      <w:pPr>
        <w:keepNext/>
        <w:keepLines/>
        <w:pageBreakBefore w:val="0"/>
        <w:widowControl w:val="0"/>
        <w:kinsoku/>
        <w:wordWrap/>
        <w:overflowPunct/>
        <w:topLinePunct w:val="0"/>
        <w:autoSpaceDE/>
        <w:autoSpaceDN/>
        <w:bidi w:val="0"/>
        <w:snapToGrid w:val="0"/>
        <w:spacing w:line="44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569F0BC5">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7596D5D">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F392AF5">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C0A81A8">
      <w:pPr>
        <w:pageBreakBefore w:val="0"/>
        <w:widowControl w:val="0"/>
        <w:kinsoku/>
        <w:wordWrap/>
        <w:overflowPunct/>
        <w:topLinePunct w:val="0"/>
        <w:autoSpaceDE/>
        <w:autoSpaceDN/>
        <w:bidi w:val="0"/>
        <w:snapToGrid w:val="0"/>
        <w:spacing w:line="400" w:lineRule="exact"/>
        <w:textAlignment w:val="auto"/>
        <w:outlineLvl w:val="2"/>
        <w:rPr>
          <w:rFonts w:cs="宋体"/>
          <w:color w:val="auto"/>
          <w:sz w:val="21"/>
          <w:szCs w:val="21"/>
          <w:highlight w:val="none"/>
        </w:rPr>
      </w:pPr>
      <w:bookmarkStart w:id="80" w:name="_Toc351203635"/>
      <w:r>
        <w:rPr>
          <w:rFonts w:hint="eastAsia" w:cs="宋体"/>
          <w:color w:val="auto"/>
          <w:sz w:val="21"/>
          <w:szCs w:val="21"/>
          <w:highlight w:val="none"/>
        </w:rPr>
        <w:t>3</w:t>
      </w:r>
      <w:bookmarkStart w:id="81" w:name="_Toc292559363"/>
      <w:bookmarkStart w:id="82" w:name="_Toc297120458"/>
      <w:bookmarkStart w:id="83" w:name="_Toc297048344"/>
      <w:bookmarkStart w:id="84" w:name="_Toc296503158"/>
      <w:bookmarkStart w:id="85" w:name="_Toc296944497"/>
      <w:bookmarkStart w:id="86" w:name="_Toc296891198"/>
      <w:bookmarkStart w:id="87" w:name="_Toc296346659"/>
      <w:bookmarkStart w:id="88" w:name="_Toc296347157"/>
      <w:bookmarkStart w:id="89" w:name="_Toc296890986"/>
      <w:bookmarkStart w:id="90" w:name="_Toc292559868"/>
      <w:r>
        <w:rPr>
          <w:rFonts w:hint="eastAsia" w:cs="宋体"/>
          <w:color w:val="auto"/>
          <w:sz w:val="21"/>
          <w:szCs w:val="21"/>
          <w:highlight w:val="none"/>
        </w:rPr>
        <w:t>. 承包人</w:t>
      </w:r>
      <w:bookmarkEnd w:id="80"/>
    </w:p>
    <w:bookmarkEnd w:id="81"/>
    <w:bookmarkEnd w:id="82"/>
    <w:bookmarkEnd w:id="83"/>
    <w:bookmarkEnd w:id="84"/>
    <w:bookmarkEnd w:id="85"/>
    <w:bookmarkEnd w:id="86"/>
    <w:bookmarkEnd w:id="87"/>
    <w:bookmarkEnd w:id="88"/>
    <w:bookmarkEnd w:id="89"/>
    <w:bookmarkEnd w:id="90"/>
    <w:p w14:paraId="19E3EC89">
      <w:pPr>
        <w:keepNext/>
        <w:keepLines/>
        <w:pageBreakBefore w:val="0"/>
        <w:widowControl w:val="0"/>
        <w:kinsoku/>
        <w:wordWrap/>
        <w:overflowPunct/>
        <w:topLinePunct w:val="0"/>
        <w:autoSpaceDE/>
        <w:autoSpaceDN/>
        <w:bidi w:val="0"/>
        <w:snapToGrid w:val="0"/>
        <w:spacing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3.1 承包人的一般义务</w:t>
      </w:r>
    </w:p>
    <w:p w14:paraId="149DDF82">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（9）承包人提交的竣工资料的内容：</w:t>
      </w:r>
      <w:r>
        <w:rPr>
          <w:rFonts w:hint="eastAsia" w:ascii="宋体" w:cs="宋体"/>
          <w:color w:val="auto"/>
          <w:sz w:val="21"/>
          <w:szCs w:val="21"/>
          <w:highlight w:val="none"/>
          <w:u w:val="single"/>
        </w:rPr>
        <w:t>按相关要求执行，包括但不限于竣工图、竣工报告、项目质检资料、结算资料等</w:t>
      </w:r>
      <w:r>
        <w:rPr>
          <w:rFonts w:hint="eastAsia" w:cs="宋体"/>
          <w:color w:val="auto"/>
          <w:sz w:val="21"/>
          <w:szCs w:val="21"/>
          <w:highlight w:val="none"/>
        </w:rPr>
        <w:t>。</w:t>
      </w:r>
    </w:p>
    <w:p w14:paraId="08BBBA61">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承包人需要提交的竣工资料套数：</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按相关要求执行，且不少于3套</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BCB484">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承包人提交的竣工资料的费用承担：</w:t>
      </w:r>
      <w:r>
        <w:rPr>
          <w:rFonts w:hint="eastAsia" w:cs="宋体"/>
          <w:color w:val="auto"/>
          <w:sz w:val="21"/>
          <w:szCs w:val="21"/>
          <w:highlight w:val="none"/>
          <w:u w:val="single"/>
        </w:rPr>
        <w:t>承包人承担</w:t>
      </w:r>
      <w:r>
        <w:rPr>
          <w:rFonts w:hint="eastAsia" w:cs="宋体"/>
          <w:color w:val="auto"/>
          <w:sz w:val="21"/>
          <w:szCs w:val="21"/>
          <w:highlight w:val="none"/>
        </w:rPr>
        <w:t>。</w:t>
      </w:r>
    </w:p>
    <w:p w14:paraId="7835AC34">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承包人提交的竣工资料移交时间：</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 xml:space="preserve"> 竣工验收合格后15日内</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E61EFB">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承包人提交的竣工资料形式要求：</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 xml:space="preserve"> 纸质及电子形式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9AEB09">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（10）承包人应履行的其他义务：</w:t>
      </w:r>
      <w:r>
        <w:rPr>
          <w:rFonts w:hint="eastAsia" w:ascii="宋体" w:cs="宋体"/>
          <w:color w:val="auto"/>
          <w:sz w:val="21"/>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遵守滁重[2020]53号《关于限制不良建筑市场主体投标的规定》的；⑥月工程量进度及时完成；⑦按规定提供工程资料并及时归档的</w:t>
      </w:r>
      <w:r>
        <w:rPr>
          <w:rFonts w:hint="eastAsia" w:cs="宋体"/>
          <w:color w:val="auto"/>
          <w:sz w:val="21"/>
          <w:szCs w:val="21"/>
          <w:highlight w:val="none"/>
        </w:rPr>
        <w:t>。</w:t>
      </w:r>
    </w:p>
    <w:p w14:paraId="584F769F">
      <w:pPr>
        <w:keepNext/>
        <w:keepLines/>
        <w:pageBreakBefore w:val="0"/>
        <w:widowControl w:val="0"/>
        <w:kinsoku/>
        <w:wordWrap/>
        <w:overflowPunct/>
        <w:topLinePunct w:val="0"/>
        <w:autoSpaceDE/>
        <w:autoSpaceDN/>
        <w:bidi w:val="0"/>
        <w:snapToGrid w:val="0"/>
        <w:spacing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3.2 项目经理</w:t>
      </w:r>
    </w:p>
    <w:p w14:paraId="17267D58">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3.2.1 项目经理：</w:t>
      </w:r>
    </w:p>
    <w:p w14:paraId="1E46EBAE">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465CD24">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F64BD7E">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940A1DF">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C62D9C">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54F367A">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5D40D33">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37CBD2">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F0ECCA7">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33A3CEE">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CAF2D8E">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ascii="宋体" w:cs="宋体"/>
          <w:color w:val="auto"/>
          <w:sz w:val="21"/>
          <w:szCs w:val="21"/>
          <w:highlight w:val="none"/>
          <w:u w:val="single"/>
          <w:shd w:val="clear" w:color="auto" w:fill="auto"/>
        </w:rPr>
        <w:t>项目经理每月在岗时间不得少于20天，施工现场其他管理人员每月在岗时间不得少于22天</w:t>
      </w:r>
      <w:r>
        <w:rPr>
          <w:rFonts w:hint="eastAsia" w:cs="宋体"/>
          <w:color w:val="auto"/>
          <w:sz w:val="21"/>
          <w:szCs w:val="21"/>
          <w:highlight w:val="none"/>
          <w:u w:val="single"/>
        </w:rPr>
        <w:t>。</w:t>
      </w:r>
    </w:p>
    <w:p w14:paraId="1B182510">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ascii="宋体" w:cs="宋体"/>
          <w:color w:val="auto"/>
          <w:sz w:val="21"/>
          <w:szCs w:val="21"/>
          <w:highlight w:val="none"/>
          <w:u w:val="single"/>
          <w:shd w:val="clear" w:color="auto" w:fill="auto"/>
        </w:rPr>
        <w:t>签订本合同前提供，资格审查时已提供的，不再重复提供</w:t>
      </w:r>
      <w:r>
        <w:rPr>
          <w:rFonts w:hint="eastAsia" w:cs="宋体"/>
          <w:color w:val="auto"/>
          <w:sz w:val="21"/>
          <w:szCs w:val="21"/>
          <w:highlight w:val="none"/>
        </w:rPr>
        <w:t>。</w:t>
      </w:r>
    </w:p>
    <w:p w14:paraId="1C254C76">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ascii="宋体" w:cs="宋体"/>
          <w:color w:val="auto"/>
          <w:kern w:val="0"/>
          <w:sz w:val="21"/>
          <w:szCs w:val="21"/>
          <w:highlight w:val="none"/>
          <w:shd w:val="clear" w:color="auto" w:fill="auto"/>
        </w:rPr>
        <w:t>项目负责人未经批准，擅自离开施工现场的违约责任：</w:t>
      </w:r>
      <w:r>
        <w:rPr>
          <w:rFonts w:hint="eastAsia" w:ascii="宋体" w:cs="宋体"/>
          <w:color w:val="auto"/>
          <w:sz w:val="21"/>
          <w:szCs w:val="21"/>
          <w:highlight w:val="none"/>
          <w:u w:val="single"/>
          <w:shd w:val="clear" w:color="auto" w:fill="auto"/>
        </w:rPr>
        <w:t>未按规定在岗履责的，对项目经理和技术负责人处罚</w:t>
      </w:r>
      <w:r>
        <w:rPr>
          <w:rFonts w:hint="eastAsia" w:ascii="宋体" w:cs="宋体"/>
          <w:color w:val="auto"/>
          <w:sz w:val="21"/>
          <w:szCs w:val="21"/>
          <w:highlight w:val="none"/>
          <w:u w:val="single"/>
          <w:shd w:val="clear" w:color="auto" w:fill="auto"/>
          <w:lang w:val="en-US" w:eastAsia="zh-CN"/>
        </w:rPr>
        <w:t>5</w:t>
      </w:r>
      <w:r>
        <w:rPr>
          <w:rFonts w:hint="eastAsia" w:ascii="宋体" w:cs="宋体"/>
          <w:color w:val="auto"/>
          <w:sz w:val="21"/>
          <w:szCs w:val="21"/>
          <w:highlight w:val="none"/>
          <w:u w:val="single"/>
          <w:shd w:val="clear" w:color="auto" w:fill="auto"/>
        </w:rPr>
        <w:t>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r>
        <w:rPr>
          <w:rFonts w:hint="eastAsia" w:cs="宋体"/>
          <w:color w:val="auto"/>
          <w:sz w:val="21"/>
          <w:szCs w:val="21"/>
          <w:highlight w:val="none"/>
          <w:u w:val="single"/>
        </w:rPr>
        <w:t>。</w:t>
      </w:r>
    </w:p>
    <w:p w14:paraId="3F3FFEF5">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3.2.3 承包人擅自更换项目经理的违约责任：</w:t>
      </w:r>
    </w:p>
    <w:p w14:paraId="004EF814">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u w:val="single"/>
        </w:rPr>
        <w:t>承包人不得擅自更换</w:t>
      </w:r>
      <w:r>
        <w:rPr>
          <w:rFonts w:hint="eastAsia" w:cs="宋体"/>
          <w:color w:val="auto"/>
          <w:sz w:val="21"/>
          <w:szCs w:val="21"/>
          <w:highlight w:val="none"/>
          <w:u w:val="single"/>
          <w:lang w:val="en-US" w:eastAsia="zh-CN"/>
        </w:rPr>
        <w:t>响应</w:t>
      </w:r>
      <w:r>
        <w:rPr>
          <w:rFonts w:hint="eastAsia" w:cs="宋体"/>
          <w:color w:val="auto"/>
          <w:sz w:val="21"/>
          <w:szCs w:val="21"/>
          <w:highlight w:val="none"/>
          <w:u w:val="single"/>
        </w:rPr>
        <w:t>时所报项目经理，否则发包人有权解除合同，由此造成的损失由承包人自行承担，承包人还应赔偿由此造成发包人的全部损失。确需更换的须在签订合同后，报经发包人同意后按相关规定办理，更换后的人员不得低于承包人</w:t>
      </w:r>
      <w:r>
        <w:rPr>
          <w:rFonts w:hint="eastAsia" w:cs="宋体"/>
          <w:color w:val="auto"/>
          <w:sz w:val="21"/>
          <w:szCs w:val="21"/>
          <w:highlight w:val="none"/>
          <w:u w:val="single"/>
          <w:lang w:val="en-US" w:eastAsia="zh-CN"/>
        </w:rPr>
        <w:t>响应</w:t>
      </w:r>
      <w:r>
        <w:rPr>
          <w:rFonts w:hint="eastAsia" w:cs="宋体"/>
          <w:color w:val="auto"/>
          <w:sz w:val="21"/>
          <w:szCs w:val="21"/>
          <w:highlight w:val="none"/>
          <w:u w:val="single"/>
        </w:rPr>
        <w:t>时所报人员资质和技术水平。</w:t>
      </w:r>
    </w:p>
    <w:p w14:paraId="3E05DA2B">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s="宋体"/>
          <w:color w:val="auto"/>
          <w:sz w:val="21"/>
          <w:szCs w:val="21"/>
          <w:highlight w:val="none"/>
        </w:rPr>
      </w:pPr>
      <w:r>
        <w:rPr>
          <w:rFonts w:hint="eastAsia" w:ascii="宋体" w:hAnsi="宋体" w:eastAsia="宋体" w:cs="宋体"/>
          <w:color w:val="auto"/>
          <w:sz w:val="21"/>
          <w:szCs w:val="21"/>
          <w:highlight w:val="none"/>
          <w:u w:val="single"/>
        </w:rPr>
        <w:t>项目负责人变更必须经发包人批准，并满足《关于进一步加强建筑施工现场项目负责人变更行为管理的通知》及滁州市其他相关规定要求，除①项目经理因长期疾病、长期出国、辞职或者调离原工作企业不能履行职责（长期是指时间在3个月以上）；②项目经理因行政处罚、涉嫌犯罪或犯罪被羁押或判刑的；③项目经理无能力履行合同的责任和义务，建设单位要求变更的；④非因施工单位责任，合同签订之日起三个月不能开工，或开工后长期停工超合同竣工时间半年以上仍未完成主体工程的；⑤项目经理死亡的；⑥其他法定原因外。上述变更须提供相关证明，疾病须提供三甲及以上医院证明</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出国、辞职等原因提出变更的，除需提供相关证明外，须缴纳10万元违约金；项目经理无能力履行合同的责任和义务，建设单位要求变更的，须缴纳20万元违约金，否则不得变更。变更后的项目经理（建造师）必须符合本项目招标文件和投标承诺配备的同等条件人员，并按照滁州市有关规定履行变更审批程序</w:t>
      </w:r>
    </w:p>
    <w:p w14:paraId="7AC9BD4D">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ascii="宋体" w:cs="宋体"/>
          <w:color w:val="auto"/>
          <w:sz w:val="21"/>
          <w:szCs w:val="21"/>
          <w:highlight w:val="none"/>
          <w:u w:val="single"/>
          <w:shd w:val="clear" w:color="auto" w:fill="auto"/>
        </w:rPr>
        <w:t>发包人将组织对项目经理进行业务能力考核，对未按</w:t>
      </w:r>
      <w:r>
        <w:rPr>
          <w:rFonts w:hint="eastAsia" w:cs="宋体"/>
          <w:color w:val="auto"/>
          <w:sz w:val="21"/>
          <w:szCs w:val="21"/>
          <w:highlight w:val="none"/>
          <w:u w:val="single"/>
          <w:shd w:val="clear" w:color="auto" w:fill="auto"/>
          <w:lang w:val="en-US" w:eastAsia="zh-CN"/>
        </w:rPr>
        <w:t>响应</w:t>
      </w:r>
      <w:r>
        <w:rPr>
          <w:rFonts w:hint="eastAsia" w:ascii="宋体" w:cs="宋体"/>
          <w:color w:val="auto"/>
          <w:sz w:val="21"/>
          <w:szCs w:val="21"/>
          <w:highlight w:val="none"/>
          <w:u w:val="single"/>
          <w:shd w:val="clear" w:color="auto" w:fill="auto"/>
        </w:rPr>
        <w:t>文件配备或经考核不合格要求更换人员的，承包人7日内必须整改调整到位。否则，对于项目经理和技术负责人，按照</w:t>
      </w:r>
      <w:r>
        <w:rPr>
          <w:rFonts w:hint="eastAsia" w:ascii="宋体" w:cs="宋体"/>
          <w:color w:val="auto"/>
          <w:sz w:val="21"/>
          <w:szCs w:val="21"/>
          <w:highlight w:val="none"/>
          <w:u w:val="single"/>
          <w:shd w:val="clear" w:color="auto" w:fill="auto"/>
          <w:lang w:val="en-US" w:eastAsia="zh-CN"/>
        </w:rPr>
        <w:t>5</w:t>
      </w:r>
      <w:r>
        <w:rPr>
          <w:rFonts w:hint="eastAsia" w:ascii="宋体" w:cs="宋体"/>
          <w:color w:val="auto"/>
          <w:sz w:val="21"/>
          <w:szCs w:val="21"/>
          <w:highlight w:val="none"/>
          <w:u w:val="single"/>
          <w:shd w:val="clear" w:color="auto" w:fill="auto"/>
        </w:rPr>
        <w:t>000元/人•天的违约金进行处罚，对于施工现场其他管理人员按照1000元/人•天的违约金进行处罚。28日内未整改调整到位的，发包人有权终止合同，并提请相关行政主管部门对企业和人员进行“黑名单”处罚</w:t>
      </w:r>
      <w:r>
        <w:rPr>
          <w:rFonts w:hint="eastAsia" w:cs="宋体"/>
          <w:color w:val="auto"/>
          <w:sz w:val="21"/>
          <w:szCs w:val="21"/>
          <w:highlight w:val="none"/>
        </w:rPr>
        <w:t>。</w:t>
      </w:r>
    </w:p>
    <w:p w14:paraId="7D1B7661">
      <w:pPr>
        <w:keepNext/>
        <w:keepLines/>
        <w:pageBreakBefore w:val="0"/>
        <w:widowControl w:val="0"/>
        <w:kinsoku/>
        <w:wordWrap/>
        <w:overflowPunct/>
        <w:topLinePunct w:val="0"/>
        <w:autoSpaceDE/>
        <w:autoSpaceDN/>
        <w:bidi w:val="0"/>
        <w:snapToGrid w:val="0"/>
        <w:spacing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3.3 承包人人员</w:t>
      </w:r>
    </w:p>
    <w:p w14:paraId="477EB7E6">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ascii="宋体" w:cs="宋体"/>
          <w:color w:val="auto"/>
          <w:sz w:val="21"/>
          <w:szCs w:val="21"/>
          <w:highlight w:val="none"/>
          <w:u w:val="single"/>
          <w:shd w:val="clear" w:color="auto" w:fill="auto"/>
        </w:rPr>
        <w:t>承包人应在</w:t>
      </w:r>
      <w:r>
        <w:rPr>
          <w:rFonts w:hint="eastAsia"/>
          <w:color w:val="auto"/>
          <w:sz w:val="21"/>
          <w:szCs w:val="21"/>
          <w:highlight w:val="none"/>
          <w:u w:val="single"/>
          <w:shd w:val="clear" w:color="auto" w:fill="auto"/>
        </w:rPr>
        <w:t>合同签订</w:t>
      </w:r>
      <w:r>
        <w:rPr>
          <w:rFonts w:hint="eastAsia" w:ascii="宋体" w:cs="宋体"/>
          <w:color w:val="auto"/>
          <w:sz w:val="21"/>
          <w:szCs w:val="21"/>
          <w:highlight w:val="none"/>
          <w:u w:val="single"/>
          <w:shd w:val="clear" w:color="auto" w:fill="auto"/>
        </w:rPr>
        <w:t>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r>
        <w:rPr>
          <w:rFonts w:hint="eastAsia" w:cs="宋体"/>
          <w:color w:val="auto"/>
          <w:sz w:val="21"/>
          <w:szCs w:val="21"/>
          <w:highlight w:val="none"/>
        </w:rPr>
        <w:t>。</w:t>
      </w:r>
    </w:p>
    <w:p w14:paraId="30E2A969">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ascii="宋体" w:cs="宋体"/>
          <w:color w:val="auto"/>
          <w:sz w:val="21"/>
          <w:szCs w:val="21"/>
          <w:highlight w:val="none"/>
          <w:u w:val="single"/>
          <w:shd w:val="clear" w:color="auto" w:fill="auto"/>
        </w:rPr>
        <w:t>发包人将组织对人员进行业务能力考核，对未按响应文件配备或经考核不合格要求更换人员的，承包人7日内必须整改调整到位。否则，对于项目经理和技术负责人，按照</w:t>
      </w:r>
      <w:r>
        <w:rPr>
          <w:rFonts w:hint="eastAsia" w:ascii="宋体" w:cs="宋体"/>
          <w:color w:val="auto"/>
          <w:sz w:val="21"/>
          <w:szCs w:val="21"/>
          <w:highlight w:val="none"/>
          <w:u w:val="single"/>
          <w:shd w:val="clear" w:color="auto" w:fill="auto"/>
          <w:lang w:val="en-US" w:eastAsia="zh-CN"/>
        </w:rPr>
        <w:t>5</w:t>
      </w:r>
      <w:r>
        <w:rPr>
          <w:rFonts w:hint="eastAsia" w:ascii="宋体" w:cs="宋体"/>
          <w:color w:val="auto"/>
          <w:sz w:val="21"/>
          <w:szCs w:val="21"/>
          <w:highlight w:val="none"/>
          <w:u w:val="single"/>
          <w:shd w:val="clear" w:color="auto" w:fill="auto"/>
        </w:rPr>
        <w:t>000元/人·天的违约金进行处罚，对于施工现场其他管理人员按照1000元/人·天的违约金进行处罚。28日内未整改调整到位的，发包人有权终止合同，并提请相关行政主管部门对企业和人员进行“黑名单”处罚</w:t>
      </w:r>
      <w:r>
        <w:rPr>
          <w:rFonts w:hint="eastAsia" w:cs="宋体"/>
          <w:color w:val="auto"/>
          <w:sz w:val="21"/>
          <w:szCs w:val="21"/>
          <w:highlight w:val="none"/>
        </w:rPr>
        <w:t>。</w:t>
      </w:r>
    </w:p>
    <w:p w14:paraId="2228833C">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ascii="宋体" w:cs="宋体"/>
          <w:color w:val="auto"/>
          <w:sz w:val="21"/>
          <w:szCs w:val="21"/>
          <w:highlight w:val="none"/>
          <w:u w:val="single"/>
          <w:shd w:val="clear" w:color="auto" w:fill="auto"/>
        </w:rPr>
        <w:t>未按规定在岗履责的，对项目经理和技术负责人处罚</w:t>
      </w:r>
      <w:r>
        <w:rPr>
          <w:rFonts w:hint="eastAsia" w:ascii="宋体" w:cs="宋体"/>
          <w:color w:val="auto"/>
          <w:sz w:val="21"/>
          <w:szCs w:val="21"/>
          <w:highlight w:val="none"/>
          <w:u w:val="single"/>
          <w:shd w:val="clear" w:color="auto" w:fill="auto"/>
          <w:lang w:val="en-US" w:eastAsia="zh-CN"/>
        </w:rPr>
        <w:t>5</w:t>
      </w:r>
      <w:r>
        <w:rPr>
          <w:rFonts w:hint="eastAsia" w:ascii="宋体" w:cs="宋体"/>
          <w:color w:val="auto"/>
          <w:sz w:val="21"/>
          <w:szCs w:val="21"/>
          <w:highlight w:val="none"/>
          <w:u w:val="single"/>
          <w:shd w:val="clear" w:color="auto" w:fill="auto"/>
        </w:rPr>
        <w:t>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r>
        <w:rPr>
          <w:rFonts w:hint="eastAsia" w:cs="宋体"/>
          <w:color w:val="auto"/>
          <w:sz w:val="21"/>
          <w:szCs w:val="21"/>
          <w:highlight w:val="none"/>
        </w:rPr>
        <w:t>。</w:t>
      </w:r>
    </w:p>
    <w:p w14:paraId="2C32438A">
      <w:pPr>
        <w:pageBreakBefore w:val="0"/>
        <w:widowControl w:val="0"/>
        <w:kinsoku/>
        <w:wordWrap/>
        <w:overflowPunct/>
        <w:topLinePunct w:val="0"/>
        <w:autoSpaceDE/>
        <w:autoSpaceDN/>
        <w:bidi w:val="0"/>
        <w:adjustRightInd w:val="0"/>
        <w:snapToGrid w:val="0"/>
        <w:spacing w:line="400" w:lineRule="exact"/>
        <w:ind w:firstLine="424" w:firstLineChars="202"/>
        <w:textAlignment w:val="auto"/>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w:t>
      </w:r>
      <w:r>
        <w:rPr>
          <w:rFonts w:hint="eastAsia" w:cs="宋体"/>
          <w:color w:val="auto"/>
          <w:sz w:val="21"/>
          <w:szCs w:val="21"/>
          <w:highlight w:val="none"/>
          <w:u w:val="single"/>
          <w:lang w:val="en-US" w:eastAsia="zh-CN"/>
        </w:rPr>
        <w:t>响应</w:t>
      </w:r>
      <w:r>
        <w:rPr>
          <w:rFonts w:hint="eastAsia" w:cs="宋体"/>
          <w:color w:val="auto"/>
          <w:sz w:val="21"/>
          <w:szCs w:val="21"/>
          <w:highlight w:val="none"/>
          <w:u w:val="single"/>
        </w:rPr>
        <w:t>时所报人员资质和技术水平。发包人如认为有必要，可要求对上述人员中的部分人员作出更好的调整。</w:t>
      </w:r>
    </w:p>
    <w:p w14:paraId="2FF8F9B2">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ascii="宋体" w:cs="宋体"/>
          <w:color w:val="auto"/>
          <w:sz w:val="21"/>
          <w:szCs w:val="21"/>
          <w:highlight w:val="none"/>
          <w:u w:val="single"/>
          <w:shd w:val="clear" w:color="auto" w:fill="auto"/>
        </w:rPr>
        <w:t>按照未按规定在岗履责进行处罚</w:t>
      </w:r>
      <w:r>
        <w:rPr>
          <w:rFonts w:hint="eastAsia" w:cs="宋体"/>
          <w:color w:val="auto"/>
          <w:sz w:val="21"/>
          <w:szCs w:val="21"/>
          <w:highlight w:val="none"/>
        </w:rPr>
        <w:t>。</w:t>
      </w:r>
    </w:p>
    <w:p w14:paraId="5A9ABD1C">
      <w:pPr>
        <w:keepNext/>
        <w:keepLines/>
        <w:pageBreakBefore w:val="0"/>
        <w:widowControl w:val="0"/>
        <w:kinsoku/>
        <w:wordWrap/>
        <w:overflowPunct/>
        <w:topLinePunct w:val="0"/>
        <w:autoSpaceDE/>
        <w:autoSpaceDN/>
        <w:bidi w:val="0"/>
        <w:snapToGrid w:val="0"/>
        <w:spacing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3</w:t>
      </w:r>
      <w:bookmarkStart w:id="91" w:name="_Toc297216151"/>
      <w:bookmarkStart w:id="92" w:name="_Toc300934945"/>
      <w:bookmarkStart w:id="93" w:name="_Toc296890987"/>
      <w:bookmarkStart w:id="94" w:name="_Toc297120459"/>
      <w:bookmarkStart w:id="95" w:name="_Toc296347158"/>
      <w:bookmarkStart w:id="96" w:name="_Toc296944498"/>
      <w:bookmarkStart w:id="97" w:name="_Toc292559869"/>
      <w:bookmarkStart w:id="98" w:name="_Toc296503159"/>
      <w:bookmarkStart w:id="99" w:name="_Toc292559364"/>
      <w:bookmarkStart w:id="100" w:name="_Toc312677988"/>
      <w:bookmarkStart w:id="101" w:name="_Toc296346660"/>
      <w:bookmarkStart w:id="102" w:name="_Toc303539102"/>
      <w:bookmarkStart w:id="103" w:name="_Toc297123492"/>
      <w:bookmarkStart w:id="104" w:name="_Toc304295523"/>
      <w:bookmarkStart w:id="105" w:name="_Toc296891199"/>
      <w:bookmarkStart w:id="106" w:name="_Toc297048345"/>
      <w:r>
        <w:rPr>
          <w:rFonts w:hint="eastAsia" w:cs="宋体"/>
          <w:bCs/>
          <w:color w:val="auto"/>
          <w:sz w:val="21"/>
          <w:szCs w:val="21"/>
          <w:highlight w:val="none"/>
        </w:rPr>
        <w:t>.5 分包</w:t>
      </w:r>
    </w:p>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6EC5ACB7">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w:t>
      </w:r>
      <w:bookmarkStart w:id="107" w:name="_Toc292559870"/>
      <w:bookmarkStart w:id="108" w:name="_Toc304295524"/>
      <w:bookmarkStart w:id="109" w:name="_Toc296890988"/>
      <w:bookmarkStart w:id="110" w:name="_Toc296503160"/>
      <w:bookmarkStart w:id="111" w:name="_Toc303539103"/>
      <w:bookmarkStart w:id="112" w:name="_Toc296944499"/>
      <w:bookmarkStart w:id="113" w:name="_Toc297216152"/>
      <w:bookmarkStart w:id="114" w:name="_Toc300934946"/>
      <w:bookmarkStart w:id="115" w:name="_Toc297120460"/>
      <w:bookmarkStart w:id="116" w:name="_Toc297048346"/>
      <w:bookmarkStart w:id="117" w:name="_Toc292559365"/>
      <w:bookmarkStart w:id="118" w:name="_Toc296891200"/>
      <w:bookmarkStart w:id="119" w:name="_Toc296346661"/>
      <w:bookmarkStart w:id="120" w:name="_Toc296347159"/>
      <w:bookmarkStart w:id="121" w:name="_Toc297123493"/>
      <w:bookmarkStart w:id="122" w:name="_Toc312677989"/>
      <w:bookmarkStart w:id="123" w:name="_Toc318581158"/>
      <w:r>
        <w:rPr>
          <w:rFonts w:hint="eastAsia" w:cs="宋体"/>
          <w:color w:val="auto"/>
          <w:sz w:val="21"/>
          <w:szCs w:val="21"/>
          <w:highlight w:val="none"/>
        </w:rPr>
        <w:t>.5.1 分包的一般约定</w:t>
      </w:r>
    </w:p>
    <w:p w14:paraId="6161DCDE">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禁止分包的工程包括：</w:t>
      </w:r>
      <w:r>
        <w:rPr>
          <w:rFonts w:hint="eastAsia" w:ascii="宋体" w:cs="宋体"/>
          <w:color w:val="auto"/>
          <w:sz w:val="21"/>
          <w:szCs w:val="21"/>
          <w:highlight w:val="none"/>
          <w:u w:val="single"/>
          <w:shd w:val="clear" w:color="auto" w:fill="auto"/>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r>
        <w:rPr>
          <w:rFonts w:hint="eastAsia" w:cs="宋体"/>
          <w:color w:val="auto"/>
          <w:sz w:val="21"/>
          <w:szCs w:val="21"/>
          <w:highlight w:val="none"/>
        </w:rPr>
        <w:t>。</w:t>
      </w:r>
    </w:p>
    <w:p w14:paraId="47A6D6C6">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主体结构、关键性工作的范围：</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Start w:id="124" w:name="_Toc300934947"/>
      <w:bookmarkStart w:id="125" w:name="_Toc296944500"/>
      <w:bookmarkStart w:id="126" w:name="_Toc296346662"/>
      <w:bookmarkStart w:id="127" w:name="_Toc297120461"/>
      <w:bookmarkStart w:id="128" w:name="_Toc304295525"/>
      <w:bookmarkStart w:id="129" w:name="_Toc296890989"/>
      <w:bookmarkStart w:id="130" w:name="_Toc296347160"/>
      <w:bookmarkStart w:id="131" w:name="_Toc303539104"/>
      <w:bookmarkStart w:id="132" w:name="_Toc296891201"/>
      <w:bookmarkStart w:id="133" w:name="_Toc297216153"/>
      <w:bookmarkStart w:id="134" w:name="_Toc297123494"/>
      <w:bookmarkStart w:id="135" w:name="_Toc297048347"/>
      <w:bookmarkStart w:id="136" w:name="_Toc296503161"/>
      <w:r>
        <w:rPr>
          <w:rFonts w:hint="eastAsia" w:ascii="宋体" w:cs="宋体"/>
          <w:color w:val="auto"/>
          <w:sz w:val="21"/>
          <w:szCs w:val="21"/>
          <w:highlight w:val="none"/>
          <w:u w:val="single"/>
          <w:shd w:val="clear" w:color="auto" w:fill="auto"/>
        </w:rPr>
        <w:t>房建、水利工程为主体结构；市政工程为道路基层、面层；桥梁为主体结构；园林景观工程为绿化采购、栽植、养护；等等</w:t>
      </w:r>
      <w:r>
        <w:rPr>
          <w:rFonts w:hint="eastAsia" w:cs="宋体"/>
          <w:color w:val="auto"/>
          <w:sz w:val="21"/>
          <w:szCs w:val="21"/>
          <w:highlight w:val="none"/>
        </w:rPr>
        <w:t>。</w:t>
      </w:r>
    </w:p>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7ED9FCE1">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w:t>
      </w:r>
      <w:bookmarkStart w:id="137" w:name="_Toc312677990"/>
      <w:bookmarkStart w:id="138" w:name="_Toc318581159"/>
      <w:r>
        <w:rPr>
          <w:rFonts w:hint="eastAsia" w:cs="宋体"/>
          <w:color w:val="auto"/>
          <w:sz w:val="21"/>
          <w:szCs w:val="21"/>
          <w:highlight w:val="none"/>
        </w:rPr>
        <w:t>.5.2 分包的确定</w:t>
      </w:r>
    </w:p>
    <w:p w14:paraId="7D7D5D1A">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ascii="宋体" w:cs="宋体"/>
          <w:color w:val="auto"/>
          <w:sz w:val="21"/>
          <w:szCs w:val="21"/>
          <w:highlight w:val="none"/>
          <w:u w:val="single"/>
          <w:shd w:val="clear" w:color="auto" w:fill="auto"/>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r>
        <w:rPr>
          <w:rFonts w:hint="eastAsia" w:cs="宋体"/>
          <w:color w:val="auto"/>
          <w:sz w:val="21"/>
          <w:szCs w:val="21"/>
          <w:highlight w:val="none"/>
        </w:rPr>
        <w:t>。</w:t>
      </w:r>
    </w:p>
    <w:p w14:paraId="79D0EFE8">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其他关于分包的约定：</w:t>
      </w:r>
      <w:r>
        <w:rPr>
          <w:rFonts w:hint="eastAsia" w:ascii="宋体" w:cs="宋体"/>
          <w:color w:val="auto"/>
          <w:sz w:val="21"/>
          <w:szCs w:val="21"/>
          <w:highlight w:val="none"/>
          <w:u w:val="single"/>
          <w:shd w:val="clear" w:color="auto" w:fill="auto"/>
        </w:rPr>
        <w:t xml:space="preserve"> 承包人不得以劳务分包的名义转包或违法分包工程。</w:t>
      </w:r>
      <w:r>
        <w:rPr>
          <w:rFonts w:hint="eastAsia" w:ascii="宋体" w:hAnsi="宋体" w:cs="宋体"/>
          <w:b/>
          <w:bCs/>
          <w:color w:val="auto"/>
          <w:sz w:val="21"/>
          <w:szCs w:val="21"/>
          <w:highlight w:val="none"/>
          <w:u w:val="single"/>
          <w:shd w:val="clear" w:color="auto" w:fill="auto"/>
        </w:rPr>
        <w:t>发包人在施工进场第一个月或施工过程中发现承包人转包、挂靠等行为的，发包人立即解除合同，清退出场，承包人已完合格工程量按合同价款</w:t>
      </w:r>
      <w:r>
        <w:rPr>
          <w:rFonts w:hint="eastAsia" w:cs="宋体"/>
          <w:b/>
          <w:bCs/>
          <w:color w:val="auto"/>
          <w:sz w:val="21"/>
          <w:szCs w:val="21"/>
          <w:highlight w:val="none"/>
          <w:u w:val="single"/>
          <w:shd w:val="clear" w:color="auto" w:fill="auto"/>
          <w:lang w:val="en-US" w:eastAsia="zh-CN"/>
        </w:rPr>
        <w:t>7</w:t>
      </w:r>
      <w:r>
        <w:rPr>
          <w:rFonts w:hint="eastAsia" w:ascii="宋体" w:hAnsi="宋体" w:cs="宋体"/>
          <w:b/>
          <w:bCs/>
          <w:color w:val="auto"/>
          <w:sz w:val="21"/>
          <w:szCs w:val="21"/>
          <w:highlight w:val="none"/>
          <w:u w:val="single"/>
          <w:shd w:val="clear" w:color="auto" w:fill="auto"/>
        </w:rPr>
        <w:t>0%进行结算</w:t>
      </w:r>
      <w:r>
        <w:rPr>
          <w:rFonts w:hint="eastAsia" w:cs="宋体"/>
          <w:color w:val="auto"/>
          <w:sz w:val="21"/>
          <w:szCs w:val="21"/>
          <w:highlight w:val="none"/>
        </w:rPr>
        <w:t>。</w:t>
      </w:r>
    </w:p>
    <w:p w14:paraId="687689B2">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3.5.4 分包合同价款</w:t>
      </w:r>
    </w:p>
    <w:p w14:paraId="66F987D6">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关于分包合同价款支付的约定：</w:t>
      </w:r>
      <w:r>
        <w:rPr>
          <w:rFonts w:hint="eastAsia" w:ascii="宋体" w:cs="宋体"/>
          <w:color w:val="auto"/>
          <w:sz w:val="21"/>
          <w:szCs w:val="21"/>
          <w:highlight w:val="none"/>
          <w:u w:val="single"/>
          <w:shd w:val="clear" w:color="auto" w:fill="auto"/>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cs="宋体"/>
          <w:color w:val="auto"/>
          <w:sz w:val="21"/>
          <w:szCs w:val="21"/>
          <w:highlight w:val="none"/>
        </w:rPr>
        <w:t>。</w:t>
      </w:r>
    </w:p>
    <w:bookmarkEnd w:id="137"/>
    <w:bookmarkEnd w:id="138"/>
    <w:p w14:paraId="20C9FFBC">
      <w:pPr>
        <w:keepNext/>
        <w:keepLines/>
        <w:pageBreakBefore w:val="0"/>
        <w:widowControl w:val="0"/>
        <w:kinsoku/>
        <w:wordWrap/>
        <w:overflowPunct/>
        <w:topLinePunct w:val="0"/>
        <w:autoSpaceDE/>
        <w:autoSpaceDN/>
        <w:bidi w:val="0"/>
        <w:snapToGrid w:val="0"/>
        <w:spacing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794889EF">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ascii="宋体" w:cs="宋体"/>
          <w:color w:val="auto"/>
          <w:kern w:val="0"/>
          <w:sz w:val="21"/>
          <w:szCs w:val="21"/>
          <w:highlight w:val="none"/>
          <w:u w:val="single"/>
          <w:shd w:val="clear" w:color="auto" w:fill="auto"/>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r>
        <w:rPr>
          <w:rFonts w:hint="eastAsia" w:cs="宋体"/>
          <w:color w:val="auto"/>
          <w:sz w:val="21"/>
          <w:szCs w:val="21"/>
          <w:highlight w:val="none"/>
          <w:u w:val="single"/>
        </w:rPr>
        <w:t>。</w:t>
      </w:r>
    </w:p>
    <w:p w14:paraId="35212CA8">
      <w:pPr>
        <w:keepNext/>
        <w:keepLines/>
        <w:pageBreakBefore w:val="0"/>
        <w:widowControl w:val="0"/>
        <w:kinsoku/>
        <w:wordWrap/>
        <w:overflowPunct/>
        <w:topLinePunct w:val="0"/>
        <w:autoSpaceDE/>
        <w:autoSpaceDN/>
        <w:bidi w:val="0"/>
        <w:snapToGrid w:val="0"/>
        <w:spacing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3.7 履约保证金</w:t>
      </w:r>
    </w:p>
    <w:p w14:paraId="45331FC1">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0299768">
      <w:pPr>
        <w:pageBreakBefore w:val="0"/>
        <w:widowControl w:val="0"/>
        <w:kinsoku/>
        <w:wordWrap/>
        <w:overflowPunct/>
        <w:topLinePunct w:val="0"/>
        <w:autoSpaceDE/>
        <w:autoSpaceDN/>
        <w:bidi w:val="0"/>
        <w:adjustRightInd w:val="0"/>
        <w:snapToGrid w:val="0"/>
        <w:spacing w:line="400" w:lineRule="exact"/>
        <w:ind w:left="-70" w:leftChars="-35" w:firstLine="497" w:firstLineChars="237"/>
        <w:textAlignment w:val="auto"/>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A8D3A5A">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165567A">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03F9BC80">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1A82535E">
      <w:pPr>
        <w:pageBreakBefore w:val="0"/>
        <w:widowControl w:val="0"/>
        <w:kinsoku/>
        <w:wordWrap/>
        <w:overflowPunct/>
        <w:topLinePunct w:val="0"/>
        <w:bidi w:val="0"/>
        <w:snapToGrid w:val="0"/>
        <w:spacing w:line="400" w:lineRule="exact"/>
        <w:textAlignment w:val="auto"/>
        <w:outlineLvl w:val="2"/>
        <w:rPr>
          <w:rFonts w:cs="宋体"/>
          <w:color w:val="auto"/>
          <w:sz w:val="21"/>
          <w:szCs w:val="21"/>
          <w:highlight w:val="none"/>
        </w:rPr>
      </w:pPr>
      <w:bookmarkStart w:id="139" w:name="_Toc351203636"/>
      <w:r>
        <w:rPr>
          <w:rFonts w:hint="eastAsia" w:cs="宋体"/>
          <w:color w:val="auto"/>
          <w:sz w:val="21"/>
          <w:szCs w:val="21"/>
          <w:highlight w:val="none"/>
        </w:rPr>
        <w:t>4</w:t>
      </w:r>
      <w:bookmarkStart w:id="140" w:name="_Toc267251413"/>
      <w:bookmarkStart w:id="141" w:name="_Toc296347161"/>
      <w:bookmarkStart w:id="142" w:name="_Toc297120462"/>
      <w:bookmarkStart w:id="143" w:name="_Toc296944501"/>
      <w:bookmarkStart w:id="144" w:name="_Toc292559366"/>
      <w:bookmarkStart w:id="145" w:name="_Toc296891202"/>
      <w:bookmarkStart w:id="146" w:name="_Toc296503162"/>
      <w:bookmarkStart w:id="147" w:name="_Toc292559871"/>
      <w:bookmarkStart w:id="148" w:name="_Toc296890990"/>
      <w:bookmarkStart w:id="149" w:name="_Toc297048348"/>
      <w:bookmarkStart w:id="150" w:name="_Toc296346663"/>
      <w:r>
        <w:rPr>
          <w:rFonts w:hint="eastAsia" w:cs="宋体"/>
          <w:color w:val="auto"/>
          <w:sz w:val="21"/>
          <w:szCs w:val="21"/>
          <w:highlight w:val="none"/>
        </w:rPr>
        <w:t>. 监</w:t>
      </w:r>
      <w:bookmarkEnd w:id="140"/>
      <w:bookmarkEnd w:id="141"/>
      <w:bookmarkEnd w:id="142"/>
      <w:bookmarkEnd w:id="143"/>
      <w:bookmarkEnd w:id="144"/>
      <w:bookmarkEnd w:id="145"/>
      <w:bookmarkEnd w:id="146"/>
      <w:bookmarkEnd w:id="147"/>
      <w:bookmarkEnd w:id="148"/>
      <w:bookmarkEnd w:id="149"/>
      <w:bookmarkEnd w:id="150"/>
      <w:r>
        <w:rPr>
          <w:rFonts w:hint="eastAsia" w:cs="宋体"/>
          <w:color w:val="auto"/>
          <w:sz w:val="21"/>
          <w:szCs w:val="21"/>
          <w:highlight w:val="none"/>
        </w:rPr>
        <w:t>理人</w:t>
      </w:r>
      <w:bookmarkEnd w:id="139"/>
    </w:p>
    <w:p w14:paraId="0C326853">
      <w:pPr>
        <w:keepNext/>
        <w:keepLines/>
        <w:pageBreakBefore w:val="0"/>
        <w:widowControl w:val="0"/>
        <w:kinsoku/>
        <w:wordWrap/>
        <w:overflowPunct/>
        <w:topLinePunct w:val="0"/>
        <w:bidi w:val="0"/>
        <w:snapToGrid w:val="0"/>
        <w:spacing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4.1 监理人的一般规定</w:t>
      </w:r>
    </w:p>
    <w:p w14:paraId="6EFA8CD4">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u w:val="single"/>
        </w:rPr>
      </w:pPr>
      <w:r>
        <w:rPr>
          <w:rFonts w:hint="eastAsia" w:cs="宋体"/>
          <w:color w:val="auto"/>
          <w:sz w:val="21"/>
          <w:szCs w:val="21"/>
          <w:highlight w:val="none"/>
        </w:rPr>
        <w:t>关于监理人的监理内容：</w:t>
      </w:r>
      <w:r>
        <w:rPr>
          <w:rFonts w:hint="eastAsia" w:ascii="宋体" w:cs="宋体"/>
          <w:color w:val="auto"/>
          <w:sz w:val="21"/>
          <w:szCs w:val="21"/>
          <w:highlight w:val="none"/>
          <w:u w:val="single"/>
          <w:shd w:val="clear" w:color="auto" w:fill="auto"/>
        </w:rPr>
        <w:t xml:space="preserve"> 详见监理合同</w:t>
      </w:r>
      <w:r>
        <w:rPr>
          <w:rFonts w:hint="eastAsia" w:cs="宋体"/>
          <w:color w:val="auto"/>
          <w:sz w:val="21"/>
          <w:szCs w:val="21"/>
          <w:highlight w:val="none"/>
        </w:rPr>
        <w:t>。</w:t>
      </w:r>
    </w:p>
    <w:p w14:paraId="1476705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关于监理人的监理权限：</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E82D7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关于监理人在施工现场的办公场所、生活场所的提供和费用承担的约定：</w:t>
      </w:r>
      <w:r>
        <w:rPr>
          <w:rFonts w:hint="eastAsia" w:ascii="宋体" w:cs="宋体"/>
          <w:color w:val="auto"/>
          <w:sz w:val="21"/>
          <w:szCs w:val="21"/>
          <w:highlight w:val="none"/>
          <w:u w:val="single"/>
          <w:shd w:val="clear" w:color="auto" w:fill="auto"/>
        </w:rPr>
        <w:t>办公场所由承包人提供和承担，生活场所由监理人自行解决和承担</w:t>
      </w:r>
      <w:r>
        <w:rPr>
          <w:rFonts w:hint="eastAsia" w:cs="宋体"/>
          <w:color w:val="auto"/>
          <w:sz w:val="21"/>
          <w:szCs w:val="21"/>
          <w:highlight w:val="none"/>
        </w:rPr>
        <w:t>。</w:t>
      </w:r>
    </w:p>
    <w:p w14:paraId="2A36D6E2">
      <w:pPr>
        <w:keepNext/>
        <w:keepLines/>
        <w:pageBreakBefore w:val="0"/>
        <w:widowControl w:val="0"/>
        <w:kinsoku/>
        <w:wordWrap/>
        <w:overflowPunct/>
        <w:topLinePunct w:val="0"/>
        <w:bidi w:val="0"/>
        <w:snapToGrid w:val="0"/>
        <w:spacing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4.2 监理人员</w:t>
      </w:r>
    </w:p>
    <w:p w14:paraId="3B87332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总监理工程师：</w:t>
      </w:r>
    </w:p>
    <w:p w14:paraId="01B93A4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7CA196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1EE501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监理工程师执业资格证书号：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571C0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CF3D03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A88F31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C92BA3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关于监理人的其他约定：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44AB190">
      <w:pPr>
        <w:keepNext/>
        <w:keepLines/>
        <w:pageBreakBefore w:val="0"/>
        <w:widowControl w:val="0"/>
        <w:kinsoku/>
        <w:wordWrap/>
        <w:overflowPunct/>
        <w:topLinePunct w:val="0"/>
        <w:bidi w:val="0"/>
        <w:snapToGrid w:val="0"/>
        <w:spacing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4.4 商定或确定</w:t>
      </w:r>
    </w:p>
    <w:p w14:paraId="4FC8E44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bookmarkStart w:id="151" w:name="_Toc267251418"/>
      <w:r>
        <w:rPr>
          <w:rFonts w:hint="eastAsia" w:cs="宋体"/>
          <w:color w:val="auto"/>
          <w:sz w:val="21"/>
          <w:szCs w:val="21"/>
          <w:highlight w:val="none"/>
        </w:rPr>
        <w:t>在发包人和承包人不能通过协商达成一致意见时，发包人授权监理人对以下事项进行确定：</w:t>
      </w:r>
    </w:p>
    <w:p w14:paraId="09646BB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施工方案</w:t>
      </w:r>
      <w:r>
        <w:rPr>
          <w:rFonts w:hint="eastAsia" w:ascii="宋体" w:cs="宋体"/>
          <w:color w:val="auto"/>
          <w:sz w:val="21"/>
          <w:szCs w:val="21"/>
          <w:highlight w:val="none"/>
          <w:u w:val="single"/>
          <w:shd w:val="clear" w:color="auto" w:fill="auto"/>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8F9F4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索赔事项等</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A4AED4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2D6AE4A">
      <w:pPr>
        <w:pageBreakBefore w:val="0"/>
        <w:widowControl w:val="0"/>
        <w:kinsoku/>
        <w:wordWrap/>
        <w:overflowPunct/>
        <w:topLinePunct w:val="0"/>
        <w:bidi w:val="0"/>
        <w:snapToGrid w:val="0"/>
        <w:spacing w:line="400" w:lineRule="exact"/>
        <w:textAlignment w:val="auto"/>
        <w:outlineLvl w:val="2"/>
        <w:rPr>
          <w:rFonts w:cs="宋体"/>
          <w:color w:val="auto"/>
          <w:sz w:val="21"/>
          <w:szCs w:val="21"/>
          <w:highlight w:val="none"/>
        </w:rPr>
      </w:pPr>
      <w:bookmarkStart w:id="152" w:name="_Toc351203637"/>
      <w:r>
        <w:rPr>
          <w:rFonts w:hint="eastAsia" w:cs="宋体"/>
          <w:color w:val="auto"/>
          <w:sz w:val="21"/>
          <w:szCs w:val="21"/>
          <w:highlight w:val="none"/>
        </w:rPr>
        <w:t>5</w:t>
      </w:r>
      <w:bookmarkEnd w:id="151"/>
      <w:bookmarkStart w:id="153" w:name="_Toc296890991"/>
      <w:bookmarkStart w:id="154" w:name="_Toc296346664"/>
      <w:bookmarkStart w:id="155" w:name="_Toc292559367"/>
      <w:bookmarkStart w:id="156" w:name="_Toc296503163"/>
      <w:bookmarkStart w:id="157" w:name="_Toc296944502"/>
      <w:bookmarkStart w:id="158" w:name="_Toc297120463"/>
      <w:bookmarkStart w:id="159" w:name="_Toc297048349"/>
      <w:bookmarkStart w:id="160" w:name="_Toc296891203"/>
      <w:bookmarkStart w:id="161" w:name="_Toc296347162"/>
      <w:bookmarkStart w:id="162" w:name="_Toc292559872"/>
      <w:r>
        <w:rPr>
          <w:rFonts w:hint="eastAsia" w:cs="宋体"/>
          <w:color w:val="auto"/>
          <w:sz w:val="21"/>
          <w:szCs w:val="21"/>
          <w:highlight w:val="none"/>
        </w:rPr>
        <w:t>. 工程质量</w:t>
      </w:r>
      <w:bookmarkEnd w:id="152"/>
    </w:p>
    <w:p w14:paraId="786C3BE8">
      <w:pPr>
        <w:keepNext/>
        <w:keepLines/>
        <w:pageBreakBefore w:val="0"/>
        <w:widowControl w:val="0"/>
        <w:kinsoku/>
        <w:wordWrap/>
        <w:overflowPunct/>
        <w:topLinePunct w:val="0"/>
        <w:bidi w:val="0"/>
        <w:snapToGrid w:val="0"/>
        <w:spacing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5.1 质量要求</w:t>
      </w:r>
    </w:p>
    <w:p w14:paraId="1FBA43F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5</w:t>
      </w:r>
      <w:bookmarkStart w:id="163" w:name="_Toc318581164"/>
      <w:bookmarkStart w:id="164" w:name="_Toc300934949"/>
      <w:bookmarkStart w:id="165" w:name="_Toc312677997"/>
      <w:bookmarkStart w:id="166" w:name="_Toc304295527"/>
      <w:bookmarkStart w:id="167" w:name="_Toc297123496"/>
      <w:bookmarkStart w:id="168" w:name="_Toc297216155"/>
      <w:bookmarkStart w:id="169" w:name="_Toc303539106"/>
      <w:r>
        <w:rPr>
          <w:rFonts w:hint="eastAsia" w:cs="宋体"/>
          <w:color w:val="auto"/>
          <w:sz w:val="21"/>
          <w:szCs w:val="21"/>
          <w:highlight w:val="none"/>
        </w:rPr>
        <w:t>.1.1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0035FF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88871D1">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bookmarkStart w:id="170" w:name="_Toc351203638"/>
      <w:r>
        <w:rPr>
          <w:rFonts w:hint="eastAsia" w:cs="宋体"/>
          <w:color w:val="auto"/>
          <w:sz w:val="21"/>
          <w:szCs w:val="21"/>
          <w:highlight w:val="none"/>
        </w:rPr>
        <w:t>关于建造要求：</w:t>
      </w:r>
    </w:p>
    <w:p w14:paraId="72621277">
      <w:pPr>
        <w:pStyle w:val="16"/>
        <w:pageBreakBefore w:val="0"/>
        <w:widowControl w:val="0"/>
        <w:kinsoku/>
        <w:wordWrap/>
        <w:overflowPunct/>
        <w:topLinePunct w:val="0"/>
        <w:bidi w:val="0"/>
        <w:snapToGrid w:val="0"/>
        <w:spacing w:line="400" w:lineRule="exact"/>
        <w:ind w:firstLine="480"/>
        <w:textAlignment w:val="auto"/>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23E3DF27">
      <w:pPr>
        <w:pStyle w:val="16"/>
        <w:pageBreakBefore w:val="0"/>
        <w:widowControl w:val="0"/>
        <w:kinsoku/>
        <w:wordWrap/>
        <w:overflowPunct/>
        <w:topLinePunct w:val="0"/>
        <w:bidi w:val="0"/>
        <w:snapToGrid w:val="0"/>
        <w:spacing w:line="400" w:lineRule="exact"/>
        <w:ind w:firstLine="480"/>
        <w:textAlignment w:val="auto"/>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07534FA2">
      <w:pPr>
        <w:pStyle w:val="16"/>
        <w:pageBreakBefore w:val="0"/>
        <w:widowControl w:val="0"/>
        <w:kinsoku/>
        <w:wordWrap/>
        <w:overflowPunct/>
        <w:topLinePunct w:val="0"/>
        <w:bidi w:val="0"/>
        <w:snapToGrid w:val="0"/>
        <w:spacing w:line="400" w:lineRule="exact"/>
        <w:ind w:firstLine="480"/>
        <w:textAlignment w:val="auto"/>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521902B2">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5B55344">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618FA32">
      <w:pPr>
        <w:keepNext/>
        <w:keepLines/>
        <w:pageBreakBefore w:val="0"/>
        <w:widowControl w:val="0"/>
        <w:kinsoku/>
        <w:wordWrap/>
        <w:overflowPunct/>
        <w:topLinePunct w:val="0"/>
        <w:bidi w:val="0"/>
        <w:snapToGrid w:val="0"/>
        <w:spacing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5.3 隐蔽工程检查</w:t>
      </w:r>
    </w:p>
    <w:p w14:paraId="497E6C46">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5.3.1隐蔽工程隐蔽前，承包人应当对工程隐蔽部位进行自检，并经自检确认是否具备覆盖条件。</w:t>
      </w:r>
    </w:p>
    <w:p w14:paraId="75209A5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5.3.2承包人提前通知监理人隐蔽工程检查的期限的约定：工程隐蔽部位经承包人自检确认具备覆盖条件的，承包人应在共同检查前6小时书面通知监理人检查，通知中应载明隐蔽检查的内容、时间和地点，并应附有自检记录和必要的检查资料。</w:t>
      </w:r>
    </w:p>
    <w:p w14:paraId="7DF77F2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D8BAFE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1A28D9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监理人不能按时进行检查时，应提前</w:t>
      </w:r>
      <w:r>
        <w:rPr>
          <w:rFonts w:hint="eastAsia" w:ascii="宋体" w:cs="宋体"/>
          <w:color w:val="auto"/>
          <w:sz w:val="21"/>
          <w:szCs w:val="21"/>
          <w:highlight w:val="none"/>
          <w:u w:val="single"/>
          <w:shd w:val="clear" w:color="auto" w:fill="auto"/>
        </w:rPr>
        <w:t xml:space="preserve">  3  </w:t>
      </w:r>
      <w:r>
        <w:rPr>
          <w:rFonts w:hint="eastAsia" w:ascii="宋体" w:cs="宋体"/>
          <w:color w:val="auto"/>
          <w:sz w:val="21"/>
          <w:szCs w:val="21"/>
          <w:highlight w:val="none"/>
          <w:shd w:val="clear" w:color="auto" w:fill="auto"/>
        </w:rPr>
        <w:t>小时提交书面延期要求。</w:t>
      </w:r>
    </w:p>
    <w:p w14:paraId="2516C88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ascii="宋体" w:cs="宋体"/>
          <w:color w:val="auto"/>
          <w:sz w:val="21"/>
          <w:szCs w:val="21"/>
          <w:highlight w:val="none"/>
          <w:shd w:val="clear" w:color="auto" w:fill="auto"/>
        </w:rPr>
        <w:t>关于延期最长不得超过：</w:t>
      </w:r>
      <w:r>
        <w:rPr>
          <w:rFonts w:hint="eastAsia" w:ascii="宋体" w:cs="宋体"/>
          <w:color w:val="auto"/>
          <w:sz w:val="21"/>
          <w:szCs w:val="21"/>
          <w:highlight w:val="none"/>
          <w:u w:val="single"/>
          <w:shd w:val="clear" w:color="auto" w:fill="auto"/>
        </w:rPr>
        <w:t xml:space="preserve">  6  </w:t>
      </w:r>
      <w:r>
        <w:rPr>
          <w:rFonts w:hint="eastAsia" w:ascii="宋体" w:cs="宋体"/>
          <w:color w:val="auto"/>
          <w:sz w:val="21"/>
          <w:szCs w:val="21"/>
          <w:highlight w:val="none"/>
          <w:shd w:val="clear" w:color="auto" w:fill="auto"/>
        </w:rPr>
        <w:t>小时</w:t>
      </w:r>
      <w:r>
        <w:rPr>
          <w:rFonts w:hint="eastAsia" w:cs="宋体"/>
          <w:color w:val="auto"/>
          <w:sz w:val="21"/>
          <w:szCs w:val="21"/>
          <w:highlight w:val="none"/>
        </w:rPr>
        <w:t>。</w:t>
      </w:r>
    </w:p>
    <w:p w14:paraId="69D681E1">
      <w:pPr>
        <w:keepNext/>
        <w:keepLines/>
        <w:pageBreakBefore w:val="0"/>
        <w:widowControl w:val="0"/>
        <w:kinsoku/>
        <w:wordWrap/>
        <w:overflowPunct/>
        <w:topLinePunct w:val="0"/>
        <w:bidi w:val="0"/>
        <w:snapToGrid w:val="0"/>
        <w:spacing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5</w:t>
      </w:r>
      <w:bookmarkStart w:id="171" w:name="_Toc337558762"/>
      <w:r>
        <w:rPr>
          <w:rFonts w:hint="eastAsia" w:cs="宋体"/>
          <w:bCs/>
          <w:color w:val="auto"/>
          <w:sz w:val="21"/>
          <w:szCs w:val="21"/>
          <w:highlight w:val="none"/>
        </w:rPr>
        <w:t>.4 不合格工程的处理</w:t>
      </w:r>
    </w:p>
    <w:bookmarkEnd w:id="171"/>
    <w:p w14:paraId="3E633BC0">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r>
        <w:rPr>
          <w:rFonts w:hint="eastAsia" w:cs="宋体"/>
          <w:color w:val="auto"/>
          <w:sz w:val="21"/>
          <w:szCs w:val="21"/>
          <w:highlight w:val="none"/>
        </w:rPr>
        <w:t>本款补充5.4.3项：</w:t>
      </w:r>
    </w:p>
    <w:p w14:paraId="59DBBD01">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r>
        <w:rPr>
          <w:rFonts w:hint="eastAsia" w:cs="宋体"/>
          <w:color w:val="auto"/>
          <w:sz w:val="21"/>
          <w:szCs w:val="21"/>
          <w:highlight w:val="none"/>
        </w:rPr>
        <w:t>5.4.3 承包人在收到监理人发出的《不合格分项报告》或监理通知单后，必须在监理人规定时间内按要求完成整改，未能在限定时间内完成整改的，须承担相应违约责任。</w:t>
      </w:r>
    </w:p>
    <w:p w14:paraId="227E9E9C">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r>
        <w:rPr>
          <w:rFonts w:hint="eastAsia" w:cs="宋体"/>
          <w:color w:val="auto"/>
          <w:sz w:val="21"/>
          <w:szCs w:val="21"/>
          <w:highlight w:val="none"/>
        </w:rPr>
        <w:t>本条补充5.6款：</w:t>
      </w:r>
    </w:p>
    <w:p w14:paraId="786A9E36">
      <w:pPr>
        <w:keepNext/>
        <w:keepLines/>
        <w:pageBreakBefore w:val="0"/>
        <w:widowControl w:val="0"/>
        <w:kinsoku/>
        <w:wordWrap/>
        <w:overflowPunct/>
        <w:topLinePunct w:val="0"/>
        <w:bidi w:val="0"/>
        <w:snapToGrid w:val="0"/>
        <w:spacing w:line="400" w:lineRule="exact"/>
        <w:ind w:firstLine="420" w:firstLineChars="200"/>
        <w:textAlignment w:val="auto"/>
        <w:outlineLvl w:val="3"/>
        <w:rPr>
          <w:rFonts w:cs="宋体"/>
          <w:bCs/>
          <w:color w:val="auto"/>
          <w:sz w:val="21"/>
          <w:szCs w:val="21"/>
          <w:highlight w:val="none"/>
        </w:rPr>
      </w:pPr>
      <w:bookmarkStart w:id="172" w:name="_Toc532377348"/>
      <w:r>
        <w:rPr>
          <w:rFonts w:hint="eastAsia" w:cs="宋体"/>
          <w:bCs/>
          <w:color w:val="auto"/>
          <w:sz w:val="21"/>
          <w:szCs w:val="21"/>
          <w:highlight w:val="none"/>
        </w:rPr>
        <w:t>5.6 质量事故的处理</w:t>
      </w:r>
      <w:bookmarkEnd w:id="172"/>
    </w:p>
    <w:p w14:paraId="747080C9">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14FF5620">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5EC22A8A">
      <w:pPr>
        <w:pageBreakBefore w:val="0"/>
        <w:widowControl w:val="0"/>
        <w:kinsoku/>
        <w:wordWrap/>
        <w:overflowPunct/>
        <w:topLinePunct w:val="0"/>
        <w:bidi w:val="0"/>
        <w:snapToGrid w:val="0"/>
        <w:spacing w:line="400" w:lineRule="exact"/>
        <w:textAlignment w:val="auto"/>
        <w:outlineLvl w:val="2"/>
        <w:rPr>
          <w:rFonts w:cs="宋体"/>
          <w:color w:val="auto"/>
          <w:sz w:val="21"/>
          <w:szCs w:val="21"/>
          <w:highlight w:val="none"/>
        </w:rPr>
      </w:pPr>
      <w:r>
        <w:rPr>
          <w:rFonts w:hint="eastAsia" w:cs="宋体"/>
          <w:color w:val="auto"/>
          <w:sz w:val="21"/>
          <w:szCs w:val="21"/>
          <w:highlight w:val="none"/>
        </w:rPr>
        <w:t>6. 安全文明施工与环境保护</w:t>
      </w:r>
      <w:bookmarkEnd w:id="170"/>
    </w:p>
    <w:p w14:paraId="086800AF">
      <w:pPr>
        <w:keepNext/>
        <w:keepLines/>
        <w:pageBreakBefore w:val="0"/>
        <w:widowControl w:val="0"/>
        <w:kinsoku/>
        <w:wordWrap/>
        <w:overflowPunct/>
        <w:topLinePunct w:val="0"/>
        <w:bidi w:val="0"/>
        <w:snapToGrid w:val="0"/>
        <w:spacing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6.1 安全文明施工</w:t>
      </w:r>
    </w:p>
    <w:p w14:paraId="5C3E22E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8DFFAE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ascii="宋体" w:cs="宋体"/>
          <w:color w:val="auto"/>
          <w:sz w:val="21"/>
          <w:szCs w:val="21"/>
          <w:highlight w:val="none"/>
          <w:u w:val="single"/>
          <w:shd w:val="clear" w:color="auto" w:fill="auto"/>
        </w:rPr>
        <w:t>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r>
        <w:rPr>
          <w:rFonts w:hint="eastAsia" w:cs="宋体"/>
          <w:color w:val="auto"/>
          <w:sz w:val="21"/>
          <w:szCs w:val="21"/>
          <w:highlight w:val="none"/>
        </w:rPr>
        <w:t>。</w:t>
      </w:r>
    </w:p>
    <w:p w14:paraId="282F746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由承包人负责</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6EFDDE">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6.1.5 文明施工</w:t>
      </w:r>
    </w:p>
    <w:p w14:paraId="4C10607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执行采购文件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C655C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6.1.6 关于安全文明施工费支付比例和支付期限的约定：</w:t>
      </w:r>
      <w:r>
        <w:rPr>
          <w:rFonts w:hint="eastAsia" w:cs="宋体"/>
          <w:color w:val="auto"/>
          <w:sz w:val="21"/>
          <w:szCs w:val="21"/>
          <w:highlight w:val="none"/>
          <w:u w:val="single"/>
        </w:rPr>
        <w:t xml:space="preserve"> </w:t>
      </w:r>
      <w:r>
        <w:rPr>
          <w:rFonts w:hint="eastAsia" w:ascii="宋体" w:hAnsi="宋体" w:cs="宋体"/>
          <w:bCs/>
          <w:color w:val="auto"/>
          <w:sz w:val="21"/>
          <w:szCs w:val="21"/>
          <w:highlight w:val="none"/>
          <w:u w:val="single"/>
          <w:shd w:val="clear" w:color="auto" w:fill="auto"/>
        </w:rPr>
        <w:t>按照《关于落实&lt;市规建委关于规范建设工程安全防护和文明施工措施费使用管理的通知&gt;的意见》，支付方式为：房建工程基础验收合格后支付40%，主体结构施工封</w:t>
      </w:r>
      <w:r>
        <w:rPr>
          <w:rFonts w:hint="eastAsia" w:ascii="宋体" w:hAnsi="宋体" w:cs="宋体"/>
          <w:bCs/>
          <w:color w:val="auto"/>
          <w:sz w:val="21"/>
          <w:szCs w:val="21"/>
          <w:highlight w:val="none"/>
          <w:u w:val="single"/>
          <w:shd w:val="clear" w:color="auto" w:fill="auto"/>
          <w:lang w:val="en-US" w:eastAsia="zh-CN"/>
        </w:rPr>
        <w:t>顶</w:t>
      </w:r>
      <w:r>
        <w:rPr>
          <w:rFonts w:hint="eastAsia" w:ascii="宋体" w:hAnsi="宋体" w:cs="宋体"/>
          <w:bCs/>
          <w:color w:val="auto"/>
          <w:sz w:val="21"/>
          <w:szCs w:val="21"/>
          <w:highlight w:val="none"/>
          <w:u w:val="single"/>
          <w:shd w:val="clear" w:color="auto" w:fill="auto"/>
        </w:rPr>
        <w:t>支付40%，工程初验合格支付剩余20%；市政基础设施工程正常开工并达到第一期工程请款条件时支付50%，工程初验合格后支付剩余50%。该费用付至施工企业在银行开立的专户。施工企业应当确保安全防护、文明施工措施费专款专用，在财务管理中单独列出安全防护、文明施工措施项目费用清单备查</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63"/>
    <w:bookmarkEnd w:id="164"/>
    <w:bookmarkEnd w:id="165"/>
    <w:bookmarkEnd w:id="166"/>
    <w:bookmarkEnd w:id="167"/>
    <w:bookmarkEnd w:id="168"/>
    <w:bookmarkEnd w:id="169"/>
    <w:p w14:paraId="00273366">
      <w:pPr>
        <w:pStyle w:val="2"/>
        <w:pageBreakBefore w:val="0"/>
        <w:widowControl w:val="0"/>
        <w:kinsoku/>
        <w:wordWrap/>
        <w:overflowPunct/>
        <w:topLinePunct w:val="0"/>
        <w:bidi w:val="0"/>
        <w:spacing w:after="0" w:afterLines="0" w:line="400" w:lineRule="exact"/>
        <w:ind w:left="0" w:leftChars="0" w:firstLine="422"/>
        <w:textAlignment w:val="auto"/>
        <w:rPr>
          <w:rFonts w:hint="eastAsia" w:ascii="黑体" w:eastAsia="黑体" w:cs="宋体"/>
          <w:b w:val="0"/>
          <w:bCs/>
          <w:color w:val="auto"/>
          <w:sz w:val="21"/>
          <w:szCs w:val="21"/>
          <w:highlight w:val="none"/>
          <w:u w:val="single"/>
          <w:shd w:val="clear" w:color="auto" w:fill="auto"/>
        </w:rPr>
      </w:pPr>
      <w:bookmarkStart w:id="173" w:name="_Toc351203639"/>
      <w:r>
        <w:rPr>
          <w:rFonts w:hint="eastAsia" w:ascii="黑体" w:eastAsia="黑体" w:cs="宋体"/>
          <w:b w:val="0"/>
          <w:bCs/>
          <w:color w:val="auto"/>
          <w:sz w:val="21"/>
          <w:szCs w:val="21"/>
          <w:highlight w:val="none"/>
          <w:shd w:val="clear" w:color="auto" w:fill="auto"/>
        </w:rPr>
        <w:t>开户名称：</w:t>
      </w:r>
      <w:r>
        <w:rPr>
          <w:rFonts w:hint="eastAsia" w:ascii="黑体" w:eastAsia="黑体" w:cs="宋体"/>
          <w:b w:val="0"/>
          <w:bCs/>
          <w:color w:val="auto"/>
          <w:sz w:val="21"/>
          <w:szCs w:val="21"/>
          <w:highlight w:val="none"/>
          <w:u w:val="single"/>
          <w:shd w:val="clear" w:color="auto" w:fill="auto"/>
        </w:rPr>
        <w:t xml:space="preserve">                              ；</w:t>
      </w:r>
    </w:p>
    <w:p w14:paraId="3BE557D1">
      <w:pPr>
        <w:pStyle w:val="2"/>
        <w:pageBreakBefore w:val="0"/>
        <w:widowControl w:val="0"/>
        <w:kinsoku/>
        <w:wordWrap/>
        <w:overflowPunct/>
        <w:topLinePunct w:val="0"/>
        <w:bidi w:val="0"/>
        <w:spacing w:after="0" w:afterLines="0" w:line="400" w:lineRule="exact"/>
        <w:ind w:left="0" w:leftChars="0" w:firstLine="422"/>
        <w:textAlignment w:val="auto"/>
        <w:rPr>
          <w:rFonts w:hint="eastAsia" w:ascii="黑体" w:eastAsia="黑体" w:cs="宋体"/>
          <w:b w:val="0"/>
          <w:bCs/>
          <w:color w:val="auto"/>
          <w:sz w:val="21"/>
          <w:szCs w:val="21"/>
          <w:highlight w:val="none"/>
          <w:u w:val="single"/>
          <w:shd w:val="clear" w:color="auto" w:fill="auto"/>
        </w:rPr>
      </w:pPr>
      <w:r>
        <w:rPr>
          <w:rFonts w:hint="eastAsia" w:ascii="黑体" w:eastAsia="黑体" w:cs="宋体"/>
          <w:b w:val="0"/>
          <w:bCs/>
          <w:color w:val="auto"/>
          <w:sz w:val="21"/>
          <w:szCs w:val="21"/>
          <w:highlight w:val="none"/>
          <w:shd w:val="clear" w:color="auto" w:fill="auto"/>
        </w:rPr>
        <w:t>开 户 行：</w:t>
      </w:r>
      <w:r>
        <w:rPr>
          <w:rFonts w:hint="eastAsia" w:ascii="黑体" w:eastAsia="黑体" w:cs="宋体"/>
          <w:b w:val="0"/>
          <w:bCs/>
          <w:color w:val="auto"/>
          <w:sz w:val="21"/>
          <w:szCs w:val="21"/>
          <w:highlight w:val="none"/>
          <w:u w:val="single"/>
          <w:shd w:val="clear" w:color="auto" w:fill="auto"/>
        </w:rPr>
        <w:t xml:space="preserve">                              ；</w:t>
      </w:r>
    </w:p>
    <w:p w14:paraId="00D6968A">
      <w:pPr>
        <w:pStyle w:val="2"/>
        <w:pageBreakBefore w:val="0"/>
        <w:widowControl w:val="0"/>
        <w:kinsoku/>
        <w:wordWrap/>
        <w:overflowPunct/>
        <w:topLinePunct w:val="0"/>
        <w:bidi w:val="0"/>
        <w:spacing w:after="0" w:afterLines="0" w:line="400" w:lineRule="exact"/>
        <w:ind w:left="0" w:leftChars="0" w:firstLine="422"/>
        <w:textAlignment w:val="auto"/>
        <w:rPr>
          <w:rFonts w:hint="eastAsia" w:cs="宋体"/>
          <w:color w:val="auto"/>
          <w:sz w:val="21"/>
          <w:szCs w:val="21"/>
          <w:highlight w:val="none"/>
        </w:rPr>
      </w:pPr>
      <w:r>
        <w:rPr>
          <w:rFonts w:hint="eastAsia" w:ascii="黑体" w:eastAsia="黑体" w:cs="宋体"/>
          <w:b w:val="0"/>
          <w:bCs/>
          <w:color w:val="auto"/>
          <w:sz w:val="21"/>
          <w:szCs w:val="21"/>
          <w:highlight w:val="none"/>
          <w:shd w:val="clear" w:color="auto" w:fill="auto"/>
        </w:rPr>
        <w:t>账    号：</w:t>
      </w:r>
      <w:r>
        <w:rPr>
          <w:rFonts w:hint="eastAsia" w:ascii="黑体" w:eastAsia="黑体" w:cs="宋体"/>
          <w:b w:val="0"/>
          <w:bCs/>
          <w:color w:val="auto"/>
          <w:sz w:val="21"/>
          <w:szCs w:val="21"/>
          <w:highlight w:val="none"/>
          <w:u w:val="single"/>
          <w:shd w:val="clear" w:color="auto" w:fill="auto"/>
        </w:rPr>
        <w:t xml:space="preserve">                              ；</w:t>
      </w:r>
    </w:p>
    <w:p w14:paraId="241B1E1E">
      <w:pPr>
        <w:pageBreakBefore w:val="0"/>
        <w:kinsoku/>
        <w:wordWrap/>
        <w:overflowPunct/>
        <w:topLinePunct w:val="0"/>
        <w:bidi w:val="0"/>
        <w:snapToGrid w:val="0"/>
        <w:spacing w:line="400" w:lineRule="exact"/>
        <w:ind w:left="0" w:leftChars="0" w:right="0" w:rightChars="0"/>
        <w:textAlignment w:val="auto"/>
        <w:outlineLvl w:val="2"/>
        <w:rPr>
          <w:rFonts w:cs="宋体"/>
          <w:color w:val="auto"/>
          <w:sz w:val="21"/>
          <w:szCs w:val="21"/>
          <w:highlight w:val="none"/>
        </w:rPr>
      </w:pPr>
      <w:r>
        <w:rPr>
          <w:rFonts w:hint="eastAsia" w:cs="宋体"/>
          <w:color w:val="auto"/>
          <w:sz w:val="21"/>
          <w:szCs w:val="21"/>
          <w:highlight w:val="none"/>
        </w:rPr>
        <w:t>7. 工期和进度</w:t>
      </w:r>
      <w:bookmarkEnd w:id="173"/>
    </w:p>
    <w:p w14:paraId="168F949A">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7.1 施工组织设计</w:t>
      </w:r>
    </w:p>
    <w:p w14:paraId="2DDD7732">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ascii="宋体" w:cs="宋体"/>
          <w:color w:val="auto"/>
          <w:sz w:val="21"/>
          <w:szCs w:val="21"/>
          <w:highlight w:val="none"/>
          <w:u w:val="single"/>
          <w:shd w:val="clear" w:color="auto" w:fill="auto"/>
        </w:rPr>
        <w:t>本工程需按照总进度计划编制每月施工进度计划，经监理、发包人审批后作为进度考核和进度款支付的依据</w:t>
      </w:r>
      <w:r>
        <w:rPr>
          <w:rFonts w:hint="eastAsia" w:cs="宋体"/>
          <w:color w:val="auto"/>
          <w:sz w:val="21"/>
          <w:szCs w:val="21"/>
          <w:highlight w:val="none"/>
          <w:u w:val="single"/>
        </w:rPr>
        <w:t>。</w:t>
      </w:r>
    </w:p>
    <w:p w14:paraId="2E5AB2F1">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7.1.2 施工组织设计的提交和修改</w:t>
      </w:r>
    </w:p>
    <w:p w14:paraId="7C3BCABD">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ascii="宋体" w:cs="宋体"/>
          <w:color w:val="auto"/>
          <w:sz w:val="21"/>
          <w:szCs w:val="21"/>
          <w:highlight w:val="none"/>
          <w:u w:val="single"/>
          <w:shd w:val="clear" w:color="auto" w:fill="auto"/>
        </w:rPr>
        <w:t>图纸会审及设计交底后一周内提供标后实施性施工组织设计</w:t>
      </w:r>
      <w:r>
        <w:rPr>
          <w:rFonts w:hint="eastAsia" w:cs="宋体"/>
          <w:color w:val="auto"/>
          <w:sz w:val="21"/>
          <w:szCs w:val="21"/>
          <w:highlight w:val="none"/>
        </w:rPr>
        <w:t>。</w:t>
      </w:r>
    </w:p>
    <w:p w14:paraId="050FA0DD">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ascii="宋体" w:cs="宋体"/>
          <w:color w:val="auto"/>
          <w:sz w:val="21"/>
          <w:szCs w:val="21"/>
          <w:highlight w:val="none"/>
          <w:u w:val="single"/>
          <w:shd w:val="clear" w:color="auto" w:fill="auto"/>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r>
        <w:rPr>
          <w:rFonts w:hint="eastAsia" w:cs="宋体"/>
          <w:color w:val="auto"/>
          <w:sz w:val="21"/>
          <w:szCs w:val="21"/>
          <w:highlight w:val="none"/>
        </w:rPr>
        <w:t>。</w:t>
      </w:r>
    </w:p>
    <w:p w14:paraId="073EA07D">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w:t>
      </w:r>
      <w:bookmarkStart w:id="174" w:name="_Toc300934966"/>
      <w:bookmarkStart w:id="175" w:name="_Toc304295541"/>
      <w:bookmarkStart w:id="176" w:name="_Toc297123514"/>
      <w:bookmarkStart w:id="177" w:name="_Toc312677479"/>
      <w:bookmarkStart w:id="178" w:name="_Toc303539123"/>
      <w:bookmarkStart w:id="179" w:name="_Toc297216173"/>
      <w:bookmarkStart w:id="180" w:name="_Toc312678005"/>
      <w:r>
        <w:rPr>
          <w:rFonts w:hint="eastAsia" w:cs="宋体"/>
          <w:bCs/>
          <w:color w:val="auto"/>
          <w:sz w:val="21"/>
          <w:szCs w:val="21"/>
          <w:highlight w:val="none"/>
        </w:rPr>
        <w:t>.2 施工进度计划</w:t>
      </w:r>
    </w:p>
    <w:p w14:paraId="23426007">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7.2.2 施工进度计划的修订</w:t>
      </w:r>
    </w:p>
    <w:p w14:paraId="0153D5A6">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发包人和监理人在收到修订的施工进度计划后确认或提出修改意见的期限：</w:t>
      </w:r>
      <w:r>
        <w:rPr>
          <w:rFonts w:hint="eastAsia" w:ascii="宋体" w:cs="宋体"/>
          <w:color w:val="auto"/>
          <w:sz w:val="21"/>
          <w:szCs w:val="21"/>
          <w:highlight w:val="none"/>
          <w:u w:val="single"/>
          <w:shd w:val="clear" w:color="auto" w:fill="auto"/>
        </w:rPr>
        <w:t>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r>
        <w:rPr>
          <w:rFonts w:hint="eastAsia" w:cs="宋体"/>
          <w:color w:val="auto"/>
          <w:sz w:val="21"/>
          <w:szCs w:val="21"/>
          <w:highlight w:val="none"/>
        </w:rPr>
        <w:t>。</w:t>
      </w:r>
    </w:p>
    <w:p w14:paraId="6A8B6606">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7.3 开工</w:t>
      </w:r>
    </w:p>
    <w:p w14:paraId="346DB454">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7.3.1 开工准备</w:t>
      </w:r>
    </w:p>
    <w:p w14:paraId="2B3D2216">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ascii="宋体" w:cs="宋体"/>
          <w:color w:val="auto"/>
          <w:sz w:val="21"/>
          <w:szCs w:val="21"/>
          <w:highlight w:val="none"/>
          <w:u w:val="single"/>
          <w:shd w:val="clear" w:color="auto" w:fill="auto"/>
        </w:rPr>
        <w:t>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r>
        <w:rPr>
          <w:rFonts w:hint="eastAsia" w:cs="宋体"/>
          <w:color w:val="auto"/>
          <w:sz w:val="21"/>
          <w:szCs w:val="21"/>
          <w:highlight w:val="none"/>
        </w:rPr>
        <w:t>。</w:t>
      </w:r>
    </w:p>
    <w:p w14:paraId="271AD4EE">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ascii="宋体" w:cs="宋体"/>
          <w:color w:val="auto"/>
          <w:sz w:val="21"/>
          <w:szCs w:val="21"/>
          <w:highlight w:val="none"/>
          <w:u w:val="single"/>
          <w:shd w:val="clear" w:color="auto" w:fill="auto"/>
        </w:rPr>
        <w:t>合同当事人应按约定完成开工准备工作</w:t>
      </w:r>
      <w:r>
        <w:rPr>
          <w:rFonts w:hint="eastAsia" w:cs="宋体"/>
          <w:color w:val="auto"/>
          <w:sz w:val="21"/>
          <w:szCs w:val="21"/>
          <w:highlight w:val="none"/>
        </w:rPr>
        <w:t>。</w:t>
      </w:r>
    </w:p>
    <w:p w14:paraId="35875BA7">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ascii="宋体" w:cs="宋体"/>
          <w:color w:val="auto"/>
          <w:sz w:val="21"/>
          <w:szCs w:val="21"/>
          <w:highlight w:val="none"/>
          <w:u w:val="single"/>
          <w:shd w:val="clear" w:color="auto" w:fill="auto"/>
        </w:rPr>
        <w:t>合同当事人应按约定完成开工准备工作</w:t>
      </w:r>
      <w:r>
        <w:rPr>
          <w:rFonts w:hint="eastAsia" w:cs="宋体"/>
          <w:color w:val="auto"/>
          <w:sz w:val="21"/>
          <w:szCs w:val="21"/>
          <w:highlight w:val="none"/>
        </w:rPr>
        <w:t>。</w:t>
      </w:r>
    </w:p>
    <w:p w14:paraId="076DD3B5">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7.3.2 开工通知</w:t>
      </w:r>
    </w:p>
    <w:p w14:paraId="76023B5B">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90</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bookmarkEnd w:id="174"/>
    <w:bookmarkEnd w:id="175"/>
    <w:bookmarkEnd w:id="176"/>
    <w:bookmarkEnd w:id="177"/>
    <w:bookmarkEnd w:id="178"/>
    <w:bookmarkEnd w:id="179"/>
    <w:bookmarkEnd w:id="180"/>
    <w:p w14:paraId="2DD312A1">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7.4 测量放线</w:t>
      </w:r>
    </w:p>
    <w:p w14:paraId="521B4481">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ascii="宋体" w:cs="宋体"/>
          <w:color w:val="auto"/>
          <w:sz w:val="21"/>
          <w:szCs w:val="21"/>
          <w:highlight w:val="none"/>
          <w:shd w:val="clear" w:color="auto" w:fill="auto"/>
        </w:rPr>
        <w:t>7.4.1发包人通过监理人向承包人提供测量基准点、基准线和水准点及其书面资料的期限：</w:t>
      </w:r>
      <w:r>
        <w:rPr>
          <w:rFonts w:hint="eastAsia" w:ascii="宋体" w:cs="宋体"/>
          <w:color w:val="auto"/>
          <w:sz w:val="21"/>
          <w:szCs w:val="21"/>
          <w:highlight w:val="none"/>
          <w:u w:val="single"/>
          <w:shd w:val="clear" w:color="auto" w:fill="auto"/>
        </w:rPr>
        <w:t xml:space="preserve"> </w:t>
      </w:r>
      <w:r>
        <w:rPr>
          <w:rFonts w:hint="eastAsia" w:ascii="宋体" w:hAnsi="宋体" w:cs="宋体"/>
          <w:color w:val="auto"/>
          <w:sz w:val="21"/>
          <w:szCs w:val="21"/>
          <w:highlight w:val="none"/>
          <w:u w:val="single"/>
          <w:shd w:val="clear" w:color="auto" w:fill="auto"/>
        </w:rPr>
        <w:t>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r>
        <w:rPr>
          <w:rFonts w:hint="eastAsia" w:cs="宋体"/>
          <w:color w:val="auto"/>
          <w:sz w:val="21"/>
          <w:szCs w:val="21"/>
          <w:highlight w:val="none"/>
        </w:rPr>
        <w:t>。</w:t>
      </w:r>
    </w:p>
    <w:p w14:paraId="6395E1EE">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w:t>
      </w:r>
      <w:bookmarkStart w:id="181" w:name="_Toc297216175"/>
      <w:bookmarkStart w:id="182" w:name="_Toc300934968"/>
      <w:bookmarkStart w:id="183" w:name="_Toc312678010"/>
      <w:bookmarkStart w:id="184" w:name="_Toc303539125"/>
      <w:bookmarkStart w:id="185" w:name="_Toc297123516"/>
      <w:bookmarkStart w:id="186" w:name="_Toc304295546"/>
      <w:bookmarkStart w:id="187" w:name="_Toc312677484"/>
      <w:r>
        <w:rPr>
          <w:rFonts w:hint="eastAsia" w:cs="宋体"/>
          <w:bCs/>
          <w:color w:val="auto"/>
          <w:sz w:val="21"/>
          <w:szCs w:val="21"/>
          <w:highlight w:val="none"/>
        </w:rPr>
        <w:t>.5 工期延误</w:t>
      </w:r>
    </w:p>
    <w:bookmarkEnd w:id="181"/>
    <w:bookmarkEnd w:id="182"/>
    <w:bookmarkEnd w:id="183"/>
    <w:bookmarkEnd w:id="184"/>
    <w:bookmarkEnd w:id="185"/>
    <w:bookmarkEnd w:id="186"/>
    <w:bookmarkEnd w:id="187"/>
    <w:p w14:paraId="45F2EADE">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7.5.1 因发包人原因导致工期延误</w:t>
      </w:r>
    </w:p>
    <w:p w14:paraId="79A84FE7">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 xml:space="preserve">无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240F4EC">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7</w:t>
      </w:r>
      <w:bookmarkStart w:id="188" w:name="_Toc312678012"/>
      <w:bookmarkStart w:id="189" w:name="_Toc318581169"/>
      <w:bookmarkStart w:id="190" w:name="_Toc312677486"/>
      <w:bookmarkStart w:id="191" w:name="_Toc297123518"/>
      <w:bookmarkStart w:id="192" w:name="_Toc303539127"/>
      <w:bookmarkStart w:id="193" w:name="_Toc304295548"/>
      <w:bookmarkStart w:id="194" w:name="_Toc297216177"/>
      <w:bookmarkStart w:id="195" w:name="_Toc300934970"/>
      <w:r>
        <w:rPr>
          <w:rFonts w:hint="eastAsia" w:cs="宋体"/>
          <w:color w:val="auto"/>
          <w:sz w:val="21"/>
          <w:szCs w:val="21"/>
          <w:highlight w:val="none"/>
        </w:rPr>
        <w:t>.5.2 因承包人原因导致工期延误</w:t>
      </w:r>
    </w:p>
    <w:bookmarkEnd w:id="188"/>
    <w:bookmarkEnd w:id="189"/>
    <w:bookmarkEnd w:id="190"/>
    <w:p w14:paraId="06008458">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因</w:t>
      </w:r>
      <w:bookmarkStart w:id="196" w:name="_Toc312677487"/>
      <w:bookmarkStart w:id="197" w:name="_Toc312678013"/>
      <w:bookmarkStart w:id="198" w:name="_Toc318581170"/>
      <w:r>
        <w:rPr>
          <w:rFonts w:hint="eastAsia" w:cs="宋体"/>
          <w:color w:val="auto"/>
          <w:sz w:val="21"/>
          <w:szCs w:val="21"/>
          <w:highlight w:val="none"/>
        </w:rPr>
        <w:t>承包人原因造成工期延误，逾期竣工违约金的计算方法为：</w:t>
      </w:r>
      <w:r>
        <w:rPr>
          <w:rFonts w:hint="eastAsia"/>
          <w:color w:val="auto"/>
          <w:sz w:val="21"/>
          <w:szCs w:val="21"/>
          <w:highlight w:val="none"/>
          <w:u w:val="single"/>
          <w:shd w:val="clear" w:color="auto" w:fill="auto"/>
        </w:rPr>
        <w:t>因承包人原因造成合同工期延误，</w:t>
      </w:r>
      <w:r>
        <w:rPr>
          <w:rFonts w:hint="eastAsia"/>
          <w:color w:val="auto"/>
          <w:sz w:val="21"/>
          <w:szCs w:val="21"/>
          <w:highlight w:val="none"/>
          <w:u w:val="single"/>
          <w:shd w:val="clear" w:color="auto" w:fill="auto"/>
          <w:lang w:val="en-US" w:eastAsia="zh-CN"/>
        </w:rPr>
        <w:t>每推迟一天，按合同价款（扣除暂估价和暂列金）万分之二处以违约金</w:t>
      </w:r>
      <w:r>
        <w:rPr>
          <w:rFonts w:hint="eastAsia"/>
          <w:color w:val="auto"/>
          <w:sz w:val="21"/>
          <w:szCs w:val="21"/>
          <w:highlight w:val="none"/>
          <w:u w:val="single"/>
          <w:shd w:val="clear" w:color="auto" w:fill="auto"/>
        </w:rPr>
        <w:t>；月工程量未完成的当期不得请款，当月未完成的工程量纳入下月一并完成，完不成的仍不予请款，依此类推。连续两个月工程量未完成的立即限制承包人一年内不得参与发包人项目投标</w:t>
      </w:r>
      <w:r>
        <w:rPr>
          <w:rFonts w:hint="eastAsia" w:cs="宋体"/>
          <w:color w:val="auto"/>
          <w:sz w:val="21"/>
          <w:szCs w:val="21"/>
          <w:highlight w:val="none"/>
        </w:rPr>
        <w:t>。</w:t>
      </w:r>
      <w:bookmarkEnd w:id="191"/>
      <w:bookmarkEnd w:id="192"/>
      <w:bookmarkEnd w:id="193"/>
      <w:bookmarkEnd w:id="194"/>
      <w:bookmarkEnd w:id="195"/>
      <w:bookmarkEnd w:id="196"/>
      <w:bookmarkEnd w:id="197"/>
    </w:p>
    <w:bookmarkEnd w:id="198"/>
    <w:p w14:paraId="288A1E2F">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b/>
          <w:color w:val="auto"/>
          <w:sz w:val="21"/>
          <w:szCs w:val="21"/>
          <w:highlight w:val="none"/>
          <w:u w:val="single"/>
        </w:rPr>
      </w:pPr>
      <w:r>
        <w:rPr>
          <w:rFonts w:hint="eastAsia" w:cs="宋体"/>
          <w:color w:val="auto"/>
          <w:sz w:val="21"/>
          <w:szCs w:val="21"/>
          <w:highlight w:val="none"/>
        </w:rPr>
        <w:t>因承包人原因造成工期延误，逾</w:t>
      </w:r>
      <w:bookmarkStart w:id="199" w:name="_Toc312678014"/>
      <w:bookmarkStart w:id="200" w:name="_Toc318581171"/>
      <w:r>
        <w:rPr>
          <w:rFonts w:hint="eastAsia" w:cs="宋体"/>
          <w:color w:val="auto"/>
          <w:sz w:val="21"/>
          <w:szCs w:val="21"/>
          <w:highlight w:val="none"/>
        </w:rPr>
        <w:t>期竣工违约金的上限：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199"/>
    <w:bookmarkEnd w:id="200"/>
    <w:p w14:paraId="738C8133">
      <w:pPr>
        <w:pStyle w:val="2"/>
        <w:pageBreakBefore w:val="0"/>
        <w:kinsoku/>
        <w:wordWrap/>
        <w:overflowPunct/>
        <w:topLinePunct w:val="0"/>
        <w:bidi w:val="0"/>
        <w:spacing w:after="0" w:afterLines="0" w:line="400" w:lineRule="exact"/>
        <w:ind w:left="0" w:leftChars="0" w:right="0" w:rightChars="0"/>
        <w:textAlignment w:val="auto"/>
        <w:rPr>
          <w:rFonts w:hint="eastAsia" w:cs="宋体"/>
          <w:color w:val="auto"/>
          <w:sz w:val="21"/>
          <w:szCs w:val="21"/>
          <w:highlight w:val="none"/>
          <w:shd w:val="clear" w:color="auto" w:fill="auto"/>
        </w:rPr>
      </w:pPr>
      <w:r>
        <w:rPr>
          <w:rFonts w:hint="eastAsia" w:cs="宋体"/>
          <w:bCs/>
          <w:color w:val="auto"/>
          <w:sz w:val="21"/>
          <w:szCs w:val="21"/>
          <w:highlight w:val="none"/>
          <w:shd w:val="clear" w:color="auto" w:fill="auto"/>
          <w:lang w:val="en-US" w:eastAsia="zh-CN"/>
        </w:rPr>
        <w:t>发包人</w:t>
      </w:r>
      <w:r>
        <w:rPr>
          <w:rFonts w:hint="eastAsia" w:cs="宋体"/>
          <w:bCs/>
          <w:color w:val="auto"/>
          <w:sz w:val="21"/>
          <w:szCs w:val="21"/>
          <w:highlight w:val="none"/>
          <w:shd w:val="clear" w:color="auto" w:fill="auto"/>
        </w:rPr>
        <w:t>根据拖延工期的严重程度采用以下方法处理:</w:t>
      </w:r>
    </w:p>
    <w:p w14:paraId="1D8E1C31">
      <w:pPr>
        <w:pageBreakBefore w:val="0"/>
        <w:widowControl/>
        <w:kinsoku/>
        <w:wordWrap/>
        <w:overflowPunct/>
        <w:topLinePunct w:val="0"/>
        <w:bidi w:val="0"/>
        <w:snapToGrid w:val="0"/>
        <w:spacing w:line="400" w:lineRule="exact"/>
        <w:ind w:left="0" w:leftChars="0" w:right="0" w:rightChars="0" w:firstLine="420" w:firstLineChars="200"/>
        <w:textAlignment w:val="auto"/>
        <w:rPr>
          <w:rFonts w:hint="eastAsia" w:ascii="宋体" w:cs="宋体"/>
          <w:bCs/>
          <w:color w:val="auto"/>
          <w:sz w:val="21"/>
          <w:szCs w:val="21"/>
          <w:highlight w:val="none"/>
          <w:u w:val="single"/>
          <w:shd w:val="clear" w:color="auto" w:fill="auto"/>
        </w:rPr>
      </w:pPr>
      <w:r>
        <w:rPr>
          <w:rFonts w:hint="eastAsia" w:ascii="宋体" w:cs="宋体"/>
          <w:color w:val="auto"/>
          <w:sz w:val="21"/>
          <w:szCs w:val="21"/>
          <w:highlight w:val="none"/>
          <w:u w:val="none"/>
          <w:shd w:val="clear" w:color="auto" w:fill="auto"/>
        </w:rPr>
        <w:t>（1）</w:t>
      </w:r>
      <w:r>
        <w:rPr>
          <w:rFonts w:hint="eastAsia" w:ascii="宋体" w:cs="宋体"/>
          <w:bCs/>
          <w:color w:val="auto"/>
          <w:sz w:val="21"/>
          <w:szCs w:val="21"/>
          <w:highlight w:val="none"/>
          <w:u w:val="single"/>
          <w:shd w:val="clear" w:color="auto" w:fill="auto"/>
        </w:rPr>
        <w:t>督促承包人采取有效的赶工措施（费用自理）；</w:t>
      </w:r>
    </w:p>
    <w:p w14:paraId="1D8A2851">
      <w:pPr>
        <w:pageBreakBefore w:val="0"/>
        <w:kinsoku/>
        <w:wordWrap/>
        <w:overflowPunct/>
        <w:topLinePunct w:val="0"/>
        <w:bidi w:val="0"/>
        <w:snapToGrid w:val="0"/>
        <w:spacing w:line="400" w:lineRule="exact"/>
        <w:ind w:left="0" w:leftChars="0" w:right="0" w:rightChars="0" w:firstLine="420" w:firstLineChars="200"/>
        <w:textAlignment w:val="auto"/>
        <w:rPr>
          <w:rFonts w:hint="eastAsia" w:ascii="宋体" w:cs="宋体"/>
          <w:color w:val="auto"/>
          <w:sz w:val="21"/>
          <w:szCs w:val="21"/>
          <w:highlight w:val="none"/>
          <w:u w:val="single"/>
          <w:shd w:val="clear" w:color="auto" w:fill="auto"/>
        </w:rPr>
      </w:pPr>
      <w:r>
        <w:rPr>
          <w:rFonts w:hint="eastAsia" w:ascii="宋体" w:hAnsi="宋体" w:eastAsia="宋体" w:cs="宋体"/>
          <w:color w:val="auto"/>
          <w:sz w:val="21"/>
          <w:szCs w:val="21"/>
          <w:highlight w:val="none"/>
          <w:shd w:val="clear" w:color="auto" w:fill="auto"/>
        </w:rPr>
        <w:t>（2）</w:t>
      </w:r>
      <w:r>
        <w:rPr>
          <w:rFonts w:hint="eastAsia" w:ascii="宋体" w:hAnsi="宋体" w:eastAsia="宋体" w:cs="宋体"/>
          <w:color w:val="auto"/>
          <w:position w:val="6"/>
          <w:sz w:val="21"/>
          <w:szCs w:val="21"/>
          <w:highlight w:val="none"/>
          <w:u w:val="single"/>
          <w:shd w:val="clear" w:color="auto" w:fill="auto"/>
        </w:rPr>
        <w:t>发包人根据本项目总体施工计划对工程各分部分项工程的进度目标确定之后</w:t>
      </w:r>
      <w:r>
        <w:rPr>
          <w:rFonts w:hint="eastAsia" w:ascii="宋体" w:hAnsi="宋体" w:eastAsia="宋体" w:cs="宋体"/>
          <w:color w:val="auto"/>
          <w:sz w:val="21"/>
          <w:szCs w:val="21"/>
          <w:highlight w:val="none"/>
          <w:u w:val="single"/>
          <w:shd w:val="clear" w:color="auto" w:fill="auto"/>
        </w:rPr>
        <w:t>，</w:t>
      </w:r>
      <w:r>
        <w:rPr>
          <w:rFonts w:hint="eastAsia" w:ascii="宋体" w:hAnsi="宋体" w:eastAsia="宋体" w:cs="宋体"/>
          <w:color w:val="auto"/>
          <w:position w:val="6"/>
          <w:sz w:val="21"/>
          <w:szCs w:val="21"/>
          <w:highlight w:val="none"/>
          <w:u w:val="single"/>
          <w:shd w:val="clear" w:color="auto" w:fill="auto"/>
        </w:rPr>
        <w:t>承包人应采取各种措施确保本合同内各分部分项工程进度目标的实现</w:t>
      </w:r>
      <w:r>
        <w:rPr>
          <w:rFonts w:hint="eastAsia" w:ascii="宋体" w:hAnsi="宋体" w:eastAsia="宋体" w:cs="宋体"/>
          <w:color w:val="auto"/>
          <w:sz w:val="21"/>
          <w:szCs w:val="21"/>
          <w:highlight w:val="none"/>
          <w:u w:val="single"/>
          <w:shd w:val="clear" w:color="auto" w:fill="auto"/>
        </w:rPr>
        <w:t>，</w:t>
      </w:r>
      <w:r>
        <w:rPr>
          <w:rFonts w:hint="eastAsia" w:ascii="宋体" w:hAnsi="宋体" w:eastAsia="宋体" w:cs="宋体"/>
          <w:color w:val="auto"/>
          <w:position w:val="6"/>
          <w:sz w:val="21"/>
          <w:szCs w:val="21"/>
          <w:highlight w:val="none"/>
          <w:u w:val="single"/>
          <w:shd w:val="clear" w:color="auto" w:fill="auto"/>
        </w:rPr>
        <w:t>如果在工程实施某个分部分项工程，承包人的实际进度滞后该分部分项工程进度目标7天以上</w:t>
      </w:r>
      <w:r>
        <w:rPr>
          <w:rFonts w:hint="eastAsia" w:ascii="宋体" w:hAnsi="宋体" w:eastAsia="宋体" w:cs="宋体"/>
          <w:color w:val="auto"/>
          <w:sz w:val="21"/>
          <w:szCs w:val="21"/>
          <w:highlight w:val="none"/>
          <w:u w:val="single"/>
          <w:shd w:val="clear" w:color="auto" w:fill="auto"/>
        </w:rPr>
        <w:t>，</w:t>
      </w:r>
      <w:r>
        <w:rPr>
          <w:rFonts w:hint="eastAsia" w:ascii="宋体" w:hAnsi="宋体" w:eastAsia="宋体" w:cs="宋体"/>
          <w:color w:val="auto"/>
          <w:position w:val="6"/>
          <w:sz w:val="21"/>
          <w:szCs w:val="21"/>
          <w:highlight w:val="none"/>
          <w:u w:val="single"/>
          <w:shd w:val="clear" w:color="auto" w:fill="auto"/>
        </w:rPr>
        <w:t>并无法确保该分部分项工程进度目标的完成或承包人虽采取了一些措施，但仍无法按交工期交工时</w:t>
      </w:r>
      <w:r>
        <w:rPr>
          <w:rFonts w:hint="eastAsia" w:ascii="宋体" w:hAnsi="宋体" w:eastAsia="宋体" w:cs="宋体"/>
          <w:color w:val="auto"/>
          <w:sz w:val="21"/>
          <w:szCs w:val="21"/>
          <w:highlight w:val="none"/>
          <w:u w:val="single"/>
          <w:shd w:val="clear" w:color="auto" w:fill="auto"/>
        </w:rPr>
        <w:t>，</w:t>
      </w:r>
      <w:r>
        <w:rPr>
          <w:rFonts w:hint="eastAsia" w:ascii="宋体" w:hAnsi="宋体" w:eastAsia="宋体" w:cs="宋体"/>
          <w:color w:val="auto"/>
          <w:position w:val="6"/>
          <w:sz w:val="21"/>
          <w:szCs w:val="21"/>
          <w:highlight w:val="none"/>
          <w:u w:val="single"/>
          <w:shd w:val="clear" w:color="auto" w:fill="auto"/>
        </w:rPr>
        <w:t>监理工程师应立即通知发包人，并抄送承包人。发包人向承包人发出书面警告通知3天后</w:t>
      </w:r>
      <w:r>
        <w:rPr>
          <w:rFonts w:hint="eastAsia" w:ascii="宋体" w:hAnsi="宋体" w:eastAsia="宋体" w:cs="宋体"/>
          <w:color w:val="auto"/>
          <w:sz w:val="21"/>
          <w:szCs w:val="21"/>
          <w:highlight w:val="none"/>
          <w:u w:val="single"/>
          <w:shd w:val="clear" w:color="auto" w:fill="auto"/>
        </w:rPr>
        <w:t>，</w:t>
      </w:r>
      <w:r>
        <w:rPr>
          <w:rFonts w:hint="eastAsia" w:ascii="宋体" w:hAnsi="宋体" w:eastAsia="宋体" w:cs="宋体"/>
          <w:color w:val="auto"/>
          <w:position w:val="6"/>
          <w:sz w:val="21"/>
          <w:szCs w:val="21"/>
          <w:highlight w:val="none"/>
          <w:u w:val="single"/>
          <w:shd w:val="clear" w:color="auto" w:fill="auto"/>
        </w:rPr>
        <w:t>发包人有权终止合同，也可将本合同工程中的一部分或剩余工作交由其他承包人或指定分包人完成</w:t>
      </w:r>
      <w:r>
        <w:rPr>
          <w:rFonts w:hint="eastAsia" w:ascii="宋体" w:hAnsi="宋体" w:eastAsia="宋体" w:cs="宋体"/>
          <w:color w:val="auto"/>
          <w:sz w:val="21"/>
          <w:szCs w:val="21"/>
          <w:highlight w:val="none"/>
          <w:u w:val="single"/>
          <w:shd w:val="clear" w:color="auto" w:fill="auto"/>
        </w:rPr>
        <w:t>，</w:t>
      </w:r>
      <w:r>
        <w:rPr>
          <w:rFonts w:hint="eastAsia" w:ascii="宋体" w:hAnsi="宋体" w:eastAsia="宋体" w:cs="宋体"/>
          <w:color w:val="auto"/>
          <w:position w:val="6"/>
          <w:sz w:val="21"/>
          <w:szCs w:val="21"/>
          <w:highlight w:val="none"/>
          <w:u w:val="single"/>
          <w:shd w:val="clear" w:color="auto" w:fill="auto"/>
        </w:rPr>
        <w:t>因此所增加的一切费用由原承包人承担</w:t>
      </w:r>
      <w:r>
        <w:rPr>
          <w:rFonts w:hint="eastAsia" w:ascii="宋体" w:hAnsi="宋体" w:eastAsia="宋体" w:cs="宋体"/>
          <w:color w:val="auto"/>
          <w:sz w:val="21"/>
          <w:szCs w:val="21"/>
          <w:highlight w:val="none"/>
          <w:u w:val="single"/>
          <w:shd w:val="clear" w:color="auto" w:fill="auto"/>
        </w:rPr>
        <w:t>。</w:t>
      </w:r>
    </w:p>
    <w:p w14:paraId="1CD6C181">
      <w:pPr>
        <w:pageBreakBefore w:val="0"/>
        <w:kinsoku/>
        <w:wordWrap/>
        <w:overflowPunct/>
        <w:topLinePunct w:val="0"/>
        <w:bidi w:val="0"/>
        <w:snapToGrid w:val="0"/>
        <w:spacing w:line="400" w:lineRule="exact"/>
        <w:ind w:left="0" w:leftChars="0" w:right="0" w:rightChars="0" w:firstLine="420" w:firstLineChars="200"/>
        <w:jc w:val="left"/>
        <w:textAlignment w:val="auto"/>
        <w:rPr>
          <w:rFonts w:hint="eastAsia" w:cs="宋体"/>
          <w:bCs/>
          <w:color w:val="auto"/>
          <w:sz w:val="21"/>
          <w:szCs w:val="21"/>
          <w:highlight w:val="none"/>
        </w:rPr>
      </w:pPr>
      <w:r>
        <w:rPr>
          <w:rFonts w:hint="eastAsia" w:ascii="宋体" w:cs="宋体"/>
          <w:color w:val="auto"/>
          <w:sz w:val="21"/>
          <w:szCs w:val="21"/>
          <w:highlight w:val="none"/>
          <w:u w:val="single"/>
          <w:shd w:val="clear" w:color="auto" w:fill="auto"/>
        </w:rPr>
        <w:t>（3）</w:t>
      </w:r>
      <w:r>
        <w:rPr>
          <w:rFonts w:hint="eastAsia" w:ascii="宋体" w:cs="宋体"/>
          <w:bCs/>
          <w:color w:val="auto"/>
          <w:sz w:val="21"/>
          <w:szCs w:val="21"/>
          <w:highlight w:val="none"/>
          <w:u w:val="single"/>
          <w:shd w:val="clear" w:color="auto" w:fill="auto"/>
        </w:rPr>
        <w:t>对严重拖延工期，经发包人多次督促，承包人拒不执行的，发包人可中止施工合同，并和承包人进行清算。同时按原</w:t>
      </w:r>
      <w:r>
        <w:rPr>
          <w:rFonts w:hint="eastAsia" w:ascii="宋体" w:cs="宋体"/>
          <w:bCs/>
          <w:color w:val="auto"/>
          <w:sz w:val="21"/>
          <w:szCs w:val="21"/>
          <w:highlight w:val="none"/>
          <w:u w:val="single"/>
          <w:shd w:val="clear" w:color="auto" w:fill="auto"/>
          <w:lang w:val="en-US" w:eastAsia="zh-CN"/>
        </w:rPr>
        <w:t>成交</w:t>
      </w:r>
      <w:r>
        <w:rPr>
          <w:rFonts w:hint="eastAsia" w:ascii="宋体" w:cs="宋体"/>
          <w:bCs/>
          <w:color w:val="auto"/>
          <w:sz w:val="21"/>
          <w:szCs w:val="21"/>
          <w:highlight w:val="none"/>
          <w:u w:val="single"/>
          <w:shd w:val="clear" w:color="auto" w:fill="auto"/>
        </w:rPr>
        <w:t xml:space="preserve">价格另选同样资质的施工队伍进场施工，原承包人须无条件配合，不得以任何借口阻挠另选的施工队伍施工，不得向发包人提出任何索赔要求，详见补充条款。  </w:t>
      </w:r>
    </w:p>
    <w:p w14:paraId="110BAB96">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w:t>
      </w:r>
      <w:bookmarkStart w:id="201" w:name="_Toc300934971"/>
      <w:bookmarkStart w:id="202" w:name="_Toc304295549"/>
      <w:bookmarkStart w:id="203" w:name="_Toc303539128"/>
      <w:bookmarkStart w:id="204" w:name="_Toc312678015"/>
      <w:bookmarkStart w:id="205" w:name="_Toc297123519"/>
      <w:bookmarkStart w:id="206" w:name="_Toc297216178"/>
      <w:r>
        <w:rPr>
          <w:rFonts w:hint="eastAsia" w:cs="宋体"/>
          <w:bCs/>
          <w:color w:val="auto"/>
          <w:sz w:val="21"/>
          <w:szCs w:val="21"/>
          <w:highlight w:val="none"/>
        </w:rPr>
        <w:t>.6 不</w:t>
      </w:r>
      <w:bookmarkEnd w:id="201"/>
      <w:bookmarkEnd w:id="202"/>
      <w:bookmarkEnd w:id="203"/>
      <w:bookmarkEnd w:id="204"/>
      <w:bookmarkEnd w:id="205"/>
      <w:bookmarkEnd w:id="206"/>
      <w:r>
        <w:rPr>
          <w:rFonts w:hint="eastAsia" w:cs="宋体"/>
          <w:bCs/>
          <w:color w:val="auto"/>
          <w:sz w:val="21"/>
          <w:szCs w:val="21"/>
          <w:highlight w:val="none"/>
        </w:rPr>
        <w:t>利物质条件</w:t>
      </w:r>
    </w:p>
    <w:p w14:paraId="5354BB6D">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b/>
          <w:color w:val="auto"/>
          <w:sz w:val="21"/>
          <w:szCs w:val="21"/>
          <w:highlight w:val="none"/>
          <w:u w:val="single"/>
        </w:rPr>
      </w:pPr>
      <w:bookmarkStart w:id="207" w:name="_Toc303539129"/>
      <w:bookmarkStart w:id="208" w:name="_Toc312678016"/>
      <w:bookmarkStart w:id="209" w:name="_Toc297123520"/>
      <w:bookmarkStart w:id="210" w:name="_Toc304295550"/>
      <w:bookmarkStart w:id="211" w:name="_Toc318581172"/>
      <w:bookmarkStart w:id="212" w:name="_Toc300934972"/>
      <w:bookmarkStart w:id="213" w:name="_Toc297216179"/>
      <w:r>
        <w:rPr>
          <w:rFonts w:hint="eastAsia" w:cs="宋体"/>
          <w:color w:val="auto"/>
          <w:sz w:val="21"/>
          <w:szCs w:val="21"/>
          <w:highlight w:val="none"/>
        </w:rPr>
        <w:t>不利物质条件的其他情形和有关约定：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07"/>
    <w:bookmarkEnd w:id="208"/>
    <w:bookmarkEnd w:id="209"/>
    <w:bookmarkEnd w:id="210"/>
    <w:bookmarkEnd w:id="211"/>
    <w:bookmarkEnd w:id="212"/>
    <w:bookmarkEnd w:id="213"/>
    <w:p w14:paraId="38880B98">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w:t>
      </w:r>
      <w:bookmarkStart w:id="214" w:name="_Toc300934973"/>
      <w:bookmarkStart w:id="215" w:name="_Toc312678017"/>
      <w:bookmarkStart w:id="216" w:name="_Toc303539130"/>
      <w:bookmarkStart w:id="217" w:name="_Toc297123521"/>
      <w:bookmarkStart w:id="218" w:name="_Toc297216180"/>
      <w:bookmarkStart w:id="219" w:name="_Toc304295551"/>
      <w:r>
        <w:rPr>
          <w:rFonts w:hint="eastAsia" w:cs="宋体"/>
          <w:bCs/>
          <w:color w:val="auto"/>
          <w:sz w:val="21"/>
          <w:szCs w:val="21"/>
          <w:highlight w:val="none"/>
        </w:rPr>
        <w:t>.7 异常恶劣的气候条件</w:t>
      </w:r>
    </w:p>
    <w:bookmarkEnd w:id="214"/>
    <w:bookmarkEnd w:id="215"/>
    <w:bookmarkEnd w:id="216"/>
    <w:bookmarkEnd w:id="217"/>
    <w:bookmarkEnd w:id="218"/>
    <w:bookmarkEnd w:id="219"/>
    <w:p w14:paraId="34F09F94">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74A8493F">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403E1B">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6E6D89">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无  </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8720670">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7.9 提前竣工</w:t>
      </w:r>
    </w:p>
    <w:p w14:paraId="4A1DEA4D">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7.9.2 提前竣工的奖励：</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CB99C2F">
      <w:pPr>
        <w:pageBreakBefore w:val="0"/>
        <w:kinsoku/>
        <w:wordWrap/>
        <w:overflowPunct/>
        <w:topLinePunct w:val="0"/>
        <w:bidi w:val="0"/>
        <w:snapToGrid w:val="0"/>
        <w:spacing w:line="400" w:lineRule="exact"/>
        <w:ind w:left="0" w:leftChars="0" w:right="0" w:rightChars="0"/>
        <w:textAlignment w:val="auto"/>
        <w:outlineLvl w:val="2"/>
        <w:rPr>
          <w:rFonts w:cs="宋体"/>
          <w:color w:val="auto"/>
          <w:sz w:val="21"/>
          <w:szCs w:val="21"/>
          <w:highlight w:val="none"/>
        </w:rPr>
      </w:pPr>
      <w:bookmarkStart w:id="220" w:name="_Toc351203640"/>
      <w:r>
        <w:rPr>
          <w:rFonts w:hint="eastAsia" w:cs="宋体"/>
          <w:color w:val="auto"/>
          <w:sz w:val="21"/>
          <w:szCs w:val="21"/>
          <w:highlight w:val="none"/>
        </w:rPr>
        <w:t>8. 材料与设备</w:t>
      </w:r>
      <w:bookmarkEnd w:id="220"/>
    </w:p>
    <w:bookmarkEnd w:id="153"/>
    <w:bookmarkEnd w:id="154"/>
    <w:bookmarkEnd w:id="155"/>
    <w:bookmarkEnd w:id="156"/>
    <w:bookmarkEnd w:id="157"/>
    <w:bookmarkEnd w:id="158"/>
    <w:bookmarkEnd w:id="159"/>
    <w:bookmarkEnd w:id="160"/>
    <w:bookmarkEnd w:id="161"/>
    <w:bookmarkEnd w:id="162"/>
    <w:p w14:paraId="41EF99AE">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8</w:t>
      </w:r>
      <w:bookmarkStart w:id="221" w:name="_Toc304295556"/>
      <w:bookmarkStart w:id="222" w:name="_Toc296347166"/>
      <w:bookmarkStart w:id="223" w:name="_Toc292559372"/>
      <w:bookmarkStart w:id="224" w:name="_Toc312678019"/>
      <w:bookmarkStart w:id="225" w:name="_Toc280868654"/>
      <w:bookmarkStart w:id="226" w:name="_Toc296891207"/>
      <w:bookmarkStart w:id="227" w:name="_Toc297048353"/>
      <w:bookmarkStart w:id="228" w:name="_Toc296890995"/>
      <w:bookmarkStart w:id="229" w:name="_Toc297120467"/>
      <w:bookmarkStart w:id="230" w:name="_Toc297123527"/>
      <w:bookmarkStart w:id="231" w:name="_Toc300934979"/>
      <w:bookmarkStart w:id="232" w:name="_Toc303539136"/>
      <w:bookmarkStart w:id="233" w:name="_Toc312677493"/>
      <w:bookmarkStart w:id="234" w:name="_Toc296346668"/>
      <w:bookmarkStart w:id="235" w:name="_Toc297216186"/>
      <w:bookmarkStart w:id="236" w:name="_Toc292559877"/>
      <w:bookmarkStart w:id="237" w:name="_Toc296944506"/>
      <w:bookmarkStart w:id="238" w:name="_Toc296503167"/>
      <w:bookmarkStart w:id="239" w:name="_Toc280868656"/>
      <w:bookmarkStart w:id="240" w:name="_Toc280868655"/>
      <w:bookmarkStart w:id="241" w:name="_Toc267251424"/>
      <w:r>
        <w:rPr>
          <w:rFonts w:hint="eastAsia" w:cs="宋体"/>
          <w:color w:val="auto"/>
          <w:sz w:val="21"/>
          <w:szCs w:val="21"/>
          <w:highlight w:val="none"/>
        </w:rPr>
        <w:t>.4 材料与工程设备的保管与使用</w:t>
      </w:r>
    </w:p>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14:paraId="080FFBF6">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8</w:t>
      </w:r>
      <w:bookmarkStart w:id="242" w:name="_Toc292559373"/>
      <w:bookmarkStart w:id="243" w:name="_Toc292559878"/>
      <w:bookmarkStart w:id="244" w:name="_Toc318581173"/>
      <w:bookmarkStart w:id="245" w:name="_Toc297216187"/>
      <w:bookmarkStart w:id="246" w:name="_Toc297048354"/>
      <w:bookmarkStart w:id="247" w:name="_Toc296347167"/>
      <w:bookmarkStart w:id="248" w:name="_Toc297123528"/>
      <w:bookmarkStart w:id="249" w:name="_Toc296890996"/>
      <w:bookmarkStart w:id="250" w:name="_Toc296503168"/>
      <w:bookmarkStart w:id="251" w:name="_Toc312678020"/>
      <w:bookmarkStart w:id="252" w:name="_Toc304295557"/>
      <w:bookmarkStart w:id="253" w:name="_Toc297120468"/>
      <w:bookmarkStart w:id="254" w:name="_Toc300934980"/>
      <w:bookmarkStart w:id="255" w:name="_Toc296346669"/>
      <w:bookmarkStart w:id="256" w:name="_Toc296944507"/>
      <w:bookmarkStart w:id="257" w:name="_Toc312677494"/>
      <w:bookmarkStart w:id="258" w:name="_Toc296891208"/>
      <w:bookmarkStart w:id="259" w:name="_Toc303539137"/>
      <w:r>
        <w:rPr>
          <w:rFonts w:hint="eastAsia" w:cs="宋体"/>
          <w:color w:val="auto"/>
          <w:sz w:val="21"/>
          <w:szCs w:val="21"/>
          <w:highlight w:val="none"/>
        </w:rPr>
        <w:t>.4.1 发包人供应的材料设备的保管费用的承担：</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242"/>
      <w:bookmarkEnd w:id="243"/>
    </w:p>
    <w:p w14:paraId="6FFE5AFB">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8.6 样品</w:t>
      </w:r>
    </w:p>
    <w:p w14:paraId="1F1543E2">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8.6.1 样品的报送与封存</w:t>
      </w:r>
    </w:p>
    <w:p w14:paraId="63379825">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DDECC0">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8.8 施工设备和临时设施</w:t>
      </w:r>
    </w:p>
    <w:p w14:paraId="4B4F204E">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8.8.1 承包人提供的施工设备和临时设施</w:t>
      </w:r>
    </w:p>
    <w:p w14:paraId="74728829">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由承包人自行承担费用</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14:paraId="2E145182">
      <w:pPr>
        <w:pageBreakBefore w:val="0"/>
        <w:kinsoku/>
        <w:wordWrap/>
        <w:overflowPunct/>
        <w:topLinePunct w:val="0"/>
        <w:bidi w:val="0"/>
        <w:snapToGrid w:val="0"/>
        <w:spacing w:line="400" w:lineRule="exact"/>
        <w:ind w:left="0" w:leftChars="0" w:right="0" w:rightChars="0"/>
        <w:textAlignment w:val="auto"/>
        <w:outlineLvl w:val="2"/>
        <w:rPr>
          <w:rFonts w:cs="宋体"/>
          <w:color w:val="auto"/>
          <w:sz w:val="21"/>
          <w:szCs w:val="21"/>
          <w:highlight w:val="none"/>
        </w:rPr>
      </w:pPr>
      <w:bookmarkStart w:id="260" w:name="_Toc351203641"/>
      <w:r>
        <w:rPr>
          <w:rFonts w:hint="eastAsia" w:cs="宋体"/>
          <w:color w:val="auto"/>
          <w:sz w:val="21"/>
          <w:szCs w:val="21"/>
          <w:highlight w:val="none"/>
        </w:rPr>
        <w:t>9</w:t>
      </w:r>
      <w:bookmarkEnd w:id="239"/>
      <w:bookmarkEnd w:id="240"/>
      <w:bookmarkEnd w:id="241"/>
      <w:bookmarkStart w:id="261" w:name="_Toc300934982"/>
      <w:bookmarkStart w:id="262" w:name="_Toc303539139"/>
      <w:bookmarkStart w:id="263" w:name="_Toc297123533"/>
      <w:bookmarkStart w:id="264" w:name="_Toc304295559"/>
      <w:bookmarkStart w:id="265" w:name="_Toc312677495"/>
      <w:bookmarkStart w:id="266" w:name="_Toc297216192"/>
      <w:bookmarkStart w:id="267" w:name="_Toc312678021"/>
      <w:bookmarkStart w:id="268" w:name="_Toc296347172"/>
      <w:bookmarkStart w:id="269" w:name="_Toc296346674"/>
      <w:bookmarkStart w:id="270" w:name="_Toc296503173"/>
      <w:bookmarkStart w:id="271" w:name="_Toc267251428"/>
      <w:bookmarkStart w:id="272" w:name="_Toc297048359"/>
      <w:bookmarkStart w:id="273" w:name="_Toc297120473"/>
      <w:bookmarkStart w:id="274" w:name="_Toc292559883"/>
      <w:bookmarkStart w:id="275" w:name="_Toc296891213"/>
      <w:bookmarkStart w:id="276" w:name="_Toc267251427"/>
      <w:bookmarkStart w:id="277" w:name="_Toc296944512"/>
      <w:bookmarkStart w:id="278" w:name="_Toc296891001"/>
      <w:bookmarkStart w:id="279" w:name="_Toc292559378"/>
      <w:r>
        <w:rPr>
          <w:rFonts w:hint="eastAsia" w:cs="宋体"/>
          <w:color w:val="auto"/>
          <w:sz w:val="21"/>
          <w:szCs w:val="21"/>
          <w:highlight w:val="none"/>
        </w:rPr>
        <w:t>. 试验与检验</w:t>
      </w:r>
      <w:bookmarkEnd w:id="260"/>
    </w:p>
    <w:bookmarkEnd w:id="261"/>
    <w:bookmarkEnd w:id="262"/>
    <w:bookmarkEnd w:id="263"/>
    <w:bookmarkEnd w:id="264"/>
    <w:bookmarkEnd w:id="265"/>
    <w:bookmarkEnd w:id="266"/>
    <w:bookmarkEnd w:id="267"/>
    <w:p w14:paraId="6B0BA97C">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9</w:t>
      </w:r>
      <w:bookmarkStart w:id="280" w:name="_Toc303539140"/>
      <w:bookmarkStart w:id="281" w:name="_Toc312677496"/>
      <w:bookmarkStart w:id="282" w:name="_Toc300934983"/>
      <w:bookmarkStart w:id="283" w:name="_Toc297216193"/>
      <w:bookmarkStart w:id="284" w:name="_Toc312678022"/>
      <w:bookmarkStart w:id="285" w:name="_Toc297123534"/>
      <w:bookmarkStart w:id="286" w:name="_Toc304295560"/>
      <w:r>
        <w:rPr>
          <w:rFonts w:hint="eastAsia" w:cs="宋体"/>
          <w:bCs/>
          <w:color w:val="auto"/>
          <w:sz w:val="21"/>
          <w:szCs w:val="21"/>
          <w:highlight w:val="none"/>
        </w:rPr>
        <w:t>.1 试验设备与试验人员</w:t>
      </w:r>
    </w:p>
    <w:bookmarkEnd w:id="280"/>
    <w:bookmarkEnd w:id="281"/>
    <w:bookmarkEnd w:id="282"/>
    <w:bookmarkEnd w:id="283"/>
    <w:bookmarkEnd w:id="284"/>
    <w:bookmarkEnd w:id="285"/>
    <w:bookmarkEnd w:id="286"/>
    <w:p w14:paraId="3CD0171A">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9</w:t>
      </w:r>
      <w:bookmarkStart w:id="287" w:name="_Toc304295561"/>
      <w:bookmarkStart w:id="288" w:name="_Toc312678023"/>
      <w:bookmarkStart w:id="289" w:name="_Toc303539141"/>
      <w:bookmarkStart w:id="290" w:name="_Toc297123535"/>
      <w:bookmarkStart w:id="291" w:name="_Toc312677497"/>
      <w:bookmarkStart w:id="292" w:name="_Toc297216194"/>
      <w:bookmarkStart w:id="293" w:name="_Toc300934984"/>
      <w:bookmarkStart w:id="294" w:name="_Toc318581174"/>
      <w:r>
        <w:rPr>
          <w:rFonts w:hint="eastAsia" w:cs="宋体"/>
          <w:color w:val="auto"/>
          <w:sz w:val="21"/>
          <w:szCs w:val="21"/>
          <w:highlight w:val="none"/>
        </w:rPr>
        <w:t>.1.2 试验设备</w:t>
      </w:r>
    </w:p>
    <w:p w14:paraId="2A35E10D">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施工现场需要配置的试验场所</w:t>
      </w:r>
      <w:bookmarkEnd w:id="287"/>
      <w:bookmarkEnd w:id="288"/>
      <w:bookmarkEnd w:id="289"/>
      <w:bookmarkEnd w:id="290"/>
      <w:bookmarkEnd w:id="291"/>
      <w:bookmarkEnd w:id="292"/>
      <w:bookmarkEnd w:id="293"/>
      <w:bookmarkStart w:id="295" w:name="_Toc312678024"/>
      <w:bookmarkStart w:id="296" w:name="_Toc303539142"/>
      <w:bookmarkStart w:id="297" w:name="_Toc297123536"/>
      <w:bookmarkStart w:id="298" w:name="_Toc312677498"/>
      <w:bookmarkStart w:id="299" w:name="_Toc297216195"/>
      <w:bookmarkStart w:id="300" w:name="_Toc304295562"/>
      <w:bookmarkStart w:id="301" w:name="_Toc300934985"/>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执行采购文件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B54190B">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执行采购文件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627DFC1">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执行采购文件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9973CC0">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595AECA3">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 xml:space="preserve"> 按监理人指示</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94"/>
    <w:bookmarkEnd w:id="295"/>
    <w:bookmarkEnd w:id="296"/>
    <w:bookmarkEnd w:id="297"/>
    <w:bookmarkEnd w:id="298"/>
    <w:bookmarkEnd w:id="299"/>
    <w:bookmarkEnd w:id="300"/>
    <w:bookmarkEnd w:id="301"/>
    <w:p w14:paraId="33FF85E9">
      <w:pPr>
        <w:pageBreakBefore w:val="0"/>
        <w:kinsoku/>
        <w:wordWrap/>
        <w:overflowPunct/>
        <w:topLinePunct w:val="0"/>
        <w:bidi w:val="0"/>
        <w:snapToGrid w:val="0"/>
        <w:spacing w:line="400" w:lineRule="exact"/>
        <w:ind w:left="0" w:leftChars="0" w:right="0" w:rightChars="0"/>
        <w:textAlignment w:val="auto"/>
        <w:outlineLvl w:val="2"/>
        <w:rPr>
          <w:rFonts w:cs="宋体"/>
          <w:color w:val="auto"/>
          <w:sz w:val="21"/>
          <w:szCs w:val="21"/>
          <w:highlight w:val="none"/>
        </w:rPr>
      </w:pPr>
      <w:bookmarkStart w:id="302" w:name="_Toc351203642"/>
      <w:r>
        <w:rPr>
          <w:rFonts w:hint="eastAsia" w:cs="宋体"/>
          <w:color w:val="auto"/>
          <w:sz w:val="21"/>
          <w:szCs w:val="21"/>
          <w:highlight w:val="none"/>
        </w:rPr>
        <w:t>1</w:t>
      </w:r>
      <w:bookmarkEnd w:id="268"/>
      <w:bookmarkEnd w:id="269"/>
      <w:bookmarkEnd w:id="270"/>
      <w:bookmarkEnd w:id="271"/>
      <w:bookmarkEnd w:id="272"/>
      <w:bookmarkEnd w:id="273"/>
      <w:bookmarkEnd w:id="274"/>
      <w:bookmarkEnd w:id="275"/>
      <w:bookmarkEnd w:id="276"/>
      <w:bookmarkEnd w:id="277"/>
      <w:bookmarkEnd w:id="278"/>
      <w:bookmarkEnd w:id="279"/>
      <w:bookmarkStart w:id="303" w:name="_Toc297216199"/>
      <w:bookmarkStart w:id="304" w:name="_Toc303539146"/>
      <w:bookmarkStart w:id="305" w:name="_Toc304295566"/>
      <w:bookmarkStart w:id="306" w:name="_Toc296503193"/>
      <w:bookmarkStart w:id="307" w:name="_Toc297123540"/>
      <w:bookmarkStart w:id="308" w:name="_Toc296346694"/>
      <w:bookmarkStart w:id="309" w:name="_Toc297048379"/>
      <w:bookmarkStart w:id="310" w:name="_Toc296944532"/>
      <w:bookmarkStart w:id="311" w:name="_Toc296891021"/>
      <w:bookmarkStart w:id="312" w:name="_Toc296891233"/>
      <w:bookmarkStart w:id="313" w:name="_Toc297120493"/>
      <w:bookmarkStart w:id="314" w:name="_Toc292559398"/>
      <w:bookmarkStart w:id="315" w:name="_Toc296347192"/>
      <w:bookmarkStart w:id="316" w:name="_Toc300934989"/>
      <w:bookmarkStart w:id="317" w:name="_Toc292559903"/>
      <w:bookmarkStart w:id="318" w:name="_Toc312678025"/>
      <w:bookmarkStart w:id="319" w:name="_Toc312677499"/>
      <w:bookmarkStart w:id="320" w:name="_Toc267251439"/>
      <w:bookmarkStart w:id="321" w:name="_Toc267251440"/>
      <w:bookmarkStart w:id="322" w:name="_Toc267251435"/>
      <w:bookmarkStart w:id="323" w:name="_Toc267251441"/>
      <w:bookmarkStart w:id="324" w:name="_Toc267251437"/>
      <w:bookmarkStart w:id="325" w:name="_Toc267251433"/>
      <w:bookmarkStart w:id="326" w:name="_Toc267251442"/>
      <w:r>
        <w:rPr>
          <w:rFonts w:hint="eastAsia" w:cs="宋体"/>
          <w:color w:val="auto"/>
          <w:sz w:val="21"/>
          <w:szCs w:val="21"/>
          <w:highlight w:val="none"/>
        </w:rPr>
        <w:t>0. 变更</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bookmarkEnd w:id="318"/>
    <w:bookmarkEnd w:id="319"/>
    <w:p w14:paraId="03FB0B39">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w:t>
      </w:r>
      <w:bookmarkStart w:id="327" w:name="_Toc296503194"/>
      <w:bookmarkStart w:id="328" w:name="_Toc303539147"/>
      <w:bookmarkStart w:id="329" w:name="_Toc296944533"/>
      <w:bookmarkStart w:id="330" w:name="_Toc297123541"/>
      <w:bookmarkStart w:id="331" w:name="_Toc304295567"/>
      <w:bookmarkStart w:id="332" w:name="_Toc297216200"/>
      <w:bookmarkStart w:id="333" w:name="_Toc296891234"/>
      <w:bookmarkStart w:id="334" w:name="_Toc312678026"/>
      <w:bookmarkStart w:id="335" w:name="_Toc296891022"/>
      <w:bookmarkStart w:id="336" w:name="_Toc292559904"/>
      <w:bookmarkStart w:id="337" w:name="_Toc292559399"/>
      <w:bookmarkStart w:id="338" w:name="_Toc296347193"/>
      <w:bookmarkStart w:id="339" w:name="_Toc297120494"/>
      <w:bookmarkStart w:id="340" w:name="_Toc300934990"/>
      <w:bookmarkStart w:id="341" w:name="_Toc297048380"/>
      <w:bookmarkStart w:id="342" w:name="_Toc296346695"/>
      <w:bookmarkStart w:id="343" w:name="_Toc312677500"/>
      <w:r>
        <w:rPr>
          <w:rFonts w:hint="eastAsia" w:cs="宋体"/>
          <w:bCs/>
          <w:color w:val="auto"/>
          <w:sz w:val="21"/>
          <w:szCs w:val="21"/>
          <w:highlight w:val="none"/>
        </w:rPr>
        <w:t>0.1 变更的范围</w:t>
      </w:r>
    </w:p>
    <w:p w14:paraId="2D53EE97">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关于变更的范围的约定：</w:t>
      </w:r>
      <w:r>
        <w:rPr>
          <w:rFonts w:hint="eastAsia" w:cs="宋体"/>
          <w:color w:val="auto"/>
          <w:sz w:val="21"/>
          <w:szCs w:val="21"/>
          <w:highlight w:val="none"/>
          <w:u w:val="single"/>
        </w:rPr>
        <w:t xml:space="preserve"> </w:t>
      </w:r>
      <w:r>
        <w:rPr>
          <w:rFonts w:hint="eastAsia" w:ascii="宋体" w:hAnsi="宋体" w:cs="宋体"/>
          <w:b/>
          <w:color w:val="auto"/>
          <w:sz w:val="21"/>
          <w:szCs w:val="21"/>
          <w:highlight w:val="none"/>
          <w:u w:val="single"/>
          <w:shd w:val="clear" w:color="auto" w:fill="auto"/>
        </w:rPr>
        <w:t>执行合同通用条款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55B3809">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10.4 变更估价</w:t>
      </w:r>
    </w:p>
    <w:p w14:paraId="1743858F">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10.4.1 变更估价原则</w:t>
      </w:r>
    </w:p>
    <w:p w14:paraId="4CFEC526">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关于变更估价的约定：</w:t>
      </w:r>
    </w:p>
    <w:p w14:paraId="1977A817">
      <w:pPr>
        <w:pageBreakBefore w:val="0"/>
        <w:kinsoku/>
        <w:wordWrap/>
        <w:overflowPunct/>
        <w:topLinePunct w:val="0"/>
        <w:bidi w:val="0"/>
        <w:snapToGrid w:val="0"/>
        <w:spacing w:line="400" w:lineRule="exact"/>
        <w:ind w:left="0" w:leftChars="0" w:right="0" w:rightChars="0" w:firstLine="422" w:firstLineChars="200"/>
        <w:jc w:val="left"/>
        <w:textAlignment w:val="auto"/>
        <w:rPr>
          <w:rFonts w:ascii="宋体" w:cs="宋体"/>
          <w:b/>
          <w:bCs/>
          <w:color w:val="auto"/>
          <w:sz w:val="21"/>
          <w:szCs w:val="21"/>
          <w:highlight w:val="none"/>
          <w:u w:val="single"/>
        </w:rPr>
      </w:pPr>
      <w:r>
        <w:rPr>
          <w:rFonts w:hint="eastAsia" w:ascii="宋体" w:cs="宋体"/>
          <w:b/>
          <w:bCs/>
          <w:color w:val="auto"/>
          <w:sz w:val="21"/>
          <w:szCs w:val="21"/>
          <w:highlight w:val="none"/>
        </w:rPr>
        <w:t>变更导致结算工程量（含1.13清单工程量错误产生的工程量）减少0-100%或增加15%以内部分，执行下列第（1）款或第（2）款确定的单价；但超出15%以外部分，结算单价按第（1）款或第（2）款对应的最高投标限价单价×投标让利幅度计算，组价明显错误的予以纠正；已标价工程量清单或预算书中无相同项目及类似项目单价的新增项目单价按照最高投标限价的编制原则重新组价×投标让利幅度（上述投标让利幅度为</w:t>
      </w:r>
      <w:r>
        <w:rPr>
          <w:rFonts w:hint="eastAsia" w:ascii="宋体" w:cs="宋体"/>
          <w:b/>
          <w:bCs/>
          <w:color w:val="auto"/>
          <w:sz w:val="21"/>
          <w:szCs w:val="21"/>
          <w:highlight w:val="none"/>
          <w:lang w:val="en-US" w:eastAsia="zh-CN"/>
        </w:rPr>
        <w:t>成交</w:t>
      </w:r>
      <w:r>
        <w:rPr>
          <w:rFonts w:hint="eastAsia" w:ascii="宋体" w:cs="宋体"/>
          <w:b/>
          <w:bCs/>
          <w:color w:val="auto"/>
          <w:sz w:val="21"/>
          <w:szCs w:val="21"/>
          <w:highlight w:val="none"/>
        </w:rPr>
        <w:t>价/最高投标限价，其中</w:t>
      </w:r>
      <w:r>
        <w:rPr>
          <w:rFonts w:hint="eastAsia" w:ascii="宋体" w:cs="宋体"/>
          <w:b/>
          <w:bCs/>
          <w:color w:val="auto"/>
          <w:sz w:val="21"/>
          <w:szCs w:val="21"/>
          <w:highlight w:val="none"/>
          <w:lang w:val="en-US" w:eastAsia="zh-CN"/>
        </w:rPr>
        <w:t>成交</w:t>
      </w:r>
      <w:r>
        <w:rPr>
          <w:rFonts w:hint="eastAsia" w:ascii="宋体" w:cs="宋体"/>
          <w:b/>
          <w:bCs/>
          <w:color w:val="auto"/>
          <w:sz w:val="21"/>
          <w:szCs w:val="21"/>
          <w:highlight w:val="none"/>
        </w:rPr>
        <w:t>价和最高投标限价均扣除暂列金额、暂估价及相应税金），结算价格最终以相关部门审核价为准；</w:t>
      </w:r>
    </w:p>
    <w:p w14:paraId="5B06F06B">
      <w:pPr>
        <w:pStyle w:val="2"/>
        <w:pageBreakBefore w:val="0"/>
        <w:kinsoku/>
        <w:wordWrap/>
        <w:overflowPunct/>
        <w:topLinePunct w:val="0"/>
        <w:bidi w:val="0"/>
        <w:spacing w:after="0" w:afterLines="0" w:line="400" w:lineRule="exact"/>
        <w:ind w:left="0" w:leftChars="0" w:right="0" w:rightChars="0" w:firstLine="422"/>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（1）已标价工程量清单或预算书有相同项目的，按照相同项目单价认定；</w:t>
      </w:r>
    </w:p>
    <w:p w14:paraId="3D5036BD">
      <w:pPr>
        <w:pageBreakBefore w:val="0"/>
        <w:kinsoku/>
        <w:wordWrap/>
        <w:overflowPunct/>
        <w:topLinePunct w:val="0"/>
        <w:autoSpaceDE w:val="0"/>
        <w:autoSpaceDN w:val="0"/>
        <w:bidi w:val="0"/>
        <w:adjustRightInd w:val="0"/>
        <w:spacing w:line="400" w:lineRule="exact"/>
        <w:ind w:left="0" w:leftChars="0" w:right="0" w:rightChars="0" w:firstLine="422" w:firstLineChars="200"/>
        <w:jc w:val="left"/>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（2）</w:t>
      </w:r>
      <w:r>
        <w:rPr>
          <w:rFonts w:hint="eastAsia" w:ascii="宋体" w:hAnsi="宋体" w:cs="宋体"/>
          <w:b/>
          <w:color w:val="auto"/>
          <w:sz w:val="21"/>
          <w:szCs w:val="21"/>
          <w:highlight w:val="none"/>
        </w:rPr>
        <w:t>已标价工程量清单或预算书中无相同项目，但有类似项目的，参照类似项目的单价认定。</w:t>
      </w:r>
    </w:p>
    <w:p w14:paraId="17A721A2">
      <w:pPr>
        <w:pageBreakBefore w:val="0"/>
        <w:kinsoku/>
        <w:wordWrap/>
        <w:overflowPunct/>
        <w:topLinePunct w:val="0"/>
        <w:bidi w:val="0"/>
        <w:snapToGrid w:val="0"/>
        <w:spacing w:line="400" w:lineRule="exact"/>
        <w:ind w:left="0" w:leftChars="0" w:right="0" w:rightChars="0" w:firstLine="420" w:firstLineChars="200"/>
        <w:textAlignment w:val="auto"/>
        <w:rPr>
          <w:rFonts w:ascii="宋体" w:hAnsi="宋体" w:cs="宋体"/>
          <w:b/>
          <w:color w:val="auto"/>
          <w:sz w:val="21"/>
          <w:szCs w:val="21"/>
          <w:highlight w:val="none"/>
          <w:u w:val="single"/>
        </w:rPr>
      </w:pPr>
      <w:r>
        <w:rPr>
          <w:rFonts w:hint="eastAsia" w:ascii="宋体" w:hAnsi="宋体" w:cs="宋体"/>
          <w:color w:val="auto"/>
          <w:sz w:val="21"/>
          <w:szCs w:val="21"/>
          <w:highlight w:val="none"/>
        </w:rPr>
        <w:t>技术措施费调整：</w:t>
      </w:r>
      <w:r>
        <w:rPr>
          <w:rFonts w:hint="eastAsia" w:ascii="宋体" w:hAnsi="宋体" w:cs="宋体"/>
          <w:b/>
          <w:color w:val="auto"/>
          <w:sz w:val="21"/>
          <w:szCs w:val="21"/>
          <w:highlight w:val="none"/>
          <w:u w:val="single"/>
        </w:rPr>
        <w:t xml:space="preserve"> 因承包人改变施工技术措施，造成的价格变动，措施费不予调整。因工程变更必须改变原来施工技术措施，造成价格变动的，按实调整，变更组价原则同上。</w:t>
      </w:r>
    </w:p>
    <w:p w14:paraId="7F8E8F8C">
      <w:pPr>
        <w:pageBreakBefore w:val="0"/>
        <w:kinsoku/>
        <w:wordWrap/>
        <w:overflowPunct/>
        <w:topLinePunct w:val="0"/>
        <w:bidi w:val="0"/>
        <w:snapToGrid w:val="0"/>
        <w:spacing w:line="400" w:lineRule="exact"/>
        <w:ind w:left="0" w:leftChars="0" w:right="0" w:rightChars="0" w:firstLine="420" w:firstLineChars="200"/>
        <w:textAlignment w:val="auto"/>
        <w:rPr>
          <w:rFonts w:ascii="宋体" w:hAnsi="宋体" w:cs="宋体"/>
          <w:color w:val="auto"/>
          <w:sz w:val="21"/>
          <w:szCs w:val="21"/>
          <w:highlight w:val="none"/>
          <w:u w:val="single"/>
        </w:rPr>
      </w:pPr>
      <w:r>
        <w:rPr>
          <w:rFonts w:hint="eastAsia" w:ascii="宋体" w:hAnsi="宋体" w:cs="宋体"/>
          <w:color w:val="auto"/>
          <w:sz w:val="21"/>
          <w:szCs w:val="21"/>
          <w:highlight w:val="none"/>
        </w:rPr>
        <w:t>组织措施费调整：</w:t>
      </w:r>
      <w:r>
        <w:rPr>
          <w:rFonts w:hint="eastAsia" w:ascii="宋体" w:hAnsi="宋体" w:cs="宋体"/>
          <w:b/>
          <w:color w:val="auto"/>
          <w:sz w:val="21"/>
          <w:szCs w:val="21"/>
          <w:highlight w:val="none"/>
          <w:u w:val="single"/>
        </w:rPr>
        <w:t>按实调整。</w:t>
      </w:r>
    </w:p>
    <w:p w14:paraId="531A1554">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Start w:id="344" w:name="_Toc296346698"/>
      <w:bookmarkStart w:id="345" w:name="_Toc296944536"/>
      <w:bookmarkStart w:id="346" w:name="_Toc292559402"/>
      <w:bookmarkStart w:id="347" w:name="_Toc297048383"/>
      <w:bookmarkStart w:id="348" w:name="_Toc296891025"/>
      <w:bookmarkStart w:id="349" w:name="_Toc303539150"/>
      <w:bookmarkStart w:id="350" w:name="_Toc296503197"/>
      <w:bookmarkStart w:id="351" w:name="_Toc296891237"/>
      <w:bookmarkStart w:id="352" w:name="_Toc300934993"/>
      <w:bookmarkStart w:id="353" w:name="_Toc297216203"/>
      <w:bookmarkStart w:id="354" w:name="_Toc296347196"/>
      <w:bookmarkStart w:id="355" w:name="_Toc297123544"/>
      <w:bookmarkStart w:id="356" w:name="_Toc292559907"/>
      <w:bookmarkStart w:id="357" w:name="_Toc297120497"/>
      <w:bookmarkStart w:id="358" w:name="_Toc312678029"/>
      <w:bookmarkStart w:id="359" w:name="_Toc304295570"/>
      <w:bookmarkStart w:id="360" w:name="_Toc312677503"/>
      <w:r>
        <w:rPr>
          <w:rFonts w:hint="eastAsia" w:cs="宋体"/>
          <w:bCs/>
          <w:color w:val="auto"/>
          <w:sz w:val="21"/>
          <w:szCs w:val="21"/>
          <w:highlight w:val="none"/>
        </w:rPr>
        <w:t>0.5 承</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Start w:id="361" w:name="_Toc297048389"/>
      <w:bookmarkStart w:id="362" w:name="_Toc297123545"/>
      <w:bookmarkStart w:id="363" w:name="_Toc292559913"/>
      <w:bookmarkStart w:id="364" w:name="_Toc297120503"/>
      <w:bookmarkStart w:id="365" w:name="_Toc297216204"/>
      <w:bookmarkStart w:id="366" w:name="_Toc292559408"/>
      <w:bookmarkStart w:id="367" w:name="_Toc296347202"/>
      <w:bookmarkStart w:id="368" w:name="_Toc296944542"/>
      <w:bookmarkStart w:id="369" w:name="_Toc296503203"/>
      <w:bookmarkStart w:id="370" w:name="_Toc300934994"/>
      <w:bookmarkStart w:id="371" w:name="_Toc296891031"/>
      <w:bookmarkStart w:id="372" w:name="_Toc296346704"/>
      <w:bookmarkStart w:id="373" w:name="_Toc296891243"/>
      <w:bookmarkStart w:id="374" w:name="_Toc303539151"/>
      <w:r>
        <w:rPr>
          <w:rFonts w:hint="eastAsia" w:cs="宋体"/>
          <w:bCs/>
          <w:color w:val="auto"/>
          <w:sz w:val="21"/>
          <w:szCs w:val="21"/>
          <w:highlight w:val="none"/>
        </w:rPr>
        <w:t>包人的合理化建议</w:t>
      </w:r>
    </w:p>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14:paraId="668F9A78">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监理人审查承包人合理化建议的期限：</w:t>
      </w:r>
      <w:r>
        <w:rPr>
          <w:rFonts w:hint="eastAsia" w:ascii="宋体" w:cs="宋体"/>
          <w:color w:val="auto"/>
          <w:sz w:val="21"/>
          <w:szCs w:val="21"/>
          <w:highlight w:val="none"/>
          <w:u w:val="single"/>
          <w:shd w:val="clear" w:color="auto" w:fill="auto"/>
        </w:rPr>
        <w:t>监理人应在收到承包人提交的合理化建议后7天内审查完毕并报送发包人，发现其中存在技术上的缺陷，应通知承包人修改</w:t>
      </w:r>
      <w:r>
        <w:rPr>
          <w:rFonts w:hint="eastAsia" w:cs="宋体"/>
          <w:color w:val="auto"/>
          <w:sz w:val="21"/>
          <w:szCs w:val="21"/>
          <w:highlight w:val="none"/>
        </w:rPr>
        <w:t>。</w:t>
      </w:r>
    </w:p>
    <w:p w14:paraId="454BF8BF">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发包人审批承包人合理化建议的期限：</w:t>
      </w:r>
      <w:r>
        <w:rPr>
          <w:rFonts w:hint="eastAsia" w:ascii="宋体" w:cs="宋体"/>
          <w:color w:val="auto"/>
          <w:sz w:val="21"/>
          <w:szCs w:val="21"/>
          <w:highlight w:val="none"/>
          <w:u w:val="single"/>
          <w:shd w:val="clear" w:color="auto" w:fill="auto"/>
        </w:rPr>
        <w:t xml:space="preserve"> 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r>
        <w:rPr>
          <w:rFonts w:hint="eastAsia" w:cs="宋体"/>
          <w:color w:val="auto"/>
          <w:sz w:val="21"/>
          <w:szCs w:val="21"/>
          <w:highlight w:val="none"/>
        </w:rPr>
        <w:t>。</w:t>
      </w:r>
    </w:p>
    <w:p w14:paraId="3964704E">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承</w:t>
      </w:r>
      <w:bookmarkStart w:id="375" w:name="_Toc296503204"/>
      <w:bookmarkStart w:id="376" w:name="_Toc296347203"/>
      <w:bookmarkStart w:id="377" w:name="_Toc312677504"/>
      <w:bookmarkStart w:id="378" w:name="_Toc297048390"/>
      <w:bookmarkStart w:id="379" w:name="_Toc296944543"/>
      <w:bookmarkStart w:id="380" w:name="_Toc300934995"/>
      <w:bookmarkStart w:id="381" w:name="_Toc292559914"/>
      <w:bookmarkStart w:id="382" w:name="_Toc296346705"/>
      <w:bookmarkStart w:id="383" w:name="_Toc318581175"/>
      <w:bookmarkStart w:id="384" w:name="_Toc296891244"/>
      <w:bookmarkStart w:id="385" w:name="_Toc296891032"/>
      <w:bookmarkStart w:id="386" w:name="_Toc292559409"/>
      <w:bookmarkStart w:id="387" w:name="_Toc312678030"/>
      <w:bookmarkStart w:id="388" w:name="_Toc297123546"/>
      <w:bookmarkStart w:id="389" w:name="_Toc297216205"/>
      <w:bookmarkStart w:id="390" w:name="_Toc297120504"/>
      <w:bookmarkStart w:id="391" w:name="_Toc304295571"/>
      <w:bookmarkStart w:id="392" w:name="_Toc303539152"/>
      <w:r>
        <w:rPr>
          <w:rFonts w:hint="eastAsia" w:cs="宋体"/>
          <w:color w:val="auto"/>
          <w:sz w:val="21"/>
          <w:szCs w:val="21"/>
          <w:highlight w:val="none"/>
        </w:rPr>
        <w:t>包人提出的合理化建议降低了合同价格或者提高了工程经济效益的奖励的方法和金额为：</w:t>
      </w:r>
      <w:r>
        <w:rPr>
          <w:rFonts w:hint="eastAsia"/>
          <w:color w:val="auto"/>
          <w:sz w:val="21"/>
          <w:szCs w:val="21"/>
          <w:highlight w:val="none"/>
          <w:u w:val="single"/>
          <w:shd w:val="clear" w:color="auto" w:fill="auto"/>
        </w:rPr>
        <w:t>由发包人根据合同价格降低额或工程经济效益提高承担，结合项目考勤、质量、安全、进度等实际情况综合考虑</w:t>
      </w:r>
      <w:r>
        <w:rPr>
          <w:rFonts w:hint="eastAsia" w:cs="宋体"/>
          <w:color w:val="auto"/>
          <w:sz w:val="21"/>
          <w:szCs w:val="21"/>
          <w:highlight w:val="none"/>
        </w:rPr>
        <w:t>。</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14:paraId="2979E1DC">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w:t>
      </w:r>
      <w:bookmarkStart w:id="393" w:name="_Toc312677507"/>
      <w:bookmarkStart w:id="394" w:name="_Toc296503199"/>
      <w:bookmarkStart w:id="395" w:name="_Toc292559909"/>
      <w:bookmarkStart w:id="396" w:name="_Toc296944538"/>
      <w:bookmarkStart w:id="397" w:name="_Toc296891027"/>
      <w:bookmarkStart w:id="398" w:name="_Toc296891239"/>
      <w:bookmarkStart w:id="399" w:name="_Toc304295574"/>
      <w:bookmarkStart w:id="400" w:name="_Toc292559404"/>
      <w:bookmarkStart w:id="401" w:name="_Toc312678033"/>
      <w:bookmarkStart w:id="402" w:name="_Toc296346700"/>
      <w:bookmarkStart w:id="403" w:name="_Toc297120499"/>
      <w:bookmarkStart w:id="404" w:name="_Toc296347198"/>
      <w:bookmarkStart w:id="405" w:name="_Toc297123548"/>
      <w:bookmarkStart w:id="406" w:name="_Toc303539154"/>
      <w:bookmarkStart w:id="407" w:name="_Toc300934997"/>
      <w:bookmarkStart w:id="408" w:name="_Toc297216207"/>
      <w:bookmarkStart w:id="409" w:name="_Toc297048385"/>
      <w:r>
        <w:rPr>
          <w:rFonts w:hint="eastAsia" w:cs="宋体"/>
          <w:bCs/>
          <w:color w:val="auto"/>
          <w:sz w:val="21"/>
          <w:szCs w:val="21"/>
          <w:highlight w:val="none"/>
        </w:rPr>
        <w:t>0.7 暂估价</w:t>
      </w:r>
    </w:p>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14:paraId="6974EA74">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暂</w:t>
      </w:r>
      <w:bookmarkStart w:id="410" w:name="_Toc312678034"/>
      <w:bookmarkStart w:id="411" w:name="_Toc318581176"/>
      <w:bookmarkStart w:id="412" w:name="_Toc312677508"/>
      <w:r>
        <w:rPr>
          <w:rFonts w:hint="eastAsia" w:cs="宋体"/>
          <w:color w:val="auto"/>
          <w:sz w:val="21"/>
          <w:szCs w:val="21"/>
          <w:highlight w:val="none"/>
        </w:rPr>
        <w:t>估价材料和工程设备的明细见附件12：《暂估价一览表》。</w:t>
      </w:r>
    </w:p>
    <w:bookmarkEnd w:id="410"/>
    <w:bookmarkEnd w:id="411"/>
    <w:bookmarkEnd w:id="412"/>
    <w:p w14:paraId="0EA5E9D1">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w:t>
      </w:r>
      <w:bookmarkStart w:id="413" w:name="_Toc312677509"/>
      <w:bookmarkStart w:id="414" w:name="_Toc318581177"/>
      <w:bookmarkStart w:id="415" w:name="_Toc312678035"/>
      <w:r>
        <w:rPr>
          <w:rFonts w:hint="eastAsia" w:cs="宋体"/>
          <w:color w:val="auto"/>
          <w:sz w:val="21"/>
          <w:szCs w:val="21"/>
          <w:highlight w:val="none"/>
        </w:rPr>
        <w:t>0.7.1 依法必须招标的暂估价项目</w:t>
      </w:r>
    </w:p>
    <w:bookmarkEnd w:id="413"/>
    <w:bookmarkEnd w:id="414"/>
    <w:bookmarkEnd w:id="415"/>
    <w:p w14:paraId="09B3DA8C">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对于依法必须招标的暂估价项目的确认和批准采取第</w:t>
      </w:r>
      <w:r>
        <w:rPr>
          <w:rFonts w:hint="eastAsia" w:cs="宋体"/>
          <w:color w:val="auto"/>
          <w:sz w:val="21"/>
          <w:szCs w:val="21"/>
          <w:highlight w:val="none"/>
          <w:u w:val="single"/>
        </w:rPr>
        <w:t>2</w:t>
      </w:r>
      <w:r>
        <w:rPr>
          <w:rFonts w:hint="eastAsia" w:cs="宋体"/>
          <w:color w:val="auto"/>
          <w:sz w:val="21"/>
          <w:szCs w:val="21"/>
          <w:highlight w:val="none"/>
        </w:rPr>
        <w:t>种方式确定。</w:t>
      </w:r>
      <w:r>
        <w:rPr>
          <w:rFonts w:hint="eastAsia" w:cs="宋体"/>
          <w:b/>
          <w:color w:val="auto"/>
          <w:sz w:val="21"/>
          <w:szCs w:val="21"/>
          <w:highlight w:val="none"/>
          <w:u w:val="single"/>
        </w:rPr>
        <w:t>并应按相关规定进行二次招标</w:t>
      </w:r>
      <w:r>
        <w:rPr>
          <w:rFonts w:hint="eastAsia" w:cs="宋体"/>
          <w:color w:val="auto"/>
          <w:sz w:val="21"/>
          <w:szCs w:val="21"/>
          <w:highlight w:val="none"/>
        </w:rPr>
        <w:t>。</w:t>
      </w:r>
    </w:p>
    <w:p w14:paraId="6A059685">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10.7.2 不属于依法必须招标的暂估价项目</w:t>
      </w:r>
    </w:p>
    <w:p w14:paraId="6DB96993">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rPr>
        <w:t>1</w:t>
      </w:r>
      <w:r>
        <w:rPr>
          <w:rFonts w:hint="eastAsia" w:cs="宋体"/>
          <w:color w:val="auto"/>
          <w:sz w:val="21"/>
          <w:szCs w:val="21"/>
          <w:highlight w:val="none"/>
        </w:rPr>
        <w:t>种方式确定。</w:t>
      </w:r>
    </w:p>
    <w:p w14:paraId="71136DF4">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第3种方式：承包人直接实施的暂估价项目</w:t>
      </w:r>
    </w:p>
    <w:p w14:paraId="2B4062AA">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D229416">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10.8 暂列金额</w:t>
      </w:r>
    </w:p>
    <w:p w14:paraId="559BDEE7">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ascii="宋体" w:cs="宋体"/>
          <w:color w:val="auto"/>
          <w:sz w:val="21"/>
          <w:szCs w:val="21"/>
          <w:highlight w:val="none"/>
          <w:u w:val="single"/>
          <w:shd w:val="clear" w:color="auto" w:fill="auto"/>
        </w:rPr>
        <w:t>暂列金额应按照发包人的要求使用</w:t>
      </w:r>
      <w:r>
        <w:rPr>
          <w:rFonts w:hint="eastAsia" w:cs="宋体"/>
          <w:color w:val="auto"/>
          <w:sz w:val="21"/>
          <w:szCs w:val="21"/>
          <w:highlight w:val="none"/>
        </w:rPr>
        <w:t>。</w:t>
      </w:r>
    </w:p>
    <w:p w14:paraId="478C24B0">
      <w:pPr>
        <w:pageBreakBefore w:val="0"/>
        <w:kinsoku/>
        <w:wordWrap/>
        <w:overflowPunct/>
        <w:topLinePunct w:val="0"/>
        <w:bidi w:val="0"/>
        <w:snapToGrid w:val="0"/>
        <w:spacing w:line="400" w:lineRule="exact"/>
        <w:ind w:left="0" w:leftChars="0" w:right="0" w:rightChars="0"/>
        <w:textAlignment w:val="auto"/>
        <w:outlineLvl w:val="2"/>
        <w:rPr>
          <w:rFonts w:cs="宋体"/>
          <w:color w:val="auto"/>
          <w:sz w:val="21"/>
          <w:szCs w:val="21"/>
          <w:highlight w:val="none"/>
        </w:rPr>
      </w:pPr>
      <w:bookmarkStart w:id="416" w:name="_Toc351203643"/>
      <w:r>
        <w:rPr>
          <w:rFonts w:hint="eastAsia" w:cs="宋体"/>
          <w:color w:val="auto"/>
          <w:sz w:val="21"/>
          <w:szCs w:val="21"/>
          <w:highlight w:val="none"/>
        </w:rPr>
        <w:t>11. 价格调整</w:t>
      </w:r>
      <w:bookmarkEnd w:id="416"/>
    </w:p>
    <w:p w14:paraId="7D1B6AFF">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bookmarkStart w:id="417" w:name="_Toc296347200"/>
      <w:bookmarkStart w:id="418" w:name="_Toc292559406"/>
      <w:bookmarkStart w:id="419" w:name="_Toc300935000"/>
      <w:bookmarkStart w:id="420" w:name="_Toc296503201"/>
      <w:bookmarkStart w:id="421" w:name="_Toc296891241"/>
      <w:bookmarkStart w:id="422" w:name="_Toc297216209"/>
      <w:bookmarkStart w:id="423" w:name="_Toc296944540"/>
      <w:bookmarkStart w:id="424" w:name="_Toc297048387"/>
      <w:bookmarkStart w:id="425" w:name="_Toc312678039"/>
      <w:bookmarkStart w:id="426" w:name="_Toc296346702"/>
      <w:bookmarkStart w:id="427" w:name="_Toc304295577"/>
      <w:bookmarkStart w:id="428" w:name="_Toc297120501"/>
      <w:bookmarkStart w:id="429" w:name="_Toc292559911"/>
      <w:bookmarkStart w:id="430" w:name="_Toc296891029"/>
      <w:bookmarkStart w:id="431" w:name="_Toc303539157"/>
      <w:bookmarkStart w:id="432" w:name="_Toc297123550"/>
      <w:r>
        <w:rPr>
          <w:rFonts w:hint="eastAsia" w:cs="宋体"/>
          <w:bCs/>
          <w:color w:val="auto"/>
          <w:sz w:val="21"/>
          <w:szCs w:val="21"/>
          <w:highlight w:val="none"/>
        </w:rPr>
        <w:t>11.1 市场价格波动引起的调整</w:t>
      </w:r>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14:paraId="50D1EBD4">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ascii="宋体" w:cs="宋体"/>
          <w:color w:val="auto"/>
          <w:sz w:val="21"/>
          <w:szCs w:val="21"/>
          <w:highlight w:val="none"/>
          <w:u w:val="single"/>
          <w:lang w:val="en-US" w:eastAsia="zh-CN"/>
        </w:rPr>
        <w:t>不调整</w:t>
      </w:r>
      <w:r>
        <w:rPr>
          <w:rFonts w:hint="eastAsia" w:cs="宋体"/>
          <w:color w:val="auto"/>
          <w:sz w:val="21"/>
          <w:szCs w:val="21"/>
          <w:highlight w:val="none"/>
        </w:rPr>
        <w:t>。</w:t>
      </w:r>
    </w:p>
    <w:bookmarkEnd w:id="320"/>
    <w:bookmarkEnd w:id="321"/>
    <w:bookmarkEnd w:id="322"/>
    <w:bookmarkEnd w:id="323"/>
    <w:bookmarkEnd w:id="324"/>
    <w:bookmarkEnd w:id="325"/>
    <w:p w14:paraId="13005378">
      <w:pPr>
        <w:pageBreakBefore w:val="0"/>
        <w:kinsoku/>
        <w:wordWrap/>
        <w:overflowPunct/>
        <w:topLinePunct w:val="0"/>
        <w:bidi w:val="0"/>
        <w:snapToGrid w:val="0"/>
        <w:spacing w:line="400" w:lineRule="exact"/>
        <w:ind w:left="0" w:leftChars="0" w:right="0" w:rightChars="0"/>
        <w:textAlignment w:val="auto"/>
        <w:outlineLvl w:val="2"/>
        <w:rPr>
          <w:rFonts w:cs="宋体"/>
          <w:color w:val="auto"/>
          <w:sz w:val="21"/>
          <w:szCs w:val="21"/>
          <w:highlight w:val="none"/>
        </w:rPr>
      </w:pPr>
      <w:bookmarkStart w:id="433" w:name="_Toc297120505"/>
      <w:bookmarkStart w:id="434" w:name="_Toc292559915"/>
      <w:bookmarkStart w:id="435" w:name="_Toc296346706"/>
      <w:bookmarkStart w:id="436" w:name="_Toc296503205"/>
      <w:bookmarkStart w:id="437" w:name="_Toc296944544"/>
      <w:bookmarkStart w:id="438" w:name="_Toc297048391"/>
      <w:bookmarkStart w:id="439" w:name="_Toc296891033"/>
      <w:bookmarkStart w:id="440" w:name="_Toc296891245"/>
      <w:bookmarkStart w:id="441" w:name="_Toc292559410"/>
      <w:bookmarkStart w:id="442" w:name="_Toc296347204"/>
      <w:bookmarkStart w:id="443" w:name="_Toc351203644"/>
      <w:bookmarkStart w:id="444" w:name="_Toc304295579"/>
      <w:bookmarkStart w:id="445" w:name="_Toc312678040"/>
      <w:bookmarkStart w:id="446" w:name="_Toc297123552"/>
      <w:bookmarkStart w:id="447" w:name="_Toc300935002"/>
      <w:bookmarkStart w:id="448" w:name="_Toc297216211"/>
      <w:bookmarkStart w:id="449" w:name="_Toc303539159"/>
      <w:r>
        <w:rPr>
          <w:rFonts w:hint="eastAsia" w:cs="宋体"/>
          <w:color w:val="auto"/>
          <w:sz w:val="21"/>
          <w:szCs w:val="21"/>
          <w:highlight w:val="none"/>
        </w:rPr>
        <w:t xml:space="preserve">12. </w:t>
      </w:r>
      <w:bookmarkEnd w:id="433"/>
      <w:bookmarkEnd w:id="434"/>
      <w:bookmarkEnd w:id="435"/>
      <w:bookmarkEnd w:id="436"/>
      <w:bookmarkEnd w:id="437"/>
      <w:bookmarkEnd w:id="438"/>
      <w:bookmarkEnd w:id="439"/>
      <w:bookmarkEnd w:id="440"/>
      <w:bookmarkEnd w:id="441"/>
      <w:bookmarkEnd w:id="442"/>
      <w:r>
        <w:rPr>
          <w:rFonts w:hint="eastAsia" w:cs="宋体"/>
          <w:color w:val="auto"/>
          <w:sz w:val="21"/>
          <w:szCs w:val="21"/>
          <w:highlight w:val="none"/>
        </w:rPr>
        <w:t>合同价格、计量与支付</w:t>
      </w:r>
      <w:bookmarkEnd w:id="443"/>
    </w:p>
    <w:bookmarkEnd w:id="444"/>
    <w:bookmarkEnd w:id="445"/>
    <w:bookmarkEnd w:id="446"/>
    <w:bookmarkEnd w:id="447"/>
    <w:bookmarkEnd w:id="448"/>
    <w:bookmarkEnd w:id="449"/>
    <w:p w14:paraId="6B01C867">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bookmarkStart w:id="450" w:name="_Toc292559916"/>
      <w:bookmarkStart w:id="451" w:name="_Toc292559411"/>
      <w:bookmarkStart w:id="452" w:name="_Toc267251461"/>
      <w:bookmarkStart w:id="453" w:name="_Toc296891246"/>
      <w:bookmarkStart w:id="454" w:name="_Toc296347205"/>
      <w:bookmarkStart w:id="455" w:name="_Toc296891034"/>
      <w:bookmarkStart w:id="456" w:name="_Toc296944545"/>
      <w:bookmarkStart w:id="457" w:name="_Toc296503206"/>
      <w:bookmarkStart w:id="458" w:name="_Toc297048392"/>
      <w:bookmarkStart w:id="459" w:name="_Toc296346707"/>
      <w:bookmarkStart w:id="460" w:name="_Toc297120506"/>
      <w:bookmarkStart w:id="461" w:name="_Toc300935003"/>
      <w:bookmarkStart w:id="462" w:name="_Toc297216212"/>
      <w:bookmarkStart w:id="463" w:name="_Toc312678041"/>
      <w:bookmarkStart w:id="464" w:name="_Toc297123553"/>
      <w:bookmarkStart w:id="465" w:name="_Toc304295580"/>
      <w:bookmarkStart w:id="466" w:name="_Toc303539160"/>
      <w:r>
        <w:rPr>
          <w:rFonts w:hint="eastAsia" w:cs="宋体"/>
          <w:bCs/>
          <w:color w:val="auto"/>
          <w:sz w:val="21"/>
          <w:szCs w:val="21"/>
          <w:highlight w:val="none"/>
        </w:rPr>
        <w:t>12.1 合</w:t>
      </w:r>
      <w:bookmarkEnd w:id="450"/>
      <w:bookmarkEnd w:id="451"/>
      <w:bookmarkEnd w:id="452"/>
      <w:r>
        <w:rPr>
          <w:rFonts w:hint="eastAsia" w:cs="宋体"/>
          <w:bCs/>
          <w:color w:val="auto"/>
          <w:sz w:val="21"/>
          <w:szCs w:val="21"/>
          <w:highlight w:val="none"/>
        </w:rPr>
        <w:t>同价</w:t>
      </w:r>
      <w:bookmarkEnd w:id="453"/>
      <w:bookmarkEnd w:id="454"/>
      <w:bookmarkEnd w:id="455"/>
      <w:bookmarkEnd w:id="456"/>
      <w:bookmarkEnd w:id="457"/>
      <w:bookmarkEnd w:id="458"/>
      <w:bookmarkEnd w:id="459"/>
      <w:bookmarkEnd w:id="460"/>
      <w:r>
        <w:rPr>
          <w:rFonts w:hint="eastAsia" w:cs="宋体"/>
          <w:bCs/>
          <w:color w:val="auto"/>
          <w:sz w:val="21"/>
          <w:szCs w:val="21"/>
          <w:highlight w:val="none"/>
        </w:rPr>
        <w:t>格形式</w:t>
      </w:r>
    </w:p>
    <w:bookmarkEnd w:id="461"/>
    <w:bookmarkEnd w:id="462"/>
    <w:bookmarkEnd w:id="463"/>
    <w:bookmarkEnd w:id="464"/>
    <w:bookmarkEnd w:id="465"/>
    <w:bookmarkEnd w:id="466"/>
    <w:p w14:paraId="436A9FE1">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（1）单价合同。</w:t>
      </w:r>
    </w:p>
    <w:p w14:paraId="58D21517">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ascii="黑体" w:eastAsia="黑体" w:cs="宋体"/>
          <w:b/>
          <w:color w:val="auto"/>
          <w:sz w:val="21"/>
          <w:szCs w:val="21"/>
          <w:highlight w:val="none"/>
          <w:u w:val="single"/>
        </w:rPr>
        <w:t>各种因素引起的机械使用费以及管理费、利润的变化等</w:t>
      </w:r>
      <w:r>
        <w:rPr>
          <w:rFonts w:hint="eastAsia" w:cs="宋体"/>
          <w:color w:val="auto"/>
          <w:sz w:val="21"/>
          <w:szCs w:val="21"/>
          <w:highlight w:val="none"/>
        </w:rPr>
        <w:t>。</w:t>
      </w:r>
    </w:p>
    <w:p w14:paraId="1419E8CA">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风险费用的计算方法：</w:t>
      </w:r>
      <w:r>
        <w:rPr>
          <w:rFonts w:hint="eastAsia" w:ascii="宋体" w:cs="宋体"/>
          <w:color w:val="auto"/>
          <w:sz w:val="21"/>
          <w:szCs w:val="21"/>
          <w:highlight w:val="none"/>
          <w:u w:val="single"/>
        </w:rPr>
        <w:t>不考虑</w:t>
      </w:r>
      <w:r>
        <w:rPr>
          <w:rFonts w:hint="eastAsia" w:cs="宋体"/>
          <w:color w:val="auto"/>
          <w:sz w:val="21"/>
          <w:szCs w:val="21"/>
          <w:highlight w:val="none"/>
        </w:rPr>
        <w:t>。</w:t>
      </w:r>
    </w:p>
    <w:p w14:paraId="156874D3">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ascii="宋体" w:hAnsi="宋体" w:cs="宋体"/>
          <w:bCs/>
          <w:color w:val="auto"/>
          <w:sz w:val="21"/>
          <w:szCs w:val="21"/>
          <w:highlight w:val="none"/>
          <w:u w:val="single"/>
        </w:rPr>
        <w:t>结算价</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合同价</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工程变更造价</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分部分项工程量清单工程量误差造价</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政策性调整造价±措施项目调整造价－暂列金额</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1.09</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合理工程索赔</w:t>
      </w:r>
      <w:r>
        <w:rPr>
          <w:rFonts w:hint="eastAsia" w:cs="宋体"/>
          <w:color w:val="auto"/>
          <w:sz w:val="21"/>
          <w:szCs w:val="21"/>
          <w:highlight w:val="none"/>
        </w:rPr>
        <w:t>。</w:t>
      </w:r>
    </w:p>
    <w:p w14:paraId="324DEC54">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（2）总价合同。</w:t>
      </w:r>
    </w:p>
    <w:p w14:paraId="4E8D3A81">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F27A58B">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9309274">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EF9C71C">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915EB14">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bookmarkStart w:id="467" w:name="_Toc303539161"/>
      <w:bookmarkStart w:id="468" w:name="_Toc297123554"/>
      <w:bookmarkStart w:id="469" w:name="_Toc312678042"/>
      <w:bookmarkStart w:id="470" w:name="_Toc300935004"/>
      <w:bookmarkStart w:id="471" w:name="_Toc297216213"/>
      <w:bookmarkStart w:id="472" w:name="_Toc304295581"/>
      <w:bookmarkStart w:id="473" w:name="_Toc296347206"/>
      <w:bookmarkStart w:id="474" w:name="_Toc297048393"/>
      <w:bookmarkStart w:id="475" w:name="_Toc292559917"/>
      <w:bookmarkStart w:id="476" w:name="_Toc296503207"/>
      <w:bookmarkStart w:id="477" w:name="_Toc297120507"/>
      <w:bookmarkStart w:id="478" w:name="_Toc292559412"/>
      <w:bookmarkStart w:id="479" w:name="_Toc296346708"/>
      <w:bookmarkStart w:id="480" w:name="_Toc296891035"/>
      <w:bookmarkStart w:id="481" w:name="_Toc296944546"/>
      <w:bookmarkStart w:id="482" w:name="_Toc296891247"/>
      <w:r>
        <w:rPr>
          <w:rFonts w:hint="eastAsia" w:cs="宋体"/>
          <w:bCs/>
          <w:color w:val="auto"/>
          <w:sz w:val="21"/>
          <w:szCs w:val="21"/>
          <w:highlight w:val="none"/>
        </w:rPr>
        <w:t>12.2 预付款</w:t>
      </w:r>
    </w:p>
    <w:bookmarkEnd w:id="467"/>
    <w:bookmarkEnd w:id="468"/>
    <w:bookmarkEnd w:id="469"/>
    <w:bookmarkEnd w:id="470"/>
    <w:bookmarkEnd w:id="471"/>
    <w:bookmarkEnd w:id="472"/>
    <w:p w14:paraId="610D4322">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12.2.1 预付款的支付</w:t>
      </w:r>
    </w:p>
    <w:p w14:paraId="5DC3EDBA">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C3E2698">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C7DD203">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531D379">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12.2.2 预付款担保</w:t>
      </w:r>
    </w:p>
    <w:p w14:paraId="512B55E8">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302A5A3">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473"/>
    <w:bookmarkEnd w:id="474"/>
    <w:bookmarkEnd w:id="475"/>
    <w:bookmarkEnd w:id="476"/>
    <w:bookmarkEnd w:id="477"/>
    <w:bookmarkEnd w:id="478"/>
    <w:bookmarkEnd w:id="479"/>
    <w:bookmarkEnd w:id="480"/>
    <w:bookmarkEnd w:id="481"/>
    <w:bookmarkEnd w:id="482"/>
    <w:p w14:paraId="48BBF637">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12.3 计量</w:t>
      </w:r>
    </w:p>
    <w:p w14:paraId="3F443D05">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12.3.1 计量原则</w:t>
      </w:r>
    </w:p>
    <w:p w14:paraId="4328E217">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b/>
          <w:color w:val="auto"/>
          <w:sz w:val="21"/>
          <w:szCs w:val="21"/>
          <w:highlight w:val="none"/>
        </w:rPr>
      </w:pPr>
      <w:r>
        <w:rPr>
          <w:rFonts w:hint="eastAsia" w:cs="宋体"/>
          <w:color w:val="auto"/>
          <w:sz w:val="21"/>
          <w:szCs w:val="21"/>
          <w:highlight w:val="none"/>
        </w:rPr>
        <w:t>工程量计算规则：</w:t>
      </w:r>
      <w:r>
        <w:rPr>
          <w:rFonts w:hint="eastAsia" w:ascii="宋体" w:cs="宋体"/>
          <w:color w:val="auto"/>
          <w:sz w:val="21"/>
          <w:szCs w:val="21"/>
          <w:highlight w:val="none"/>
          <w:u w:val="single"/>
          <w:shd w:val="clear" w:color="auto" w:fill="auto"/>
        </w:rPr>
        <w:t>执行现行建设工程工程量清单计价规范（GB50500）、安徽省建设工程计价依据</w:t>
      </w:r>
      <w:r>
        <w:rPr>
          <w:rFonts w:hint="eastAsia" w:cs="宋体"/>
          <w:b/>
          <w:color w:val="auto"/>
          <w:sz w:val="21"/>
          <w:szCs w:val="21"/>
          <w:highlight w:val="none"/>
        </w:rPr>
        <w:t>。</w:t>
      </w:r>
    </w:p>
    <w:p w14:paraId="35DACD6E">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12.3.2 计量周期</w:t>
      </w:r>
    </w:p>
    <w:p w14:paraId="51DA1033">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b/>
          <w:color w:val="auto"/>
          <w:sz w:val="21"/>
          <w:szCs w:val="21"/>
          <w:highlight w:val="none"/>
        </w:rPr>
      </w:pPr>
      <w:r>
        <w:rPr>
          <w:rFonts w:hint="eastAsia" w:cs="宋体"/>
          <w:color w:val="auto"/>
          <w:sz w:val="21"/>
          <w:szCs w:val="21"/>
          <w:highlight w:val="none"/>
        </w:rPr>
        <w:t>关于计量周期的约定</w:t>
      </w:r>
      <w:r>
        <w:rPr>
          <w:rFonts w:hint="eastAsia" w:cs="宋体"/>
          <w:b/>
          <w:color w:val="auto"/>
          <w:sz w:val="21"/>
          <w:szCs w:val="21"/>
          <w:highlight w:val="none"/>
        </w:rPr>
        <w:t>：</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按月计量</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61FB4D7C">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12.3.3 单价合同的计量</w:t>
      </w:r>
    </w:p>
    <w:p w14:paraId="2EE52586">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关于单价合同计量的约定：</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1）承包人应于每月25日向监理人报送上月20日至当月19日已完成的工程量报告，并附已完成工程量报表和有关资料。（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3）监理人未在收到承包人提交的工程量报表后的7天内完成审核的，承包人报送的工程量报告中的工程量视为承包人实际完成的工程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2A7D1BE">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12.3.4 总价合同的计量</w:t>
      </w:r>
    </w:p>
    <w:p w14:paraId="37AEC31A">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关于总价合同计量的约定：</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不采用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14BB3D">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12.3.5 总价合同采用支付分解表计量支付的，是否适用第12.3.4项〔总价合同的计量〕约定进行计量：</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不采用</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29698C84">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12.3.6 其他价格形式合同的计量</w:t>
      </w:r>
    </w:p>
    <w:p w14:paraId="46C103BA">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其他价格形式的计量方式和程序：</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不采用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5565531">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12.4 工程进度款支付</w:t>
      </w:r>
    </w:p>
    <w:p w14:paraId="040772CB">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bookmarkStart w:id="483" w:name="_Toc292559416"/>
      <w:bookmarkStart w:id="484" w:name="_Toc296503211"/>
      <w:bookmarkStart w:id="485" w:name="_Toc292559921"/>
      <w:bookmarkStart w:id="486" w:name="_Toc300935006"/>
      <w:bookmarkStart w:id="487" w:name="_Toc303539163"/>
      <w:bookmarkStart w:id="488" w:name="_Toc296347210"/>
      <w:bookmarkStart w:id="489" w:name="_Toc297120511"/>
      <w:bookmarkStart w:id="490" w:name="_Toc296891039"/>
      <w:bookmarkStart w:id="491" w:name="_Toc297048397"/>
      <w:bookmarkStart w:id="492" w:name="_Toc296346712"/>
      <w:bookmarkStart w:id="493" w:name="_Toc297123556"/>
      <w:bookmarkStart w:id="494" w:name="_Toc296944550"/>
      <w:bookmarkStart w:id="495" w:name="_Toc297216215"/>
      <w:bookmarkStart w:id="496" w:name="_Toc296891251"/>
      <w:r>
        <w:rPr>
          <w:rFonts w:hint="eastAsia" w:cs="宋体"/>
          <w:color w:val="auto"/>
          <w:sz w:val="21"/>
          <w:szCs w:val="21"/>
          <w:highlight w:val="none"/>
        </w:rPr>
        <w:t>12.4.1 付款周期</w:t>
      </w:r>
    </w:p>
    <w:p w14:paraId="09A0647E">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关于付款周期的约定：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0F9B7CF">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12.4.2 进度付款申请单的编制</w:t>
      </w:r>
    </w:p>
    <w:p w14:paraId="6E8014E7">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关于进度付款申请单编制的约定：</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执行发包人统一内容格式</w:t>
      </w:r>
      <w:r>
        <w:rPr>
          <w:rFonts w:hint="eastAsia" w:ascii="宋体" w:cs="宋体"/>
          <w:color w:val="auto"/>
          <w:sz w:val="21"/>
          <w:szCs w:val="21"/>
          <w:highlight w:val="none"/>
          <w:u w:val="single"/>
          <w:shd w:val="clear" w:color="auto" w:fill="auto"/>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DE0340">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rFonts w:hint="eastAsia" w:cs="宋体"/>
          <w:color w:val="auto"/>
          <w:sz w:val="21"/>
          <w:szCs w:val="21"/>
          <w:highlight w:val="none"/>
        </w:rPr>
        <w:t>2.4.3 进度付款申请单的提交</w:t>
      </w:r>
    </w:p>
    <w:p w14:paraId="70023FB8">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（1）单价合同进度付款申请单提交的约定：</w:t>
      </w:r>
      <w:r>
        <w:rPr>
          <w:rFonts w:hint="eastAsia" w:cs="宋体"/>
          <w:color w:val="auto"/>
          <w:sz w:val="21"/>
          <w:szCs w:val="21"/>
          <w:highlight w:val="none"/>
          <w:u w:val="single"/>
        </w:rPr>
        <w:t xml:space="preserve">  </w:t>
      </w:r>
      <w:r>
        <w:rPr>
          <w:rFonts w:hint="eastAsia" w:ascii="黑体" w:eastAsia="黑体" w:cs="宋体"/>
          <w:b/>
          <w:bCs/>
          <w:color w:val="auto"/>
          <w:sz w:val="21"/>
          <w:szCs w:val="21"/>
          <w:highlight w:val="none"/>
          <w:u w:val="single"/>
          <w:shd w:val="clear" w:color="auto" w:fill="auto"/>
        </w:rPr>
        <w:t>按</w:t>
      </w:r>
      <w:r>
        <w:rPr>
          <w:rFonts w:hint="eastAsia" w:ascii="黑体" w:eastAsia="黑体" w:cs="宋体"/>
          <w:b/>
          <w:bCs/>
          <w:color w:val="auto"/>
          <w:sz w:val="21"/>
          <w:szCs w:val="21"/>
          <w:highlight w:val="none"/>
          <w:u w:val="single"/>
          <w:shd w:val="clear" w:color="auto" w:fill="auto"/>
          <w:lang w:val="en-US" w:eastAsia="zh-CN"/>
        </w:rPr>
        <w:t>工程</w:t>
      </w:r>
      <w:r>
        <w:rPr>
          <w:rFonts w:hint="eastAsia" w:ascii="黑体" w:eastAsia="黑体" w:cs="宋体"/>
          <w:b/>
          <w:bCs/>
          <w:color w:val="auto"/>
          <w:sz w:val="21"/>
          <w:szCs w:val="21"/>
          <w:highlight w:val="none"/>
          <w:u w:val="single"/>
          <w:shd w:val="clear" w:color="auto" w:fill="auto"/>
        </w:rPr>
        <w:t>进度付款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7BC3CB">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（2）总价合同进度付款申请单提交的约定：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D3A8EA">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（3）其他价格形式合同进度付款申请单提交的约定：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789E18A5">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12.4.4 进度款审核和支付</w:t>
      </w:r>
    </w:p>
    <w:p w14:paraId="5572165D">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b/>
          <w:color w:val="auto"/>
          <w:sz w:val="21"/>
          <w:szCs w:val="21"/>
          <w:highlight w:val="none"/>
          <w:u w:val="single"/>
        </w:rPr>
      </w:pPr>
      <w:r>
        <w:rPr>
          <w:rFonts w:hint="eastAsia" w:cs="宋体"/>
          <w:color w:val="auto"/>
          <w:sz w:val="21"/>
          <w:szCs w:val="21"/>
          <w:highlight w:val="none"/>
        </w:rPr>
        <w:t>（1）监理人审查并报送发包人的期限：</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监理人应在收到承包人进度付款申请单以及相关资料后7天内完成审查并报送发包人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1CB190">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b/>
          <w:color w:val="auto"/>
          <w:sz w:val="21"/>
          <w:szCs w:val="21"/>
          <w:highlight w:val="none"/>
          <w:u w:val="single"/>
        </w:rPr>
      </w:pPr>
      <w:r>
        <w:rPr>
          <w:rFonts w:hint="eastAsia" w:cs="宋体"/>
          <w:color w:val="auto"/>
          <w:sz w:val="21"/>
          <w:szCs w:val="21"/>
          <w:highlight w:val="none"/>
        </w:rPr>
        <w:t>发包人完成审批并签发进度款支付证书的期限：</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发包人应在收到后7天内完成审批并签发进度款支付证书，跟踪审计人员审核时间除外</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9180E70">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b/>
          <w:color w:val="auto"/>
          <w:sz w:val="21"/>
          <w:szCs w:val="21"/>
          <w:highlight w:val="none"/>
        </w:rPr>
      </w:pPr>
      <w:r>
        <w:rPr>
          <w:rFonts w:hint="eastAsia" w:cs="宋体"/>
          <w:color w:val="auto"/>
          <w:sz w:val="21"/>
          <w:szCs w:val="21"/>
          <w:highlight w:val="none"/>
        </w:rPr>
        <w:t>（2）发包人支付进度款的期限：</w:t>
      </w:r>
      <w:r>
        <w:rPr>
          <w:rFonts w:hint="eastAsia" w:cs="宋体"/>
          <w:color w:val="auto"/>
          <w:sz w:val="21"/>
          <w:szCs w:val="21"/>
          <w:highlight w:val="none"/>
          <w:u w:val="single"/>
        </w:rPr>
        <w:t xml:space="preserve">  发包人在政府资金调度会批准且发票送达一周内完成支付  </w:t>
      </w:r>
      <w:r>
        <w:rPr>
          <w:rFonts w:hint="eastAsia" w:cs="宋体"/>
          <w:color w:val="auto"/>
          <w:sz w:val="21"/>
          <w:szCs w:val="21"/>
          <w:highlight w:val="none"/>
        </w:rPr>
        <w:t>。</w:t>
      </w:r>
    </w:p>
    <w:p w14:paraId="5BFA831B">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发包人逾期支付进度款的违约金的计算方式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9CB175">
      <w:pPr>
        <w:pageBreakBefore w:val="0"/>
        <w:kinsoku/>
        <w:wordWrap/>
        <w:overflowPunct/>
        <w:topLinePunct w:val="0"/>
        <w:bidi w:val="0"/>
        <w:snapToGrid w:val="0"/>
        <w:spacing w:line="400" w:lineRule="exact"/>
        <w:ind w:left="0" w:leftChars="0" w:right="0" w:rightChars="0" w:firstLine="422" w:firstLineChars="200"/>
        <w:jc w:val="left"/>
        <w:textAlignment w:val="auto"/>
        <w:rPr>
          <w:rFonts w:hint="eastAsia" w:ascii="宋体" w:hAnsi="宋体" w:cs="宋体"/>
          <w:b/>
          <w:bCs/>
          <w:color w:val="auto"/>
          <w:sz w:val="21"/>
          <w:szCs w:val="21"/>
          <w:highlight w:val="none"/>
          <w:u w:val="none"/>
          <w:shd w:val="clear" w:color="auto" w:fill="auto"/>
        </w:rPr>
      </w:pPr>
      <w:r>
        <w:rPr>
          <w:rFonts w:hint="eastAsia" w:ascii="宋体" w:hAnsi="宋体" w:cs="宋体"/>
          <w:b/>
          <w:bCs/>
          <w:color w:val="auto"/>
          <w:sz w:val="21"/>
          <w:szCs w:val="21"/>
          <w:highlight w:val="none"/>
          <w:u w:val="none"/>
          <w:shd w:val="clear" w:color="auto" w:fill="auto"/>
        </w:rPr>
        <w:t>支付方式：</w:t>
      </w:r>
    </w:p>
    <w:p w14:paraId="63F02DAA">
      <w:pPr>
        <w:pageBreakBefore w:val="0"/>
        <w:kinsoku/>
        <w:wordWrap/>
        <w:overflowPunct/>
        <w:topLinePunct w:val="0"/>
        <w:bidi w:val="0"/>
        <w:snapToGrid w:val="0"/>
        <w:spacing w:line="400" w:lineRule="exact"/>
        <w:ind w:left="0" w:leftChars="0" w:right="0" w:rightChars="0" w:firstLine="422" w:firstLineChars="200"/>
        <w:jc w:val="left"/>
        <w:textAlignment w:val="auto"/>
        <w:rPr>
          <w:rFonts w:hint="eastAsia" w:cs="宋体"/>
          <w:b/>
          <w:bCs/>
          <w:color w:val="auto"/>
          <w:sz w:val="21"/>
          <w:szCs w:val="21"/>
          <w:highlight w:val="none"/>
          <w:shd w:val="clear" w:color="auto" w:fill="auto"/>
          <w:lang w:val="en-US" w:eastAsia="zh-CN"/>
        </w:rPr>
      </w:pPr>
      <w:r>
        <w:rPr>
          <w:rFonts w:hint="eastAsia" w:ascii="宋体" w:hAnsi="宋体" w:cs="宋体"/>
          <w:b/>
          <w:bCs/>
          <w:color w:val="auto"/>
          <w:sz w:val="21"/>
          <w:szCs w:val="21"/>
          <w:highlight w:val="none"/>
          <w:shd w:val="clear" w:color="auto" w:fill="auto"/>
          <w:lang w:val="en-US" w:eastAsia="zh-CN"/>
        </w:rPr>
        <w:t>关于付款周期的约定：合同签订具备实施条件后支付合同价的40%预付款（预付款支付前，中标人须提供同等金额预付款等额保函（见索即付））按期完成进度计划的合格分部分项工程付至85%的进度款；工程完工后付至合格工程量价款的90%；竣工验收合格取得验收报告后，付至合格工程量价款的95%；完成竣工结算审计且工程移交后付至结算总造价的100%，同时承包人须提交结算总造价的2%（作为工程质量保证金）至采购人处（注：发包人在政府资金调度会批准且发票送达后完成支付）</w:t>
      </w:r>
      <w:r>
        <w:rPr>
          <w:rFonts w:hint="eastAsia" w:cs="宋体"/>
          <w:b/>
          <w:bCs/>
          <w:color w:val="auto"/>
          <w:sz w:val="21"/>
          <w:szCs w:val="21"/>
          <w:highlight w:val="none"/>
          <w:shd w:val="clear" w:color="auto" w:fill="auto"/>
          <w:lang w:val="en-US" w:eastAsia="zh-CN"/>
        </w:rPr>
        <w:t>。</w:t>
      </w:r>
    </w:p>
    <w:p w14:paraId="515FD0BF">
      <w:pPr>
        <w:pageBreakBefore w:val="0"/>
        <w:kinsoku/>
        <w:wordWrap/>
        <w:overflowPunct/>
        <w:topLinePunct w:val="0"/>
        <w:bidi w:val="0"/>
        <w:snapToGrid w:val="0"/>
        <w:spacing w:line="400" w:lineRule="exact"/>
        <w:ind w:left="0" w:leftChars="0" w:right="0" w:rightChars="0" w:firstLine="422" w:firstLineChars="200"/>
        <w:jc w:val="left"/>
        <w:textAlignment w:val="auto"/>
        <w:rPr>
          <w:rFonts w:hint="eastAsia" w:ascii="宋体" w:hAnsi="宋体" w:cs="宋体"/>
          <w:b/>
          <w:bCs/>
          <w:color w:val="auto"/>
          <w:sz w:val="21"/>
          <w:szCs w:val="21"/>
          <w:highlight w:val="none"/>
          <w:shd w:val="clear" w:color="auto" w:fill="auto"/>
          <w:lang w:val="en-US" w:eastAsia="zh-CN"/>
        </w:rPr>
      </w:pPr>
      <w:r>
        <w:rPr>
          <w:rFonts w:hint="eastAsia" w:ascii="宋体" w:hAnsi="宋体" w:cs="宋体"/>
          <w:b/>
          <w:bCs/>
          <w:color w:val="auto"/>
          <w:sz w:val="21"/>
          <w:szCs w:val="21"/>
          <w:highlight w:val="none"/>
          <w:shd w:val="clear" w:color="auto" w:fill="auto"/>
          <w:lang w:val="en-US" w:eastAsia="zh-CN"/>
        </w:rPr>
        <w:t>质量保证金支持保函（银行保函、担保机构担保、保证保险）使用。采用保函的，保函有效期须与工程缺陷责任期截止时间保持一致。</w:t>
      </w:r>
    </w:p>
    <w:p w14:paraId="42331531">
      <w:pPr>
        <w:pageBreakBefore w:val="0"/>
        <w:kinsoku/>
        <w:wordWrap/>
        <w:overflowPunct/>
        <w:topLinePunct w:val="0"/>
        <w:bidi w:val="0"/>
        <w:snapToGrid w:val="0"/>
        <w:spacing w:line="400" w:lineRule="exact"/>
        <w:ind w:left="0" w:leftChars="0" w:right="0" w:rightChars="0" w:firstLine="420" w:firstLineChars="200"/>
        <w:jc w:val="left"/>
        <w:textAlignment w:val="auto"/>
        <w:rPr>
          <w:rFonts w:hint="eastAsia" w:asci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（3）承包人必须与指定银行签订委托支付协议。总承包企业（专业承包企业）应及时确认劳务</w:t>
      </w:r>
      <w:r>
        <w:rPr>
          <w:rFonts w:hint="eastAsia" w:ascii="宋体" w:cs="宋体"/>
          <w:color w:val="auto"/>
          <w:sz w:val="21"/>
          <w:szCs w:val="21"/>
          <w:highlight w:val="none"/>
          <w:shd w:val="clear" w:color="auto" w:fill="auto"/>
        </w:rPr>
        <w:t>分包企业按月提供的农民工工资详单。保证在签订施工合同前严格按照</w:t>
      </w:r>
      <w:r>
        <w:rPr>
          <w:rFonts w:hint="eastAsia" w:ascii="宋体" w:cs="宋体"/>
          <w:color w:val="auto"/>
          <w:sz w:val="21"/>
          <w:szCs w:val="21"/>
          <w:highlight w:val="none"/>
          <w:shd w:val="clear" w:color="auto" w:fill="auto"/>
          <w:lang w:eastAsia="zh-CN"/>
        </w:rPr>
        <w:t>“</w:t>
      </w:r>
      <w:r>
        <w:rPr>
          <w:rFonts w:hint="eastAsia" w:ascii="宋体" w:cs="宋体"/>
          <w:color w:val="auto"/>
          <w:sz w:val="21"/>
          <w:szCs w:val="21"/>
          <w:highlight w:val="none"/>
          <w:shd w:val="clear" w:color="auto" w:fill="auto"/>
        </w:rPr>
        <w:t>滁州市建设领域农民工工资管理暂行办法{滁人社发【2018】215 号文件}</w:t>
      </w:r>
      <w:r>
        <w:rPr>
          <w:rFonts w:hint="eastAsia" w:ascii="宋体" w:cs="宋体"/>
          <w:color w:val="auto"/>
          <w:sz w:val="21"/>
          <w:szCs w:val="21"/>
          <w:highlight w:val="none"/>
          <w:shd w:val="clear" w:color="auto" w:fill="auto"/>
          <w:lang w:eastAsia="zh-CN"/>
        </w:rPr>
        <w:t>”</w:t>
      </w:r>
      <w:r>
        <w:rPr>
          <w:rFonts w:hint="eastAsia" w:ascii="宋体" w:cs="宋体"/>
          <w:color w:val="auto"/>
          <w:sz w:val="21"/>
          <w:szCs w:val="21"/>
          <w:highlight w:val="none"/>
          <w:shd w:val="clear" w:color="auto" w:fill="auto"/>
          <w:lang w:val="en-US" w:eastAsia="zh-CN"/>
        </w:rPr>
        <w:t>和“关于进一步完善工程建设领域农民工工资保证金和农民工工资（劳务费）专户管理制度的实施意见”</w:t>
      </w:r>
      <w:r>
        <w:rPr>
          <w:rFonts w:hint="eastAsia" w:ascii="宋体" w:cs="宋体"/>
          <w:color w:val="auto"/>
          <w:sz w:val="21"/>
          <w:szCs w:val="21"/>
          <w:highlight w:val="none"/>
          <w:shd w:val="clear" w:color="auto" w:fill="auto"/>
        </w:rPr>
        <w:t>要求办理“农民工工资专用账户”手续。</w:t>
      </w:r>
    </w:p>
    <w:p w14:paraId="207B47DA">
      <w:pPr>
        <w:pStyle w:val="2"/>
        <w:pageBreakBefore w:val="0"/>
        <w:kinsoku/>
        <w:wordWrap/>
        <w:overflowPunct/>
        <w:topLinePunct w:val="0"/>
        <w:bidi w:val="0"/>
        <w:spacing w:after="0" w:afterLines="0" w:line="400" w:lineRule="exact"/>
        <w:ind w:left="0" w:leftChars="0" w:right="0" w:rightChars="0"/>
        <w:textAlignment w:val="auto"/>
        <w:rPr>
          <w:rFonts w:hint="eastAsia" w:hAnsi="宋体" w:cs="宋体"/>
          <w:bCs/>
          <w:color w:val="auto"/>
          <w:sz w:val="21"/>
          <w:szCs w:val="21"/>
          <w:highlight w:val="none"/>
          <w:u w:val="single"/>
          <w:shd w:val="clear" w:color="auto" w:fill="auto"/>
        </w:rPr>
      </w:pPr>
      <w:r>
        <w:rPr>
          <w:rFonts w:hint="eastAsia" w:hAnsi="宋体" w:cs="宋体"/>
          <w:bCs/>
          <w:color w:val="auto"/>
          <w:sz w:val="21"/>
          <w:szCs w:val="21"/>
          <w:highlight w:val="none"/>
          <w:shd w:val="clear" w:color="auto" w:fill="auto"/>
        </w:rPr>
        <w:t>开户名称：</w:t>
      </w:r>
      <w:r>
        <w:rPr>
          <w:rFonts w:hint="eastAsia" w:hAnsi="宋体" w:cs="宋体"/>
          <w:bCs/>
          <w:color w:val="auto"/>
          <w:sz w:val="21"/>
          <w:szCs w:val="21"/>
          <w:highlight w:val="none"/>
          <w:u w:val="single"/>
          <w:shd w:val="clear" w:color="auto" w:fill="auto"/>
        </w:rPr>
        <w:t xml:space="preserve">                              ；</w:t>
      </w:r>
    </w:p>
    <w:p w14:paraId="651CA701">
      <w:pPr>
        <w:pStyle w:val="2"/>
        <w:pageBreakBefore w:val="0"/>
        <w:kinsoku/>
        <w:wordWrap/>
        <w:overflowPunct/>
        <w:topLinePunct w:val="0"/>
        <w:bidi w:val="0"/>
        <w:spacing w:after="0" w:afterLines="0" w:line="400" w:lineRule="exact"/>
        <w:ind w:left="0" w:leftChars="0" w:right="0" w:rightChars="0"/>
        <w:textAlignment w:val="auto"/>
        <w:rPr>
          <w:rFonts w:hint="eastAsia" w:hAnsi="宋体" w:cs="宋体"/>
          <w:bCs/>
          <w:color w:val="auto"/>
          <w:sz w:val="21"/>
          <w:szCs w:val="21"/>
          <w:highlight w:val="none"/>
          <w:u w:val="single"/>
          <w:shd w:val="clear" w:color="auto" w:fill="auto"/>
        </w:rPr>
      </w:pPr>
      <w:r>
        <w:rPr>
          <w:rFonts w:hint="eastAsia" w:hAnsi="宋体" w:cs="宋体"/>
          <w:bCs/>
          <w:color w:val="auto"/>
          <w:sz w:val="21"/>
          <w:szCs w:val="21"/>
          <w:highlight w:val="none"/>
          <w:shd w:val="clear" w:color="auto" w:fill="auto"/>
        </w:rPr>
        <w:t>开 户 行：</w:t>
      </w:r>
      <w:r>
        <w:rPr>
          <w:rFonts w:hint="eastAsia" w:hAnsi="宋体" w:cs="宋体"/>
          <w:bCs/>
          <w:color w:val="auto"/>
          <w:sz w:val="21"/>
          <w:szCs w:val="21"/>
          <w:highlight w:val="none"/>
          <w:u w:val="single"/>
          <w:shd w:val="clear" w:color="auto" w:fill="auto"/>
        </w:rPr>
        <w:t xml:space="preserve">                              ；</w:t>
      </w:r>
    </w:p>
    <w:p w14:paraId="44DC0234">
      <w:pPr>
        <w:pageBreakBefore w:val="0"/>
        <w:kinsoku/>
        <w:wordWrap/>
        <w:overflowPunct/>
        <w:topLinePunct w:val="0"/>
        <w:bidi w:val="0"/>
        <w:snapToGrid w:val="0"/>
        <w:spacing w:line="400" w:lineRule="exact"/>
        <w:ind w:left="0" w:leftChars="0" w:right="0" w:rightChars="0" w:firstLine="420" w:firstLineChars="200"/>
        <w:textAlignment w:val="auto"/>
        <w:rPr>
          <w:rFonts w:hint="eastAsia" w:cs="宋体"/>
          <w:color w:val="auto"/>
          <w:sz w:val="21"/>
          <w:szCs w:val="21"/>
          <w:highlight w:val="none"/>
        </w:rPr>
      </w:pPr>
      <w:r>
        <w:rPr>
          <w:rFonts w:hint="eastAsia" w:hAnsi="宋体" w:cs="宋体"/>
          <w:bCs/>
          <w:color w:val="auto"/>
          <w:sz w:val="21"/>
          <w:szCs w:val="21"/>
          <w:highlight w:val="none"/>
          <w:shd w:val="clear" w:color="auto" w:fill="auto"/>
        </w:rPr>
        <w:t>账    号：</w:t>
      </w:r>
      <w:r>
        <w:rPr>
          <w:rFonts w:hint="eastAsia" w:hAnsi="宋体" w:cs="宋体"/>
          <w:bCs/>
          <w:color w:val="auto"/>
          <w:sz w:val="21"/>
          <w:szCs w:val="21"/>
          <w:highlight w:val="none"/>
          <w:u w:val="single"/>
          <w:shd w:val="clear" w:color="auto" w:fill="auto"/>
        </w:rPr>
        <w:t xml:space="preserve">                               ；</w:t>
      </w:r>
    </w:p>
    <w:p w14:paraId="05157AE4">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12.4.6 支付分解表的编制</w:t>
      </w:r>
    </w:p>
    <w:p w14:paraId="70678F62">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（2）总价合同支付分解表的编制与审批：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1972EC9A">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（3）单价合同的总价项目支付分解表的编制与审批：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A58826D">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bCs/>
          <w:color w:val="auto"/>
          <w:sz w:val="21"/>
          <w:szCs w:val="21"/>
          <w:highlight w:val="none"/>
        </w:rPr>
      </w:pPr>
      <w:r>
        <w:rPr>
          <w:rFonts w:hint="eastAsia" w:cs="宋体"/>
          <w:bCs/>
          <w:color w:val="auto"/>
          <w:sz w:val="21"/>
          <w:szCs w:val="21"/>
          <w:highlight w:val="none"/>
        </w:rPr>
        <w:t>12.4.7 农民工工资管理</w:t>
      </w:r>
    </w:p>
    <w:p w14:paraId="6FADC389">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bCs/>
          <w:color w:val="auto"/>
          <w:sz w:val="21"/>
          <w:szCs w:val="21"/>
          <w:highlight w:val="none"/>
        </w:rPr>
      </w:pPr>
      <w:r>
        <w:rPr>
          <w:rFonts w:hint="eastAsia" w:cs="宋体"/>
          <w:color w:val="auto"/>
          <w:sz w:val="21"/>
          <w:szCs w:val="21"/>
          <w:highlight w:val="none"/>
        </w:rPr>
        <w:t>（1）</w:t>
      </w:r>
      <w:r>
        <w:rPr>
          <w:rFonts w:hint="eastAsia" w:cs="宋体"/>
          <w:bCs/>
          <w:color w:val="auto"/>
          <w:sz w:val="21"/>
          <w:szCs w:val="21"/>
          <w:highlight w:val="none"/>
        </w:rPr>
        <w:t>本工程农民工工资实行专用账户管理，承包人设立的专用账户开户行为</w:t>
      </w:r>
      <w:r>
        <w:rPr>
          <w:rFonts w:hint="eastAsia" w:cs="宋体"/>
          <w:bCs/>
          <w:color w:val="auto"/>
          <w:sz w:val="21"/>
          <w:szCs w:val="21"/>
          <w:highlight w:val="none"/>
          <w:u w:val="single"/>
        </w:rPr>
        <w:t xml:space="preserve">：        </w:t>
      </w:r>
      <w:r>
        <w:rPr>
          <w:rFonts w:hint="eastAsia" w:cs="宋体"/>
          <w:bCs/>
          <w:color w:val="auto"/>
          <w:sz w:val="21"/>
          <w:szCs w:val="21"/>
          <w:highlight w:val="none"/>
        </w:rPr>
        <w:t>，账号：</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8EE9296">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bCs/>
          <w:color w:val="auto"/>
          <w:sz w:val="21"/>
          <w:szCs w:val="21"/>
          <w:highlight w:val="none"/>
        </w:rPr>
      </w:pPr>
      <w:r>
        <w:rPr>
          <w:rFonts w:hint="eastAsia" w:cs="宋体"/>
          <w:color w:val="auto"/>
          <w:sz w:val="21"/>
          <w:szCs w:val="21"/>
          <w:highlight w:val="none"/>
        </w:rPr>
        <w:t>（2）</w:t>
      </w:r>
      <w:r>
        <w:rPr>
          <w:rFonts w:hint="eastAsia" w:cs="宋体"/>
          <w:bCs/>
          <w:color w:val="auto"/>
          <w:sz w:val="21"/>
          <w:szCs w:val="21"/>
          <w:highlight w:val="none"/>
        </w:rPr>
        <w:t>本工程工资性工程款</w:t>
      </w:r>
      <w:r>
        <w:rPr>
          <w:rFonts w:hint="eastAsia" w:cs="宋体"/>
          <w:bCs/>
          <w:color w:val="auto"/>
          <w:sz w:val="21"/>
          <w:szCs w:val="21"/>
          <w:highlight w:val="none"/>
          <w:u w:val="single"/>
        </w:rPr>
        <w:t xml:space="preserve">         </w:t>
      </w:r>
      <w:r>
        <w:rPr>
          <w:rFonts w:hint="eastAsia" w:cs="宋体"/>
          <w:bCs/>
          <w:color w:val="auto"/>
          <w:sz w:val="21"/>
          <w:szCs w:val="21"/>
          <w:highlight w:val="none"/>
        </w:rPr>
        <w:t>元。</w:t>
      </w:r>
    </w:p>
    <w:p w14:paraId="4D7573A2">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bCs/>
          <w:color w:val="auto"/>
          <w:sz w:val="21"/>
          <w:szCs w:val="21"/>
          <w:highlight w:val="none"/>
        </w:rPr>
      </w:pPr>
      <w:r>
        <w:rPr>
          <w:rFonts w:hint="eastAsia" w:cs="宋体"/>
          <w:color w:val="auto"/>
          <w:sz w:val="21"/>
          <w:szCs w:val="21"/>
          <w:highlight w:val="none"/>
        </w:rPr>
        <w:t>（3）</w:t>
      </w:r>
      <w:r>
        <w:rPr>
          <w:rFonts w:hint="eastAsia" w:cs="宋体"/>
          <w:bCs/>
          <w:color w:val="auto"/>
          <w:sz w:val="21"/>
          <w:szCs w:val="21"/>
          <w:highlight w:val="none"/>
        </w:rPr>
        <w:t>发包人于每月25日前将工资性工程进度款转入农民工工资专用账户。</w:t>
      </w:r>
    </w:p>
    <w:p w14:paraId="19E7488C">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bCs/>
          <w:color w:val="auto"/>
          <w:sz w:val="21"/>
          <w:szCs w:val="21"/>
          <w:highlight w:val="none"/>
        </w:rPr>
      </w:pPr>
      <w:r>
        <w:rPr>
          <w:rFonts w:hint="eastAsia" w:cs="宋体"/>
          <w:color w:val="auto"/>
          <w:sz w:val="21"/>
          <w:szCs w:val="21"/>
          <w:highlight w:val="none"/>
        </w:rPr>
        <w:t>（4）</w:t>
      </w:r>
      <w:r>
        <w:rPr>
          <w:rFonts w:hint="eastAsia" w:cs="宋体"/>
          <w:bCs/>
          <w:color w:val="auto"/>
          <w:sz w:val="21"/>
          <w:szCs w:val="21"/>
          <w:highlight w:val="none"/>
        </w:rPr>
        <w:t>承包人每月25日前上报本工程农民工工资清单，每月10日前委托开设农民工工资专用账户的银行支付农民工工资。</w:t>
      </w:r>
    </w:p>
    <w:p w14:paraId="4386C71E">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b/>
          <w:color w:val="auto"/>
          <w:sz w:val="21"/>
          <w:szCs w:val="21"/>
          <w:highlight w:val="none"/>
        </w:rPr>
      </w:pPr>
      <w:r>
        <w:rPr>
          <w:rFonts w:hint="eastAsia" w:cs="宋体"/>
          <w:color w:val="auto"/>
          <w:sz w:val="21"/>
          <w:szCs w:val="21"/>
          <w:highlight w:val="none"/>
        </w:rPr>
        <w:t>（5）</w:t>
      </w:r>
      <w:r>
        <w:rPr>
          <w:rFonts w:hint="eastAsia" w:cs="宋体"/>
          <w:bCs/>
          <w:color w:val="auto"/>
          <w:sz w:val="21"/>
          <w:szCs w:val="21"/>
          <w:highlight w:val="none"/>
        </w:rPr>
        <w:t>工程竣工后，经项目部农民工维权组确认无农民工工资拖欠后，发、承双方办理农民工工资专用账户撤销手续，农民工工资专用账户余额划至本合同约定的承包人账户。</w:t>
      </w:r>
    </w:p>
    <w:bookmarkEnd w:id="326"/>
    <w:p w14:paraId="323AB93E">
      <w:pPr>
        <w:pageBreakBefore w:val="0"/>
        <w:kinsoku/>
        <w:wordWrap/>
        <w:overflowPunct/>
        <w:topLinePunct w:val="0"/>
        <w:bidi w:val="0"/>
        <w:snapToGrid w:val="0"/>
        <w:spacing w:line="400" w:lineRule="exact"/>
        <w:ind w:left="0" w:leftChars="0" w:right="0" w:rightChars="0"/>
        <w:textAlignment w:val="auto"/>
        <w:outlineLvl w:val="2"/>
        <w:rPr>
          <w:rFonts w:cs="宋体"/>
          <w:color w:val="auto"/>
          <w:sz w:val="21"/>
          <w:szCs w:val="21"/>
          <w:highlight w:val="none"/>
        </w:rPr>
      </w:pPr>
      <w:bookmarkStart w:id="497" w:name="_Toc351203645"/>
      <w:bookmarkStart w:id="498" w:name="_Toc304295593"/>
      <w:bookmarkStart w:id="499" w:name="_Toc296891259"/>
      <w:bookmarkStart w:id="500" w:name="_Toc296891047"/>
      <w:bookmarkStart w:id="501" w:name="_Toc297216223"/>
      <w:bookmarkStart w:id="502" w:name="_Toc296346720"/>
      <w:bookmarkStart w:id="503" w:name="_Toc303539172"/>
      <w:bookmarkStart w:id="504" w:name="_Toc296503219"/>
      <w:bookmarkStart w:id="505" w:name="_Toc296347218"/>
      <w:bookmarkStart w:id="506" w:name="_Toc296944558"/>
      <w:bookmarkStart w:id="507" w:name="_Toc292559929"/>
      <w:bookmarkStart w:id="508" w:name="_Toc297048405"/>
      <w:bookmarkStart w:id="509" w:name="_Toc297123564"/>
      <w:bookmarkStart w:id="510" w:name="_Toc300935015"/>
      <w:bookmarkStart w:id="511" w:name="_Toc312678053"/>
      <w:bookmarkStart w:id="512" w:name="_Toc297120519"/>
      <w:bookmarkStart w:id="513" w:name="_Toc292559424"/>
      <w:r>
        <w:rPr>
          <w:rFonts w:hint="eastAsia" w:cs="宋体"/>
          <w:color w:val="auto"/>
          <w:sz w:val="21"/>
          <w:szCs w:val="21"/>
          <w:highlight w:val="none"/>
        </w:rPr>
        <w:t>13. 验收和工程试车</w:t>
      </w:r>
      <w:bookmarkEnd w:id="497"/>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14:paraId="79B59727">
      <w:pPr>
        <w:keepNext/>
        <w:keepLines/>
        <w:pageBreakBefore w:val="0"/>
        <w:kinsoku/>
        <w:wordWrap/>
        <w:overflowPunct/>
        <w:topLinePunct w:val="0"/>
        <w:bidi w:val="0"/>
        <w:snapToGrid w:val="0"/>
        <w:spacing w:line="400" w:lineRule="exact"/>
        <w:ind w:left="0" w:leftChars="0" w:right="0" w:rightChars="0"/>
        <w:jc w:val="left"/>
        <w:textAlignment w:val="auto"/>
        <w:outlineLvl w:val="2"/>
        <w:rPr>
          <w:rFonts w:cs="宋体"/>
          <w:bCs/>
          <w:color w:val="auto"/>
          <w:sz w:val="21"/>
          <w:szCs w:val="21"/>
          <w:highlight w:val="none"/>
        </w:rPr>
      </w:pPr>
      <w:r>
        <w:rPr>
          <w:rFonts w:hint="eastAsia" w:cs="宋体"/>
          <w:bCs/>
          <w:color w:val="auto"/>
          <w:sz w:val="21"/>
          <w:szCs w:val="21"/>
          <w:highlight w:val="none"/>
        </w:rPr>
        <w:t>13.1 分部分项工程验收</w:t>
      </w:r>
    </w:p>
    <w:p w14:paraId="18D271CE">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6F3A42FC">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5E508A98">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bookmarkStart w:id="514" w:name="_Toc297123565"/>
      <w:bookmarkStart w:id="515" w:name="_Toc296944562"/>
      <w:bookmarkStart w:id="516" w:name="_Toc296346724"/>
      <w:bookmarkStart w:id="517" w:name="_Toc304295596"/>
      <w:bookmarkStart w:id="518" w:name="_Toc297120523"/>
      <w:bookmarkStart w:id="519" w:name="_Toc292559933"/>
      <w:bookmarkStart w:id="520" w:name="_Toc292559428"/>
      <w:bookmarkStart w:id="521" w:name="_Toc296503223"/>
      <w:bookmarkStart w:id="522" w:name="_Toc296891051"/>
      <w:bookmarkStart w:id="523" w:name="_Toc312678056"/>
      <w:bookmarkStart w:id="524" w:name="_Toc297216224"/>
      <w:bookmarkStart w:id="525" w:name="_Toc297048409"/>
      <w:bookmarkStart w:id="526" w:name="_Toc296891263"/>
      <w:bookmarkStart w:id="527" w:name="_Toc296347222"/>
      <w:bookmarkStart w:id="528" w:name="_Toc303539173"/>
      <w:bookmarkStart w:id="529" w:name="_Toc300935016"/>
      <w:bookmarkStart w:id="530" w:name="_Toc267251471"/>
      <w:bookmarkStart w:id="531" w:name="_Toc267251474"/>
      <w:bookmarkStart w:id="532" w:name="_Toc267251475"/>
      <w:bookmarkStart w:id="533" w:name="_Toc267251476"/>
      <w:bookmarkStart w:id="534" w:name="_Toc267251473"/>
      <w:bookmarkStart w:id="535" w:name="_Toc267251472"/>
      <w:bookmarkStart w:id="536" w:name="_Toc267251470"/>
      <w:r>
        <w:rPr>
          <w:rFonts w:hint="eastAsia" w:cs="宋体"/>
          <w:bCs/>
          <w:color w:val="auto"/>
          <w:sz w:val="21"/>
          <w:szCs w:val="21"/>
          <w:highlight w:val="none"/>
        </w:rPr>
        <w:t>13.2 竣工验收</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14:paraId="30D00D85">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bookmarkStart w:id="537" w:name="_Toc280868704"/>
      <w:bookmarkStart w:id="538" w:name="_Toc280868705"/>
      <w:bookmarkStart w:id="539" w:name="_Toc280868706"/>
      <w:bookmarkStart w:id="540" w:name="_Toc280868707"/>
      <w:bookmarkStart w:id="541" w:name="_Toc280868708"/>
      <w:bookmarkStart w:id="542" w:name="_Toc280868709"/>
      <w:r>
        <w:rPr>
          <w:rFonts w:hint="eastAsia" w:cs="宋体"/>
          <w:color w:val="auto"/>
          <w:sz w:val="21"/>
          <w:szCs w:val="21"/>
          <w:highlight w:val="none"/>
        </w:rPr>
        <w:t>13.2.2 竣工验收程序</w:t>
      </w:r>
    </w:p>
    <w:bookmarkEnd w:id="537"/>
    <w:p w14:paraId="6171BF86">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关于竣工验收程序的约定：</w:t>
      </w:r>
      <w:r>
        <w:rPr>
          <w:rFonts w:hint="eastAsia" w:ascii="宋体" w:cs="宋体"/>
          <w:color w:val="auto"/>
          <w:sz w:val="21"/>
          <w:szCs w:val="21"/>
          <w:highlight w:val="none"/>
          <w:u w:val="single"/>
          <w:shd w:val="clear" w:color="auto" w:fill="auto"/>
        </w:rPr>
        <w:t>严格按照市重点处《工程竣工验收要求》和《重点工程进度管理办法》执行（从工程完工到竣工验收原则上不得超过30天，特殊情况经分管领导批准的可以延长）。整体工程完工后组织竣工验收，验收合格之日作为竣工日期</w:t>
      </w:r>
      <w:r>
        <w:rPr>
          <w:rFonts w:hint="eastAsia" w:cs="宋体"/>
          <w:color w:val="auto"/>
          <w:sz w:val="21"/>
          <w:szCs w:val="21"/>
          <w:highlight w:val="none"/>
        </w:rPr>
        <w:t>。</w:t>
      </w:r>
    </w:p>
    <w:p w14:paraId="1FEF52F8">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发包人不按照本项约定组织竣工验收、颁发工程接收证书的违约金的计算方法：</w:t>
      </w:r>
      <w:r>
        <w:rPr>
          <w:rFonts w:hint="eastAsia" w:cs="宋体"/>
          <w:color w:val="auto"/>
          <w:sz w:val="21"/>
          <w:szCs w:val="21"/>
          <w:highlight w:val="none"/>
          <w:u w:val="single"/>
          <w:lang w:val="en-US" w:eastAsia="zh-CN"/>
        </w:rPr>
        <w:t>/</w:t>
      </w:r>
      <w:r>
        <w:rPr>
          <w:rFonts w:hint="eastAsia" w:cs="宋体"/>
          <w:color w:val="auto"/>
          <w:sz w:val="21"/>
          <w:szCs w:val="21"/>
          <w:highlight w:val="none"/>
        </w:rPr>
        <w:t>。</w:t>
      </w:r>
    </w:p>
    <w:bookmarkEnd w:id="538"/>
    <w:p w14:paraId="7762B7C6">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13.2.5 移交、接收全部与部分工程</w:t>
      </w:r>
    </w:p>
    <w:bookmarkEnd w:id="539"/>
    <w:p w14:paraId="5E3085DB">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ascii="宋体" w:cs="宋体"/>
          <w:color w:val="auto"/>
          <w:sz w:val="21"/>
          <w:szCs w:val="21"/>
          <w:highlight w:val="none"/>
          <w:u w:val="single"/>
          <w:shd w:val="clear" w:color="auto" w:fill="auto"/>
        </w:rPr>
        <w:t>承包人应当无条件配合发包人在30日内将工程移交给管养单位</w:t>
      </w:r>
      <w:r>
        <w:rPr>
          <w:rFonts w:hint="eastAsia" w:cs="宋体"/>
          <w:color w:val="auto"/>
          <w:sz w:val="21"/>
          <w:szCs w:val="21"/>
          <w:highlight w:val="none"/>
        </w:rPr>
        <w:t>。</w:t>
      </w:r>
    </w:p>
    <w:p w14:paraId="516ABE9A">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lang w:val="en-US" w:eastAsia="zh-CN"/>
        </w:rPr>
        <w:t>/</w:t>
      </w:r>
      <w:r>
        <w:rPr>
          <w:rFonts w:hint="eastAsia" w:cs="宋体"/>
          <w:color w:val="auto"/>
          <w:sz w:val="21"/>
          <w:szCs w:val="21"/>
          <w:highlight w:val="none"/>
        </w:rPr>
        <w:t>。</w:t>
      </w:r>
    </w:p>
    <w:bookmarkEnd w:id="540"/>
    <w:p w14:paraId="2B139DB1">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ascii="宋体" w:cs="宋体"/>
          <w:color w:val="auto"/>
          <w:sz w:val="21"/>
          <w:szCs w:val="21"/>
          <w:highlight w:val="none"/>
          <w:u w:val="single"/>
          <w:shd w:val="clear" w:color="auto" w:fill="auto"/>
        </w:rPr>
        <w:t xml:space="preserve"> 因承包人原因，未按合同期限按时移交的，暂停工程款支付，发包人可动用质保金，用于工程质量整改，同时限制承包人一年内不得参与</w:t>
      </w:r>
      <w:r>
        <w:rPr>
          <w:rFonts w:hint="eastAsia" w:ascii="宋体" w:cs="宋体"/>
          <w:color w:val="auto"/>
          <w:sz w:val="21"/>
          <w:szCs w:val="21"/>
          <w:highlight w:val="none"/>
          <w:u w:val="single"/>
          <w:shd w:val="clear" w:color="auto" w:fill="auto"/>
          <w:lang w:eastAsia="zh-CN"/>
        </w:rPr>
        <w:t>滁州市重点工程建设管理处</w:t>
      </w:r>
      <w:r>
        <w:rPr>
          <w:rFonts w:hint="eastAsia" w:ascii="宋体" w:cs="宋体"/>
          <w:color w:val="auto"/>
          <w:sz w:val="21"/>
          <w:szCs w:val="21"/>
          <w:highlight w:val="none"/>
          <w:u w:val="single"/>
          <w:shd w:val="clear" w:color="auto" w:fill="auto"/>
        </w:rPr>
        <w:t>项目投标</w:t>
      </w:r>
      <w:r>
        <w:rPr>
          <w:rFonts w:hint="eastAsia" w:cs="宋体"/>
          <w:color w:val="auto"/>
          <w:sz w:val="21"/>
          <w:szCs w:val="21"/>
          <w:highlight w:val="none"/>
        </w:rPr>
        <w:t>。</w:t>
      </w:r>
    </w:p>
    <w:p w14:paraId="33F2C040">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13.3 工程试车</w:t>
      </w:r>
    </w:p>
    <w:bookmarkEnd w:id="541"/>
    <w:p w14:paraId="474AC399">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13.3.1 试车程序</w:t>
      </w:r>
    </w:p>
    <w:p w14:paraId="7A335941">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工程需要试车的，试车内容应与承包人承包范围相一致，试车费用由承包人承担</w:t>
      </w:r>
      <w:r>
        <w:rPr>
          <w:rFonts w:hint="eastAsia" w:cs="宋体"/>
          <w:color w:val="auto"/>
          <w:sz w:val="21"/>
          <w:szCs w:val="21"/>
          <w:highlight w:val="none"/>
        </w:rPr>
        <w:t>。</w:t>
      </w:r>
    </w:p>
    <w:p w14:paraId="6EE2086E">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（1）单机无负荷试车费用</w:t>
      </w:r>
      <w:r>
        <w:rPr>
          <w:rFonts w:hint="eastAsia" w:cs="宋体"/>
          <w:color w:val="auto"/>
          <w:sz w:val="21"/>
          <w:szCs w:val="21"/>
          <w:highlight w:val="none"/>
          <w:u w:val="single"/>
        </w:rPr>
        <w:t>由承包人在</w:t>
      </w:r>
      <w:r>
        <w:rPr>
          <w:rFonts w:hint="eastAsia" w:cs="宋体"/>
          <w:color w:val="auto"/>
          <w:sz w:val="21"/>
          <w:szCs w:val="21"/>
          <w:highlight w:val="none"/>
          <w:u w:val="single"/>
          <w:lang w:val="en-US" w:eastAsia="zh-CN"/>
        </w:rPr>
        <w:t>响应</w:t>
      </w:r>
      <w:r>
        <w:rPr>
          <w:rFonts w:hint="eastAsia" w:cs="宋体"/>
          <w:color w:val="auto"/>
          <w:sz w:val="21"/>
          <w:szCs w:val="21"/>
          <w:highlight w:val="none"/>
          <w:u w:val="single"/>
        </w:rPr>
        <w:t>报价中综合考虑并</w:t>
      </w:r>
      <w:r>
        <w:rPr>
          <w:rFonts w:hint="eastAsia" w:cs="宋体"/>
          <w:color w:val="auto"/>
          <w:sz w:val="21"/>
          <w:szCs w:val="21"/>
          <w:highlight w:val="none"/>
        </w:rPr>
        <w:t>承担；</w:t>
      </w:r>
    </w:p>
    <w:p w14:paraId="086A9E3B">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承包人在</w:t>
      </w:r>
      <w:r>
        <w:rPr>
          <w:rFonts w:hint="eastAsia" w:cs="宋体"/>
          <w:color w:val="auto"/>
          <w:sz w:val="21"/>
          <w:szCs w:val="21"/>
          <w:highlight w:val="none"/>
          <w:u w:val="single"/>
          <w:lang w:val="en-US" w:eastAsia="zh-CN"/>
        </w:rPr>
        <w:t>响应</w:t>
      </w:r>
      <w:r>
        <w:rPr>
          <w:rFonts w:hint="eastAsia" w:cs="宋体"/>
          <w:color w:val="auto"/>
          <w:sz w:val="21"/>
          <w:szCs w:val="21"/>
          <w:highlight w:val="none"/>
          <w:u w:val="single"/>
        </w:rPr>
        <w:t>报价中综合考虑并</w:t>
      </w:r>
      <w:r>
        <w:rPr>
          <w:rFonts w:hint="eastAsia" w:cs="宋体"/>
          <w:color w:val="auto"/>
          <w:sz w:val="21"/>
          <w:szCs w:val="21"/>
          <w:highlight w:val="none"/>
        </w:rPr>
        <w:t>承担。</w:t>
      </w:r>
    </w:p>
    <w:p w14:paraId="2D5AF084">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13.3.3 投料试车</w:t>
      </w:r>
    </w:p>
    <w:p w14:paraId="2B98DA48">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ascii="宋体" w:cs="宋体"/>
          <w:color w:val="auto"/>
          <w:kern w:val="0"/>
          <w:sz w:val="21"/>
          <w:szCs w:val="21"/>
          <w:highlight w:val="none"/>
          <w:u w:val="single"/>
          <w:shd w:val="clear" w:color="auto" w:fill="auto"/>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r>
        <w:rPr>
          <w:rFonts w:hint="eastAsia" w:cs="宋体"/>
          <w:color w:val="auto"/>
          <w:sz w:val="21"/>
          <w:szCs w:val="21"/>
          <w:highlight w:val="none"/>
        </w:rPr>
        <w:t>。</w:t>
      </w:r>
    </w:p>
    <w:p w14:paraId="4E8CEADA">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13.6 竣工退场</w:t>
      </w:r>
    </w:p>
    <w:p w14:paraId="5B5DDC5F">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13.6.1 竣工退场</w:t>
      </w:r>
    </w:p>
    <w:p w14:paraId="156AE166">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承包人完成竣工退场的期限：</w:t>
      </w:r>
      <w:r>
        <w:rPr>
          <w:rFonts w:hint="eastAsia" w:ascii="宋体" w:cs="宋体"/>
          <w:color w:val="auto"/>
          <w:sz w:val="21"/>
          <w:szCs w:val="21"/>
          <w:highlight w:val="none"/>
          <w:u w:val="single"/>
          <w:shd w:val="clear" w:color="auto" w:fill="auto"/>
        </w:rPr>
        <w:t>工程竣工合格后，7天内退场</w:t>
      </w:r>
      <w:r>
        <w:rPr>
          <w:rFonts w:hint="eastAsia" w:cs="宋体"/>
          <w:color w:val="auto"/>
          <w:sz w:val="21"/>
          <w:szCs w:val="21"/>
          <w:highlight w:val="none"/>
        </w:rPr>
        <w:t>。</w:t>
      </w:r>
    </w:p>
    <w:p w14:paraId="2768A49D">
      <w:pPr>
        <w:pageBreakBefore w:val="0"/>
        <w:kinsoku/>
        <w:wordWrap/>
        <w:overflowPunct/>
        <w:topLinePunct w:val="0"/>
        <w:bidi w:val="0"/>
        <w:snapToGrid w:val="0"/>
        <w:spacing w:line="400" w:lineRule="exact"/>
        <w:ind w:left="0" w:leftChars="0" w:right="0" w:rightChars="0"/>
        <w:textAlignment w:val="auto"/>
        <w:outlineLvl w:val="2"/>
        <w:rPr>
          <w:rFonts w:cs="宋体"/>
          <w:color w:val="auto"/>
          <w:sz w:val="21"/>
          <w:szCs w:val="21"/>
          <w:highlight w:val="none"/>
        </w:rPr>
      </w:pPr>
      <w:bookmarkStart w:id="543" w:name="_Toc351203646"/>
      <w:r>
        <w:rPr>
          <w:rFonts w:hint="eastAsia" w:cs="宋体"/>
          <w:color w:val="auto"/>
          <w:sz w:val="21"/>
          <w:szCs w:val="21"/>
          <w:highlight w:val="none"/>
        </w:rPr>
        <w:t>14. 竣工结算</w:t>
      </w:r>
      <w:bookmarkEnd w:id="543"/>
    </w:p>
    <w:p w14:paraId="0C80E1CB">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14.1 竣工结算申请</w:t>
      </w:r>
    </w:p>
    <w:p w14:paraId="6FC287F9">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承包人提交竣工结算申请单的期限：</w:t>
      </w:r>
      <w:r>
        <w:rPr>
          <w:rFonts w:hint="eastAsia" w:ascii="宋体" w:cs="宋体"/>
          <w:color w:val="auto"/>
          <w:sz w:val="21"/>
          <w:szCs w:val="21"/>
          <w:highlight w:val="none"/>
          <w:u w:val="single"/>
          <w:shd w:val="clear" w:color="auto" w:fill="auto"/>
        </w:rPr>
        <w:t>承包人须于竣工验收合格后60日内完成竣工结算报告和完整结算资料上报，特殊情况，经分管领导批准的可以延长。凡因承包人原因，未能在规定时间内上报竣工结算的，处罚10000元/月的违约金。情节严重的，项目单位有权按已有资料或按已付款报相关部门办理结算</w:t>
      </w:r>
      <w:r>
        <w:rPr>
          <w:rFonts w:hint="eastAsia" w:cs="宋体"/>
          <w:color w:val="auto"/>
          <w:sz w:val="21"/>
          <w:szCs w:val="21"/>
          <w:highlight w:val="none"/>
        </w:rPr>
        <w:t>。</w:t>
      </w:r>
    </w:p>
    <w:p w14:paraId="3085F8A1">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竣工结算申请单应包括的内容：</w:t>
      </w:r>
      <w:r>
        <w:rPr>
          <w:rFonts w:hint="eastAsia" w:ascii="宋体" w:cs="宋体"/>
          <w:color w:val="auto"/>
          <w:sz w:val="21"/>
          <w:szCs w:val="21"/>
          <w:highlight w:val="none"/>
          <w:u w:val="single"/>
          <w:shd w:val="clear" w:color="auto" w:fill="auto"/>
        </w:rPr>
        <w:t>执行发包人统一内容格式</w:t>
      </w:r>
      <w:r>
        <w:rPr>
          <w:rFonts w:hint="eastAsia" w:cs="宋体"/>
          <w:color w:val="auto"/>
          <w:sz w:val="21"/>
          <w:szCs w:val="21"/>
          <w:highlight w:val="none"/>
        </w:rPr>
        <w:t>。</w:t>
      </w:r>
    </w:p>
    <w:p w14:paraId="2C44EE6D">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14.2 竣工结算审核</w:t>
      </w:r>
    </w:p>
    <w:p w14:paraId="02B03778">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发包人审批竣工付款申请单的期限：</w:t>
      </w:r>
      <w:r>
        <w:rPr>
          <w:rFonts w:hint="eastAsia" w:ascii="宋体" w:cs="宋体"/>
          <w:color w:val="auto"/>
          <w:sz w:val="21"/>
          <w:szCs w:val="21"/>
          <w:highlight w:val="none"/>
          <w:u w:val="single"/>
          <w:shd w:val="clear" w:color="auto" w:fill="auto"/>
        </w:rPr>
        <w:t>相关部门审核通过后7天内完成审批并签发结算款支付证书</w:t>
      </w:r>
      <w:r>
        <w:rPr>
          <w:rFonts w:hint="eastAsia" w:cs="宋体"/>
          <w:color w:val="auto"/>
          <w:sz w:val="21"/>
          <w:szCs w:val="21"/>
          <w:highlight w:val="none"/>
        </w:rPr>
        <w:t>。</w:t>
      </w:r>
    </w:p>
    <w:p w14:paraId="4D5D075D">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发包人完成竣工付款的期限：</w:t>
      </w:r>
      <w:r>
        <w:rPr>
          <w:rFonts w:hint="eastAsia" w:ascii="宋体" w:cs="宋体"/>
          <w:color w:val="auto"/>
          <w:sz w:val="21"/>
          <w:szCs w:val="21"/>
          <w:highlight w:val="none"/>
          <w:u w:val="single"/>
          <w:shd w:val="clear" w:color="auto" w:fill="auto"/>
        </w:rPr>
        <w:t>发包人在政府资金调度会批准且发票送达一周内完成支付</w:t>
      </w:r>
      <w:r>
        <w:rPr>
          <w:rFonts w:hint="eastAsia" w:cs="宋体"/>
          <w:color w:val="auto"/>
          <w:sz w:val="21"/>
          <w:szCs w:val="21"/>
          <w:highlight w:val="none"/>
        </w:rPr>
        <w:t>。</w:t>
      </w:r>
    </w:p>
    <w:p w14:paraId="3B990DDC">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关于竣工付款证书异议部分复核的方式和程序：</w:t>
      </w:r>
      <w:r>
        <w:rPr>
          <w:rFonts w:hint="eastAsia" w:ascii="宋体" w:cs="宋体"/>
          <w:color w:val="auto"/>
          <w:sz w:val="21"/>
          <w:szCs w:val="21"/>
          <w:highlight w:val="none"/>
          <w:u w:val="single"/>
          <w:shd w:val="clear" w:color="auto" w:fill="auto"/>
        </w:rPr>
        <w:t xml:space="preserve"> 按照第20条〔争议解决〕约定处理</w:t>
      </w:r>
      <w:r>
        <w:rPr>
          <w:rFonts w:hint="eastAsia" w:cs="宋体"/>
          <w:color w:val="auto"/>
          <w:sz w:val="21"/>
          <w:szCs w:val="21"/>
          <w:highlight w:val="none"/>
        </w:rPr>
        <w:t>。</w:t>
      </w:r>
    </w:p>
    <w:p w14:paraId="75483E34">
      <w:pPr>
        <w:pageBreakBefore w:val="0"/>
        <w:kinsoku/>
        <w:wordWrap/>
        <w:overflowPunct/>
        <w:topLinePunct w:val="0"/>
        <w:bidi w:val="0"/>
        <w:adjustRightInd w:val="0"/>
        <w:snapToGrid w:val="0"/>
        <w:spacing w:line="400" w:lineRule="exact"/>
        <w:ind w:left="0" w:leftChars="0" w:right="0" w:rightChars="0" w:firstLine="422" w:firstLineChars="200"/>
        <w:textAlignment w:val="auto"/>
        <w:rPr>
          <w:rFonts w:hint="eastAsia" w:eastAsia="黑体" w:cs="宋体"/>
          <w:color w:val="auto"/>
          <w:sz w:val="21"/>
          <w:szCs w:val="21"/>
          <w:highlight w:val="none"/>
          <w:lang w:eastAsia="zh-CN"/>
        </w:rPr>
      </w:pPr>
      <w:r>
        <w:rPr>
          <w:rFonts w:hint="eastAsia" w:ascii="黑体" w:hAnsi="黑体" w:eastAsia="黑体" w:cs="黑体"/>
          <w:b/>
          <w:bCs/>
          <w:color w:val="auto"/>
          <w:sz w:val="21"/>
          <w:szCs w:val="21"/>
          <w:highlight w:val="none"/>
          <w:shd w:val="clear" w:color="auto" w:fill="auto"/>
        </w:rPr>
        <w:t>工程造价审减率超过3%时，将对施工单位进行处罚，处罚金额为审减率超过3%以上的报送金额的6%，由综合计划科在定案时明确处罚金额报工程监管科落实处罚</w:t>
      </w:r>
      <w:r>
        <w:rPr>
          <w:rFonts w:hint="eastAsia" w:ascii="黑体" w:hAnsi="黑体" w:eastAsia="黑体" w:cs="黑体"/>
          <w:b/>
          <w:bCs/>
          <w:color w:val="auto"/>
          <w:sz w:val="21"/>
          <w:szCs w:val="21"/>
          <w:highlight w:val="none"/>
          <w:shd w:val="clear" w:color="auto" w:fill="auto"/>
          <w:lang w:eastAsia="zh-CN"/>
        </w:rPr>
        <w:t>。</w:t>
      </w:r>
    </w:p>
    <w:p w14:paraId="4479B378">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14.4 最终结清</w:t>
      </w:r>
    </w:p>
    <w:p w14:paraId="2FEB7025">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14.4.1 最终结清申请单</w:t>
      </w:r>
    </w:p>
    <w:p w14:paraId="7878CCD2">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4份</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8278F2D">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ascii="宋体" w:cs="宋体"/>
          <w:color w:val="auto"/>
          <w:sz w:val="21"/>
          <w:szCs w:val="21"/>
          <w:highlight w:val="none"/>
          <w:u w:val="single"/>
          <w:shd w:val="clear" w:color="auto" w:fill="auto"/>
        </w:rPr>
        <w:t>缺陷责任期满经复查合格后7天内</w:t>
      </w:r>
      <w:r>
        <w:rPr>
          <w:rFonts w:hint="eastAsia" w:cs="宋体"/>
          <w:color w:val="auto"/>
          <w:sz w:val="21"/>
          <w:szCs w:val="21"/>
          <w:highlight w:val="none"/>
        </w:rPr>
        <w:t xml:space="preserve">。 </w:t>
      </w:r>
    </w:p>
    <w:p w14:paraId="62E00A23">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14.4.2 最终结清证书和支付</w:t>
      </w:r>
    </w:p>
    <w:p w14:paraId="32509371">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ascii="宋体" w:cs="宋体"/>
          <w:color w:val="auto"/>
          <w:sz w:val="21"/>
          <w:szCs w:val="21"/>
          <w:highlight w:val="none"/>
          <w:u w:val="single"/>
          <w:shd w:val="clear" w:color="auto" w:fill="auto"/>
        </w:rPr>
        <w:t>缺陷责任期满经复查合格后14天内</w:t>
      </w:r>
      <w:r>
        <w:rPr>
          <w:rFonts w:hint="eastAsia" w:cs="宋体"/>
          <w:color w:val="auto"/>
          <w:sz w:val="21"/>
          <w:szCs w:val="21"/>
          <w:highlight w:val="none"/>
        </w:rPr>
        <w:t>。</w:t>
      </w:r>
    </w:p>
    <w:p w14:paraId="127F1915">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（2）发包人完成支付的期限：</w:t>
      </w:r>
      <w:r>
        <w:rPr>
          <w:rFonts w:hint="eastAsia" w:ascii="宋体" w:cs="宋体"/>
          <w:color w:val="auto"/>
          <w:sz w:val="21"/>
          <w:szCs w:val="21"/>
          <w:highlight w:val="none"/>
          <w:u w:val="single"/>
          <w:shd w:val="clear" w:color="auto" w:fill="auto"/>
        </w:rPr>
        <w:t xml:space="preserve">发包人在政府资金调度会批准且发票送达一周内完成支付 </w:t>
      </w:r>
      <w:r>
        <w:rPr>
          <w:rFonts w:hint="eastAsia" w:cs="宋体"/>
          <w:color w:val="auto"/>
          <w:sz w:val="21"/>
          <w:szCs w:val="21"/>
          <w:highlight w:val="none"/>
        </w:rPr>
        <w:t>。</w:t>
      </w:r>
    </w:p>
    <w:bookmarkEnd w:id="530"/>
    <w:bookmarkEnd w:id="531"/>
    <w:bookmarkEnd w:id="532"/>
    <w:bookmarkEnd w:id="533"/>
    <w:bookmarkEnd w:id="534"/>
    <w:bookmarkEnd w:id="535"/>
    <w:bookmarkEnd w:id="536"/>
    <w:bookmarkEnd w:id="542"/>
    <w:p w14:paraId="7C3DED57">
      <w:pPr>
        <w:pageBreakBefore w:val="0"/>
        <w:kinsoku/>
        <w:wordWrap/>
        <w:overflowPunct/>
        <w:topLinePunct w:val="0"/>
        <w:bidi w:val="0"/>
        <w:snapToGrid w:val="0"/>
        <w:spacing w:line="400" w:lineRule="exact"/>
        <w:ind w:left="0" w:leftChars="0" w:right="0" w:rightChars="0"/>
        <w:textAlignment w:val="auto"/>
        <w:outlineLvl w:val="2"/>
        <w:rPr>
          <w:rFonts w:cs="宋体"/>
          <w:color w:val="auto"/>
          <w:sz w:val="21"/>
          <w:szCs w:val="21"/>
          <w:highlight w:val="none"/>
        </w:rPr>
      </w:pPr>
      <w:bookmarkStart w:id="544" w:name="_Toc351203647"/>
      <w:bookmarkStart w:id="545" w:name="_Toc267251483"/>
      <w:bookmarkStart w:id="546" w:name="_Toc267251484"/>
      <w:bookmarkStart w:id="547" w:name="_Toc267251482"/>
      <w:bookmarkStart w:id="548" w:name="_Toc267251485"/>
      <w:bookmarkStart w:id="549" w:name="_Toc267251486"/>
      <w:bookmarkStart w:id="550" w:name="_Toc267251488"/>
      <w:bookmarkStart w:id="551" w:name="_Toc267251489"/>
      <w:bookmarkStart w:id="552" w:name="_Toc267251490"/>
      <w:bookmarkStart w:id="553" w:name="_Toc267251492"/>
      <w:bookmarkStart w:id="554" w:name="_Toc267251498"/>
      <w:bookmarkStart w:id="555" w:name="_Toc267251493"/>
      <w:bookmarkStart w:id="556" w:name="_Toc267251501"/>
      <w:bookmarkStart w:id="557" w:name="_Toc267251502"/>
      <w:bookmarkStart w:id="558" w:name="_Toc267251503"/>
      <w:bookmarkStart w:id="559" w:name="_Toc267251494"/>
      <w:bookmarkStart w:id="560" w:name="_Toc267251497"/>
      <w:bookmarkStart w:id="561" w:name="_Toc267251496"/>
      <w:bookmarkStart w:id="562" w:name="_Toc267251495"/>
      <w:bookmarkStart w:id="563" w:name="_Toc267251499"/>
      <w:bookmarkStart w:id="564" w:name="_Toc267251491"/>
      <w:bookmarkStart w:id="565" w:name="_Toc267251506"/>
      <w:bookmarkStart w:id="566" w:name="_Toc267251504"/>
      <w:bookmarkStart w:id="567" w:name="_Toc267251507"/>
      <w:bookmarkStart w:id="568" w:name="_Toc267251508"/>
      <w:bookmarkStart w:id="569" w:name="_Toc267251511"/>
      <w:bookmarkStart w:id="570" w:name="_Toc267251510"/>
      <w:bookmarkStart w:id="571" w:name="_Toc267251515"/>
      <w:bookmarkStart w:id="572" w:name="_Toc267251509"/>
      <w:bookmarkStart w:id="573" w:name="_Toc267251513"/>
      <w:bookmarkStart w:id="574" w:name="_Toc267251514"/>
      <w:r>
        <w:rPr>
          <w:rFonts w:hint="eastAsia" w:cs="宋体"/>
          <w:color w:val="auto"/>
          <w:sz w:val="21"/>
          <w:szCs w:val="21"/>
          <w:highlight w:val="none"/>
        </w:rPr>
        <w:t>15. 缺陷责任期与保修</w:t>
      </w:r>
      <w:bookmarkEnd w:id="544"/>
    </w:p>
    <w:p w14:paraId="4E757BFC">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15.2 缺陷责任期</w:t>
      </w:r>
      <w:bookmarkEnd w:id="545"/>
    </w:p>
    <w:p w14:paraId="24E77EA7">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ascii="宋体" w:hAnsi="宋体" w:cs="宋体"/>
          <w:b/>
          <w:bCs/>
          <w:color w:val="auto"/>
          <w:sz w:val="21"/>
          <w:szCs w:val="21"/>
          <w:highlight w:val="none"/>
          <w:u w:val="single"/>
        </w:rPr>
        <w:t>两年，从验收合格之日起计算</w:t>
      </w:r>
      <w:r>
        <w:rPr>
          <w:rFonts w:hint="eastAsia" w:cs="宋体"/>
          <w:color w:val="auto"/>
          <w:sz w:val="21"/>
          <w:szCs w:val="21"/>
          <w:highlight w:val="none"/>
        </w:rPr>
        <w:t>。</w:t>
      </w:r>
    </w:p>
    <w:p w14:paraId="25C2DB39">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15.3 质量保证金</w:t>
      </w:r>
    </w:p>
    <w:p w14:paraId="72903F3A">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eastAsia="zh-CN"/>
        </w:rPr>
        <w:t>是</w:t>
      </w:r>
      <w:r>
        <w:rPr>
          <w:rFonts w:hint="eastAsia" w:cs="宋体"/>
          <w:color w:val="auto"/>
          <w:sz w:val="21"/>
          <w:szCs w:val="21"/>
          <w:highlight w:val="none"/>
          <w:u w:val="single"/>
        </w:rPr>
        <w:t xml:space="preserve">  </w:t>
      </w:r>
      <w:r>
        <w:rPr>
          <w:rFonts w:hint="eastAsia" w:cs="宋体"/>
          <w:color w:val="auto"/>
          <w:sz w:val="21"/>
          <w:szCs w:val="21"/>
          <w:highlight w:val="none"/>
        </w:rPr>
        <w:t>。在工程项目竣工前，承包人按专用合同条款第3.7款提供履约保证金的，发包人不得同时预留工程质量保证金。</w:t>
      </w:r>
    </w:p>
    <w:p w14:paraId="6C10C317">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15.3.1 承包人提供质量保证金的方式</w:t>
      </w:r>
    </w:p>
    <w:p w14:paraId="2A90E417">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质量保证金可采用以下任意一种方式：</w:t>
      </w:r>
    </w:p>
    <w:p w14:paraId="159E1F35">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5AA3C4A">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07F5B77">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9E4ADF">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 xml:space="preserve">15.3.2 质量保证金的扣留 </w:t>
      </w:r>
    </w:p>
    <w:p w14:paraId="22F630A3">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rPr>
        <w:t>种方式：</w:t>
      </w:r>
    </w:p>
    <w:p w14:paraId="6B79C841">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6FBC9391">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（2）工程竣工结算时一次性扣留质量保证金；</w:t>
      </w:r>
    </w:p>
    <w:p w14:paraId="2805DAFC">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ascii="宋体" w:cs="宋体"/>
          <w:color w:val="auto"/>
          <w:kern w:val="0"/>
          <w:sz w:val="21"/>
          <w:szCs w:val="21"/>
          <w:highlight w:val="none"/>
          <w:u w:val="single"/>
          <w:shd w:val="clear" w:color="auto" w:fill="auto"/>
        </w:rPr>
        <w:t>详见工程款支付方式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054FB06">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关于质量保证金的补充约定：</w:t>
      </w:r>
    </w:p>
    <w:p w14:paraId="789CB74A">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ascii="宋体" w:cs="宋体"/>
          <w:color w:val="auto"/>
          <w:kern w:val="0"/>
          <w:sz w:val="21"/>
          <w:szCs w:val="21"/>
          <w:highlight w:val="none"/>
          <w:u w:val="single"/>
          <w:shd w:val="clear" w:color="auto" w:fill="auto"/>
        </w:rPr>
        <w:t>质量保证金支持保函（银行保函、担保机构担保、保证保险）使用。采用保函的，保函有效期须与缺陷责任期截止时间保持一致</w:t>
      </w:r>
      <w:r>
        <w:rPr>
          <w:rFonts w:hint="eastAsia" w:ascii="宋体" w:cs="宋体"/>
          <w:color w:val="auto"/>
          <w:kern w:val="0"/>
          <w:sz w:val="21"/>
          <w:szCs w:val="21"/>
          <w:highlight w:val="none"/>
          <w:u w:val="single"/>
          <w:shd w:val="clear" w:color="auto" w:fill="auto"/>
          <w:lang w:eastAsia="zh-CN"/>
        </w:rPr>
        <w:t>。</w:t>
      </w:r>
      <w:r>
        <w:rPr>
          <w:rFonts w:hint="eastAsia" w:ascii="宋体" w:cs="宋体"/>
          <w:color w:val="auto"/>
          <w:sz w:val="21"/>
          <w:szCs w:val="21"/>
          <w:highlight w:val="none"/>
          <w:u w:val="single"/>
          <w:shd w:val="clear" w:color="auto" w:fill="auto"/>
        </w:rPr>
        <w:t>承包人在缺陷责任期内未履行保修义务的，缺陷责任期满经复查不合格的，质量保证金不予退还。</w:t>
      </w:r>
      <w:r>
        <w:rPr>
          <w:rFonts w:hint="eastAsia" w:ascii="宋体" w:cs="宋体"/>
          <w:color w:val="auto"/>
          <w:kern w:val="0"/>
          <w:sz w:val="21"/>
          <w:szCs w:val="21"/>
          <w:highlight w:val="none"/>
          <w:u w:val="single"/>
          <w:shd w:val="clear" w:color="auto" w:fill="auto"/>
        </w:rPr>
        <w:t>质量缺陷较多，多次催促整改不到位，处理不及时的，</w:t>
      </w:r>
      <w:r>
        <w:rPr>
          <w:rFonts w:hint="eastAsia" w:ascii="宋体" w:cs="宋体"/>
          <w:color w:val="auto"/>
          <w:sz w:val="21"/>
          <w:szCs w:val="21"/>
          <w:highlight w:val="none"/>
          <w:u w:val="single"/>
          <w:shd w:val="clear" w:color="auto" w:fill="auto"/>
        </w:rPr>
        <w:t>发包人可动用质保金，用于工程质量整改，同时限制承包人一年内不得参与</w:t>
      </w:r>
      <w:r>
        <w:rPr>
          <w:rFonts w:hint="eastAsia" w:ascii="宋体" w:cs="宋体"/>
          <w:color w:val="auto"/>
          <w:sz w:val="21"/>
          <w:szCs w:val="21"/>
          <w:highlight w:val="none"/>
          <w:u w:val="single"/>
          <w:shd w:val="clear" w:color="auto" w:fill="auto"/>
          <w:lang w:eastAsia="zh-CN"/>
        </w:rPr>
        <w:t>滁州市重点工程建设管理处</w:t>
      </w:r>
      <w:r>
        <w:rPr>
          <w:rFonts w:hint="eastAsia" w:ascii="宋体" w:cs="宋体"/>
          <w:color w:val="auto"/>
          <w:sz w:val="21"/>
          <w:szCs w:val="21"/>
          <w:highlight w:val="none"/>
          <w:u w:val="single"/>
          <w:shd w:val="clear" w:color="auto" w:fill="auto"/>
        </w:rPr>
        <w:t>项目投标</w:t>
      </w:r>
      <w:r>
        <w:rPr>
          <w:rFonts w:hint="eastAsia" w:cs="宋体"/>
          <w:color w:val="auto"/>
          <w:sz w:val="21"/>
          <w:szCs w:val="21"/>
          <w:highlight w:val="none"/>
        </w:rPr>
        <w:t>。</w:t>
      </w:r>
    </w:p>
    <w:bookmarkEnd w:id="546"/>
    <w:bookmarkEnd w:id="547"/>
    <w:p w14:paraId="718351B2">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15.4 保修</w:t>
      </w:r>
    </w:p>
    <w:bookmarkEnd w:id="548"/>
    <w:p w14:paraId="0F05FD11">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15.4.1 保修责任</w:t>
      </w:r>
    </w:p>
    <w:p w14:paraId="3D1E1CA6">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工程保修期为：</w:t>
      </w:r>
      <w:r>
        <w:rPr>
          <w:rFonts w:hint="eastAsia" w:ascii="宋体" w:cs="宋体"/>
          <w:color w:val="auto"/>
          <w:kern w:val="0"/>
          <w:sz w:val="21"/>
          <w:szCs w:val="21"/>
          <w:highlight w:val="none"/>
          <w:u w:val="single"/>
          <w:shd w:val="clear" w:color="auto" w:fill="auto"/>
        </w:rPr>
        <w:t>执行《建设工程质量管理条例》及有关规定</w:t>
      </w:r>
      <w:r>
        <w:rPr>
          <w:rFonts w:hint="eastAsia" w:ascii="宋体" w:cs="宋体"/>
          <w:color w:val="auto"/>
          <w:kern w:val="0"/>
          <w:sz w:val="21"/>
          <w:szCs w:val="21"/>
          <w:highlight w:val="none"/>
          <w:u w:val="single"/>
          <w:shd w:val="clear" w:color="auto" w:fill="auto"/>
          <w:lang w:eastAsia="zh-CN"/>
        </w:rPr>
        <w:t>，</w:t>
      </w:r>
      <w:r>
        <w:rPr>
          <w:rFonts w:hint="eastAsia" w:ascii="宋体" w:hAnsi="宋体" w:cs="宋体"/>
          <w:b/>
          <w:bCs w:val="0"/>
          <w:color w:val="auto"/>
          <w:sz w:val="21"/>
          <w:szCs w:val="21"/>
          <w:highlight w:val="none"/>
          <w:u w:val="single"/>
          <w:shd w:val="clear" w:color="auto" w:fill="FFFFFF"/>
          <w:lang w:val="en-US" w:eastAsia="zh-CN"/>
        </w:rPr>
        <w:t>如与国家最新相关</w:t>
      </w:r>
      <w:r>
        <w:rPr>
          <w:rFonts w:hint="eastAsia" w:ascii="宋体" w:hAnsi="宋体" w:eastAsia="宋体" w:cs="宋体"/>
          <w:b/>
          <w:bCs w:val="0"/>
          <w:color w:val="auto"/>
          <w:sz w:val="21"/>
          <w:szCs w:val="21"/>
          <w:highlight w:val="none"/>
          <w:u w:val="single"/>
          <w:shd w:val="clear" w:color="auto" w:fill="FFFFFF"/>
          <w:lang w:val="en-US" w:eastAsia="zh-CN"/>
        </w:rPr>
        <w:t>标准冲突的按标准较高的执行</w:t>
      </w:r>
      <w:r>
        <w:rPr>
          <w:rFonts w:hint="eastAsia" w:cs="宋体"/>
          <w:color w:val="auto"/>
          <w:sz w:val="21"/>
          <w:szCs w:val="21"/>
          <w:highlight w:val="none"/>
        </w:rPr>
        <w:t>。</w:t>
      </w:r>
    </w:p>
    <w:p w14:paraId="41F49C15">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15.4.3 修复通知</w:t>
      </w:r>
    </w:p>
    <w:p w14:paraId="0628D92E">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rPr>
        <w:t xml:space="preserve">  </w:t>
      </w:r>
      <w:r>
        <w:rPr>
          <w:rFonts w:hint="eastAsia" w:ascii="宋体" w:cs="宋体"/>
          <w:color w:val="auto"/>
          <w:kern w:val="0"/>
          <w:sz w:val="21"/>
          <w:szCs w:val="21"/>
          <w:highlight w:val="none"/>
          <w:u w:val="single"/>
          <w:shd w:val="clear" w:color="auto" w:fill="auto"/>
        </w:rPr>
        <w:t xml:space="preserve"> 自承包人收到保修通知起24小时内到达工程现场</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549"/>
    <w:bookmarkEnd w:id="550"/>
    <w:bookmarkEnd w:id="551"/>
    <w:bookmarkEnd w:id="552"/>
    <w:p w14:paraId="497F31DB">
      <w:pPr>
        <w:pageBreakBefore w:val="0"/>
        <w:kinsoku/>
        <w:wordWrap/>
        <w:overflowPunct/>
        <w:topLinePunct w:val="0"/>
        <w:bidi w:val="0"/>
        <w:snapToGrid w:val="0"/>
        <w:spacing w:line="400" w:lineRule="exact"/>
        <w:ind w:left="0" w:leftChars="0" w:right="0" w:rightChars="0"/>
        <w:textAlignment w:val="auto"/>
        <w:outlineLvl w:val="2"/>
        <w:rPr>
          <w:rFonts w:cs="宋体"/>
          <w:color w:val="auto"/>
          <w:sz w:val="21"/>
          <w:szCs w:val="21"/>
          <w:highlight w:val="none"/>
        </w:rPr>
      </w:pPr>
      <w:bookmarkStart w:id="575" w:name="_Toc351203648"/>
      <w:bookmarkStart w:id="576" w:name="_Toc280868717"/>
      <w:bookmarkStart w:id="577" w:name="_Toc280868718"/>
      <w:r>
        <w:rPr>
          <w:rFonts w:hint="eastAsia" w:cs="宋体"/>
          <w:color w:val="auto"/>
          <w:sz w:val="21"/>
          <w:szCs w:val="21"/>
          <w:highlight w:val="none"/>
        </w:rPr>
        <w:t>16. 违约</w:t>
      </w:r>
      <w:bookmarkEnd w:id="575"/>
    </w:p>
    <w:p w14:paraId="2BB9512E">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16.1 发包人违约</w:t>
      </w:r>
    </w:p>
    <w:p w14:paraId="52929EE5">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16.1.1 发包人违约的情形</w:t>
      </w:r>
    </w:p>
    <w:p w14:paraId="65CDC43E">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8D3F478">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16.1.2 发包人违约的责任</w:t>
      </w:r>
    </w:p>
    <w:p w14:paraId="6B7B50B5">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发包人违约责任的承担方式和计算方法：</w:t>
      </w:r>
    </w:p>
    <w:p w14:paraId="73DF3BC1">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w:t>
      </w:r>
      <w:r>
        <w:rPr>
          <w:rFonts w:hint="eastAsia" w:ascii="宋体" w:cs="宋体"/>
          <w:color w:val="auto"/>
          <w:kern w:val="0"/>
          <w:sz w:val="21"/>
          <w:szCs w:val="21"/>
          <w:highlight w:val="none"/>
          <w:u w:val="single"/>
          <w:shd w:val="clear" w:color="auto" w:fill="auto"/>
        </w:rPr>
        <w:t>对工期造成影响的可顺延工期</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A4D6AC0">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w:t>
      </w:r>
      <w:r>
        <w:rPr>
          <w:rFonts w:hint="eastAsia" w:ascii="宋体" w:cs="宋体"/>
          <w:color w:val="auto"/>
          <w:kern w:val="0"/>
          <w:sz w:val="21"/>
          <w:szCs w:val="21"/>
          <w:highlight w:val="none"/>
          <w:u w:val="single"/>
          <w:shd w:val="clear" w:color="auto" w:fill="auto"/>
        </w:rPr>
        <w:t>可按照中国人民银行发布的同期同类贷款基准利率支付违约金</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9B2C0B">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color w:val="auto"/>
          <w:sz w:val="21"/>
          <w:szCs w:val="21"/>
          <w:highlight w:val="none"/>
          <w:u w:val="single"/>
        </w:rPr>
        <w:t xml:space="preserve"> </w:t>
      </w:r>
      <w:r>
        <w:rPr>
          <w:rFonts w:hint="eastAsia" w:ascii="宋体" w:cs="宋体"/>
          <w:color w:val="auto"/>
          <w:kern w:val="0"/>
          <w:sz w:val="21"/>
          <w:szCs w:val="21"/>
          <w:highlight w:val="none"/>
          <w:u w:val="single"/>
          <w:shd w:val="clear" w:color="auto" w:fill="auto"/>
        </w:rPr>
        <w:t>发包人可追加与被取消的工作造价相当的额外工作做为补偿</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66049D">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 w:val="21"/>
          <w:szCs w:val="21"/>
          <w:highlight w:val="none"/>
          <w:u w:val="single"/>
          <w:shd w:val="clear" w:color="auto" w:fill="auto"/>
        </w:rPr>
        <w:t>发包人可补足或更换材料、工程设备；对工期造成延误的可以顺延；增加承包人成本的可予以补偿</w:t>
      </w:r>
      <w:r>
        <w:rPr>
          <w:rFonts w:hint="eastAsia" w:cs="宋体"/>
          <w:color w:val="auto"/>
          <w:sz w:val="21"/>
          <w:szCs w:val="21"/>
          <w:highlight w:val="none"/>
        </w:rPr>
        <w:t>。</w:t>
      </w:r>
    </w:p>
    <w:p w14:paraId="728ACC70">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ascii="宋体" w:cs="宋体"/>
          <w:color w:val="auto"/>
          <w:kern w:val="0"/>
          <w:sz w:val="21"/>
          <w:szCs w:val="21"/>
          <w:highlight w:val="none"/>
          <w:u w:val="single"/>
          <w:shd w:val="clear" w:color="auto" w:fill="auto"/>
        </w:rPr>
        <w:t>可顺延工期</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EDB3A91">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ascii="宋体" w:cs="宋体"/>
          <w:color w:val="auto"/>
          <w:kern w:val="0"/>
          <w:sz w:val="21"/>
          <w:szCs w:val="21"/>
          <w:highlight w:val="none"/>
          <w:u w:val="single"/>
          <w:shd w:val="clear" w:color="auto" w:fill="auto"/>
        </w:rPr>
        <w:t>对工期造成影响的可顺延工期</w:t>
      </w:r>
      <w:r>
        <w:rPr>
          <w:rFonts w:hint="eastAsia" w:cs="宋体"/>
          <w:color w:val="auto"/>
          <w:sz w:val="21"/>
          <w:szCs w:val="21"/>
          <w:highlight w:val="none"/>
        </w:rPr>
        <w:t>。</w:t>
      </w:r>
    </w:p>
    <w:p w14:paraId="28FBE91E">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B0E8BD">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16.1.3 因发包人违约解除合同</w:t>
      </w:r>
    </w:p>
    <w:p w14:paraId="27F1060B">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7AB3CB26">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16.2 承包人违约</w:t>
      </w:r>
    </w:p>
    <w:p w14:paraId="67F952E0">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16.2.1 承包人违约的情形</w:t>
      </w:r>
    </w:p>
    <w:p w14:paraId="7F85289F">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ascii="宋体" w:cs="宋体"/>
          <w:color w:val="auto"/>
          <w:kern w:val="0"/>
          <w:sz w:val="21"/>
          <w:szCs w:val="21"/>
          <w:highlight w:val="none"/>
          <w:u w:val="single"/>
          <w:shd w:val="clear" w:color="auto" w:fill="auto"/>
        </w:rPr>
        <w:t>执行补充条款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8EBDC00">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16.2.2 承包人违约的责任</w:t>
      </w:r>
    </w:p>
    <w:p w14:paraId="5E86DB24">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r>
        <w:rPr>
          <w:rFonts w:hint="eastAsia" w:ascii="宋体" w:cs="宋体"/>
          <w:color w:val="auto"/>
          <w:kern w:val="0"/>
          <w:sz w:val="21"/>
          <w:szCs w:val="21"/>
          <w:highlight w:val="none"/>
          <w:u w:val="single"/>
          <w:shd w:val="clear" w:color="auto" w:fill="auto"/>
        </w:rPr>
        <w:t>执行补充条款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AE734E6">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16.2.3 因承包人违约解除合同</w:t>
      </w:r>
    </w:p>
    <w:p w14:paraId="7D621034">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ascii="宋体" w:cs="宋体"/>
          <w:color w:val="auto"/>
          <w:kern w:val="0"/>
          <w:sz w:val="21"/>
          <w:szCs w:val="21"/>
          <w:highlight w:val="none"/>
          <w:u w:val="single"/>
          <w:shd w:val="clear" w:color="auto" w:fill="auto"/>
        </w:rPr>
        <w:t>执行补充条款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F900477">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auto"/>
          <w:sz w:val="21"/>
          <w:szCs w:val="21"/>
          <w:highlight w:val="none"/>
          <w:u w:val="single"/>
        </w:rPr>
        <w:t xml:space="preserve">  </w:t>
      </w:r>
      <w:r>
        <w:rPr>
          <w:rFonts w:hint="eastAsia" w:ascii="宋体" w:cs="宋体"/>
          <w:color w:val="auto"/>
          <w:kern w:val="0"/>
          <w:sz w:val="21"/>
          <w:szCs w:val="21"/>
          <w:highlight w:val="none"/>
          <w:u w:val="single"/>
          <w:shd w:val="clear" w:color="auto" w:fill="auto"/>
        </w:rPr>
        <w:t>发包人不承担费用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64547A">
      <w:pPr>
        <w:pageBreakBefore w:val="0"/>
        <w:kinsoku/>
        <w:wordWrap/>
        <w:overflowPunct/>
        <w:topLinePunct w:val="0"/>
        <w:bidi w:val="0"/>
        <w:snapToGrid w:val="0"/>
        <w:spacing w:line="400" w:lineRule="exact"/>
        <w:ind w:left="0" w:leftChars="0" w:right="0" w:rightChars="0"/>
        <w:textAlignment w:val="auto"/>
        <w:outlineLvl w:val="2"/>
        <w:rPr>
          <w:rFonts w:cs="宋体"/>
          <w:color w:val="auto"/>
          <w:sz w:val="21"/>
          <w:szCs w:val="21"/>
          <w:highlight w:val="none"/>
        </w:rPr>
      </w:pPr>
      <w:bookmarkStart w:id="578" w:name="_Toc351203649"/>
      <w:r>
        <w:rPr>
          <w:rFonts w:hint="eastAsia" w:cs="宋体"/>
          <w:color w:val="auto"/>
          <w:sz w:val="21"/>
          <w:szCs w:val="21"/>
          <w:highlight w:val="none"/>
        </w:rPr>
        <w:t>17. 不可抗力</w:t>
      </w:r>
      <w:bookmarkEnd w:id="578"/>
      <w:r>
        <w:rPr>
          <w:rFonts w:hint="eastAsia" w:cs="宋体"/>
          <w:color w:val="auto"/>
          <w:sz w:val="21"/>
          <w:szCs w:val="21"/>
          <w:highlight w:val="none"/>
        </w:rPr>
        <w:t xml:space="preserve"> </w:t>
      </w:r>
      <w:bookmarkEnd w:id="576"/>
    </w:p>
    <w:p w14:paraId="076A650F">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hint="eastAsia" w:cs="宋体"/>
          <w:color w:val="auto"/>
          <w:sz w:val="21"/>
          <w:szCs w:val="21"/>
          <w:highlight w:val="none"/>
        </w:rPr>
      </w:pPr>
      <w:r>
        <w:rPr>
          <w:rFonts w:hint="eastAsia" w:cs="宋体"/>
          <w:color w:val="auto"/>
          <w:sz w:val="21"/>
          <w:szCs w:val="21"/>
          <w:highlight w:val="none"/>
        </w:rPr>
        <w:t>17.1 不可抗力的确认</w:t>
      </w:r>
    </w:p>
    <w:p w14:paraId="6FA83B00">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hint="eastAsia" w:cs="宋体"/>
          <w:color w:val="auto"/>
          <w:sz w:val="21"/>
          <w:szCs w:val="21"/>
          <w:highlight w:val="non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 xml:space="preserve">   无  。</w:t>
      </w:r>
    </w:p>
    <w:p w14:paraId="1124750C">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hint="eastAsia" w:cs="宋体"/>
          <w:color w:val="auto"/>
          <w:sz w:val="21"/>
          <w:szCs w:val="21"/>
          <w:highlight w:val="none"/>
        </w:rPr>
      </w:pPr>
      <w:r>
        <w:rPr>
          <w:rFonts w:hint="eastAsia" w:cs="宋体"/>
          <w:color w:val="auto"/>
          <w:sz w:val="21"/>
          <w:szCs w:val="21"/>
          <w:highlight w:val="none"/>
        </w:rPr>
        <w:t>17.4 因不可抗力解除合同</w:t>
      </w:r>
    </w:p>
    <w:p w14:paraId="0743437E">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合同解除后，发包人应在政府资金调度会批准且发票送达一周内完成款项的支付。</w:t>
      </w:r>
    </w:p>
    <w:p w14:paraId="010368D2">
      <w:pPr>
        <w:pageBreakBefore w:val="0"/>
        <w:kinsoku/>
        <w:wordWrap/>
        <w:overflowPunct/>
        <w:topLinePunct w:val="0"/>
        <w:bidi w:val="0"/>
        <w:snapToGrid w:val="0"/>
        <w:spacing w:line="400" w:lineRule="exact"/>
        <w:ind w:left="0" w:leftChars="0" w:right="0" w:rightChars="0"/>
        <w:textAlignment w:val="auto"/>
        <w:outlineLvl w:val="2"/>
        <w:rPr>
          <w:rFonts w:cs="宋体"/>
          <w:color w:val="auto"/>
          <w:sz w:val="21"/>
          <w:szCs w:val="21"/>
          <w:highlight w:val="none"/>
        </w:rPr>
      </w:pPr>
      <w:bookmarkStart w:id="579" w:name="_Toc351203650"/>
      <w:r>
        <w:rPr>
          <w:rFonts w:hint="eastAsia" w:cs="宋体"/>
          <w:color w:val="auto"/>
          <w:sz w:val="21"/>
          <w:szCs w:val="21"/>
          <w:highlight w:val="none"/>
        </w:rPr>
        <w:t>18. 保险</w:t>
      </w:r>
      <w:bookmarkEnd w:id="579"/>
    </w:p>
    <w:bookmarkEnd w:id="577"/>
    <w:p w14:paraId="6CCB9B10">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18.1 工程保险</w:t>
      </w:r>
    </w:p>
    <w:p w14:paraId="600C1C99">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b/>
          <w:color w:val="auto"/>
          <w:sz w:val="21"/>
          <w:szCs w:val="21"/>
          <w:highlight w:val="none"/>
        </w:rPr>
      </w:pPr>
      <w:r>
        <w:rPr>
          <w:rFonts w:hint="eastAsia" w:cs="宋体"/>
          <w:color w:val="auto"/>
          <w:sz w:val="21"/>
          <w:szCs w:val="21"/>
          <w:highlight w:val="none"/>
        </w:rPr>
        <w:t>关于工程保险的特别约定：</w:t>
      </w:r>
      <w:r>
        <w:rPr>
          <w:rFonts w:hint="eastAsia" w:cs="宋体"/>
          <w:b/>
          <w:color w:val="auto"/>
          <w:sz w:val="21"/>
          <w:szCs w:val="21"/>
          <w:highlight w:val="none"/>
          <w:u w:val="single"/>
        </w:rPr>
        <w:t xml:space="preserve">   </w:t>
      </w:r>
      <w:r>
        <w:rPr>
          <w:rFonts w:hint="eastAsia"/>
          <w:color w:val="auto"/>
          <w:sz w:val="21"/>
          <w:szCs w:val="21"/>
          <w:highlight w:val="none"/>
          <w:u w:val="single"/>
          <w:shd w:val="clear" w:color="auto" w:fill="auto"/>
        </w:rPr>
        <w:t>无</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2FC759E7">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18.3 其他保险</w:t>
      </w:r>
    </w:p>
    <w:p w14:paraId="74BFD97D">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关于其他保险的约定：</w:t>
      </w:r>
      <w:r>
        <w:rPr>
          <w:rFonts w:hint="eastAsia" w:ascii="宋体" w:cs="宋体"/>
          <w:color w:val="auto"/>
          <w:kern w:val="0"/>
          <w:sz w:val="21"/>
          <w:szCs w:val="21"/>
          <w:highlight w:val="none"/>
          <w:u w:val="single"/>
          <w:shd w:val="clear" w:color="auto" w:fill="auto"/>
        </w:rPr>
        <w:t>执行国家、省、市有关规定</w:t>
      </w:r>
      <w:r>
        <w:rPr>
          <w:rFonts w:hint="eastAsia" w:cs="宋体"/>
          <w:color w:val="auto"/>
          <w:sz w:val="21"/>
          <w:szCs w:val="21"/>
          <w:highlight w:val="none"/>
        </w:rPr>
        <w:t>。</w:t>
      </w:r>
    </w:p>
    <w:p w14:paraId="7D518154">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ascii="宋体" w:cs="宋体"/>
          <w:color w:val="auto"/>
          <w:sz w:val="21"/>
          <w:szCs w:val="21"/>
          <w:highlight w:val="none"/>
          <w:u w:val="single"/>
          <w:shd w:val="clear" w:color="auto" w:fill="auto"/>
        </w:rPr>
        <w:t>承包人应为其施工设备等办理财产保险</w:t>
      </w:r>
      <w:r>
        <w:rPr>
          <w:rFonts w:hint="eastAsia" w:cs="宋体"/>
          <w:color w:val="auto"/>
          <w:sz w:val="21"/>
          <w:szCs w:val="21"/>
          <w:highlight w:val="none"/>
        </w:rPr>
        <w:t>。</w:t>
      </w:r>
    </w:p>
    <w:p w14:paraId="1E92AA77">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18.7 通知义务</w:t>
      </w:r>
    </w:p>
    <w:p w14:paraId="1C675E66">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hint="eastAsia" w:cs="宋体"/>
          <w:color w:val="auto"/>
          <w:sz w:val="21"/>
          <w:szCs w:val="21"/>
          <w:highlight w:val="none"/>
        </w:rPr>
      </w:pPr>
      <w:r>
        <w:rPr>
          <w:rFonts w:hint="eastAsia" w:cs="宋体"/>
          <w:color w:val="auto"/>
          <w:sz w:val="21"/>
          <w:szCs w:val="21"/>
          <w:highlight w:val="none"/>
        </w:rPr>
        <w:t>关于变更保险合同时的通知义务的约定：</w:t>
      </w:r>
      <w:r>
        <w:rPr>
          <w:rFonts w:hint="eastAsia" w:ascii="宋体" w:cs="宋体"/>
          <w:color w:val="auto"/>
          <w:kern w:val="0"/>
          <w:sz w:val="21"/>
          <w:szCs w:val="21"/>
          <w:highlight w:val="none"/>
          <w:u w:val="single"/>
          <w:shd w:val="clear" w:color="auto" w:fill="auto"/>
        </w:rPr>
        <w:t>发包人变更除工伤保险之外的保险合同时，应事先征得承包人同意，并通知监理人；承包人变更除工伤保险之外的保险合同时，应事先征得发包人同意，并通知监理人</w:t>
      </w:r>
      <w:r>
        <w:rPr>
          <w:rFonts w:hint="eastAsia" w:cs="宋体"/>
          <w:color w:val="auto"/>
          <w:sz w:val="21"/>
          <w:szCs w:val="21"/>
          <w:highlight w:val="none"/>
        </w:rPr>
        <w:t>。</w:t>
      </w:r>
    </w:p>
    <w:p w14:paraId="7FC7D1BC">
      <w:pPr>
        <w:pageBreakBefore w:val="0"/>
        <w:kinsoku/>
        <w:wordWrap/>
        <w:overflowPunct/>
        <w:topLinePunct w:val="0"/>
        <w:bidi w:val="0"/>
        <w:snapToGrid w:val="0"/>
        <w:spacing w:line="400" w:lineRule="exact"/>
        <w:ind w:left="0" w:leftChars="0" w:right="0" w:rightChars="0" w:firstLine="420" w:firstLineChars="200"/>
        <w:jc w:val="left"/>
        <w:textAlignment w:val="auto"/>
        <w:rPr>
          <w:rFonts w:hint="eastAsia" w:ascii="宋体" w:cs="宋体"/>
          <w:color w:val="auto"/>
          <w:kern w:val="0"/>
          <w:sz w:val="21"/>
          <w:szCs w:val="21"/>
          <w:highlight w:val="none"/>
          <w:u w:val="single"/>
          <w:shd w:val="clear" w:color="auto" w:fill="auto"/>
        </w:rPr>
      </w:pPr>
      <w:r>
        <w:rPr>
          <w:rFonts w:hint="eastAsia" w:ascii="宋体" w:cs="宋体"/>
          <w:color w:val="auto"/>
          <w:kern w:val="0"/>
          <w:sz w:val="21"/>
          <w:szCs w:val="21"/>
          <w:highlight w:val="none"/>
          <w:u w:val="single"/>
          <w:shd w:val="clear" w:color="auto" w:fill="auto"/>
        </w:rPr>
        <w:t>保险事故发生时，投保人应按照保险合同规定的条件和期限及时向保险人报告。发包人和承包人应当在知道保险事故发生后及时通知对方。</w:t>
      </w:r>
    </w:p>
    <w:p w14:paraId="34ADA11B">
      <w:pPr>
        <w:pStyle w:val="2"/>
        <w:pageBreakBefore w:val="0"/>
        <w:kinsoku/>
        <w:wordWrap/>
        <w:overflowPunct/>
        <w:topLinePunct w:val="0"/>
        <w:bidi w:val="0"/>
        <w:spacing w:after="0" w:afterLines="0" w:line="400" w:lineRule="exact"/>
        <w:ind w:left="0" w:leftChars="0" w:right="0" w:rightChars="0"/>
        <w:textAlignment w:val="auto"/>
        <w:rPr>
          <w:color w:val="auto"/>
          <w:sz w:val="21"/>
          <w:szCs w:val="21"/>
          <w:highlight w:val="none"/>
        </w:rPr>
      </w:pPr>
    </w:p>
    <w:bookmarkEnd w:id="553"/>
    <w:bookmarkEnd w:id="554"/>
    <w:bookmarkEnd w:id="555"/>
    <w:bookmarkEnd w:id="556"/>
    <w:bookmarkEnd w:id="557"/>
    <w:bookmarkEnd w:id="558"/>
    <w:bookmarkEnd w:id="559"/>
    <w:bookmarkEnd w:id="560"/>
    <w:bookmarkEnd w:id="561"/>
    <w:bookmarkEnd w:id="562"/>
    <w:bookmarkEnd w:id="563"/>
    <w:bookmarkEnd w:id="564"/>
    <w:p w14:paraId="40738BE2">
      <w:pPr>
        <w:pageBreakBefore w:val="0"/>
        <w:kinsoku/>
        <w:wordWrap/>
        <w:overflowPunct/>
        <w:topLinePunct w:val="0"/>
        <w:bidi w:val="0"/>
        <w:snapToGrid w:val="0"/>
        <w:spacing w:line="400" w:lineRule="exact"/>
        <w:ind w:left="0" w:leftChars="0" w:right="0" w:rightChars="0"/>
        <w:textAlignment w:val="auto"/>
        <w:outlineLvl w:val="2"/>
        <w:rPr>
          <w:rFonts w:cs="宋体"/>
          <w:color w:val="auto"/>
          <w:sz w:val="21"/>
          <w:szCs w:val="21"/>
          <w:highlight w:val="none"/>
        </w:rPr>
      </w:pPr>
      <w:bookmarkStart w:id="580" w:name="_Toc351203651"/>
      <w:r>
        <w:rPr>
          <w:rFonts w:hint="eastAsia" w:cs="宋体"/>
          <w:color w:val="auto"/>
          <w:sz w:val="21"/>
          <w:szCs w:val="21"/>
          <w:highlight w:val="none"/>
        </w:rPr>
        <w:t>20. 争议解决</w:t>
      </w:r>
      <w:bookmarkEnd w:id="580"/>
    </w:p>
    <w:bookmarkEnd w:id="565"/>
    <w:bookmarkEnd w:id="566"/>
    <w:p w14:paraId="15163D1E">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20.3 争</w:t>
      </w:r>
      <w:bookmarkEnd w:id="567"/>
      <w:r>
        <w:rPr>
          <w:rFonts w:hint="eastAsia" w:cs="宋体"/>
          <w:bCs/>
          <w:color w:val="auto"/>
          <w:sz w:val="21"/>
          <w:szCs w:val="21"/>
          <w:highlight w:val="none"/>
        </w:rPr>
        <w:t>议评审</w:t>
      </w:r>
    </w:p>
    <w:p w14:paraId="18CE5E90">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不同意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47C1AA4">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20.3.1 争议评审小组的确定</w:t>
      </w:r>
    </w:p>
    <w:p w14:paraId="372C03DD">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2679FFD">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25D514">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7281DB">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7500847">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20.3.2 争议评审小组的决定</w:t>
      </w:r>
    </w:p>
    <w:p w14:paraId="3154B3F9">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0025702">
      <w:pPr>
        <w:keepNext/>
        <w:keepLines/>
        <w:pageBreakBefore w:val="0"/>
        <w:kinsoku/>
        <w:wordWrap/>
        <w:overflowPunct/>
        <w:topLinePunct w:val="0"/>
        <w:bidi w:val="0"/>
        <w:snapToGrid w:val="0"/>
        <w:spacing w:line="400" w:lineRule="exact"/>
        <w:ind w:left="0" w:leftChars="0" w:right="0" w:rightChars="0"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20.4 仲裁或诉讼</w:t>
      </w:r>
      <w:bookmarkEnd w:id="568"/>
    </w:p>
    <w:bookmarkEnd w:id="569"/>
    <w:bookmarkEnd w:id="570"/>
    <w:bookmarkEnd w:id="571"/>
    <w:bookmarkEnd w:id="572"/>
    <w:bookmarkEnd w:id="573"/>
    <w:bookmarkEnd w:id="574"/>
    <w:p w14:paraId="564C0031">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2 </w:t>
      </w:r>
      <w:r>
        <w:rPr>
          <w:rFonts w:hint="eastAsia" w:cs="宋体"/>
          <w:b/>
          <w:bCs/>
          <w:color w:val="auto"/>
          <w:sz w:val="21"/>
          <w:szCs w:val="21"/>
          <w:highlight w:val="none"/>
        </w:rPr>
        <w:t>种</w:t>
      </w:r>
      <w:r>
        <w:rPr>
          <w:rFonts w:hint="eastAsia" w:cs="宋体"/>
          <w:color w:val="auto"/>
          <w:sz w:val="21"/>
          <w:szCs w:val="21"/>
          <w:highlight w:val="none"/>
        </w:rPr>
        <w:t>方式解决：</w:t>
      </w:r>
    </w:p>
    <w:p w14:paraId="310C4FB8">
      <w:pPr>
        <w:pageBreakBefore w:val="0"/>
        <w:numPr>
          <w:ilvl w:val="0"/>
          <w:numId w:val="4"/>
        </w:numPr>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滁州</w:t>
      </w:r>
      <w:r>
        <w:rPr>
          <w:rFonts w:hint="eastAsia" w:cs="宋体"/>
          <w:color w:val="auto"/>
          <w:sz w:val="21"/>
          <w:szCs w:val="21"/>
          <w:highlight w:val="none"/>
          <w:u w:val="single"/>
        </w:rPr>
        <w:t xml:space="preserve"> </w:t>
      </w:r>
      <w:r>
        <w:rPr>
          <w:rFonts w:hint="eastAsia" w:cs="宋体"/>
          <w:color w:val="auto"/>
          <w:sz w:val="21"/>
          <w:szCs w:val="21"/>
          <w:highlight w:val="none"/>
        </w:rPr>
        <w:t>仲裁委员会申请仲裁；</w:t>
      </w:r>
    </w:p>
    <w:p w14:paraId="66431B9A">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（2）向</w:t>
      </w:r>
      <w:r>
        <w:rPr>
          <w:rFonts w:hint="eastAsia" w:cs="宋体"/>
          <w:color w:val="auto"/>
          <w:sz w:val="21"/>
          <w:szCs w:val="21"/>
          <w:highlight w:val="none"/>
          <w:u w:val="single"/>
        </w:rPr>
        <w:t>工程所在地</w:t>
      </w:r>
      <w:r>
        <w:rPr>
          <w:rFonts w:hint="eastAsia" w:cs="宋体"/>
          <w:color w:val="auto"/>
          <w:sz w:val="21"/>
          <w:szCs w:val="21"/>
          <w:highlight w:val="none"/>
        </w:rPr>
        <w:t>人民法院起诉。</w:t>
      </w:r>
    </w:p>
    <w:p w14:paraId="6A093E43">
      <w:pPr>
        <w:keepNext w:val="0"/>
        <w:keepLines w:val="0"/>
        <w:pageBreakBefore w:val="0"/>
        <w:kinsoku/>
        <w:wordWrap/>
        <w:overflowPunct/>
        <w:topLinePunct w:val="0"/>
        <w:autoSpaceDE/>
        <w:autoSpaceDN/>
        <w:bidi w:val="0"/>
        <w:snapToGrid w:val="0"/>
        <w:spacing w:line="400" w:lineRule="exact"/>
        <w:textAlignment w:val="auto"/>
        <w:outlineLvl w:val="2"/>
        <w:rPr>
          <w:rFonts w:hint="eastAsia" w:cs="宋体"/>
          <w:color w:val="auto"/>
          <w:sz w:val="21"/>
          <w:szCs w:val="21"/>
          <w:highlight w:val="none"/>
        </w:rPr>
      </w:pPr>
      <w:r>
        <w:rPr>
          <w:rFonts w:hint="eastAsia" w:cs="宋体"/>
          <w:color w:val="auto"/>
          <w:sz w:val="21"/>
          <w:szCs w:val="21"/>
          <w:highlight w:val="none"/>
        </w:rPr>
        <w:t xml:space="preserve">21. 补充条款 </w:t>
      </w:r>
    </w:p>
    <w:p w14:paraId="460D28E7">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1、工程量清单、最高</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限价：投标人须认真研究项目的招标文件、图纸、清单、最高</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限价，并仔细踏勘现场，若对清单和最高投标限价有异议，应在投标答疑时向招标人提出。招标人应对投标人提出的异议认真复核修正。答疑结束后，除招标人发布的清单单位错误，其余情况在工程结算时单价一律不予调整。清单的工程量错误或漏项，按实调整，但预估实际发生工程量超出清单工程量15%或漏项时，中标人（承包人）应在施工前提出，并履行滁州市重点处变更程序，否则，不予认可。</w:t>
      </w:r>
    </w:p>
    <w:p w14:paraId="4E704AA1">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2、前期手续办理：合同签订后90日内配合发包人完成质量、安全报监和施工许可证办理，否则，每延期一天处罚承包人5000元/天的违约金（因发包人原因除外）。</w:t>
      </w:r>
    </w:p>
    <w:p w14:paraId="044E8DFC">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21.3、进场考核考勤：</w:t>
      </w:r>
    </w:p>
    <w:p w14:paraId="258D6555">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人员考核：工程开工进场后，承包人必须按招标文件要求和投标承诺配备项目经理、技术负责人等施工项目部关键岗位人员。未经发包人同意，不得更换上述人员并满足《关于进一步加强建筑施工现场项目负责人变更行为管理的通知》及滁州市其他相关规定要求。发包人将组织对上述人员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6B1F20DE">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发包人在施工进场第一个月或施工过程中发现承包人转包、挂靠等行为的，发包人立即解除合同，清退出场，承包人已完合格工程量按合同价款70%进行结算。</w:t>
      </w:r>
    </w:p>
    <w:p w14:paraId="5B1517CF">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人员考勤：①项目部所有管理人员上下班实行人脸识别电子考勤，人脸识别电子考勤系统设备必须与招标人现行使用的监管平台无缝对接。②监管平台设备及人脸识别电子考勤系统设备，承包人可以租赁或购买，但租赁或购买费用由承包人在投标报价时自行考虑，含在投标报价中，招标人将不再支付任何费用。③监管平台考勤范围为本项目监理部和项目部所有管理人员，监管平台信息及数据录入（包括质量、进度、安全、施工许可办理等）均由监理单位负责。④项目经理每月在岗时间不得少于20天，施工现场其他管理人员每月在岗时间不得少于22天。未按规定在岗履责的，对项目经理和技术负责人处罚5000元/人·天的违约金，对施工现场其他管理人员处罚1000元/人·天的违约金。项目部关键岗位人员离岗必须向发包人项目组长履行请假手续，若被我局和相关部门日常检查和随机抽查中发现不在岗的，又未履行请假手续的，处罚5000元/人·次的违约金。</w:t>
      </w:r>
    </w:p>
    <w:p w14:paraId="05CBE6E9">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21.4、工程进度管理：</w:t>
      </w:r>
    </w:p>
    <w:p w14:paraId="07C97A5C">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一、合同工期管理。</w:t>
      </w:r>
    </w:p>
    <w:p w14:paraId="46C93B07">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由中介机构按国家规范计算定额工期。招标前项目分管领导和项目科室研究确定合同工期，合同工期对施工企业和项目组拥有共同约束力。合同工期以总监下达的开工令（开工通知书）和局主要领导签署的完工时间为起止点，对工期要求紧迫的特殊项目，由科室提出内控工期，作为科室安排月、周计划的参考。</w:t>
      </w:r>
    </w:p>
    <w:p w14:paraId="7B0FAD14">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工程有下列原因影响合同工期的，由承包人提出，经发包人批准可顺延合同工期：1、土地和房屋征收进度不符合施工要求，涉铁路、涉部队、涉供电等影响施工；2、因地震、洪涝灾害、突发重大事件等不可抗力影响施工；3、因规划设计调整或重大变更，对工期造成影响的；4、其它非承包人原因影响工期的。承包人未提出工期顺延的申请或申请未经批准的，工期不予顺延。</w:t>
      </w:r>
    </w:p>
    <w:p w14:paraId="4573E986">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因供应商原因造成的工期延误，每推迟一天，按合同价款（扣除暂估价和暂列金）万分之二处以违约金；月工程量未完成的当期不得请款，当月未完成的工程量纳入下月一并完成，完不成的仍不予请款，依次类推。</w:t>
      </w:r>
    </w:p>
    <w:p w14:paraId="597364F1">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对严重拖延工期，经发包人多次督促，承包人拒不整改或整改不到位的，发包人可终止施工合同，扣除50%履约保证金作为违约处罚，另选施工队伍，承包人须无条件配合，不得以任何借口阻挠另选的施工队伍施工，不得向发包人提出任何索赔要求。</w:t>
      </w:r>
    </w:p>
    <w:p w14:paraId="787DD588">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二、施工计划管理。</w:t>
      </w:r>
    </w:p>
    <w:p w14:paraId="1D67D693">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eastAsia="宋体" w:cs="宋体"/>
          <w:color w:val="auto"/>
          <w:sz w:val="21"/>
          <w:szCs w:val="21"/>
          <w:highlight w:val="none"/>
          <w:lang w:val="en-US" w:eastAsia="zh-CN"/>
        </w:rPr>
        <w:t>在建工程实行“旬计划、日检查、现场处罚”制度，对工期有特殊要求的项目，实行“每日一计划、每日一检查、每日一处罚”。施工单位应按项目组的要求，每旬初（或每天）将施工内容、施工应开作业面、每个工作面应上施工人员和机械数量编报，经总监、项目经理和项目组签字后报项目科室和协调科。局巡查组不定期检查，检查中出现下列情形的给予施工企业2000-5000元/次违约处罚，出现两次以上的对项目组进行批评。（一）未按期报送进度计划；（二）计划作业面、施工人员和机械安排不足的；（三）未按计划开齐作业面、上足施工人员和机械</w:t>
      </w:r>
      <w:r>
        <w:rPr>
          <w:rFonts w:hint="eastAsia" w:ascii="宋体" w:hAnsi="宋体" w:cs="宋体"/>
          <w:color w:val="auto"/>
          <w:kern w:val="0"/>
          <w:sz w:val="21"/>
          <w:szCs w:val="21"/>
          <w:highlight w:val="none"/>
        </w:rPr>
        <w:t>。</w:t>
      </w:r>
    </w:p>
    <w:p w14:paraId="2AC23645">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en-US" w:eastAsia="zh-CN"/>
        </w:rPr>
        <w:t>21.</w:t>
      </w:r>
      <w:r>
        <w:rPr>
          <w:rFonts w:hint="eastAsia" w:cs="宋体"/>
          <w:color w:val="auto"/>
          <w:sz w:val="21"/>
          <w:szCs w:val="21"/>
          <w:highlight w:val="none"/>
          <w:lang w:val="en-US" w:eastAsia="zh-CN"/>
        </w:rPr>
        <w:t>5</w:t>
      </w:r>
      <w:r>
        <w:rPr>
          <w:rFonts w:hint="eastAsia" w:ascii="宋体" w:hAnsi="宋体" w:cs="宋体"/>
          <w:color w:val="auto"/>
          <w:kern w:val="0"/>
          <w:sz w:val="21"/>
          <w:szCs w:val="21"/>
          <w:highlight w:val="none"/>
        </w:rPr>
        <w:t>、质量管理：</w:t>
      </w:r>
    </w:p>
    <w:p w14:paraId="5480BA58">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承包人被发包人项目组日常检查、专项检查或第三方巡查等检查出未按设计文件和相关规范施工，存在质量隐患的，必须按要求和规定时限整改到位，同时每次处以2000-50000元的违约金。对拒不执行或整改不力的，加重处罚。情节严重的，发包人有权解除合同，并追偿经济损失。</w:t>
      </w:r>
    </w:p>
    <w:p w14:paraId="154D39DE">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kern w:val="0"/>
          <w:sz w:val="21"/>
          <w:szCs w:val="21"/>
          <w:highlight w:val="none"/>
        </w:rPr>
        <w:t>（2）质量缺陷责任期内出现质量问题，发包人书面通知承包人，在规定时间内不及时处理的，发包人有权直接委托其他单位进行维修，相关费用直接从工程质保金中支付</w:t>
      </w:r>
      <w:r>
        <w:rPr>
          <w:rFonts w:hint="eastAsia" w:ascii="宋体" w:hAnsi="宋体" w:cs="宋体"/>
          <w:color w:val="auto"/>
          <w:sz w:val="21"/>
          <w:szCs w:val="21"/>
          <w:highlight w:val="none"/>
        </w:rPr>
        <w:t>。</w:t>
      </w:r>
    </w:p>
    <w:p w14:paraId="7419B22D">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en-US" w:eastAsia="zh-CN"/>
        </w:rPr>
        <w:t>21.</w:t>
      </w:r>
      <w:r>
        <w:rPr>
          <w:rFonts w:hint="eastAsia" w:cs="宋体"/>
          <w:color w:val="auto"/>
          <w:sz w:val="21"/>
          <w:szCs w:val="21"/>
          <w:highlight w:val="none"/>
          <w:lang w:val="en-US" w:eastAsia="zh-CN"/>
        </w:rPr>
        <w:t>6</w:t>
      </w:r>
      <w:r>
        <w:rPr>
          <w:rFonts w:hint="eastAsia" w:ascii="宋体" w:hAnsi="宋体" w:cs="宋体"/>
          <w:color w:val="auto"/>
          <w:kern w:val="0"/>
          <w:sz w:val="21"/>
          <w:szCs w:val="21"/>
          <w:highlight w:val="none"/>
        </w:rPr>
        <w:t>、安全文明管理：</w:t>
      </w:r>
    </w:p>
    <w:p w14:paraId="2895A7F0">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承包人必须确保安全文明施工，严格执行国家、安徽省、滁州市的相关规定，同时遵守建设单位对安全文明施工的相关要求。经检查，达不到相关规定和要求的，由项目组及时下发整改通知书，拒不整改或限期整改不到位的，处承包人2000元/项/次的违约金。施工现场卫生保洁自开工之日起至工程竣工移交结束，切实做好项目管理人员和工人宿舍安全、卫生工作。</w:t>
      </w:r>
    </w:p>
    <w:p w14:paraId="0D6A7286">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kern w:val="0"/>
          <w:sz w:val="21"/>
          <w:szCs w:val="21"/>
          <w:highlight w:val="none"/>
        </w:rPr>
        <w:t>（2）按《滁州市建筑工地围挡提档升级标准》的通知（建质﹝2022﹞34号文）执行</w:t>
      </w:r>
      <w:r>
        <w:rPr>
          <w:rFonts w:hint="eastAsia" w:ascii="宋体" w:hAnsi="宋体" w:eastAsia="宋体" w:cs="宋体"/>
          <w:color w:val="auto"/>
          <w:sz w:val="21"/>
          <w:szCs w:val="21"/>
          <w:highlight w:val="none"/>
        </w:rPr>
        <w:t>。</w:t>
      </w:r>
    </w:p>
    <w:p w14:paraId="7BB5DA65">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en-US" w:eastAsia="zh-CN"/>
        </w:rPr>
        <w:t>21.</w:t>
      </w:r>
      <w:r>
        <w:rPr>
          <w:rFonts w:hint="eastAsia" w:cs="宋体"/>
          <w:color w:val="auto"/>
          <w:sz w:val="21"/>
          <w:szCs w:val="21"/>
          <w:highlight w:val="none"/>
          <w:lang w:val="en-US" w:eastAsia="zh-CN"/>
        </w:rPr>
        <w:t>7</w:t>
      </w:r>
      <w:r>
        <w:rPr>
          <w:rFonts w:hint="eastAsia" w:ascii="宋体" w:hAnsi="宋体" w:cs="宋体"/>
          <w:color w:val="auto"/>
          <w:kern w:val="0"/>
          <w:sz w:val="21"/>
          <w:szCs w:val="21"/>
          <w:highlight w:val="none"/>
        </w:rPr>
        <w:t>、扬尘治理：严格执行《安徽省建筑工程施工扬尘污染防治规定》、《滁州市城市扬尘管理办法》和《滁州市建筑工程施工扬尘污染防治实施细则》等相关规定。对违反规定或经检查达不到规定和要求，被相关部门批评、曝光、通报的，处罚承包人10000元/次的违约金，处罚监理人3000元/次的违约金</w:t>
      </w:r>
      <w:r>
        <w:rPr>
          <w:rFonts w:hint="eastAsia" w:ascii="宋体" w:hAnsi="宋体" w:cs="宋体"/>
          <w:color w:val="auto"/>
          <w:sz w:val="21"/>
          <w:szCs w:val="21"/>
          <w:highlight w:val="none"/>
        </w:rPr>
        <w:t>。</w:t>
      </w:r>
    </w:p>
    <w:p w14:paraId="5C20B51B">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en-US" w:eastAsia="zh-CN"/>
        </w:rPr>
        <w:t>21.</w:t>
      </w:r>
      <w:r>
        <w:rPr>
          <w:rFonts w:hint="eastAsia" w:cs="宋体"/>
          <w:color w:val="auto"/>
          <w:sz w:val="21"/>
          <w:szCs w:val="21"/>
          <w:highlight w:val="none"/>
          <w:lang w:val="en-US" w:eastAsia="zh-CN"/>
        </w:rPr>
        <w:t>8</w:t>
      </w:r>
      <w:r>
        <w:rPr>
          <w:rFonts w:hint="eastAsia" w:ascii="宋体" w:hAnsi="宋体" w:cs="宋体"/>
          <w:color w:val="auto"/>
          <w:kern w:val="0"/>
          <w:sz w:val="21"/>
          <w:szCs w:val="21"/>
          <w:highlight w:val="none"/>
        </w:rPr>
        <w:t>、农民工工资支付：承包人应严格遵守《政府投资工程农民工工资信访管理办法（试行）》的相关规定。</w:t>
      </w:r>
    </w:p>
    <w:p w14:paraId="7F9D9DAC">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凡到市重点处上访，滞留时间半个工作日（不足半个工作日以半个工作日计算），工程款支付比例在30%-40%（含）的，按每人每半个工作日200元的标准给予处罚，每增加工程款支付比例10%，每人每半个工作日处罚标准增加100元，依此类推。</w:t>
      </w:r>
    </w:p>
    <w:p w14:paraId="02F187D4">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凡赴市政府上访，滞留时间半个工作日（不足半个工作日以半个工作日计算），工程款支付比例在30%-40%（含）的，按每人每半个工作日400元的标准给予处罚，每增加工程款支付比例10%，每人每半个工作日处罚标准增加200元，依此类推。</w:t>
      </w:r>
    </w:p>
    <w:p w14:paraId="3FB484D2">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凡赴省政府上访，滞留时间半个工作日（不足半个工作日以半个工作日计算），工程款支付比例在30%-40%（含）的，按每人每半个工作日600元的标准给予处罚，每增加工程款支付比例10%，每人每半个工作日处罚标准增加300元，依此类推。</w:t>
      </w:r>
    </w:p>
    <w:p w14:paraId="248DA7FF">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en-US" w:eastAsia="zh-CN"/>
        </w:rPr>
        <w:t>21.</w:t>
      </w:r>
      <w:r>
        <w:rPr>
          <w:rFonts w:hint="eastAsia" w:cs="宋体"/>
          <w:color w:val="auto"/>
          <w:sz w:val="21"/>
          <w:szCs w:val="21"/>
          <w:highlight w:val="none"/>
          <w:lang w:val="en-US" w:eastAsia="zh-CN"/>
        </w:rPr>
        <w:t>9</w:t>
      </w:r>
      <w:r>
        <w:rPr>
          <w:rFonts w:hint="eastAsia" w:ascii="宋体" w:hAnsi="宋体" w:cs="宋体"/>
          <w:color w:val="auto"/>
          <w:kern w:val="0"/>
          <w:sz w:val="21"/>
          <w:szCs w:val="21"/>
          <w:highlight w:val="none"/>
        </w:rPr>
        <w:t>、竣工验收、竣工结算</w:t>
      </w:r>
    </w:p>
    <w:p w14:paraId="0A1CF1B2">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竣工验收时间：严格按照市重点处《工程竣工验收要求》和《重点工程进度管理办法》执行（从工程交付使用到竣工验收原则上不得超过30天，特殊情况经分管领导批准的可以延长）。整体工程完工后组织竣工验收，验收合格之日作为竣工日期。</w:t>
      </w:r>
    </w:p>
    <w:p w14:paraId="42215BDD">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kern w:val="0"/>
          <w:sz w:val="21"/>
          <w:szCs w:val="21"/>
          <w:highlight w:val="none"/>
        </w:rPr>
        <w:t>（2）竣工结算申请：承包人须于竣工验收合格后60日内完成竣工结算报告和完整结算资料上报，特殊情况，经分管领导批准的可以延长。凡因承包人原因，未能在规定时间内上报竣工结算的，处罚10000元/月的违约金。情节严重的，招标人有权按已有资料或按已付款报审计部门办理结算</w:t>
      </w:r>
      <w:r>
        <w:rPr>
          <w:rFonts w:hint="eastAsia" w:ascii="宋体" w:hAnsi="宋体" w:cs="宋体"/>
          <w:color w:val="auto"/>
          <w:sz w:val="21"/>
          <w:szCs w:val="21"/>
          <w:highlight w:val="none"/>
        </w:rPr>
        <w:t>。</w:t>
      </w:r>
    </w:p>
    <w:p w14:paraId="63839F28">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cs="宋体"/>
          <w:color w:val="auto"/>
          <w:sz w:val="21"/>
          <w:szCs w:val="21"/>
          <w:highlight w:val="none"/>
          <w:lang w:val="en-US" w:eastAsia="zh-CN"/>
        </w:rPr>
        <w:t>0</w:t>
      </w:r>
      <w:r>
        <w:rPr>
          <w:rFonts w:hint="eastAsia" w:ascii="宋体" w:hAnsi="宋体" w:cs="宋体"/>
          <w:color w:val="auto"/>
          <w:sz w:val="21"/>
          <w:szCs w:val="21"/>
          <w:highlight w:val="none"/>
        </w:rPr>
        <w:t>、本工程实行跟踪审计制度，审计师的职权：1）对工程量调整及变更、签证部分的造价提出意见，并确定该部分的工程量、材料、价格等，2）参与对甲供材及设备的采购，对甲供材及设备的采购对象、材料及设备品种、规格及价格提出意见，3）对预付工程款及进度款的支付提出审核意见，4）参与对隐蔽工程的验收，并做好相关台帐，5）对完工的单项工程及时开展资料整理和结算，对结算价格提出审计意见，6）对监理出具的有关单据进行再监督。</w:t>
      </w:r>
    </w:p>
    <w:p w14:paraId="532262CC">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cs="宋体"/>
          <w:color w:val="auto"/>
          <w:sz w:val="21"/>
          <w:szCs w:val="21"/>
          <w:highlight w:val="none"/>
          <w:lang w:val="en-US" w:eastAsia="zh-CN"/>
        </w:rPr>
        <w:t>1</w:t>
      </w:r>
      <w:r>
        <w:rPr>
          <w:rFonts w:hint="eastAsia" w:ascii="宋体" w:hAnsi="宋体" w:cs="宋体"/>
          <w:color w:val="auto"/>
          <w:sz w:val="21"/>
          <w:szCs w:val="21"/>
          <w:highlight w:val="none"/>
        </w:rPr>
        <w:t>、招标人将保留对成交候选人的拟派项目负责人（建造师）和所提供的业绩等情况进行实地考察的权利，若考察发现有弄虚作假或发现工程存在质量等违约情形，提请相关部门对其进行处罚。</w:t>
      </w:r>
    </w:p>
    <w:p w14:paraId="796582F4">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cs="宋体"/>
          <w:color w:val="auto"/>
          <w:sz w:val="21"/>
          <w:szCs w:val="21"/>
          <w:highlight w:val="none"/>
          <w:lang w:val="en-US" w:eastAsia="zh-CN"/>
        </w:rPr>
        <w:t>2</w:t>
      </w:r>
      <w:r>
        <w:rPr>
          <w:rFonts w:hint="eastAsia" w:ascii="宋体" w:hAnsi="宋体" w:cs="宋体"/>
          <w:color w:val="auto"/>
          <w:sz w:val="21"/>
          <w:szCs w:val="21"/>
          <w:highlight w:val="none"/>
        </w:rPr>
        <w:t>、现场管理</w:t>
      </w:r>
    </w:p>
    <w:p w14:paraId="1D2A10D3">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（1）施工过程中，项目管理及施工人员以外的无关人员一律不得留宿施工现场，项目负责人负责管理及清理出场；</w:t>
      </w:r>
    </w:p>
    <w:p w14:paraId="259B6AE3">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（2）施工过程中，严格执行国家及地方针对环保、禁噪、防尘、防护等措施，必须满足当地行政主管部门相关规定及要求。</w:t>
      </w:r>
    </w:p>
    <w:p w14:paraId="773DCE19">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（3）所有专业承包工程，若总承包单位无此项专业承包施工资质，分包单位的选择必须经业主方认可，才能进行专业分包。</w:t>
      </w:r>
    </w:p>
    <w:p w14:paraId="6B7C9C58">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（4）施工场地及周边场地、道路、绿化、管线、围墙、设施设备等，若被施工方损坏，施工方必须无偿按照原貌恢复。</w:t>
      </w:r>
    </w:p>
    <w:p w14:paraId="58F5D390">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（5）投标人自行勘察施工现场情况，因投标人未踏勘现场而造成的损失由投标人承担。</w:t>
      </w:r>
    </w:p>
    <w:p w14:paraId="3072C343">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（6）在工程建设过程中，出现质量、安全、进度、文明施工、扬尘污染、人员不在岗履职等违约行为的，发包人将给予违约处罚；如承包人拒不缴纳违约金的，发包人有权从履约保证金中直接扣除。</w:t>
      </w:r>
    </w:p>
    <w:p w14:paraId="05642165">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（7）项目经理部需在醒目位置公示经监理、业主审定批准的月进度计划表，否则，当月不支付当月工程进度款。</w:t>
      </w:r>
    </w:p>
    <w:p w14:paraId="775E2945">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（8）本项目施工难度较大，投标人在标前应自行踏勘现场，充分考虑难度系数和不可预见因素。施工期间的协调工作由承包人自行解决。投标人在投标报价时应充分考虑上述情况自行报价。</w:t>
      </w:r>
    </w:p>
    <w:p w14:paraId="0CF2399F">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9）施工现场和取、弃土场内的施工便道、机械整平以及协调渣土、环保等相关部门办理相关手续、缴纳保证金及费用等由投标人自行承担，此部分费用包含在投标报价中。施工渣土、淤泥、建筑垃圾等弃置点需经相关部门批准，并报发包人备案后，方可施工，严禁违规倾倒堆存。否则，责任自负</w:t>
      </w:r>
      <w:r>
        <w:rPr>
          <w:rFonts w:hint="eastAsia" w:ascii="宋体" w:hAnsi="宋体" w:cs="宋体"/>
          <w:b/>
          <w:bCs/>
          <w:color w:val="auto"/>
          <w:sz w:val="21"/>
          <w:szCs w:val="21"/>
          <w:highlight w:val="none"/>
        </w:rPr>
        <w:t>。</w:t>
      </w:r>
    </w:p>
    <w:p w14:paraId="630AAED1">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cs="宋体"/>
          <w:color w:val="auto"/>
          <w:sz w:val="21"/>
          <w:szCs w:val="21"/>
          <w:highlight w:val="none"/>
          <w:lang w:val="en-US" w:eastAsia="zh-CN"/>
        </w:rPr>
        <w:t>3</w:t>
      </w:r>
      <w:r>
        <w:rPr>
          <w:rFonts w:hint="eastAsia" w:ascii="宋体" w:hAnsi="宋体" w:cs="宋体"/>
          <w:color w:val="auto"/>
          <w:sz w:val="21"/>
          <w:szCs w:val="21"/>
          <w:highlight w:val="none"/>
        </w:rPr>
        <w:t>、材料要求：</w:t>
      </w:r>
    </w:p>
    <w:p w14:paraId="1ED92071">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承包人自行采购的材料应满足设计和规范要求的质量等级，并须按有关技术规范要求对材料质量进行检验；承包人选定的材料供应厂家、质量须经招标人和监理单位备案，如招标人和监理单位对某种或某些材料的质量有异议，有权提出停止使用的要求， 承包人必须服从要求，若该材料经权威检验部门鉴定确有质量问题，由此发生的一切费用由承包人承担；主要材料供应商发生过质量事故及管理混乱的，不得用于重点工程建设，发包人保留否决权；因承包人自行采购的材料质量引起的工程质量问题由承包人承担所造成的一切损失。</w:t>
      </w:r>
    </w:p>
    <w:p w14:paraId="7D798804">
      <w:pPr>
        <w:pStyle w:val="2"/>
        <w:keepNext w:val="0"/>
        <w:keepLines w:val="0"/>
        <w:pageBreakBefore w:val="0"/>
        <w:kinsoku/>
        <w:wordWrap/>
        <w:overflowPunct/>
        <w:topLinePunct w:val="0"/>
        <w:autoSpaceDE/>
        <w:autoSpaceDN/>
        <w:bidi w:val="0"/>
        <w:spacing w:after="0" w:afterLines="0" w:line="400" w:lineRule="exact"/>
        <w:ind w:left="0" w:leftChars="0"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cs="宋体"/>
          <w:color w:val="auto"/>
          <w:sz w:val="21"/>
          <w:szCs w:val="21"/>
          <w:highlight w:val="none"/>
          <w:lang w:val="en-US" w:eastAsia="zh-CN"/>
        </w:rPr>
        <w:t>4</w:t>
      </w:r>
      <w:r>
        <w:rPr>
          <w:rFonts w:hint="eastAsia" w:ascii="宋体" w:hAnsi="宋体" w:cs="宋体"/>
          <w:color w:val="auto"/>
          <w:sz w:val="21"/>
          <w:szCs w:val="21"/>
          <w:highlight w:val="none"/>
        </w:rPr>
        <w:t>、人员变更</w:t>
      </w:r>
    </w:p>
    <w:p w14:paraId="45901F20">
      <w:pPr>
        <w:pStyle w:val="2"/>
        <w:keepNext w:val="0"/>
        <w:keepLines w:val="0"/>
        <w:pageBreakBefore w:val="0"/>
        <w:kinsoku/>
        <w:wordWrap/>
        <w:overflowPunct/>
        <w:topLinePunct w:val="0"/>
        <w:autoSpaceDE/>
        <w:autoSpaceDN/>
        <w:bidi w:val="0"/>
        <w:spacing w:after="0" w:afterLines="0" w:line="400" w:lineRule="exact"/>
        <w:ind w:left="0" w:leftChars="0"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10万元违约金，否则不得变更。变更后的项目负责人必须符合本项目招标文件和投标承诺配备的同等条件人员，并按照滁州市有关规定履行变更审批程序。</w:t>
      </w:r>
    </w:p>
    <w:p w14:paraId="16A26278">
      <w:pPr>
        <w:pStyle w:val="2"/>
        <w:keepNext w:val="0"/>
        <w:keepLines w:val="0"/>
        <w:pageBreakBefore w:val="0"/>
        <w:kinsoku/>
        <w:wordWrap/>
        <w:overflowPunct/>
        <w:topLinePunct w:val="0"/>
        <w:autoSpaceDE/>
        <w:autoSpaceDN/>
        <w:bidi w:val="0"/>
        <w:spacing w:after="0" w:afterLines="0" w:line="400" w:lineRule="exact"/>
        <w:ind w:left="0" w:leftChars="0" w:firstLine="420"/>
        <w:textAlignment w:val="auto"/>
        <w:rPr>
          <w:rFonts w:hint="eastAsia" w:hAnsi="宋体" w:cs="宋体"/>
          <w:color w:val="auto"/>
          <w:sz w:val="21"/>
          <w:szCs w:val="21"/>
          <w:highlight w:val="none"/>
        </w:rPr>
      </w:pPr>
      <w:r>
        <w:rPr>
          <w:rFonts w:hint="eastAsia" w:ascii="宋体" w:hAnsi="宋体" w:cs="宋体"/>
          <w:color w:val="auto"/>
          <w:sz w:val="21"/>
          <w:szCs w:val="21"/>
          <w:highlight w:val="none"/>
        </w:rPr>
        <w:t>（2）技术负责人、项目部“五大员”等关键岗位人员变更必须经发包人批准，除亡故、重大疾病、出国、辞职等原因外，原则上不得变更。其中，亡故的需提供公安部门开具的死亡证明；重大疾病的需提供三甲及以上医院证明；出国、辞职等原因提出变更的，除需提供相关证明外，须缴纳5000元违约金，否则不得变更。变更后的技术负责人、项目部“五大员”等关键岗位人员必须符合本项目招标文件和投标承诺配备的同等条件人员</w:t>
      </w:r>
      <w:r>
        <w:rPr>
          <w:rFonts w:hint="eastAsia" w:hAnsi="宋体" w:cs="宋体"/>
          <w:color w:val="auto"/>
          <w:sz w:val="21"/>
          <w:szCs w:val="21"/>
          <w:highlight w:val="none"/>
        </w:rPr>
        <w:t>。</w:t>
      </w:r>
    </w:p>
    <w:p w14:paraId="080DC46D">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cs="宋体"/>
          <w:color w:val="auto"/>
          <w:sz w:val="21"/>
          <w:szCs w:val="21"/>
          <w:highlight w:val="none"/>
          <w:lang w:val="en-US" w:eastAsia="zh-CN"/>
        </w:rPr>
        <w:t>5</w:t>
      </w:r>
      <w:r>
        <w:rPr>
          <w:rFonts w:hint="eastAsia" w:ascii="宋体" w:hAnsi="宋体" w:cs="宋体"/>
          <w:color w:val="auto"/>
          <w:sz w:val="21"/>
          <w:szCs w:val="21"/>
          <w:highlight w:val="none"/>
        </w:rPr>
        <w:t>、监理单位须在监管平台录入以下（但不限于）内容：</w:t>
      </w:r>
    </w:p>
    <w:p w14:paraId="478C35AA">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（1）在进度管理中，每周实际完成工作量、投入人员及机械使用情况；</w:t>
      </w:r>
    </w:p>
    <w:p w14:paraId="0A4B742B">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（2）在安全管理中，现场存在的安全隐患等问题；</w:t>
      </w:r>
    </w:p>
    <w:p w14:paraId="3BB6CF08">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（3）在质量控制要点中的关键工序、验收资料及检测资料及存在的质量问题；</w:t>
      </w:r>
    </w:p>
    <w:p w14:paraId="4CC6380D">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（4）监理日志</w:t>
      </w:r>
    </w:p>
    <w:p w14:paraId="0D4B6C33">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（5）创城、创卫管理内容</w:t>
      </w:r>
      <w:r>
        <w:rPr>
          <w:rFonts w:hint="eastAsia" w:cs="宋体"/>
          <w:color w:val="auto"/>
          <w:sz w:val="21"/>
          <w:szCs w:val="21"/>
          <w:highlight w:val="none"/>
          <w:lang w:eastAsia="zh-CN"/>
        </w:rPr>
        <w:t>。</w:t>
      </w:r>
    </w:p>
    <w:p w14:paraId="3A126ABC">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cs="宋体"/>
          <w:color w:val="auto"/>
          <w:sz w:val="21"/>
          <w:szCs w:val="21"/>
          <w:highlight w:val="none"/>
          <w:lang w:val="en-US" w:eastAsia="zh-CN"/>
        </w:rPr>
        <w:t>6</w:t>
      </w:r>
      <w:r>
        <w:rPr>
          <w:rFonts w:hint="eastAsia" w:ascii="宋体" w:hAnsi="宋体" w:cs="宋体"/>
          <w:color w:val="auto"/>
          <w:sz w:val="21"/>
          <w:szCs w:val="21"/>
          <w:highlight w:val="none"/>
        </w:rPr>
        <w:t>、若本项目存在暂定价材料或暂定项目，由招标人进行二次招标。采保费按照相关规定在工程结算中一次性支付。</w:t>
      </w:r>
    </w:p>
    <w:p w14:paraId="17B7A1B9">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cs="宋体"/>
          <w:color w:val="auto"/>
          <w:sz w:val="21"/>
          <w:szCs w:val="21"/>
          <w:highlight w:val="none"/>
          <w:lang w:val="en-US" w:eastAsia="zh-CN"/>
        </w:rPr>
        <w:t>7</w:t>
      </w:r>
      <w:r>
        <w:rPr>
          <w:rFonts w:hint="eastAsia" w:ascii="宋体" w:hAnsi="宋体" w:cs="宋体"/>
          <w:color w:val="auto"/>
          <w:sz w:val="21"/>
          <w:szCs w:val="21"/>
          <w:highlight w:val="none"/>
        </w:rPr>
        <w:t>、滁州市建设领域农民工工资管理办法</w:t>
      </w:r>
    </w:p>
    <w:p w14:paraId="38A21CE4">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执行《关于进一步完善工程建设领域农民工工资保证金和农民工工资（劳务费）专户管理制度的实施意见》 </w:t>
      </w:r>
    </w:p>
    <w:p w14:paraId="7CACDD6B">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（1）在建筑市政、铁路、电力、通信、交通、水利等工程建设领域全面实施工资保证金和设立工资专户制度，并实现所有在建工程项目全覆盖。</w:t>
      </w:r>
    </w:p>
    <w:p w14:paraId="178E8018">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（2）市人力资源和社会保障部门主管本市行政区域内工资保证金缴纳和工资专户管理工作。市交通、水利、重点工程建设管理等职能部门按照各自职能配合做好工作保证金和工资专户监管工作。</w:t>
      </w:r>
    </w:p>
    <w:p w14:paraId="589938EB">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（3）工作保证金和工资专户按照工程项目所在地实行属地化管理，由工程建设项目的施工总承包企业（包括直接承包建设单位发包工程的专业承包企业）缴存和开设。</w:t>
      </w:r>
    </w:p>
    <w:p w14:paraId="6A2EBFDA">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（4）工资保证金按工程建设项目合同造价的2%缴存。施工企业未提供劳务保障监察机构出具的缴存工资保证金和开设工资专户证明的，建设单位不予施工企业签订工程承包合同。</w:t>
      </w:r>
    </w:p>
    <w:p w14:paraId="5E6BB6C5">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（5）在同一市级行政区域内，可根据行业特点和企业信用状况等适当调整工资保证金缴存比例。</w:t>
      </w:r>
    </w:p>
    <w:p w14:paraId="04B48244">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对一年内发生拖欠农民工工资行为的，新开工项目工资保证金应按工程项目合同造价的3%缴存。对因欠薪被纳入黑名单的，应按工程项目合同造价的4%缴存，缴存金额不受缴存金额上限限制。</w:t>
      </w:r>
    </w:p>
    <w:p w14:paraId="1D2C3045">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缴存企业可以以银行保函方式缴存工资保证金、银行保函的种类应当是见索即付的独立保函，由施工企业向工程项目所在地的银行申请开立，受益人为工程所在地的人力资源和社会保障部门。银行保函有效期由开立申请人、受益人与银行三方根据合同约定的竣工验收期限合理确定。如银行保函到期时给出尚未竣工验收，或存在农民工工资尚未结清的，开立申请人应与银行协商续开保函；无法续开的，应按规定缴存工资保证金。需动用工资保证金垫付呗拖欠工资时，出具保函的银行原则上应在3个工作日内垫付，紧急特殊情况应当尽快办理垫付手续。符合退还工资保证金条件时，开立申请人应将银行保函退回开立银行予以注销。</w:t>
      </w:r>
    </w:p>
    <w:p w14:paraId="0BECC1DA">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（7）行业主管部门要加强对建设资金监管，同时要对建设单位工程支付和使用情况进行监督。</w:t>
      </w:r>
    </w:p>
    <w:p w14:paraId="245BCDD0">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1）交通、水利、电力、铁路、通信等工程项目在拨付工程款时，应将工程进度款的15%直接汇入施工企业开设的工资专户，专项用于支付农民工工资。</w:t>
      </w:r>
    </w:p>
    <w:p w14:paraId="55D280E1">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2）道路桥梁等市政工程项目在拨付工程进度款时，应将工程进度款的15%直接汇入施工企业开设的工资专户，专项用于支付农民工工资。</w:t>
      </w:r>
    </w:p>
    <w:p w14:paraId="513A70EA">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3）园林景观（含道路绿化）工程项目在拨付工程款时，应将工程进度款的20%直接汇入施工企业开设的工资专户，用于支付农民工工资。</w:t>
      </w:r>
    </w:p>
    <w:p w14:paraId="5600B671">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4）道路、电梯、强弱电、暖通、智能化等设备采购及安装项目在拨付工程款时，应将工程进度款的5%直接汇入工资专户，用于支付农民工工资。</w:t>
      </w:r>
    </w:p>
    <w:p w14:paraId="79B0B55B">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8）人力资源和社会保障部门要督促施工企业按规定及时足额缴存工资保证金和开设工资专户。交通、水利等行业主管部门及重点工程建设管理部门应向人力资源和社会保障部门按月通报新建工程项目信息，督促缴存施工企业按规定缴存工资保证金和开设工资专户，未缴存工资保证金或是未开设工资专户的施工企业一律不予开工建设，确保应缴尽缴。</w:t>
      </w:r>
    </w:p>
    <w:p w14:paraId="387BCF69">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9）工程项目完工并经验收后，未发现拖欠工资行为的，经缴存施工企业申请并公示，人力资源和社会保障部门自公示期满之日起5个工作日内，作出同意缴存施工企业将工资保证金本息一并转入该缴存企业其他同名银行结算账户的决定。</w:t>
      </w:r>
    </w:p>
    <w:p w14:paraId="629106E9">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10）工资保证金由缴存企业存入工资保证金账户，工资专户由施工企业在工程所在地工资保证金专户银行开设，实行专户管理。人力资源和社会保障部门要建立工资保证金和工资专户管理台账，严格规范财务、审计制度，加强账户监管，确保专款专用，防止挪作他用。对擅自减免、超限额收缴、违规挪用、无故拖延返还工资保证金的，要严肃追究责任，依法依规对有关责任人员实行问责。</w:t>
      </w:r>
    </w:p>
    <w:p w14:paraId="37A1C238">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（11）未尽事宜，按《滁州市建设领域农民工工资管理暂行办法》 执行。</w:t>
      </w:r>
    </w:p>
    <w:p w14:paraId="0FD1ABB3">
      <w:pPr>
        <w:pStyle w:val="2"/>
        <w:keepNext w:val="0"/>
        <w:keepLines w:val="0"/>
        <w:pageBreakBefore w:val="0"/>
        <w:kinsoku/>
        <w:wordWrap/>
        <w:overflowPunct/>
        <w:topLinePunct w:val="0"/>
        <w:autoSpaceDE/>
        <w:autoSpaceDN/>
        <w:bidi w:val="0"/>
        <w:spacing w:after="0" w:afterLines="0" w:line="400" w:lineRule="exact"/>
        <w:ind w:left="0" w:leftChars="0"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w:t>
      </w:r>
      <w:r>
        <w:rPr>
          <w:rFonts w:hint="eastAsia" w:cs="宋体"/>
          <w:color w:val="auto"/>
          <w:sz w:val="21"/>
          <w:szCs w:val="21"/>
          <w:highlight w:val="none"/>
          <w:lang w:val="en-US" w:eastAsia="zh-CN"/>
        </w:rPr>
        <w:t>18</w:t>
      </w:r>
      <w:r>
        <w:rPr>
          <w:rFonts w:hint="eastAsia" w:ascii="宋体" w:hAnsi="宋体" w:cs="宋体"/>
          <w:color w:val="auto"/>
          <w:sz w:val="21"/>
          <w:szCs w:val="21"/>
          <w:highlight w:val="none"/>
        </w:rPr>
        <w:t>、文明施工要求</w:t>
      </w:r>
    </w:p>
    <w:p w14:paraId="2E40F971">
      <w:pPr>
        <w:pStyle w:val="2"/>
        <w:keepNext w:val="0"/>
        <w:keepLines w:val="0"/>
        <w:pageBreakBefore w:val="0"/>
        <w:kinsoku/>
        <w:wordWrap/>
        <w:overflowPunct/>
        <w:topLinePunct w:val="0"/>
        <w:autoSpaceDE/>
        <w:autoSpaceDN/>
        <w:bidi w:val="0"/>
        <w:spacing w:after="0" w:afterLines="0" w:line="400" w:lineRule="exact"/>
        <w:ind w:left="0" w:leftChars="0"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（1）公共环境</w:t>
      </w:r>
    </w:p>
    <w:p w14:paraId="02F022D8">
      <w:pPr>
        <w:pStyle w:val="2"/>
        <w:keepNext w:val="0"/>
        <w:keepLines w:val="0"/>
        <w:pageBreakBefore w:val="0"/>
        <w:kinsoku/>
        <w:wordWrap/>
        <w:overflowPunct/>
        <w:topLinePunct w:val="0"/>
        <w:autoSpaceDE/>
        <w:autoSpaceDN/>
        <w:bidi w:val="0"/>
        <w:spacing w:after="0" w:afterLines="0" w:line="400" w:lineRule="exact"/>
        <w:ind w:left="0" w:leftChars="0"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①建筑工地采用砌体、钢结构或彩钢夹芯板等，不得使用彩钢板封闭管理，高度不低于3米；储备用地、路面施工应一律设置建筑围墙进行遮挡。环境卫生干净整洁，围墙内外无乱堆放现象，无生活垃圾；施工现场标识明显，四周设置围墙、围挡，并符合标准；施工车辆有硬化的进出通道和冲洗设备，无抛洒和污染路面现象。</w:t>
      </w:r>
    </w:p>
    <w:p w14:paraId="05C5A6EA">
      <w:pPr>
        <w:pStyle w:val="2"/>
        <w:keepNext w:val="0"/>
        <w:keepLines w:val="0"/>
        <w:pageBreakBefore w:val="0"/>
        <w:kinsoku/>
        <w:wordWrap/>
        <w:overflowPunct/>
        <w:topLinePunct w:val="0"/>
        <w:autoSpaceDE/>
        <w:autoSpaceDN/>
        <w:bidi w:val="0"/>
        <w:spacing w:after="0" w:afterLines="0" w:line="400" w:lineRule="exact"/>
        <w:ind w:left="0" w:leftChars="0"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②场内设有不少于15米硬化面，车辆进出工地实行密闭运输，有车辆冲洗平台和冲洗设备、临时厕所、垃圾收集容器、污水处理排放系统、降尘设备等设施；场内干净整洁，机械设备、物料等摆放有序，安全施工措施到位，文明施工氛围浓厚。能够开展文明工地创建，施工噪音、粉尘等达到国家环保要求。</w:t>
      </w:r>
    </w:p>
    <w:p w14:paraId="08DA87A2">
      <w:pPr>
        <w:pStyle w:val="2"/>
        <w:keepNext w:val="0"/>
        <w:keepLines w:val="0"/>
        <w:pageBreakBefore w:val="0"/>
        <w:kinsoku/>
        <w:wordWrap/>
        <w:overflowPunct/>
        <w:topLinePunct w:val="0"/>
        <w:autoSpaceDE/>
        <w:autoSpaceDN/>
        <w:bidi w:val="0"/>
        <w:spacing w:after="0" w:afterLines="0" w:line="400" w:lineRule="exact"/>
        <w:ind w:left="0" w:leftChars="0"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（2）公益宣传</w:t>
      </w:r>
    </w:p>
    <w:p w14:paraId="76F06781">
      <w:pPr>
        <w:pStyle w:val="2"/>
        <w:keepNext w:val="0"/>
        <w:keepLines w:val="0"/>
        <w:pageBreakBefore w:val="0"/>
        <w:kinsoku/>
        <w:wordWrap/>
        <w:overflowPunct/>
        <w:topLinePunct w:val="0"/>
        <w:autoSpaceDE/>
        <w:autoSpaceDN/>
        <w:bidi w:val="0"/>
        <w:spacing w:after="0" w:afterLines="0" w:line="400" w:lineRule="exact"/>
        <w:ind w:left="0" w:leftChars="0" w:firstLine="420"/>
        <w:textAlignment w:val="auto"/>
        <w:rPr>
          <w:rFonts w:hint="eastAsia" w:hAnsi="宋体" w:cs="宋体"/>
          <w:color w:val="auto"/>
          <w:sz w:val="21"/>
          <w:szCs w:val="21"/>
          <w:highlight w:val="none"/>
        </w:rPr>
      </w:pPr>
      <w:r>
        <w:rPr>
          <w:rFonts w:hint="eastAsia" w:ascii="宋体" w:hAnsi="宋体" w:cs="宋体"/>
          <w:color w:val="auto"/>
          <w:sz w:val="21"/>
          <w:szCs w:val="21"/>
          <w:highlight w:val="none"/>
        </w:rPr>
        <w:t>①运用建筑围挡宣传展示社会主义核心价值观12个主题词、市民文明行为规范，及时更新中宣部、中央文明办发布的“讲文明树新风”、“图说我们的价值观”通稿作品以及本市自创的公益广告（建筑围挡无破墙开洞现象，公益广告无污染、破旧现象）</w:t>
      </w:r>
      <w:r>
        <w:rPr>
          <w:rFonts w:hint="eastAsia" w:hAnsi="宋体" w:cs="宋体"/>
          <w:color w:val="auto"/>
          <w:sz w:val="21"/>
          <w:szCs w:val="21"/>
          <w:highlight w:val="none"/>
        </w:rPr>
        <w:t>。</w:t>
      </w:r>
    </w:p>
    <w:p w14:paraId="57C3592C">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hAnsi="宋体" w:cs="宋体"/>
          <w:color w:val="auto"/>
          <w:sz w:val="21"/>
          <w:szCs w:val="21"/>
          <w:highlight w:val="none"/>
        </w:rPr>
      </w:pPr>
      <w:r>
        <w:rPr>
          <w:rFonts w:hint="eastAsia" w:ascii="宋体" w:hAnsi="宋体" w:cs="宋体"/>
          <w:color w:val="auto"/>
          <w:sz w:val="21"/>
          <w:szCs w:val="21"/>
          <w:highlight w:val="none"/>
          <w:lang w:val="en-US" w:eastAsia="zh-CN"/>
        </w:rPr>
        <w:t>21.19</w:t>
      </w:r>
      <w:r>
        <w:rPr>
          <w:rFonts w:hint="eastAsia" w:hAnsi="宋体" w:cs="宋体"/>
          <w:color w:val="auto"/>
          <w:sz w:val="21"/>
          <w:szCs w:val="21"/>
          <w:highlight w:val="none"/>
        </w:rPr>
        <w:t>、滁州市建筑工地围挡要求按关于印发《滁州市建筑工地围挡提档升级标准》的通知（建质﹝2022﹞34号文）执行。</w:t>
      </w:r>
    </w:p>
    <w:p w14:paraId="7453D385">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hAnsi="宋体" w:cs="宋体"/>
          <w:color w:val="auto"/>
          <w:sz w:val="21"/>
          <w:szCs w:val="21"/>
          <w:highlight w:val="none"/>
        </w:rPr>
      </w:pPr>
      <w:r>
        <w:rPr>
          <w:rFonts w:hint="eastAsia" w:hAnsi="宋体" w:cs="宋体"/>
          <w:color w:val="auto"/>
          <w:sz w:val="21"/>
          <w:szCs w:val="21"/>
          <w:highlight w:val="none"/>
        </w:rPr>
        <w:t>21.</w:t>
      </w:r>
      <w:r>
        <w:rPr>
          <w:rFonts w:hint="eastAsia" w:cs="宋体"/>
          <w:color w:val="auto"/>
          <w:sz w:val="21"/>
          <w:szCs w:val="21"/>
          <w:highlight w:val="none"/>
          <w:lang w:val="en-US" w:eastAsia="zh-CN"/>
        </w:rPr>
        <w:t>20</w:t>
      </w:r>
      <w:r>
        <w:rPr>
          <w:rFonts w:hint="eastAsia" w:hAnsi="宋体" w:cs="宋体"/>
          <w:color w:val="auto"/>
          <w:sz w:val="21"/>
          <w:szCs w:val="21"/>
          <w:highlight w:val="none"/>
        </w:rPr>
        <w:t>、发包人在施工进场第一个月或施工过程中发现承包人转包、挂靠等行为的，发包人立即解除合同，清退出场，承包人已完合格工程量按合同价款70%进行结算。</w:t>
      </w:r>
    </w:p>
    <w:p w14:paraId="05BD3D4D">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hAnsi="宋体" w:cs="宋体"/>
          <w:color w:val="auto"/>
          <w:sz w:val="21"/>
          <w:szCs w:val="21"/>
          <w:highlight w:val="none"/>
        </w:rPr>
      </w:pPr>
      <w:r>
        <w:rPr>
          <w:rFonts w:hint="eastAsia" w:hAnsi="宋体" w:cs="宋体"/>
          <w:color w:val="auto"/>
          <w:sz w:val="21"/>
          <w:szCs w:val="21"/>
          <w:highlight w:val="none"/>
        </w:rPr>
        <w:t>21.2</w:t>
      </w:r>
      <w:r>
        <w:rPr>
          <w:rFonts w:hint="eastAsia" w:cs="宋体"/>
          <w:color w:val="auto"/>
          <w:sz w:val="21"/>
          <w:szCs w:val="21"/>
          <w:highlight w:val="none"/>
          <w:lang w:val="en-US" w:eastAsia="zh-CN"/>
        </w:rPr>
        <w:t>1</w:t>
      </w:r>
      <w:r>
        <w:rPr>
          <w:rFonts w:hint="eastAsia" w:hAnsi="宋体" w:cs="宋体"/>
          <w:color w:val="auto"/>
          <w:sz w:val="21"/>
          <w:szCs w:val="21"/>
          <w:highlight w:val="none"/>
        </w:rPr>
        <w:t>、执行滁州市重点处相关现行文件规定。</w:t>
      </w:r>
    </w:p>
    <w:p w14:paraId="30617AFA">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hAnsi="宋体" w:cs="宋体"/>
          <w:color w:val="auto"/>
          <w:sz w:val="21"/>
          <w:szCs w:val="21"/>
          <w:highlight w:val="none"/>
        </w:rPr>
        <w:t>21.2</w:t>
      </w:r>
      <w:r>
        <w:rPr>
          <w:rFonts w:hint="eastAsia" w:cs="宋体"/>
          <w:color w:val="auto"/>
          <w:sz w:val="21"/>
          <w:szCs w:val="21"/>
          <w:highlight w:val="none"/>
          <w:lang w:val="en-US" w:eastAsia="zh-CN"/>
        </w:rPr>
        <w:t>2</w:t>
      </w:r>
      <w:r>
        <w:rPr>
          <w:rFonts w:hint="eastAsia" w:hAnsi="宋体" w:cs="宋体"/>
          <w:color w:val="auto"/>
          <w:sz w:val="21"/>
          <w:szCs w:val="21"/>
          <w:highlight w:val="none"/>
        </w:rPr>
        <w:t>、本合同文本未尽事宜，由合同签定双方在发生时具体商定</w:t>
      </w:r>
      <w:r>
        <w:rPr>
          <w:rFonts w:hint="eastAsia" w:ascii="宋体" w:hAnsi="宋体" w:cs="宋体"/>
          <w:color w:val="auto"/>
          <w:sz w:val="21"/>
          <w:szCs w:val="21"/>
          <w:highlight w:val="none"/>
        </w:rPr>
        <w:t>。</w:t>
      </w:r>
    </w:p>
    <w:p w14:paraId="1D9FC62F">
      <w:pPr>
        <w:pStyle w:val="22"/>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微软简标宋"/>
          <w:color w:val="auto"/>
          <w:sz w:val="21"/>
          <w:szCs w:val="21"/>
          <w:highlight w:val="none"/>
          <w:lang w:val="en-US" w:eastAsia="zh-CN"/>
        </w:rPr>
      </w:pPr>
    </w:p>
    <w:p w14:paraId="7F78D8EC">
      <w:pPr>
        <w:pStyle w:val="2"/>
        <w:rPr>
          <w:rFonts w:hint="eastAsia" w:ascii="宋体" w:hAnsi="宋体" w:eastAsia="宋体" w:cs="宋体"/>
          <w:b/>
          <w:bCs/>
          <w:color w:val="auto"/>
          <w:sz w:val="21"/>
          <w:szCs w:val="21"/>
          <w:highlight w:val="none"/>
        </w:rPr>
      </w:pPr>
    </w:p>
    <w:p w14:paraId="1E8DD1BE">
      <w:pPr>
        <w:rPr>
          <w:rFonts w:hint="eastAsia" w:ascii="宋体" w:hAnsi="宋体" w:eastAsia="宋体" w:cs="宋体"/>
          <w:b/>
          <w:bCs/>
          <w:color w:val="auto"/>
          <w:sz w:val="21"/>
          <w:szCs w:val="21"/>
          <w:highlight w:val="none"/>
        </w:rPr>
      </w:pPr>
    </w:p>
    <w:p w14:paraId="2D3BB091">
      <w:pPr>
        <w:pStyle w:val="2"/>
        <w:rPr>
          <w:rFonts w:hint="eastAsia" w:ascii="宋体" w:hAnsi="宋体" w:eastAsia="宋体" w:cs="宋体"/>
          <w:b/>
          <w:bCs/>
          <w:color w:val="auto"/>
          <w:sz w:val="21"/>
          <w:szCs w:val="21"/>
          <w:highlight w:val="none"/>
        </w:rPr>
      </w:pPr>
    </w:p>
    <w:p w14:paraId="74D557FE">
      <w:pPr>
        <w:rPr>
          <w:rFonts w:hint="eastAsia" w:ascii="宋体" w:hAnsi="宋体" w:eastAsia="宋体" w:cs="宋体"/>
          <w:b/>
          <w:bCs/>
          <w:color w:val="auto"/>
          <w:sz w:val="21"/>
          <w:szCs w:val="21"/>
          <w:highlight w:val="none"/>
        </w:rPr>
      </w:pPr>
    </w:p>
    <w:p w14:paraId="65BE5CDF">
      <w:pPr>
        <w:pStyle w:val="2"/>
        <w:rPr>
          <w:rFonts w:hint="eastAsia" w:ascii="宋体" w:hAnsi="宋体" w:eastAsia="宋体" w:cs="宋体"/>
          <w:b/>
          <w:bCs/>
          <w:color w:val="auto"/>
          <w:sz w:val="21"/>
          <w:szCs w:val="21"/>
          <w:highlight w:val="none"/>
        </w:rPr>
      </w:pPr>
    </w:p>
    <w:p w14:paraId="42697EEA">
      <w:pPr>
        <w:rPr>
          <w:rFonts w:hint="eastAsia" w:ascii="宋体" w:hAnsi="宋体" w:eastAsia="宋体" w:cs="宋体"/>
          <w:b/>
          <w:bCs/>
          <w:color w:val="auto"/>
          <w:sz w:val="21"/>
          <w:szCs w:val="21"/>
          <w:highlight w:val="none"/>
        </w:rPr>
      </w:pPr>
    </w:p>
    <w:p w14:paraId="14CE708A">
      <w:pPr>
        <w:pStyle w:val="2"/>
        <w:rPr>
          <w:rFonts w:hint="eastAsia" w:ascii="宋体" w:hAnsi="宋体" w:eastAsia="宋体" w:cs="宋体"/>
          <w:b/>
          <w:bCs/>
          <w:color w:val="auto"/>
          <w:sz w:val="21"/>
          <w:szCs w:val="21"/>
          <w:highlight w:val="none"/>
        </w:rPr>
      </w:pPr>
    </w:p>
    <w:p w14:paraId="60F363DC">
      <w:pPr>
        <w:rPr>
          <w:rFonts w:hint="eastAsia" w:ascii="宋体" w:hAnsi="宋体" w:eastAsia="宋体" w:cs="宋体"/>
          <w:b/>
          <w:bCs/>
          <w:color w:val="auto"/>
          <w:sz w:val="21"/>
          <w:szCs w:val="21"/>
          <w:highlight w:val="none"/>
        </w:rPr>
      </w:pPr>
    </w:p>
    <w:p w14:paraId="383123B1">
      <w:pPr>
        <w:pStyle w:val="2"/>
        <w:rPr>
          <w:rFonts w:hint="eastAsia" w:ascii="宋体" w:hAnsi="宋体" w:eastAsia="宋体" w:cs="宋体"/>
          <w:b/>
          <w:bCs/>
          <w:color w:val="auto"/>
          <w:sz w:val="21"/>
          <w:szCs w:val="21"/>
          <w:highlight w:val="none"/>
        </w:rPr>
      </w:pPr>
    </w:p>
    <w:p w14:paraId="6934E4C2">
      <w:pPr>
        <w:rPr>
          <w:rFonts w:hint="eastAsia" w:ascii="宋体" w:hAnsi="宋体" w:eastAsia="宋体" w:cs="宋体"/>
          <w:b/>
          <w:bCs/>
          <w:color w:val="auto"/>
          <w:sz w:val="21"/>
          <w:szCs w:val="21"/>
          <w:highlight w:val="none"/>
        </w:rPr>
      </w:pPr>
    </w:p>
    <w:p w14:paraId="5408CBCC">
      <w:pPr>
        <w:pStyle w:val="2"/>
        <w:rPr>
          <w:rFonts w:hint="eastAsia" w:ascii="宋体" w:hAnsi="宋体" w:eastAsia="宋体" w:cs="宋体"/>
          <w:b/>
          <w:bCs/>
          <w:color w:val="auto"/>
          <w:sz w:val="21"/>
          <w:szCs w:val="21"/>
          <w:highlight w:val="none"/>
        </w:rPr>
      </w:pPr>
    </w:p>
    <w:p w14:paraId="4203A195">
      <w:pPr>
        <w:rPr>
          <w:rFonts w:hint="eastAsia"/>
          <w:color w:val="auto"/>
          <w:highlight w:val="none"/>
        </w:rPr>
      </w:pPr>
    </w:p>
    <w:bookmarkEnd w:id="33"/>
    <w:bookmarkEnd w:id="34"/>
    <w:bookmarkEnd w:id="35"/>
    <w:p w14:paraId="73BD7A95">
      <w:pPr>
        <w:snapToGrid w:val="0"/>
        <w:spacing w:line="360" w:lineRule="auto"/>
        <w:rPr>
          <w:rFonts w:hint="eastAsia" w:cs="宋体"/>
          <w:b/>
          <w:color w:val="auto"/>
          <w:sz w:val="21"/>
          <w:szCs w:val="21"/>
          <w:highlight w:val="none"/>
        </w:rPr>
      </w:pPr>
    </w:p>
    <w:p w14:paraId="6E8A7EB6">
      <w:pPr>
        <w:rPr>
          <w:rFonts w:hint="eastAsia" w:cs="宋体"/>
          <w:b/>
          <w:color w:val="auto"/>
          <w:sz w:val="21"/>
          <w:szCs w:val="21"/>
          <w:highlight w:val="none"/>
        </w:rPr>
      </w:pPr>
      <w:r>
        <w:rPr>
          <w:rFonts w:hint="eastAsia" w:cs="宋体"/>
          <w:b/>
          <w:color w:val="auto"/>
          <w:sz w:val="21"/>
          <w:szCs w:val="21"/>
          <w:highlight w:val="none"/>
        </w:rPr>
        <w:br w:type="page"/>
      </w:r>
    </w:p>
    <w:p w14:paraId="120FD13E">
      <w:pPr>
        <w:snapToGrid w:val="0"/>
        <w:spacing w:line="360" w:lineRule="auto"/>
        <w:rPr>
          <w:rFonts w:cs="宋体"/>
          <w:b/>
          <w:color w:val="auto"/>
          <w:sz w:val="21"/>
          <w:szCs w:val="21"/>
          <w:highlight w:val="none"/>
        </w:rPr>
      </w:pPr>
      <w:r>
        <w:rPr>
          <w:rFonts w:hint="eastAsia" w:cs="宋体"/>
          <w:b/>
          <w:color w:val="auto"/>
          <w:sz w:val="21"/>
          <w:szCs w:val="21"/>
          <w:highlight w:val="none"/>
        </w:rPr>
        <w:t>附件</w:t>
      </w:r>
    </w:p>
    <w:p w14:paraId="2840AF9A">
      <w:pPr>
        <w:snapToGrid w:val="0"/>
        <w:spacing w:line="360" w:lineRule="auto"/>
        <w:rPr>
          <w:rFonts w:cs="宋体"/>
          <w:color w:val="auto"/>
          <w:sz w:val="21"/>
          <w:szCs w:val="21"/>
          <w:highlight w:val="none"/>
        </w:rPr>
      </w:pPr>
      <w:r>
        <w:rPr>
          <w:rFonts w:hint="eastAsia" w:cs="宋体"/>
          <w:color w:val="auto"/>
          <w:sz w:val="21"/>
          <w:szCs w:val="21"/>
          <w:highlight w:val="none"/>
        </w:rPr>
        <w:t>协议书附件：</w:t>
      </w:r>
    </w:p>
    <w:p w14:paraId="246D2073">
      <w:pPr>
        <w:snapToGrid w:val="0"/>
        <w:spacing w:line="360" w:lineRule="auto"/>
        <w:rPr>
          <w:rFonts w:cs="宋体"/>
          <w:color w:val="auto"/>
          <w:sz w:val="21"/>
          <w:szCs w:val="21"/>
          <w:highlight w:val="none"/>
        </w:rPr>
      </w:pPr>
      <w:bookmarkStart w:id="581" w:name="_Toc128950221"/>
      <w:r>
        <w:rPr>
          <w:rFonts w:hint="eastAsia" w:cs="宋体"/>
          <w:color w:val="auto"/>
          <w:sz w:val="21"/>
          <w:szCs w:val="21"/>
          <w:highlight w:val="none"/>
        </w:rPr>
        <w:t>附件1：承包人承揽工程项目一览表</w:t>
      </w:r>
      <w:bookmarkEnd w:id="581"/>
    </w:p>
    <w:p w14:paraId="491E9285">
      <w:pPr>
        <w:snapToGrid w:val="0"/>
        <w:spacing w:line="360" w:lineRule="auto"/>
        <w:rPr>
          <w:rFonts w:cs="宋体"/>
          <w:color w:val="auto"/>
          <w:sz w:val="21"/>
          <w:szCs w:val="21"/>
          <w:highlight w:val="none"/>
        </w:rPr>
      </w:pPr>
      <w:r>
        <w:rPr>
          <w:rFonts w:hint="eastAsia" w:cs="宋体"/>
          <w:color w:val="auto"/>
          <w:sz w:val="21"/>
          <w:szCs w:val="21"/>
          <w:highlight w:val="none"/>
        </w:rPr>
        <w:t>专用合同条款附件：</w:t>
      </w:r>
    </w:p>
    <w:p w14:paraId="74858A6F">
      <w:pPr>
        <w:snapToGrid w:val="0"/>
        <w:spacing w:line="360" w:lineRule="auto"/>
        <w:rPr>
          <w:rFonts w:cs="宋体"/>
          <w:color w:val="auto"/>
          <w:sz w:val="21"/>
          <w:szCs w:val="21"/>
          <w:highlight w:val="none"/>
        </w:rPr>
      </w:pPr>
      <w:bookmarkStart w:id="582" w:name="_Toc128950222"/>
      <w:r>
        <w:rPr>
          <w:rFonts w:hint="eastAsia" w:cs="宋体"/>
          <w:color w:val="auto"/>
          <w:sz w:val="21"/>
          <w:szCs w:val="21"/>
          <w:highlight w:val="none"/>
        </w:rPr>
        <w:t>附件2：发包人供应材料设备一览表</w:t>
      </w:r>
      <w:bookmarkEnd w:id="582"/>
    </w:p>
    <w:p w14:paraId="67F5F4F0">
      <w:pPr>
        <w:snapToGrid w:val="0"/>
        <w:spacing w:line="360" w:lineRule="auto"/>
        <w:rPr>
          <w:rFonts w:cs="宋体"/>
          <w:color w:val="auto"/>
          <w:sz w:val="21"/>
          <w:szCs w:val="21"/>
          <w:highlight w:val="none"/>
        </w:rPr>
      </w:pPr>
      <w:bookmarkStart w:id="583" w:name="_Toc128950223"/>
      <w:r>
        <w:rPr>
          <w:rFonts w:hint="eastAsia" w:cs="宋体"/>
          <w:color w:val="auto"/>
          <w:sz w:val="21"/>
          <w:szCs w:val="21"/>
          <w:highlight w:val="none"/>
        </w:rPr>
        <w:t>附件3：工程质量保修书</w:t>
      </w:r>
      <w:bookmarkEnd w:id="583"/>
    </w:p>
    <w:p w14:paraId="600A718C">
      <w:pPr>
        <w:snapToGrid w:val="0"/>
        <w:spacing w:line="360" w:lineRule="auto"/>
        <w:rPr>
          <w:rFonts w:cs="宋体"/>
          <w:color w:val="auto"/>
          <w:sz w:val="21"/>
          <w:szCs w:val="21"/>
          <w:highlight w:val="none"/>
        </w:rPr>
      </w:pPr>
      <w:bookmarkStart w:id="584" w:name="_Toc128950224"/>
      <w:r>
        <w:rPr>
          <w:rFonts w:hint="eastAsia" w:cs="宋体"/>
          <w:color w:val="auto"/>
          <w:sz w:val="21"/>
          <w:szCs w:val="21"/>
          <w:highlight w:val="none"/>
        </w:rPr>
        <w:t>附件4：主要建设工程文件目录</w:t>
      </w:r>
      <w:bookmarkEnd w:id="584"/>
    </w:p>
    <w:p w14:paraId="59182180">
      <w:pPr>
        <w:snapToGrid w:val="0"/>
        <w:spacing w:line="360" w:lineRule="auto"/>
        <w:rPr>
          <w:rFonts w:cs="宋体"/>
          <w:color w:val="auto"/>
          <w:sz w:val="21"/>
          <w:szCs w:val="21"/>
          <w:highlight w:val="none"/>
        </w:rPr>
      </w:pPr>
      <w:bookmarkStart w:id="585" w:name="_Toc128950225"/>
      <w:r>
        <w:rPr>
          <w:rFonts w:hint="eastAsia" w:cs="宋体"/>
          <w:color w:val="auto"/>
          <w:sz w:val="21"/>
          <w:szCs w:val="21"/>
          <w:highlight w:val="none"/>
        </w:rPr>
        <w:t>附件5：承包人用于本工程施工的机械设备表</w:t>
      </w:r>
      <w:bookmarkEnd w:id="585"/>
    </w:p>
    <w:p w14:paraId="540FD6B9">
      <w:pPr>
        <w:snapToGrid w:val="0"/>
        <w:spacing w:line="360" w:lineRule="auto"/>
        <w:rPr>
          <w:rFonts w:cs="宋体"/>
          <w:color w:val="auto"/>
          <w:sz w:val="21"/>
          <w:szCs w:val="21"/>
          <w:highlight w:val="none"/>
        </w:rPr>
      </w:pPr>
      <w:bookmarkStart w:id="586" w:name="_Toc128950226"/>
      <w:r>
        <w:rPr>
          <w:rFonts w:hint="eastAsia" w:cs="宋体"/>
          <w:color w:val="auto"/>
          <w:sz w:val="21"/>
          <w:szCs w:val="21"/>
          <w:highlight w:val="none"/>
        </w:rPr>
        <w:t>附件6：承包人主要施工管理人员表</w:t>
      </w:r>
      <w:bookmarkEnd w:id="586"/>
    </w:p>
    <w:p w14:paraId="63742FBC">
      <w:pPr>
        <w:snapToGrid w:val="0"/>
        <w:spacing w:line="360" w:lineRule="auto"/>
        <w:rPr>
          <w:rFonts w:cs="宋体"/>
          <w:color w:val="auto"/>
          <w:sz w:val="21"/>
          <w:szCs w:val="21"/>
          <w:highlight w:val="none"/>
        </w:rPr>
      </w:pPr>
      <w:bookmarkStart w:id="587" w:name="_Toc128950227"/>
      <w:r>
        <w:rPr>
          <w:rFonts w:hint="eastAsia" w:cs="宋体"/>
          <w:color w:val="auto"/>
          <w:sz w:val="21"/>
          <w:szCs w:val="21"/>
          <w:highlight w:val="none"/>
        </w:rPr>
        <w:t>附件7：分包人主要施工管理人员表</w:t>
      </w:r>
      <w:bookmarkEnd w:id="587"/>
    </w:p>
    <w:p w14:paraId="7C752A75">
      <w:pPr>
        <w:snapToGrid w:val="0"/>
        <w:spacing w:line="360" w:lineRule="auto"/>
        <w:rPr>
          <w:rFonts w:cs="宋体"/>
          <w:color w:val="auto"/>
          <w:sz w:val="21"/>
          <w:szCs w:val="21"/>
          <w:highlight w:val="none"/>
        </w:rPr>
      </w:pPr>
      <w:bookmarkStart w:id="588" w:name="_Toc128950228"/>
      <w:r>
        <w:rPr>
          <w:rFonts w:hint="eastAsia" w:cs="宋体"/>
          <w:color w:val="auto"/>
          <w:sz w:val="21"/>
          <w:szCs w:val="21"/>
          <w:highlight w:val="none"/>
        </w:rPr>
        <w:t>附件8：廉政协议</w:t>
      </w:r>
      <w:bookmarkEnd w:id="588"/>
    </w:p>
    <w:p w14:paraId="25EF2022">
      <w:pPr>
        <w:snapToGrid w:val="0"/>
        <w:spacing w:line="360" w:lineRule="auto"/>
        <w:rPr>
          <w:rFonts w:cs="宋体"/>
          <w:color w:val="auto"/>
          <w:sz w:val="21"/>
          <w:szCs w:val="21"/>
          <w:highlight w:val="none"/>
        </w:rPr>
      </w:pPr>
      <w:bookmarkStart w:id="589" w:name="_Toc128950229"/>
      <w:r>
        <w:rPr>
          <w:rFonts w:hint="eastAsia" w:cs="宋体"/>
          <w:color w:val="auto"/>
          <w:sz w:val="21"/>
          <w:szCs w:val="21"/>
          <w:highlight w:val="none"/>
        </w:rPr>
        <w:t>附件9：履约保证金格式</w:t>
      </w:r>
      <w:bookmarkEnd w:id="589"/>
    </w:p>
    <w:p w14:paraId="5E6B377C">
      <w:pPr>
        <w:snapToGrid w:val="0"/>
        <w:spacing w:line="360" w:lineRule="auto"/>
        <w:rPr>
          <w:rFonts w:cs="宋体"/>
          <w:color w:val="auto"/>
          <w:sz w:val="21"/>
          <w:szCs w:val="21"/>
          <w:highlight w:val="none"/>
        </w:rPr>
      </w:pPr>
      <w:bookmarkStart w:id="590" w:name="_Toc128950230"/>
      <w:r>
        <w:rPr>
          <w:rFonts w:hint="eastAsia" w:cs="宋体"/>
          <w:color w:val="auto"/>
          <w:sz w:val="21"/>
          <w:szCs w:val="21"/>
          <w:highlight w:val="none"/>
        </w:rPr>
        <w:t>附件10：预付款担保格式</w:t>
      </w:r>
      <w:bookmarkEnd w:id="590"/>
    </w:p>
    <w:p w14:paraId="47542661">
      <w:pPr>
        <w:snapToGrid w:val="0"/>
        <w:spacing w:line="360" w:lineRule="auto"/>
        <w:rPr>
          <w:rFonts w:cs="宋体"/>
          <w:color w:val="auto"/>
          <w:sz w:val="21"/>
          <w:szCs w:val="21"/>
          <w:highlight w:val="none"/>
        </w:rPr>
      </w:pPr>
      <w:bookmarkStart w:id="591" w:name="_Toc128950231"/>
      <w:r>
        <w:rPr>
          <w:rFonts w:hint="eastAsia" w:cs="宋体"/>
          <w:color w:val="auto"/>
          <w:sz w:val="21"/>
          <w:szCs w:val="21"/>
          <w:highlight w:val="none"/>
        </w:rPr>
        <w:t>附件11：支付担保格式</w:t>
      </w:r>
      <w:bookmarkEnd w:id="591"/>
    </w:p>
    <w:p w14:paraId="5C0D7B7A">
      <w:pPr>
        <w:snapToGrid w:val="0"/>
        <w:spacing w:line="360" w:lineRule="auto"/>
        <w:rPr>
          <w:rFonts w:cs="宋体"/>
          <w:color w:val="auto"/>
          <w:sz w:val="21"/>
          <w:szCs w:val="21"/>
          <w:highlight w:val="none"/>
        </w:rPr>
      </w:pPr>
      <w:bookmarkStart w:id="592" w:name="_Toc128950232"/>
      <w:r>
        <w:rPr>
          <w:rFonts w:hint="eastAsia" w:cs="宋体"/>
          <w:color w:val="auto"/>
          <w:sz w:val="21"/>
          <w:szCs w:val="21"/>
          <w:highlight w:val="none"/>
        </w:rPr>
        <w:t>附件12：暂估价一览表</w:t>
      </w:r>
      <w:bookmarkEnd w:id="592"/>
    </w:p>
    <w:p w14:paraId="2598C92F">
      <w:pPr>
        <w:snapToGrid w:val="0"/>
        <w:spacing w:line="360" w:lineRule="auto"/>
        <w:rPr>
          <w:rFonts w:cs="宋体"/>
          <w:color w:val="auto"/>
          <w:sz w:val="21"/>
          <w:szCs w:val="21"/>
          <w:highlight w:val="none"/>
        </w:rPr>
      </w:pPr>
      <w:bookmarkStart w:id="593" w:name="_Toc128950233"/>
      <w:r>
        <w:rPr>
          <w:rFonts w:hint="eastAsia" w:cs="宋体"/>
          <w:color w:val="auto"/>
          <w:sz w:val="21"/>
          <w:szCs w:val="21"/>
          <w:highlight w:val="none"/>
        </w:rPr>
        <w:t>附件13：安全生产合同</w:t>
      </w:r>
      <w:bookmarkEnd w:id="593"/>
    </w:p>
    <w:p w14:paraId="182A4B09">
      <w:pPr>
        <w:snapToGrid w:val="0"/>
        <w:spacing w:line="360" w:lineRule="auto"/>
        <w:rPr>
          <w:rFonts w:cs="宋体"/>
          <w:color w:val="auto"/>
          <w:sz w:val="21"/>
          <w:szCs w:val="21"/>
          <w:highlight w:val="none"/>
        </w:rPr>
      </w:pPr>
      <w:bookmarkStart w:id="594" w:name="_Toc128950234"/>
      <w:r>
        <w:rPr>
          <w:rFonts w:hint="eastAsia" w:cs="宋体"/>
          <w:color w:val="auto"/>
          <w:sz w:val="21"/>
          <w:szCs w:val="21"/>
          <w:highlight w:val="none"/>
        </w:rPr>
        <w:t>附件14：项目经理质量终身责任制承诺</w:t>
      </w:r>
      <w:bookmarkEnd w:id="594"/>
    </w:p>
    <w:p w14:paraId="43878978">
      <w:pPr>
        <w:snapToGrid w:val="0"/>
        <w:spacing w:before="312" w:beforeLines="100" w:after="312" w:afterLines="100" w:line="360" w:lineRule="auto"/>
        <w:outlineLvl w:val="2"/>
        <w:rPr>
          <w:rFonts w:ascii="Times New Roman" w:eastAsia="黑体"/>
          <w:color w:val="auto"/>
          <w:sz w:val="21"/>
          <w:szCs w:val="21"/>
          <w:highlight w:val="none"/>
        </w:rPr>
      </w:pPr>
      <w:r>
        <w:rPr>
          <w:rFonts w:hint="eastAsia" w:cs="宋体"/>
          <w:bCs/>
          <w:color w:val="auto"/>
          <w:sz w:val="21"/>
          <w:szCs w:val="21"/>
          <w:highlight w:val="none"/>
        </w:rPr>
        <w:br w:type="page"/>
      </w:r>
      <w:bookmarkStart w:id="595" w:name="_Toc128950235"/>
      <w:r>
        <w:rPr>
          <w:rFonts w:hint="eastAsia" w:ascii="Times New Roman" w:eastAsia="黑体"/>
          <w:color w:val="auto"/>
          <w:sz w:val="21"/>
          <w:szCs w:val="21"/>
          <w:highlight w:val="none"/>
        </w:rPr>
        <w:t>附件</w:t>
      </w:r>
      <w:r>
        <w:rPr>
          <w:rFonts w:ascii="Times New Roman" w:eastAsia="黑体"/>
          <w:color w:val="auto"/>
          <w:sz w:val="21"/>
          <w:szCs w:val="21"/>
          <w:highlight w:val="none"/>
        </w:rPr>
        <w:t>1</w:t>
      </w:r>
      <w:r>
        <w:rPr>
          <w:rFonts w:hint="eastAsia" w:ascii="Times New Roman" w:eastAsia="黑体"/>
          <w:color w:val="auto"/>
          <w:sz w:val="21"/>
          <w:szCs w:val="21"/>
          <w:highlight w:val="none"/>
        </w:rPr>
        <w:t>：承包人承揽工程项目一览表</w:t>
      </w:r>
      <w:bookmarkEnd w:id="595"/>
    </w:p>
    <w:p w14:paraId="3DD2B228">
      <w:pPr>
        <w:spacing w:line="360" w:lineRule="auto"/>
        <w:jc w:val="center"/>
        <w:rPr>
          <w:rFonts w:cs="宋体"/>
          <w:color w:val="auto"/>
          <w:sz w:val="21"/>
          <w:szCs w:val="21"/>
          <w:highlight w:val="none"/>
        </w:rPr>
      </w:pPr>
      <w:r>
        <w:rPr>
          <w:rFonts w:hint="eastAsia" w:cs="宋体"/>
          <w:color w:val="auto"/>
          <w:sz w:val="21"/>
          <w:szCs w:val="21"/>
          <w:highlight w:val="none"/>
        </w:rPr>
        <w:t>承包人承揽工程项目一览表</w:t>
      </w:r>
    </w:p>
    <w:tbl>
      <w:tblPr>
        <w:tblStyle w:val="5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9"/>
        <w:gridCol w:w="691"/>
        <w:gridCol w:w="1301"/>
        <w:gridCol w:w="691"/>
        <w:gridCol w:w="401"/>
        <w:gridCol w:w="691"/>
        <w:gridCol w:w="982"/>
        <w:gridCol w:w="1244"/>
        <w:gridCol w:w="691"/>
        <w:gridCol w:w="691"/>
      </w:tblGrid>
      <w:tr w14:paraId="3AC82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586" w:type="pct"/>
            <w:tcBorders>
              <w:top w:val="single" w:color="auto" w:sz="12" w:space="0"/>
              <w:bottom w:val="double" w:color="auto" w:sz="6" w:space="0"/>
            </w:tcBorders>
            <w:vAlign w:val="center"/>
          </w:tcPr>
          <w:p w14:paraId="6190020B">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单位工程名称</w:t>
            </w:r>
          </w:p>
        </w:tc>
        <w:tc>
          <w:tcPr>
            <w:tcW w:w="413" w:type="pct"/>
            <w:tcBorders>
              <w:top w:val="single" w:color="auto" w:sz="12" w:space="0"/>
              <w:bottom w:val="double" w:color="auto" w:sz="6" w:space="0"/>
            </w:tcBorders>
            <w:vAlign w:val="center"/>
          </w:tcPr>
          <w:p w14:paraId="38789651">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建设规模</w:t>
            </w:r>
          </w:p>
        </w:tc>
        <w:tc>
          <w:tcPr>
            <w:tcW w:w="778" w:type="pct"/>
            <w:tcBorders>
              <w:top w:val="single" w:color="auto" w:sz="12" w:space="0"/>
              <w:bottom w:val="double" w:color="auto" w:sz="6" w:space="0"/>
            </w:tcBorders>
            <w:vAlign w:val="center"/>
          </w:tcPr>
          <w:p w14:paraId="4F7D349D">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建筑面积（平方米）</w:t>
            </w:r>
          </w:p>
        </w:tc>
        <w:tc>
          <w:tcPr>
            <w:tcW w:w="413" w:type="pct"/>
            <w:tcBorders>
              <w:top w:val="single" w:color="auto" w:sz="12" w:space="0"/>
              <w:bottom w:val="double" w:color="auto" w:sz="6" w:space="0"/>
            </w:tcBorders>
            <w:vAlign w:val="center"/>
          </w:tcPr>
          <w:p w14:paraId="0146ECF0">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结构形式</w:t>
            </w:r>
          </w:p>
        </w:tc>
        <w:tc>
          <w:tcPr>
            <w:tcW w:w="240" w:type="pct"/>
            <w:tcBorders>
              <w:top w:val="single" w:color="auto" w:sz="12" w:space="0"/>
              <w:bottom w:val="double" w:color="auto" w:sz="6" w:space="0"/>
            </w:tcBorders>
            <w:vAlign w:val="center"/>
          </w:tcPr>
          <w:p w14:paraId="71B4F976">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层数</w:t>
            </w:r>
          </w:p>
        </w:tc>
        <w:tc>
          <w:tcPr>
            <w:tcW w:w="413" w:type="pct"/>
            <w:tcBorders>
              <w:top w:val="single" w:color="auto" w:sz="12" w:space="0"/>
              <w:bottom w:val="double" w:color="auto" w:sz="6" w:space="0"/>
            </w:tcBorders>
            <w:vAlign w:val="center"/>
          </w:tcPr>
          <w:p w14:paraId="4B0CFDE5">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生产能力</w:t>
            </w:r>
          </w:p>
        </w:tc>
        <w:tc>
          <w:tcPr>
            <w:tcW w:w="587" w:type="pct"/>
            <w:tcBorders>
              <w:top w:val="single" w:color="auto" w:sz="12" w:space="0"/>
              <w:bottom w:val="double" w:color="auto" w:sz="6" w:space="0"/>
            </w:tcBorders>
            <w:vAlign w:val="center"/>
          </w:tcPr>
          <w:p w14:paraId="32CBFCCC">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设备安装内容</w:t>
            </w:r>
          </w:p>
        </w:tc>
        <w:tc>
          <w:tcPr>
            <w:tcW w:w="744" w:type="pct"/>
            <w:tcBorders>
              <w:top w:val="single" w:color="auto" w:sz="12" w:space="0"/>
              <w:bottom w:val="double" w:color="auto" w:sz="6" w:space="0"/>
            </w:tcBorders>
            <w:vAlign w:val="center"/>
          </w:tcPr>
          <w:p w14:paraId="72765AB8">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合同价格（元）</w:t>
            </w:r>
          </w:p>
        </w:tc>
        <w:tc>
          <w:tcPr>
            <w:tcW w:w="413" w:type="pct"/>
            <w:tcBorders>
              <w:top w:val="single" w:color="auto" w:sz="12" w:space="0"/>
              <w:bottom w:val="double" w:color="auto" w:sz="6" w:space="0"/>
            </w:tcBorders>
            <w:vAlign w:val="center"/>
          </w:tcPr>
          <w:p w14:paraId="4A7CAA5B">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开工日期</w:t>
            </w:r>
          </w:p>
        </w:tc>
        <w:tc>
          <w:tcPr>
            <w:tcW w:w="413" w:type="pct"/>
            <w:tcBorders>
              <w:top w:val="single" w:color="auto" w:sz="12" w:space="0"/>
              <w:bottom w:val="double" w:color="auto" w:sz="6" w:space="0"/>
            </w:tcBorders>
            <w:vAlign w:val="center"/>
          </w:tcPr>
          <w:p w14:paraId="3CCC8E79">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竣工日期</w:t>
            </w:r>
          </w:p>
        </w:tc>
      </w:tr>
      <w:tr w14:paraId="0910B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double" w:color="auto" w:sz="6" w:space="0"/>
            </w:tcBorders>
            <w:vAlign w:val="center"/>
          </w:tcPr>
          <w:p w14:paraId="2F9357DE">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413" w:type="pct"/>
            <w:tcBorders>
              <w:top w:val="double" w:color="auto" w:sz="6" w:space="0"/>
            </w:tcBorders>
            <w:vAlign w:val="center"/>
          </w:tcPr>
          <w:p w14:paraId="609536E9">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778" w:type="pct"/>
            <w:tcBorders>
              <w:top w:val="double" w:color="auto" w:sz="6" w:space="0"/>
            </w:tcBorders>
            <w:vAlign w:val="center"/>
          </w:tcPr>
          <w:p w14:paraId="157D9BBC">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413" w:type="pct"/>
            <w:tcBorders>
              <w:top w:val="double" w:color="auto" w:sz="6" w:space="0"/>
            </w:tcBorders>
            <w:vAlign w:val="center"/>
          </w:tcPr>
          <w:p w14:paraId="5735140B">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240" w:type="pct"/>
            <w:tcBorders>
              <w:top w:val="double" w:color="auto" w:sz="6" w:space="0"/>
            </w:tcBorders>
            <w:vAlign w:val="center"/>
          </w:tcPr>
          <w:p w14:paraId="51B039B7">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413" w:type="pct"/>
            <w:tcBorders>
              <w:top w:val="double" w:color="auto" w:sz="6" w:space="0"/>
            </w:tcBorders>
            <w:vAlign w:val="center"/>
          </w:tcPr>
          <w:p w14:paraId="22286BCD">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587" w:type="pct"/>
            <w:tcBorders>
              <w:top w:val="double" w:color="auto" w:sz="6" w:space="0"/>
            </w:tcBorders>
            <w:vAlign w:val="center"/>
          </w:tcPr>
          <w:p w14:paraId="24D565FB">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744" w:type="pct"/>
            <w:tcBorders>
              <w:top w:val="double" w:color="auto" w:sz="6" w:space="0"/>
            </w:tcBorders>
            <w:vAlign w:val="center"/>
          </w:tcPr>
          <w:p w14:paraId="090C3935">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413" w:type="pct"/>
            <w:tcBorders>
              <w:top w:val="double" w:color="auto" w:sz="6" w:space="0"/>
            </w:tcBorders>
            <w:vAlign w:val="center"/>
          </w:tcPr>
          <w:p w14:paraId="5FA28E28">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413" w:type="pct"/>
            <w:tcBorders>
              <w:top w:val="double" w:color="auto" w:sz="6" w:space="0"/>
            </w:tcBorders>
            <w:vAlign w:val="center"/>
          </w:tcPr>
          <w:p w14:paraId="04A7DFBF">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r>
      <w:tr w14:paraId="05B39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60645EB8">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413" w:type="pct"/>
            <w:tcBorders>
              <w:top w:val="nil"/>
            </w:tcBorders>
            <w:vAlign w:val="center"/>
          </w:tcPr>
          <w:p w14:paraId="4C06E455">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778" w:type="pct"/>
            <w:tcBorders>
              <w:top w:val="nil"/>
            </w:tcBorders>
            <w:vAlign w:val="center"/>
          </w:tcPr>
          <w:p w14:paraId="0CA89444">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413" w:type="pct"/>
            <w:tcBorders>
              <w:top w:val="nil"/>
            </w:tcBorders>
            <w:vAlign w:val="center"/>
          </w:tcPr>
          <w:p w14:paraId="09B3CC59">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240" w:type="pct"/>
            <w:tcBorders>
              <w:top w:val="nil"/>
            </w:tcBorders>
            <w:vAlign w:val="center"/>
          </w:tcPr>
          <w:p w14:paraId="609082A9">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413" w:type="pct"/>
            <w:tcBorders>
              <w:top w:val="nil"/>
            </w:tcBorders>
            <w:vAlign w:val="center"/>
          </w:tcPr>
          <w:p w14:paraId="6701EA7F">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587" w:type="pct"/>
            <w:tcBorders>
              <w:top w:val="nil"/>
            </w:tcBorders>
            <w:vAlign w:val="center"/>
          </w:tcPr>
          <w:p w14:paraId="4255B631">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744" w:type="pct"/>
            <w:tcBorders>
              <w:top w:val="nil"/>
            </w:tcBorders>
            <w:vAlign w:val="center"/>
          </w:tcPr>
          <w:p w14:paraId="51C1A9C4">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413" w:type="pct"/>
            <w:tcBorders>
              <w:top w:val="nil"/>
            </w:tcBorders>
            <w:vAlign w:val="center"/>
          </w:tcPr>
          <w:p w14:paraId="029BDFA0">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413" w:type="pct"/>
            <w:tcBorders>
              <w:top w:val="nil"/>
            </w:tcBorders>
            <w:vAlign w:val="center"/>
          </w:tcPr>
          <w:p w14:paraId="32ACBA4A">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r>
      <w:tr w14:paraId="31A99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70AB5BEC">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413" w:type="pct"/>
            <w:tcBorders>
              <w:top w:val="nil"/>
            </w:tcBorders>
            <w:vAlign w:val="center"/>
          </w:tcPr>
          <w:p w14:paraId="2FDF1824">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778" w:type="pct"/>
            <w:tcBorders>
              <w:top w:val="nil"/>
            </w:tcBorders>
            <w:vAlign w:val="center"/>
          </w:tcPr>
          <w:p w14:paraId="2022C5E1">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413" w:type="pct"/>
            <w:tcBorders>
              <w:top w:val="nil"/>
            </w:tcBorders>
            <w:vAlign w:val="center"/>
          </w:tcPr>
          <w:p w14:paraId="1B6F37A4">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240" w:type="pct"/>
            <w:tcBorders>
              <w:top w:val="nil"/>
            </w:tcBorders>
            <w:vAlign w:val="center"/>
          </w:tcPr>
          <w:p w14:paraId="4AA68C67">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413" w:type="pct"/>
            <w:tcBorders>
              <w:top w:val="nil"/>
            </w:tcBorders>
            <w:vAlign w:val="center"/>
          </w:tcPr>
          <w:p w14:paraId="3F0A3541">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587" w:type="pct"/>
            <w:tcBorders>
              <w:top w:val="nil"/>
            </w:tcBorders>
            <w:vAlign w:val="center"/>
          </w:tcPr>
          <w:p w14:paraId="76CFA7A5">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744" w:type="pct"/>
            <w:tcBorders>
              <w:top w:val="nil"/>
            </w:tcBorders>
            <w:vAlign w:val="center"/>
          </w:tcPr>
          <w:p w14:paraId="3AA5B697">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413" w:type="pct"/>
            <w:tcBorders>
              <w:top w:val="nil"/>
            </w:tcBorders>
            <w:vAlign w:val="center"/>
          </w:tcPr>
          <w:p w14:paraId="15C7FCE5">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413" w:type="pct"/>
            <w:tcBorders>
              <w:top w:val="nil"/>
            </w:tcBorders>
            <w:vAlign w:val="center"/>
          </w:tcPr>
          <w:p w14:paraId="72EBF57D">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r>
      <w:tr w14:paraId="4FB9B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bottom w:val="single" w:color="auto" w:sz="12" w:space="0"/>
            </w:tcBorders>
            <w:vAlign w:val="center"/>
          </w:tcPr>
          <w:p w14:paraId="3D6F66A1">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413" w:type="pct"/>
            <w:tcBorders>
              <w:bottom w:val="single" w:color="auto" w:sz="12" w:space="0"/>
            </w:tcBorders>
            <w:vAlign w:val="center"/>
          </w:tcPr>
          <w:p w14:paraId="1B59826B">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778" w:type="pct"/>
            <w:tcBorders>
              <w:bottom w:val="single" w:color="auto" w:sz="12" w:space="0"/>
            </w:tcBorders>
            <w:vAlign w:val="center"/>
          </w:tcPr>
          <w:p w14:paraId="754B242F">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413" w:type="pct"/>
            <w:tcBorders>
              <w:bottom w:val="single" w:color="auto" w:sz="12" w:space="0"/>
            </w:tcBorders>
            <w:vAlign w:val="center"/>
          </w:tcPr>
          <w:p w14:paraId="62DD1CBB">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240" w:type="pct"/>
            <w:tcBorders>
              <w:bottom w:val="single" w:color="auto" w:sz="12" w:space="0"/>
            </w:tcBorders>
            <w:vAlign w:val="center"/>
          </w:tcPr>
          <w:p w14:paraId="381D5818">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413" w:type="pct"/>
            <w:tcBorders>
              <w:bottom w:val="single" w:color="auto" w:sz="12" w:space="0"/>
            </w:tcBorders>
            <w:vAlign w:val="center"/>
          </w:tcPr>
          <w:p w14:paraId="39B7A760">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587" w:type="pct"/>
            <w:tcBorders>
              <w:bottom w:val="single" w:color="auto" w:sz="12" w:space="0"/>
            </w:tcBorders>
            <w:vAlign w:val="center"/>
          </w:tcPr>
          <w:p w14:paraId="77964B55">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744" w:type="pct"/>
            <w:tcBorders>
              <w:bottom w:val="single" w:color="auto" w:sz="12" w:space="0"/>
            </w:tcBorders>
            <w:vAlign w:val="center"/>
          </w:tcPr>
          <w:p w14:paraId="14B11F80">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413" w:type="pct"/>
            <w:tcBorders>
              <w:bottom w:val="single" w:color="auto" w:sz="12" w:space="0"/>
            </w:tcBorders>
            <w:vAlign w:val="center"/>
          </w:tcPr>
          <w:p w14:paraId="5295DB6C">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413" w:type="pct"/>
            <w:tcBorders>
              <w:bottom w:val="single" w:color="auto" w:sz="12" w:space="0"/>
            </w:tcBorders>
            <w:vAlign w:val="center"/>
          </w:tcPr>
          <w:p w14:paraId="4E43F937">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r>
    </w:tbl>
    <w:p w14:paraId="709FA350">
      <w:pPr>
        <w:spacing w:before="312" w:beforeLines="100" w:after="312" w:afterLines="100"/>
        <w:outlineLvl w:val="2"/>
        <w:rPr>
          <w:rFonts w:ascii="Times New Roman" w:eastAsia="黑体"/>
          <w:color w:val="auto"/>
          <w:sz w:val="21"/>
          <w:szCs w:val="21"/>
          <w:highlight w:val="none"/>
        </w:rPr>
      </w:pPr>
      <w:bookmarkStart w:id="596" w:name="_Toc128950236"/>
      <w:r>
        <w:rPr>
          <w:rFonts w:hint="eastAsia" w:ascii="Times New Roman" w:eastAsia="黑体"/>
          <w:color w:val="auto"/>
          <w:sz w:val="21"/>
          <w:szCs w:val="21"/>
          <w:highlight w:val="none"/>
        </w:rPr>
        <w:t>附</w:t>
      </w:r>
      <w:bookmarkStart w:id="597" w:name="_Toc296346726"/>
      <w:bookmarkStart w:id="598" w:name="_Toc267261692"/>
      <w:bookmarkStart w:id="599" w:name="_Toc296503225"/>
      <w:bookmarkStart w:id="600" w:name="_Toc296891053"/>
      <w:bookmarkStart w:id="601" w:name="_Toc296891265"/>
      <w:bookmarkStart w:id="602" w:name="_Toc296944564"/>
      <w:bookmarkStart w:id="603" w:name="_Toc296347224"/>
      <w:r>
        <w:rPr>
          <w:rFonts w:hint="eastAsia" w:ascii="Times New Roman" w:eastAsia="黑体"/>
          <w:color w:val="auto"/>
          <w:sz w:val="21"/>
          <w:szCs w:val="21"/>
          <w:highlight w:val="none"/>
        </w:rPr>
        <w:t>件</w:t>
      </w:r>
      <w:r>
        <w:rPr>
          <w:rFonts w:ascii="Times New Roman" w:eastAsia="黑体"/>
          <w:color w:val="auto"/>
          <w:sz w:val="21"/>
          <w:szCs w:val="21"/>
          <w:highlight w:val="none"/>
        </w:rPr>
        <w:t>2</w:t>
      </w:r>
      <w:r>
        <w:rPr>
          <w:rFonts w:hint="eastAsia" w:ascii="Times New Roman" w:eastAsia="黑体"/>
          <w:color w:val="auto"/>
          <w:sz w:val="21"/>
          <w:szCs w:val="21"/>
          <w:highlight w:val="none"/>
        </w:rPr>
        <w:t>：发包人供应材料设备一览表</w:t>
      </w:r>
      <w:bookmarkEnd w:id="596"/>
    </w:p>
    <w:bookmarkEnd w:id="597"/>
    <w:bookmarkEnd w:id="598"/>
    <w:bookmarkEnd w:id="599"/>
    <w:bookmarkEnd w:id="600"/>
    <w:bookmarkEnd w:id="601"/>
    <w:bookmarkEnd w:id="602"/>
    <w:bookmarkEnd w:id="603"/>
    <w:p w14:paraId="594CC79B">
      <w:pPr>
        <w:spacing w:line="360" w:lineRule="auto"/>
        <w:jc w:val="center"/>
        <w:rPr>
          <w:rFonts w:cs="宋体"/>
          <w:color w:val="auto"/>
          <w:sz w:val="21"/>
          <w:szCs w:val="21"/>
          <w:highlight w:val="none"/>
        </w:rPr>
      </w:pPr>
      <w:r>
        <w:rPr>
          <w:rFonts w:hint="eastAsia" w:cs="宋体"/>
          <w:color w:val="auto"/>
          <w:sz w:val="21"/>
          <w:szCs w:val="21"/>
          <w:highlight w:val="none"/>
        </w:rPr>
        <w:t>发包人供应材料设备一览表</w:t>
      </w:r>
    </w:p>
    <w:tbl>
      <w:tblPr>
        <w:tblStyle w:val="5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88"/>
        <w:gridCol w:w="1574"/>
        <w:gridCol w:w="923"/>
        <w:gridCol w:w="488"/>
        <w:gridCol w:w="488"/>
        <w:gridCol w:w="1141"/>
        <w:gridCol w:w="923"/>
        <w:gridCol w:w="924"/>
        <w:gridCol w:w="924"/>
        <w:gridCol w:w="489"/>
      </w:tblGrid>
      <w:tr w14:paraId="645A91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92" w:type="pct"/>
            <w:tcBorders>
              <w:top w:val="single" w:color="auto" w:sz="12" w:space="0"/>
              <w:bottom w:val="double" w:color="auto" w:sz="6" w:space="0"/>
            </w:tcBorders>
            <w:vAlign w:val="center"/>
          </w:tcPr>
          <w:p w14:paraId="66072898">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序号</w:t>
            </w:r>
          </w:p>
        </w:tc>
        <w:tc>
          <w:tcPr>
            <w:tcW w:w="941" w:type="pct"/>
            <w:tcBorders>
              <w:top w:val="single" w:color="auto" w:sz="12" w:space="0"/>
              <w:bottom w:val="double" w:color="auto" w:sz="6" w:space="0"/>
            </w:tcBorders>
            <w:vAlign w:val="center"/>
          </w:tcPr>
          <w:p w14:paraId="4247A726">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材料、设备品种</w:t>
            </w:r>
          </w:p>
        </w:tc>
        <w:tc>
          <w:tcPr>
            <w:tcW w:w="552" w:type="pct"/>
            <w:tcBorders>
              <w:top w:val="single" w:color="auto" w:sz="12" w:space="0"/>
              <w:bottom w:val="double" w:color="auto" w:sz="6" w:space="0"/>
            </w:tcBorders>
            <w:vAlign w:val="center"/>
          </w:tcPr>
          <w:p w14:paraId="7F4B08B1">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规格型号</w:t>
            </w:r>
          </w:p>
        </w:tc>
        <w:tc>
          <w:tcPr>
            <w:tcW w:w="292" w:type="pct"/>
            <w:tcBorders>
              <w:top w:val="single" w:color="auto" w:sz="12" w:space="0"/>
              <w:bottom w:val="double" w:color="auto" w:sz="6" w:space="0"/>
            </w:tcBorders>
            <w:vAlign w:val="center"/>
          </w:tcPr>
          <w:p w14:paraId="3A71E778">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单位</w:t>
            </w:r>
          </w:p>
        </w:tc>
        <w:tc>
          <w:tcPr>
            <w:tcW w:w="292" w:type="pct"/>
            <w:tcBorders>
              <w:top w:val="single" w:color="auto" w:sz="12" w:space="0"/>
              <w:bottom w:val="double" w:color="auto" w:sz="6" w:space="0"/>
            </w:tcBorders>
            <w:vAlign w:val="center"/>
          </w:tcPr>
          <w:p w14:paraId="3CF5E138">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数量</w:t>
            </w:r>
          </w:p>
        </w:tc>
        <w:tc>
          <w:tcPr>
            <w:tcW w:w="682" w:type="pct"/>
            <w:tcBorders>
              <w:top w:val="single" w:color="auto" w:sz="12" w:space="0"/>
              <w:bottom w:val="double" w:color="auto" w:sz="6" w:space="0"/>
            </w:tcBorders>
            <w:vAlign w:val="center"/>
          </w:tcPr>
          <w:p w14:paraId="552124A0">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单价（元）</w:t>
            </w:r>
          </w:p>
        </w:tc>
        <w:tc>
          <w:tcPr>
            <w:tcW w:w="552" w:type="pct"/>
            <w:tcBorders>
              <w:top w:val="single" w:color="auto" w:sz="12" w:space="0"/>
              <w:bottom w:val="double" w:color="auto" w:sz="6" w:space="0"/>
            </w:tcBorders>
            <w:vAlign w:val="center"/>
          </w:tcPr>
          <w:p w14:paraId="37424A36">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质量等级</w:t>
            </w:r>
          </w:p>
        </w:tc>
        <w:tc>
          <w:tcPr>
            <w:tcW w:w="552" w:type="pct"/>
            <w:tcBorders>
              <w:top w:val="single" w:color="auto" w:sz="12" w:space="0"/>
              <w:bottom w:val="double" w:color="auto" w:sz="6" w:space="0"/>
            </w:tcBorders>
            <w:vAlign w:val="center"/>
          </w:tcPr>
          <w:p w14:paraId="1F30824F">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供应时间</w:t>
            </w:r>
          </w:p>
        </w:tc>
        <w:tc>
          <w:tcPr>
            <w:tcW w:w="552" w:type="pct"/>
            <w:tcBorders>
              <w:top w:val="single" w:color="auto" w:sz="12" w:space="0"/>
              <w:bottom w:val="double" w:color="auto" w:sz="6" w:space="0"/>
            </w:tcBorders>
            <w:vAlign w:val="center"/>
          </w:tcPr>
          <w:p w14:paraId="2799B39D">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送达地点</w:t>
            </w:r>
          </w:p>
        </w:tc>
        <w:tc>
          <w:tcPr>
            <w:tcW w:w="292" w:type="pct"/>
            <w:tcBorders>
              <w:top w:val="single" w:color="auto" w:sz="12" w:space="0"/>
              <w:bottom w:val="double" w:color="auto" w:sz="6" w:space="0"/>
            </w:tcBorders>
            <w:vAlign w:val="center"/>
          </w:tcPr>
          <w:p w14:paraId="0BB50AD4">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备注</w:t>
            </w:r>
          </w:p>
        </w:tc>
      </w:tr>
      <w:tr w14:paraId="191E8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top w:val="double" w:color="auto" w:sz="6" w:space="0"/>
            </w:tcBorders>
            <w:vAlign w:val="center"/>
          </w:tcPr>
          <w:p w14:paraId="0F3862C5">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941" w:type="pct"/>
            <w:tcBorders>
              <w:top w:val="double" w:color="auto" w:sz="6" w:space="0"/>
            </w:tcBorders>
            <w:vAlign w:val="center"/>
          </w:tcPr>
          <w:p w14:paraId="22B6D1D0">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552" w:type="pct"/>
            <w:tcBorders>
              <w:top w:val="double" w:color="auto" w:sz="6" w:space="0"/>
            </w:tcBorders>
            <w:vAlign w:val="center"/>
          </w:tcPr>
          <w:p w14:paraId="0A071106">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292" w:type="pct"/>
            <w:tcBorders>
              <w:top w:val="double" w:color="auto" w:sz="6" w:space="0"/>
            </w:tcBorders>
            <w:vAlign w:val="center"/>
          </w:tcPr>
          <w:p w14:paraId="201C5185">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292" w:type="pct"/>
            <w:tcBorders>
              <w:top w:val="double" w:color="auto" w:sz="6" w:space="0"/>
            </w:tcBorders>
            <w:vAlign w:val="center"/>
          </w:tcPr>
          <w:p w14:paraId="6AE03712">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682" w:type="pct"/>
            <w:tcBorders>
              <w:top w:val="double" w:color="auto" w:sz="6" w:space="0"/>
            </w:tcBorders>
            <w:vAlign w:val="center"/>
          </w:tcPr>
          <w:p w14:paraId="359242A5">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552" w:type="pct"/>
            <w:tcBorders>
              <w:top w:val="double" w:color="auto" w:sz="6" w:space="0"/>
            </w:tcBorders>
            <w:vAlign w:val="center"/>
          </w:tcPr>
          <w:p w14:paraId="37B31B06">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552" w:type="pct"/>
            <w:tcBorders>
              <w:top w:val="double" w:color="auto" w:sz="6" w:space="0"/>
            </w:tcBorders>
            <w:vAlign w:val="center"/>
          </w:tcPr>
          <w:p w14:paraId="5C6AAC3C">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552" w:type="pct"/>
            <w:tcBorders>
              <w:top w:val="double" w:color="auto" w:sz="6" w:space="0"/>
            </w:tcBorders>
            <w:vAlign w:val="center"/>
          </w:tcPr>
          <w:p w14:paraId="5873D41B">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292" w:type="pct"/>
            <w:tcBorders>
              <w:top w:val="double" w:color="auto" w:sz="6" w:space="0"/>
            </w:tcBorders>
            <w:vAlign w:val="center"/>
          </w:tcPr>
          <w:p w14:paraId="01BBDF2C">
            <w:pPr>
              <w:keepNext/>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r>
      <w:tr w14:paraId="41AAF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vAlign w:val="center"/>
          </w:tcPr>
          <w:p w14:paraId="12D008D3">
            <w:pPr>
              <w:keepNext w:val="0"/>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941" w:type="pct"/>
            <w:vAlign w:val="center"/>
          </w:tcPr>
          <w:p w14:paraId="05DF829F">
            <w:pPr>
              <w:keepNext w:val="0"/>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552" w:type="pct"/>
            <w:vAlign w:val="center"/>
          </w:tcPr>
          <w:p w14:paraId="1D2EE229">
            <w:pPr>
              <w:keepNext w:val="0"/>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292" w:type="pct"/>
            <w:vAlign w:val="center"/>
          </w:tcPr>
          <w:p w14:paraId="3BBDF1B0">
            <w:pPr>
              <w:keepNext w:val="0"/>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292" w:type="pct"/>
            <w:vAlign w:val="center"/>
          </w:tcPr>
          <w:p w14:paraId="62575B9F">
            <w:pPr>
              <w:keepNext w:val="0"/>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682" w:type="pct"/>
            <w:vAlign w:val="center"/>
          </w:tcPr>
          <w:p w14:paraId="3383C5CD">
            <w:pPr>
              <w:keepNext w:val="0"/>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552" w:type="pct"/>
            <w:vAlign w:val="center"/>
          </w:tcPr>
          <w:p w14:paraId="3D672FE0">
            <w:pPr>
              <w:keepNext w:val="0"/>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552" w:type="pct"/>
            <w:vAlign w:val="center"/>
          </w:tcPr>
          <w:p w14:paraId="22BA3AAF">
            <w:pPr>
              <w:keepNext w:val="0"/>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552" w:type="pct"/>
            <w:vAlign w:val="center"/>
          </w:tcPr>
          <w:p w14:paraId="6453D99C">
            <w:pPr>
              <w:keepNext w:val="0"/>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292" w:type="pct"/>
            <w:vAlign w:val="center"/>
          </w:tcPr>
          <w:p w14:paraId="5765B152">
            <w:pPr>
              <w:keepNext w:val="0"/>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r>
      <w:tr w14:paraId="221EE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bottom w:val="single" w:color="auto" w:sz="12" w:space="0"/>
            </w:tcBorders>
            <w:vAlign w:val="center"/>
          </w:tcPr>
          <w:p w14:paraId="6925F1BB">
            <w:pPr>
              <w:keepNext w:val="0"/>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941" w:type="pct"/>
            <w:tcBorders>
              <w:bottom w:val="single" w:color="auto" w:sz="12" w:space="0"/>
            </w:tcBorders>
            <w:vAlign w:val="center"/>
          </w:tcPr>
          <w:p w14:paraId="1AF6646D">
            <w:pPr>
              <w:keepNext w:val="0"/>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552" w:type="pct"/>
            <w:tcBorders>
              <w:bottom w:val="single" w:color="auto" w:sz="12" w:space="0"/>
            </w:tcBorders>
            <w:vAlign w:val="center"/>
          </w:tcPr>
          <w:p w14:paraId="3D274FAA">
            <w:pPr>
              <w:keepNext w:val="0"/>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292" w:type="pct"/>
            <w:tcBorders>
              <w:bottom w:val="single" w:color="auto" w:sz="12" w:space="0"/>
            </w:tcBorders>
            <w:vAlign w:val="center"/>
          </w:tcPr>
          <w:p w14:paraId="35CCB675">
            <w:pPr>
              <w:keepNext w:val="0"/>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292" w:type="pct"/>
            <w:tcBorders>
              <w:bottom w:val="single" w:color="auto" w:sz="12" w:space="0"/>
            </w:tcBorders>
            <w:vAlign w:val="center"/>
          </w:tcPr>
          <w:p w14:paraId="1C4F8368">
            <w:pPr>
              <w:keepNext w:val="0"/>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682" w:type="pct"/>
            <w:tcBorders>
              <w:bottom w:val="single" w:color="auto" w:sz="12" w:space="0"/>
            </w:tcBorders>
            <w:vAlign w:val="center"/>
          </w:tcPr>
          <w:p w14:paraId="482726AE">
            <w:pPr>
              <w:keepNext w:val="0"/>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552" w:type="pct"/>
            <w:tcBorders>
              <w:bottom w:val="single" w:color="auto" w:sz="12" w:space="0"/>
            </w:tcBorders>
            <w:vAlign w:val="center"/>
          </w:tcPr>
          <w:p w14:paraId="35D8E01D">
            <w:pPr>
              <w:keepNext w:val="0"/>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552" w:type="pct"/>
            <w:tcBorders>
              <w:bottom w:val="single" w:color="auto" w:sz="12" w:space="0"/>
            </w:tcBorders>
            <w:vAlign w:val="center"/>
          </w:tcPr>
          <w:p w14:paraId="2DC62185">
            <w:pPr>
              <w:keepNext w:val="0"/>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552" w:type="pct"/>
            <w:tcBorders>
              <w:bottom w:val="single" w:color="auto" w:sz="12" w:space="0"/>
            </w:tcBorders>
            <w:vAlign w:val="center"/>
          </w:tcPr>
          <w:p w14:paraId="1DC97778">
            <w:pPr>
              <w:keepNext w:val="0"/>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c>
          <w:tcPr>
            <w:tcW w:w="292" w:type="pct"/>
            <w:tcBorders>
              <w:bottom w:val="single" w:color="auto" w:sz="12" w:space="0"/>
            </w:tcBorders>
            <w:vAlign w:val="center"/>
          </w:tcPr>
          <w:p w14:paraId="7C5F88A7">
            <w:pPr>
              <w:keepNext w:val="0"/>
              <w:keepLines w:val="0"/>
              <w:suppressLineNumbers w:val="0"/>
              <w:snapToGrid w:val="0"/>
              <w:spacing w:before="0" w:beforeAutospacing="0" w:after="0" w:afterAutospacing="0" w:line="360" w:lineRule="auto"/>
              <w:ind w:left="0" w:right="0"/>
              <w:jc w:val="center"/>
              <w:rPr>
                <w:rFonts w:hint="default" w:cs="宋体"/>
                <w:color w:val="auto"/>
                <w:sz w:val="21"/>
                <w:szCs w:val="21"/>
                <w:highlight w:val="none"/>
              </w:rPr>
            </w:pPr>
          </w:p>
        </w:tc>
      </w:tr>
    </w:tbl>
    <w:p w14:paraId="00D4554F">
      <w:pPr>
        <w:spacing w:before="312" w:beforeLines="100" w:after="312" w:afterLines="100"/>
        <w:outlineLvl w:val="2"/>
        <w:rPr>
          <w:rFonts w:ascii="Times New Roman" w:eastAsia="黑体"/>
          <w:color w:val="auto"/>
          <w:sz w:val="21"/>
          <w:szCs w:val="21"/>
          <w:highlight w:val="none"/>
        </w:rPr>
      </w:pPr>
      <w:r>
        <w:rPr>
          <w:rFonts w:hint="eastAsia" w:cs="宋体"/>
          <w:bCs/>
          <w:color w:val="auto"/>
          <w:highlight w:val="none"/>
        </w:rPr>
        <w:br w:type="page"/>
      </w:r>
      <w:bookmarkStart w:id="604" w:name="_Toc128950237"/>
      <w:r>
        <w:rPr>
          <w:rFonts w:hint="eastAsia" w:ascii="Times New Roman" w:eastAsia="黑体"/>
          <w:color w:val="auto"/>
          <w:sz w:val="21"/>
          <w:szCs w:val="21"/>
          <w:highlight w:val="none"/>
        </w:rPr>
        <w:t>附件3：工程质量保修书</w:t>
      </w:r>
      <w:bookmarkEnd w:id="604"/>
    </w:p>
    <w:p w14:paraId="722D7061">
      <w:pPr>
        <w:adjustRightInd w:val="0"/>
        <w:snapToGrid w:val="0"/>
        <w:spacing w:before="156" w:beforeLines="50" w:after="156" w:afterLines="50" w:line="360" w:lineRule="auto"/>
        <w:jc w:val="center"/>
        <w:rPr>
          <w:rFonts w:cs="宋体"/>
          <w:b/>
          <w:color w:val="auto"/>
          <w:sz w:val="21"/>
          <w:szCs w:val="21"/>
          <w:highlight w:val="none"/>
        </w:rPr>
      </w:pPr>
      <w:r>
        <w:rPr>
          <w:rFonts w:hint="eastAsia" w:cs="宋体"/>
          <w:b/>
          <w:color w:val="auto"/>
          <w:sz w:val="21"/>
          <w:szCs w:val="21"/>
          <w:highlight w:val="none"/>
        </w:rPr>
        <w:t>工程质量保修书</w:t>
      </w:r>
    </w:p>
    <w:p w14:paraId="559D658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5BAE6A1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CF2A7C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发包人和承包人根据《中华人民共和国建筑法》和《建设工程质量管理条例》，经协商一致就_______________（工程全称）签订工程质量保修书。</w:t>
      </w:r>
    </w:p>
    <w:p w14:paraId="318D4518">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一、工程质量保修范围和内容</w:t>
      </w:r>
    </w:p>
    <w:p w14:paraId="562981A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承包人在质量保修期内，按照有关法律规定和合同约定，承担工程质量保修责任。</w:t>
      </w:r>
    </w:p>
    <w:p w14:paraId="6011CD1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F54AA2">
      <w:pPr>
        <w:adjustRightInd w:val="0"/>
        <w:snapToGrid w:val="0"/>
        <w:spacing w:line="360" w:lineRule="auto"/>
        <w:ind w:firstLine="413" w:firstLineChars="196"/>
        <w:rPr>
          <w:rFonts w:cs="宋体"/>
          <w:b/>
          <w:color w:val="auto"/>
          <w:sz w:val="21"/>
          <w:szCs w:val="21"/>
          <w:highlight w:val="none"/>
        </w:rPr>
      </w:pPr>
      <w:r>
        <w:rPr>
          <w:rFonts w:hint="eastAsia" w:cs="宋体"/>
          <w:b/>
          <w:color w:val="auto"/>
          <w:sz w:val="21"/>
          <w:szCs w:val="21"/>
          <w:highlight w:val="none"/>
        </w:rPr>
        <w:t>二、质量保修期</w:t>
      </w:r>
    </w:p>
    <w:p w14:paraId="02719B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根据《建设工程质量管理条例》及有关规定，工程的质量保修期如下：</w:t>
      </w:r>
    </w:p>
    <w:p w14:paraId="594BFB9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地基基础工程和主体结构工程为设计文件规定的工程合理使用年限；</w:t>
      </w:r>
    </w:p>
    <w:p w14:paraId="015657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屋面防水工程、有防水要求的卫生间、房间和外墙面的防渗为</w:t>
      </w:r>
      <w:r>
        <w:rPr>
          <w:rFonts w:hint="eastAsia" w:cs="宋体"/>
          <w:color w:val="auto"/>
          <w:sz w:val="21"/>
          <w:szCs w:val="21"/>
          <w:highlight w:val="none"/>
          <w:u w:val="single"/>
        </w:rPr>
        <w:t>5</w:t>
      </w:r>
      <w:r>
        <w:rPr>
          <w:rFonts w:hint="eastAsia" w:cs="宋体"/>
          <w:color w:val="auto"/>
          <w:sz w:val="21"/>
          <w:szCs w:val="21"/>
          <w:highlight w:val="none"/>
        </w:rPr>
        <w:t>年；</w:t>
      </w:r>
    </w:p>
    <w:p w14:paraId="731DC4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 装修工程为</w:t>
      </w:r>
      <w:r>
        <w:rPr>
          <w:rFonts w:hint="eastAsia" w:cs="宋体"/>
          <w:color w:val="auto"/>
          <w:sz w:val="21"/>
          <w:szCs w:val="21"/>
          <w:highlight w:val="none"/>
          <w:u w:val="single"/>
        </w:rPr>
        <w:t>2</w:t>
      </w:r>
      <w:r>
        <w:rPr>
          <w:rFonts w:hint="eastAsia" w:cs="宋体"/>
          <w:color w:val="auto"/>
          <w:sz w:val="21"/>
          <w:szCs w:val="21"/>
          <w:highlight w:val="none"/>
        </w:rPr>
        <w:t>年；</w:t>
      </w:r>
    </w:p>
    <w:p w14:paraId="6270B0B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 电气管线、给排水管道、设备安装工程为</w:t>
      </w:r>
      <w:r>
        <w:rPr>
          <w:rFonts w:hint="eastAsia" w:cs="宋体"/>
          <w:color w:val="auto"/>
          <w:sz w:val="21"/>
          <w:szCs w:val="21"/>
          <w:highlight w:val="none"/>
          <w:u w:val="single"/>
        </w:rPr>
        <w:t>2</w:t>
      </w:r>
      <w:r>
        <w:rPr>
          <w:rFonts w:hint="eastAsia" w:cs="宋体"/>
          <w:color w:val="auto"/>
          <w:sz w:val="21"/>
          <w:szCs w:val="21"/>
          <w:highlight w:val="none"/>
        </w:rPr>
        <w:t>年；</w:t>
      </w:r>
    </w:p>
    <w:p w14:paraId="542487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5. 供热与供冷系统为</w:t>
      </w:r>
      <w:r>
        <w:rPr>
          <w:rFonts w:hint="eastAsia" w:cs="宋体"/>
          <w:color w:val="auto"/>
          <w:sz w:val="21"/>
          <w:szCs w:val="21"/>
          <w:highlight w:val="none"/>
          <w:u w:val="single"/>
        </w:rPr>
        <w:t>2</w:t>
      </w:r>
      <w:r>
        <w:rPr>
          <w:rFonts w:hint="eastAsia" w:cs="宋体"/>
          <w:color w:val="auto"/>
          <w:sz w:val="21"/>
          <w:szCs w:val="21"/>
          <w:highlight w:val="none"/>
        </w:rPr>
        <w:t>个采暖期、供冷期；</w:t>
      </w:r>
    </w:p>
    <w:p w14:paraId="0CBDFFE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 住宅小区内的给排水设施、道路等配套工程为</w:t>
      </w:r>
      <w:r>
        <w:rPr>
          <w:rFonts w:hint="eastAsia" w:cs="宋体"/>
          <w:color w:val="auto"/>
          <w:sz w:val="21"/>
          <w:szCs w:val="21"/>
          <w:highlight w:val="none"/>
          <w:u w:val="single"/>
        </w:rPr>
        <w:t>2</w:t>
      </w:r>
      <w:r>
        <w:rPr>
          <w:rFonts w:hint="eastAsia" w:cs="宋体"/>
          <w:color w:val="auto"/>
          <w:sz w:val="21"/>
          <w:szCs w:val="21"/>
          <w:highlight w:val="none"/>
        </w:rPr>
        <w:t>年；</w:t>
      </w:r>
    </w:p>
    <w:p w14:paraId="3E43E3A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 其他项目保修期限约定如下：</w:t>
      </w:r>
      <w:r>
        <w:rPr>
          <w:rFonts w:hint="eastAsia" w:cs="宋体"/>
          <w:color w:val="auto"/>
          <w:sz w:val="21"/>
          <w:szCs w:val="21"/>
          <w:highlight w:val="none"/>
          <w:u w:val="single"/>
        </w:rPr>
        <w:t>保温工程5年</w:t>
      </w:r>
      <w:r>
        <w:rPr>
          <w:rFonts w:hint="eastAsia" w:cs="宋体"/>
          <w:color w:val="auto"/>
          <w:sz w:val="21"/>
          <w:szCs w:val="21"/>
          <w:highlight w:val="none"/>
        </w:rPr>
        <w:t>。</w:t>
      </w:r>
    </w:p>
    <w:p w14:paraId="18B75DD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质量保修期自工程竣工验收合格之日起计算。</w:t>
      </w:r>
    </w:p>
    <w:p w14:paraId="3FE35F86">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7DFA63F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09218979">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缺陷责任期终止后，发包人应退还剩余的质量保证金。</w:t>
      </w:r>
    </w:p>
    <w:p w14:paraId="3EED4BD3">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四、质量保修责任</w:t>
      </w:r>
    </w:p>
    <w:p w14:paraId="4424620B">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1. 属于保修范围、内容的项目，承包人应当在接到保修通知之日起7天内派人保修。承包人不在约定期限内派人保修的，发包人可以委托他人修理。</w:t>
      </w:r>
    </w:p>
    <w:p w14:paraId="73DACD6C">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2. 发生紧急事故需抢修的，承包人在接到事故通知后，应当立即到达事故现场抢修。</w:t>
      </w:r>
    </w:p>
    <w:p w14:paraId="00917068">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6F62620">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4. 质量保修完成后，由发包人组织验收。</w:t>
      </w:r>
    </w:p>
    <w:p w14:paraId="4F385F29">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五、保修费用</w:t>
      </w:r>
    </w:p>
    <w:p w14:paraId="62922F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保修费用由造成质量缺陷的责任方承担。</w:t>
      </w:r>
    </w:p>
    <w:p w14:paraId="7F9E9BFF">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六、双方约定的其他工程质量保修事项：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53751D26">
      <w:pPr>
        <w:adjustRightInd w:val="0"/>
        <w:snapToGrid w:val="0"/>
        <w:spacing w:line="360" w:lineRule="auto"/>
        <w:ind w:firstLine="399" w:firstLineChars="190"/>
        <w:rPr>
          <w:rFonts w:cs="宋体"/>
          <w:color w:val="auto"/>
          <w:sz w:val="21"/>
          <w:szCs w:val="21"/>
          <w:highlight w:val="none"/>
        </w:rPr>
      </w:pPr>
      <w:r>
        <w:rPr>
          <w:rFonts w:hint="eastAsia" w:cs="宋体"/>
          <w:color w:val="auto"/>
          <w:sz w:val="21"/>
          <w:szCs w:val="21"/>
          <w:highlight w:val="none"/>
        </w:rPr>
        <w:t>工程质量保修书由发包人、承包人在工程竣工验收前共同签署，作为施工合同附件，其有效期限至保修期满。</w:t>
      </w:r>
    </w:p>
    <w:p w14:paraId="44EFBED9">
      <w:pPr>
        <w:adjustRightInd w:val="0"/>
        <w:snapToGrid w:val="0"/>
        <w:spacing w:line="360" w:lineRule="auto"/>
        <w:ind w:firstLine="420"/>
        <w:rPr>
          <w:rFonts w:cs="宋体"/>
          <w:color w:val="auto"/>
          <w:sz w:val="21"/>
          <w:szCs w:val="21"/>
          <w:highlight w:val="none"/>
        </w:rPr>
      </w:pPr>
    </w:p>
    <w:p w14:paraId="60EE5DA1">
      <w:pPr>
        <w:adjustRightInd w:val="0"/>
        <w:snapToGrid w:val="0"/>
        <w:spacing w:line="360" w:lineRule="auto"/>
        <w:ind w:firstLine="420"/>
        <w:rPr>
          <w:rFonts w:cs="宋体"/>
          <w:color w:val="auto"/>
          <w:sz w:val="21"/>
          <w:szCs w:val="21"/>
          <w:highlight w:val="none"/>
        </w:rPr>
      </w:pPr>
    </w:p>
    <w:p w14:paraId="2292092F">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w:t>
      </w:r>
    </w:p>
    <w:p w14:paraId="7A20516C">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4FC832AA">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7BCAD8E2">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lang w:val="en-US" w:eastAsia="zh-CN"/>
        </w:rPr>
        <w:t>或</w:t>
      </w: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lang w:val="en-US" w:eastAsia="zh-CN"/>
        </w:rPr>
        <w:t>或</w:t>
      </w: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p>
    <w:p w14:paraId="0C217B82">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7FBC1391">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608327CC">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03D81ED0">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0231B3E5">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w:t>
      </w:r>
    </w:p>
    <w:p w14:paraId="2C08E6A4">
      <w:pPr>
        <w:spacing w:before="312" w:beforeLines="100" w:after="312" w:afterLines="100"/>
        <w:outlineLvl w:val="2"/>
        <w:rPr>
          <w:rFonts w:ascii="Times New Roman" w:eastAsia="黑体"/>
          <w:color w:val="auto"/>
          <w:sz w:val="21"/>
          <w:szCs w:val="21"/>
          <w:highlight w:val="none"/>
        </w:rPr>
      </w:pPr>
      <w:r>
        <w:rPr>
          <w:rFonts w:hint="eastAsia" w:ascii="Times New Roman" w:eastAsia="黑体"/>
          <w:bCs/>
          <w:color w:val="auto"/>
          <w:highlight w:val="none"/>
        </w:rPr>
        <w:br w:type="page"/>
      </w:r>
      <w:bookmarkStart w:id="605" w:name="_Toc128950239"/>
      <w:r>
        <w:rPr>
          <w:rFonts w:hint="eastAsia" w:ascii="Times New Roman" w:eastAsia="黑体"/>
          <w:color w:val="auto"/>
          <w:sz w:val="21"/>
          <w:szCs w:val="21"/>
          <w:highlight w:val="none"/>
        </w:rPr>
        <w:t>附件</w:t>
      </w:r>
      <w:r>
        <w:rPr>
          <w:rFonts w:ascii="Times New Roman" w:eastAsia="黑体"/>
          <w:color w:val="auto"/>
          <w:sz w:val="21"/>
          <w:szCs w:val="21"/>
          <w:highlight w:val="none"/>
        </w:rPr>
        <w:t>4</w:t>
      </w:r>
      <w:r>
        <w:rPr>
          <w:rFonts w:hint="eastAsia" w:ascii="Times New Roman" w:eastAsia="黑体"/>
          <w:color w:val="auto"/>
          <w:sz w:val="21"/>
          <w:szCs w:val="21"/>
          <w:highlight w:val="none"/>
        </w:rPr>
        <w:t>：主要建设工程文件目录</w:t>
      </w:r>
      <w:bookmarkEnd w:id="605"/>
    </w:p>
    <w:p w14:paraId="6E4AB435">
      <w:pPr>
        <w:spacing w:before="156" w:beforeLines="50" w:after="156" w:afterLines="50"/>
        <w:jc w:val="center"/>
        <w:rPr>
          <w:rFonts w:cs="宋体"/>
          <w:color w:val="auto"/>
          <w:sz w:val="21"/>
          <w:szCs w:val="21"/>
          <w:highlight w:val="none"/>
        </w:rPr>
      </w:pPr>
      <w:r>
        <w:rPr>
          <w:rFonts w:hint="eastAsia" w:cs="宋体"/>
          <w:color w:val="auto"/>
          <w:sz w:val="21"/>
          <w:szCs w:val="21"/>
          <w:highlight w:val="none"/>
        </w:rPr>
        <w:t>主要建设工程文件目录</w:t>
      </w:r>
    </w:p>
    <w:tbl>
      <w:tblPr>
        <w:tblStyle w:val="5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06"/>
        <w:gridCol w:w="1181"/>
        <w:gridCol w:w="1342"/>
        <w:gridCol w:w="1149"/>
        <w:gridCol w:w="1342"/>
        <w:gridCol w:w="1542"/>
      </w:tblGrid>
      <w:tr w14:paraId="1341A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4945CC30">
            <w:pPr>
              <w:keepNext/>
              <w:keepLines w:val="0"/>
              <w:suppressLineNumbers w:val="0"/>
              <w:spacing w:before="0" w:beforeAutospacing="0" w:after="0" w:afterAutospacing="0"/>
              <w:ind w:left="0" w:right="0"/>
              <w:jc w:val="center"/>
              <w:rPr>
                <w:rFonts w:hint="default" w:cs="宋体"/>
                <w:color w:val="auto"/>
                <w:sz w:val="21"/>
                <w:szCs w:val="21"/>
                <w:highlight w:val="none"/>
              </w:rPr>
            </w:pPr>
            <w:r>
              <w:rPr>
                <w:rFonts w:hint="eastAsia" w:cs="宋体"/>
                <w:color w:val="auto"/>
                <w:sz w:val="21"/>
                <w:szCs w:val="21"/>
                <w:highlight w:val="none"/>
              </w:rPr>
              <w:t>文件名称</w:t>
            </w:r>
          </w:p>
        </w:tc>
        <w:tc>
          <w:tcPr>
            <w:tcW w:w="706" w:type="pct"/>
            <w:tcBorders>
              <w:top w:val="single" w:color="auto" w:sz="12" w:space="0"/>
              <w:bottom w:val="double" w:color="auto" w:sz="6" w:space="0"/>
            </w:tcBorders>
            <w:vAlign w:val="center"/>
          </w:tcPr>
          <w:p w14:paraId="1C877B5D">
            <w:pPr>
              <w:keepNext/>
              <w:keepLines w:val="0"/>
              <w:suppressLineNumbers w:val="0"/>
              <w:spacing w:before="0" w:beforeAutospacing="0" w:after="0" w:afterAutospacing="0"/>
              <w:ind w:left="0" w:right="0"/>
              <w:jc w:val="center"/>
              <w:rPr>
                <w:rFonts w:hint="default" w:cs="宋体"/>
                <w:color w:val="auto"/>
                <w:sz w:val="21"/>
                <w:szCs w:val="21"/>
                <w:highlight w:val="none"/>
              </w:rPr>
            </w:pPr>
            <w:r>
              <w:rPr>
                <w:rFonts w:hint="eastAsia" w:cs="宋体"/>
                <w:color w:val="auto"/>
                <w:sz w:val="21"/>
                <w:szCs w:val="21"/>
                <w:highlight w:val="none"/>
              </w:rPr>
              <w:t>套数</w:t>
            </w:r>
          </w:p>
        </w:tc>
        <w:tc>
          <w:tcPr>
            <w:tcW w:w="802" w:type="pct"/>
            <w:tcBorders>
              <w:top w:val="single" w:color="auto" w:sz="12" w:space="0"/>
              <w:bottom w:val="double" w:color="auto" w:sz="6" w:space="0"/>
            </w:tcBorders>
            <w:vAlign w:val="center"/>
          </w:tcPr>
          <w:p w14:paraId="13B6FBD4">
            <w:pPr>
              <w:keepNext/>
              <w:keepLines w:val="0"/>
              <w:suppressLineNumbers w:val="0"/>
              <w:spacing w:before="0" w:beforeAutospacing="0" w:after="0" w:afterAutospacing="0"/>
              <w:ind w:left="0" w:right="0"/>
              <w:jc w:val="center"/>
              <w:rPr>
                <w:rFonts w:hint="default" w:cs="宋体"/>
                <w:color w:val="auto"/>
                <w:sz w:val="21"/>
                <w:szCs w:val="21"/>
                <w:highlight w:val="none"/>
              </w:rPr>
            </w:pPr>
            <w:r>
              <w:rPr>
                <w:rFonts w:hint="eastAsia" w:cs="宋体"/>
                <w:color w:val="auto"/>
                <w:sz w:val="21"/>
                <w:szCs w:val="21"/>
                <w:highlight w:val="none"/>
              </w:rPr>
              <w:t>费用（元）</w:t>
            </w:r>
          </w:p>
        </w:tc>
        <w:tc>
          <w:tcPr>
            <w:tcW w:w="687" w:type="pct"/>
            <w:tcBorders>
              <w:top w:val="single" w:color="auto" w:sz="12" w:space="0"/>
              <w:bottom w:val="double" w:color="auto" w:sz="6" w:space="0"/>
            </w:tcBorders>
            <w:vAlign w:val="center"/>
          </w:tcPr>
          <w:p w14:paraId="535134F4">
            <w:pPr>
              <w:keepNext/>
              <w:keepLines w:val="0"/>
              <w:suppressLineNumbers w:val="0"/>
              <w:spacing w:before="0" w:beforeAutospacing="0" w:after="0" w:afterAutospacing="0"/>
              <w:ind w:left="0" w:right="0"/>
              <w:jc w:val="center"/>
              <w:rPr>
                <w:rFonts w:hint="default" w:cs="宋体"/>
                <w:color w:val="auto"/>
                <w:sz w:val="21"/>
                <w:szCs w:val="21"/>
                <w:highlight w:val="none"/>
              </w:rPr>
            </w:pPr>
            <w:r>
              <w:rPr>
                <w:rFonts w:hint="eastAsia" w:cs="宋体"/>
                <w:color w:val="auto"/>
                <w:sz w:val="21"/>
                <w:szCs w:val="21"/>
                <w:highlight w:val="none"/>
              </w:rPr>
              <w:t>质量</w:t>
            </w:r>
          </w:p>
        </w:tc>
        <w:tc>
          <w:tcPr>
            <w:tcW w:w="802" w:type="pct"/>
            <w:tcBorders>
              <w:top w:val="single" w:color="auto" w:sz="12" w:space="0"/>
              <w:bottom w:val="double" w:color="auto" w:sz="6" w:space="0"/>
            </w:tcBorders>
            <w:vAlign w:val="center"/>
          </w:tcPr>
          <w:p w14:paraId="02291D5C">
            <w:pPr>
              <w:keepNext w:val="0"/>
              <w:keepLines w:val="0"/>
              <w:suppressLineNumbers w:val="0"/>
              <w:spacing w:before="0" w:beforeAutospacing="0" w:after="0" w:afterAutospacing="0"/>
              <w:ind w:left="0" w:right="0"/>
              <w:jc w:val="center"/>
              <w:rPr>
                <w:rFonts w:hint="default" w:cs="宋体"/>
                <w:color w:val="auto"/>
                <w:sz w:val="21"/>
                <w:szCs w:val="21"/>
                <w:highlight w:val="none"/>
              </w:rPr>
            </w:pPr>
            <w:r>
              <w:rPr>
                <w:rFonts w:hint="eastAsia" w:cs="宋体"/>
                <w:color w:val="auto"/>
                <w:sz w:val="21"/>
                <w:szCs w:val="21"/>
                <w:highlight w:val="none"/>
              </w:rPr>
              <w:t>移交时间</w:t>
            </w:r>
          </w:p>
        </w:tc>
        <w:tc>
          <w:tcPr>
            <w:tcW w:w="922" w:type="pct"/>
            <w:tcBorders>
              <w:top w:val="single" w:color="auto" w:sz="12" w:space="0"/>
              <w:bottom w:val="double" w:color="auto" w:sz="6" w:space="0"/>
            </w:tcBorders>
            <w:vAlign w:val="center"/>
          </w:tcPr>
          <w:p w14:paraId="660D374E">
            <w:pPr>
              <w:keepNext w:val="0"/>
              <w:keepLines w:val="0"/>
              <w:suppressLineNumbers w:val="0"/>
              <w:spacing w:before="0" w:beforeAutospacing="0" w:after="0" w:afterAutospacing="0"/>
              <w:ind w:left="0" w:right="0"/>
              <w:jc w:val="center"/>
              <w:rPr>
                <w:rFonts w:hint="default" w:cs="宋体"/>
                <w:color w:val="auto"/>
                <w:sz w:val="21"/>
                <w:szCs w:val="21"/>
                <w:highlight w:val="none"/>
              </w:rPr>
            </w:pPr>
            <w:r>
              <w:rPr>
                <w:rFonts w:hint="eastAsia" w:cs="宋体"/>
                <w:color w:val="auto"/>
                <w:sz w:val="21"/>
                <w:szCs w:val="21"/>
                <w:highlight w:val="none"/>
              </w:rPr>
              <w:t>责任人</w:t>
            </w:r>
          </w:p>
        </w:tc>
      </w:tr>
      <w:tr w14:paraId="5F890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1B76912A">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706" w:type="pct"/>
            <w:tcBorders>
              <w:top w:val="double" w:color="auto" w:sz="6" w:space="0"/>
            </w:tcBorders>
            <w:vAlign w:val="center"/>
          </w:tcPr>
          <w:p w14:paraId="75F168C3">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802" w:type="pct"/>
            <w:tcBorders>
              <w:top w:val="double" w:color="auto" w:sz="6" w:space="0"/>
            </w:tcBorders>
            <w:vAlign w:val="center"/>
          </w:tcPr>
          <w:p w14:paraId="187888C7">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687" w:type="pct"/>
            <w:tcBorders>
              <w:top w:val="double" w:color="auto" w:sz="6" w:space="0"/>
            </w:tcBorders>
            <w:vAlign w:val="center"/>
          </w:tcPr>
          <w:p w14:paraId="3E3D83A9">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802" w:type="pct"/>
            <w:tcBorders>
              <w:top w:val="double" w:color="auto" w:sz="6" w:space="0"/>
            </w:tcBorders>
            <w:vAlign w:val="center"/>
          </w:tcPr>
          <w:p w14:paraId="19539813">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922" w:type="pct"/>
            <w:tcBorders>
              <w:top w:val="double" w:color="auto" w:sz="6" w:space="0"/>
            </w:tcBorders>
            <w:vAlign w:val="center"/>
          </w:tcPr>
          <w:p w14:paraId="2159D0EC">
            <w:pPr>
              <w:keepNext/>
              <w:keepLines w:val="0"/>
              <w:suppressLineNumbers w:val="0"/>
              <w:spacing w:before="0" w:beforeAutospacing="0" w:after="0" w:afterAutospacing="0"/>
              <w:ind w:left="0" w:right="0"/>
              <w:jc w:val="center"/>
              <w:rPr>
                <w:rFonts w:hint="default" w:cs="宋体"/>
                <w:color w:val="auto"/>
                <w:sz w:val="21"/>
                <w:szCs w:val="21"/>
                <w:highlight w:val="none"/>
              </w:rPr>
            </w:pPr>
          </w:p>
        </w:tc>
      </w:tr>
      <w:tr w14:paraId="14458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5DD3FBE7">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706" w:type="pct"/>
            <w:tcBorders>
              <w:top w:val="nil"/>
            </w:tcBorders>
            <w:vAlign w:val="center"/>
          </w:tcPr>
          <w:p w14:paraId="647D5F62">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802" w:type="pct"/>
            <w:tcBorders>
              <w:top w:val="nil"/>
            </w:tcBorders>
            <w:vAlign w:val="center"/>
          </w:tcPr>
          <w:p w14:paraId="76C9FAE6">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687" w:type="pct"/>
            <w:tcBorders>
              <w:top w:val="nil"/>
            </w:tcBorders>
            <w:vAlign w:val="center"/>
          </w:tcPr>
          <w:p w14:paraId="2CC61175">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802" w:type="pct"/>
            <w:tcBorders>
              <w:top w:val="nil"/>
            </w:tcBorders>
            <w:vAlign w:val="center"/>
          </w:tcPr>
          <w:p w14:paraId="31E7138E">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922" w:type="pct"/>
            <w:tcBorders>
              <w:top w:val="nil"/>
            </w:tcBorders>
            <w:vAlign w:val="center"/>
          </w:tcPr>
          <w:p w14:paraId="343582C9">
            <w:pPr>
              <w:keepNext/>
              <w:keepLines w:val="0"/>
              <w:suppressLineNumbers w:val="0"/>
              <w:spacing w:before="0" w:beforeAutospacing="0" w:after="0" w:afterAutospacing="0"/>
              <w:ind w:left="0" w:right="0"/>
              <w:jc w:val="center"/>
              <w:rPr>
                <w:rFonts w:hint="default" w:cs="宋体"/>
                <w:color w:val="auto"/>
                <w:sz w:val="21"/>
                <w:szCs w:val="21"/>
                <w:highlight w:val="none"/>
              </w:rPr>
            </w:pPr>
          </w:p>
        </w:tc>
      </w:tr>
      <w:tr w14:paraId="7F77E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588663C4">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706" w:type="pct"/>
            <w:vAlign w:val="center"/>
          </w:tcPr>
          <w:p w14:paraId="0E9558D8">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802" w:type="pct"/>
            <w:vAlign w:val="center"/>
          </w:tcPr>
          <w:p w14:paraId="37FF9A46">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687" w:type="pct"/>
            <w:vAlign w:val="center"/>
          </w:tcPr>
          <w:p w14:paraId="52DE6EF5">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802" w:type="pct"/>
            <w:vAlign w:val="center"/>
          </w:tcPr>
          <w:p w14:paraId="00D08003">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922" w:type="pct"/>
            <w:vAlign w:val="center"/>
          </w:tcPr>
          <w:p w14:paraId="38DE437E">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r>
      <w:tr w14:paraId="15716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0AB36BBF">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706" w:type="pct"/>
            <w:vAlign w:val="center"/>
          </w:tcPr>
          <w:p w14:paraId="4E1D8AE5">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802" w:type="pct"/>
            <w:vAlign w:val="center"/>
          </w:tcPr>
          <w:p w14:paraId="7FFA6069">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687" w:type="pct"/>
            <w:vAlign w:val="center"/>
          </w:tcPr>
          <w:p w14:paraId="12314307">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802" w:type="pct"/>
            <w:vAlign w:val="center"/>
          </w:tcPr>
          <w:p w14:paraId="40CB7E87">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922" w:type="pct"/>
            <w:vAlign w:val="center"/>
          </w:tcPr>
          <w:p w14:paraId="08C58AFF">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r>
      <w:tr w14:paraId="2758E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vAlign w:val="center"/>
          </w:tcPr>
          <w:p w14:paraId="79D95F3B">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706" w:type="pct"/>
            <w:tcBorders>
              <w:bottom w:val="single" w:color="auto" w:sz="12" w:space="0"/>
            </w:tcBorders>
            <w:vAlign w:val="center"/>
          </w:tcPr>
          <w:p w14:paraId="72469C5E">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802" w:type="pct"/>
            <w:tcBorders>
              <w:bottom w:val="single" w:color="auto" w:sz="12" w:space="0"/>
            </w:tcBorders>
            <w:vAlign w:val="center"/>
          </w:tcPr>
          <w:p w14:paraId="3ADDEA0F">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687" w:type="pct"/>
            <w:tcBorders>
              <w:bottom w:val="single" w:color="auto" w:sz="12" w:space="0"/>
            </w:tcBorders>
            <w:vAlign w:val="center"/>
          </w:tcPr>
          <w:p w14:paraId="330DE28B">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802" w:type="pct"/>
            <w:tcBorders>
              <w:bottom w:val="single" w:color="auto" w:sz="12" w:space="0"/>
            </w:tcBorders>
            <w:vAlign w:val="center"/>
          </w:tcPr>
          <w:p w14:paraId="644AFEB0">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922" w:type="pct"/>
            <w:tcBorders>
              <w:bottom w:val="single" w:color="auto" w:sz="12" w:space="0"/>
            </w:tcBorders>
            <w:vAlign w:val="center"/>
          </w:tcPr>
          <w:p w14:paraId="782B1D21">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r>
    </w:tbl>
    <w:p w14:paraId="0BFB3EA0">
      <w:pPr>
        <w:spacing w:before="312" w:beforeLines="100" w:after="312" w:afterLines="100"/>
        <w:outlineLvl w:val="2"/>
        <w:rPr>
          <w:rFonts w:ascii="Times New Roman" w:eastAsia="黑体"/>
          <w:color w:val="auto"/>
          <w:sz w:val="21"/>
          <w:szCs w:val="21"/>
          <w:highlight w:val="none"/>
        </w:rPr>
      </w:pPr>
      <w:bookmarkStart w:id="606" w:name="_Toc128950240"/>
      <w:r>
        <w:rPr>
          <w:rFonts w:hint="eastAsia" w:ascii="Times New Roman" w:eastAsia="黑体"/>
          <w:color w:val="auto"/>
          <w:sz w:val="21"/>
          <w:szCs w:val="21"/>
          <w:highlight w:val="none"/>
        </w:rPr>
        <w:t>附</w:t>
      </w:r>
      <w:bookmarkStart w:id="607" w:name="_Toc296891055"/>
      <w:bookmarkStart w:id="608" w:name="_Toc267261698"/>
      <w:bookmarkStart w:id="609" w:name="_Toc296347226"/>
      <w:bookmarkStart w:id="610" w:name="_Toc296503227"/>
      <w:bookmarkStart w:id="611" w:name="_Toc296891267"/>
      <w:bookmarkStart w:id="612" w:name="_Toc296944566"/>
      <w:bookmarkStart w:id="613" w:name="_Toc296346728"/>
      <w:r>
        <w:rPr>
          <w:rFonts w:hint="eastAsia" w:ascii="Times New Roman" w:eastAsia="黑体"/>
          <w:color w:val="auto"/>
          <w:sz w:val="21"/>
          <w:szCs w:val="21"/>
          <w:highlight w:val="none"/>
        </w:rPr>
        <w:t>件</w:t>
      </w:r>
      <w:r>
        <w:rPr>
          <w:rFonts w:ascii="Times New Roman" w:eastAsia="黑体"/>
          <w:color w:val="auto"/>
          <w:sz w:val="21"/>
          <w:szCs w:val="21"/>
          <w:highlight w:val="none"/>
        </w:rPr>
        <w:t>5</w:t>
      </w:r>
      <w:r>
        <w:rPr>
          <w:rFonts w:hint="eastAsia" w:ascii="Times New Roman" w:eastAsia="黑体"/>
          <w:color w:val="auto"/>
          <w:sz w:val="21"/>
          <w:szCs w:val="21"/>
          <w:highlight w:val="none"/>
        </w:rPr>
        <w:t>：承包人用于本工程施工的机械设备表</w:t>
      </w:r>
      <w:bookmarkEnd w:id="606"/>
    </w:p>
    <w:bookmarkEnd w:id="607"/>
    <w:bookmarkEnd w:id="608"/>
    <w:bookmarkEnd w:id="609"/>
    <w:bookmarkEnd w:id="610"/>
    <w:bookmarkEnd w:id="611"/>
    <w:bookmarkEnd w:id="612"/>
    <w:bookmarkEnd w:id="613"/>
    <w:p w14:paraId="3B819F49">
      <w:pPr>
        <w:spacing w:before="156" w:beforeLines="50" w:after="156" w:afterLines="50"/>
        <w:jc w:val="center"/>
        <w:rPr>
          <w:rFonts w:cs="宋体"/>
          <w:color w:val="auto"/>
          <w:sz w:val="21"/>
          <w:szCs w:val="21"/>
          <w:highlight w:val="none"/>
        </w:rPr>
      </w:pPr>
      <w:r>
        <w:rPr>
          <w:rFonts w:hint="eastAsia" w:cs="宋体"/>
          <w:color w:val="auto"/>
          <w:sz w:val="21"/>
          <w:szCs w:val="21"/>
          <w:highlight w:val="none"/>
        </w:rPr>
        <w:t>承包人用于本工程施工的机械设备表</w:t>
      </w:r>
    </w:p>
    <w:tbl>
      <w:tblPr>
        <w:tblStyle w:val="5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60492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682591E4">
            <w:pPr>
              <w:keepNext/>
              <w:keepLines w:val="0"/>
              <w:suppressLineNumbers w:val="0"/>
              <w:spacing w:before="0" w:beforeAutospacing="0" w:after="0" w:afterAutospacing="0"/>
              <w:ind w:left="0" w:right="0"/>
              <w:jc w:val="center"/>
              <w:rPr>
                <w:rFonts w:hint="default" w:cs="宋体"/>
                <w:color w:val="auto"/>
                <w:sz w:val="21"/>
                <w:szCs w:val="21"/>
                <w:highlight w:val="none"/>
              </w:rPr>
            </w:pPr>
            <w:r>
              <w:rPr>
                <w:rFonts w:hint="eastAsia" w:cs="宋体"/>
                <w:color w:val="auto"/>
                <w:sz w:val="21"/>
                <w:szCs w:val="21"/>
                <w:highlight w:val="none"/>
              </w:rPr>
              <w:t>序号</w:t>
            </w:r>
          </w:p>
        </w:tc>
        <w:tc>
          <w:tcPr>
            <w:tcW w:w="792" w:type="pct"/>
            <w:tcBorders>
              <w:top w:val="single" w:color="auto" w:sz="12" w:space="0"/>
              <w:bottom w:val="double" w:color="auto" w:sz="6" w:space="0"/>
            </w:tcBorders>
            <w:vAlign w:val="center"/>
          </w:tcPr>
          <w:p w14:paraId="0793E141">
            <w:pPr>
              <w:keepNext/>
              <w:keepLines w:val="0"/>
              <w:suppressLineNumbers w:val="0"/>
              <w:spacing w:before="0" w:beforeAutospacing="0" w:after="0" w:afterAutospacing="0"/>
              <w:ind w:left="0" w:right="0"/>
              <w:jc w:val="center"/>
              <w:rPr>
                <w:rFonts w:hint="default" w:cs="宋体"/>
                <w:color w:val="auto"/>
                <w:sz w:val="21"/>
                <w:szCs w:val="21"/>
                <w:highlight w:val="none"/>
              </w:rPr>
            </w:pPr>
            <w:r>
              <w:rPr>
                <w:rFonts w:hint="eastAsia" w:cs="宋体"/>
                <w:color w:val="auto"/>
                <w:sz w:val="21"/>
                <w:szCs w:val="21"/>
                <w:highlight w:val="none"/>
              </w:rPr>
              <w:t>机械或设备名称</w:t>
            </w:r>
          </w:p>
        </w:tc>
        <w:tc>
          <w:tcPr>
            <w:tcW w:w="474" w:type="pct"/>
            <w:tcBorders>
              <w:top w:val="single" w:color="auto" w:sz="12" w:space="0"/>
              <w:bottom w:val="double" w:color="auto" w:sz="6" w:space="0"/>
            </w:tcBorders>
            <w:vAlign w:val="center"/>
          </w:tcPr>
          <w:p w14:paraId="00390572">
            <w:pPr>
              <w:keepNext/>
              <w:keepLines w:val="0"/>
              <w:suppressLineNumbers w:val="0"/>
              <w:spacing w:before="0" w:beforeAutospacing="0" w:after="0" w:afterAutospacing="0"/>
              <w:ind w:left="0" w:right="0"/>
              <w:jc w:val="center"/>
              <w:rPr>
                <w:rFonts w:hint="default" w:cs="宋体"/>
                <w:color w:val="auto"/>
                <w:sz w:val="21"/>
                <w:szCs w:val="21"/>
                <w:highlight w:val="none"/>
              </w:rPr>
            </w:pPr>
            <w:r>
              <w:rPr>
                <w:rFonts w:hint="eastAsia" w:cs="宋体"/>
                <w:color w:val="auto"/>
                <w:sz w:val="21"/>
                <w:szCs w:val="21"/>
                <w:highlight w:val="none"/>
              </w:rPr>
              <w:t>规格型号</w:t>
            </w:r>
          </w:p>
        </w:tc>
        <w:tc>
          <w:tcPr>
            <w:tcW w:w="396" w:type="pct"/>
            <w:tcBorders>
              <w:top w:val="single" w:color="auto" w:sz="12" w:space="0"/>
              <w:bottom w:val="double" w:color="auto" w:sz="6" w:space="0"/>
            </w:tcBorders>
            <w:vAlign w:val="center"/>
          </w:tcPr>
          <w:p w14:paraId="778F8193">
            <w:pPr>
              <w:keepNext/>
              <w:keepLines w:val="0"/>
              <w:suppressLineNumbers w:val="0"/>
              <w:spacing w:before="0" w:beforeAutospacing="0" w:after="0" w:afterAutospacing="0"/>
              <w:ind w:left="0" w:right="0"/>
              <w:jc w:val="center"/>
              <w:rPr>
                <w:rFonts w:hint="default" w:cs="宋体"/>
                <w:color w:val="auto"/>
                <w:sz w:val="21"/>
                <w:szCs w:val="21"/>
                <w:highlight w:val="none"/>
              </w:rPr>
            </w:pPr>
            <w:r>
              <w:rPr>
                <w:rFonts w:hint="eastAsia" w:cs="宋体"/>
                <w:color w:val="auto"/>
                <w:sz w:val="21"/>
                <w:szCs w:val="21"/>
                <w:highlight w:val="none"/>
              </w:rPr>
              <w:t>数量</w:t>
            </w:r>
          </w:p>
        </w:tc>
        <w:tc>
          <w:tcPr>
            <w:tcW w:w="474" w:type="pct"/>
            <w:tcBorders>
              <w:top w:val="single" w:color="auto" w:sz="12" w:space="0"/>
              <w:bottom w:val="double" w:color="auto" w:sz="6" w:space="0"/>
            </w:tcBorders>
            <w:vAlign w:val="center"/>
          </w:tcPr>
          <w:p w14:paraId="5C47C9F6">
            <w:pPr>
              <w:keepNext/>
              <w:keepLines w:val="0"/>
              <w:suppressLineNumbers w:val="0"/>
              <w:spacing w:before="0" w:beforeAutospacing="0" w:after="0" w:afterAutospacing="0"/>
              <w:ind w:left="0" w:right="0"/>
              <w:jc w:val="center"/>
              <w:rPr>
                <w:rFonts w:hint="default" w:cs="宋体"/>
                <w:color w:val="auto"/>
                <w:sz w:val="21"/>
                <w:szCs w:val="21"/>
                <w:highlight w:val="none"/>
              </w:rPr>
            </w:pPr>
            <w:r>
              <w:rPr>
                <w:rFonts w:hint="eastAsia" w:cs="宋体"/>
                <w:color w:val="auto"/>
                <w:sz w:val="21"/>
                <w:szCs w:val="21"/>
                <w:highlight w:val="none"/>
              </w:rPr>
              <w:t>产地</w:t>
            </w:r>
          </w:p>
        </w:tc>
        <w:tc>
          <w:tcPr>
            <w:tcW w:w="537" w:type="pct"/>
            <w:tcBorders>
              <w:top w:val="single" w:color="auto" w:sz="12" w:space="0"/>
              <w:bottom w:val="double" w:color="auto" w:sz="6" w:space="0"/>
            </w:tcBorders>
            <w:vAlign w:val="center"/>
          </w:tcPr>
          <w:p w14:paraId="25C34327">
            <w:pPr>
              <w:keepNext/>
              <w:keepLines w:val="0"/>
              <w:suppressLineNumbers w:val="0"/>
              <w:spacing w:before="0" w:beforeAutospacing="0" w:after="0" w:afterAutospacing="0"/>
              <w:ind w:left="0" w:right="0"/>
              <w:jc w:val="center"/>
              <w:rPr>
                <w:rFonts w:hint="default" w:cs="宋体"/>
                <w:color w:val="auto"/>
                <w:sz w:val="21"/>
                <w:szCs w:val="21"/>
                <w:highlight w:val="none"/>
              </w:rPr>
            </w:pPr>
            <w:r>
              <w:rPr>
                <w:rFonts w:hint="eastAsia" w:cs="宋体"/>
                <w:color w:val="auto"/>
                <w:sz w:val="21"/>
                <w:szCs w:val="21"/>
                <w:highlight w:val="none"/>
              </w:rPr>
              <w:t>制造年份</w:t>
            </w:r>
          </w:p>
        </w:tc>
        <w:tc>
          <w:tcPr>
            <w:tcW w:w="827" w:type="pct"/>
            <w:tcBorders>
              <w:top w:val="single" w:color="auto" w:sz="12" w:space="0"/>
              <w:bottom w:val="double" w:color="auto" w:sz="6" w:space="0"/>
            </w:tcBorders>
            <w:vAlign w:val="center"/>
          </w:tcPr>
          <w:p w14:paraId="56059C14">
            <w:pPr>
              <w:keepNext/>
              <w:keepLines w:val="0"/>
              <w:suppressLineNumbers w:val="0"/>
              <w:spacing w:before="0" w:beforeAutospacing="0" w:after="0" w:afterAutospacing="0"/>
              <w:ind w:left="0" w:right="0"/>
              <w:jc w:val="center"/>
              <w:rPr>
                <w:rFonts w:hint="default" w:cs="宋体"/>
                <w:color w:val="auto"/>
                <w:sz w:val="21"/>
                <w:szCs w:val="21"/>
                <w:highlight w:val="none"/>
              </w:rPr>
            </w:pPr>
            <w:r>
              <w:rPr>
                <w:rFonts w:hint="eastAsia" w:cs="宋体"/>
                <w:color w:val="auto"/>
                <w:sz w:val="21"/>
                <w:szCs w:val="21"/>
                <w:highlight w:val="none"/>
              </w:rPr>
              <w:t>额定功率（kW)</w:t>
            </w:r>
          </w:p>
        </w:tc>
        <w:tc>
          <w:tcPr>
            <w:tcW w:w="569" w:type="pct"/>
            <w:tcBorders>
              <w:top w:val="single" w:color="auto" w:sz="12" w:space="0"/>
              <w:bottom w:val="double" w:color="auto" w:sz="6" w:space="0"/>
            </w:tcBorders>
            <w:vAlign w:val="center"/>
          </w:tcPr>
          <w:p w14:paraId="56EBE37D">
            <w:pPr>
              <w:keepNext/>
              <w:keepLines w:val="0"/>
              <w:suppressLineNumbers w:val="0"/>
              <w:spacing w:before="0" w:beforeAutospacing="0" w:after="0" w:afterAutospacing="0"/>
              <w:ind w:left="0" w:right="0"/>
              <w:jc w:val="center"/>
              <w:rPr>
                <w:rFonts w:hint="default" w:cs="宋体"/>
                <w:color w:val="auto"/>
                <w:sz w:val="21"/>
                <w:szCs w:val="21"/>
                <w:highlight w:val="none"/>
              </w:rPr>
            </w:pPr>
            <w:r>
              <w:rPr>
                <w:rFonts w:hint="eastAsia" w:cs="宋体"/>
                <w:color w:val="auto"/>
                <w:sz w:val="21"/>
                <w:szCs w:val="21"/>
                <w:highlight w:val="none"/>
              </w:rPr>
              <w:t>生产能力</w:t>
            </w:r>
          </w:p>
        </w:tc>
        <w:tc>
          <w:tcPr>
            <w:tcW w:w="519" w:type="pct"/>
            <w:tcBorders>
              <w:top w:val="single" w:color="auto" w:sz="12" w:space="0"/>
              <w:bottom w:val="double" w:color="auto" w:sz="6" w:space="0"/>
            </w:tcBorders>
            <w:vAlign w:val="center"/>
          </w:tcPr>
          <w:p w14:paraId="347DAA0A">
            <w:pPr>
              <w:keepNext/>
              <w:keepLines w:val="0"/>
              <w:suppressLineNumbers w:val="0"/>
              <w:spacing w:before="0" w:beforeAutospacing="0" w:after="0" w:afterAutospacing="0"/>
              <w:ind w:left="0" w:right="0"/>
              <w:jc w:val="center"/>
              <w:rPr>
                <w:rFonts w:hint="default" w:cs="宋体"/>
                <w:color w:val="auto"/>
                <w:sz w:val="21"/>
                <w:szCs w:val="21"/>
                <w:highlight w:val="none"/>
              </w:rPr>
            </w:pPr>
            <w:r>
              <w:rPr>
                <w:rFonts w:hint="eastAsia" w:cs="宋体"/>
                <w:color w:val="auto"/>
                <w:sz w:val="21"/>
                <w:szCs w:val="21"/>
                <w:highlight w:val="none"/>
              </w:rPr>
              <w:t>备注</w:t>
            </w:r>
          </w:p>
        </w:tc>
      </w:tr>
      <w:tr w14:paraId="5668D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6F29306E">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792" w:type="pct"/>
            <w:tcBorders>
              <w:top w:val="double" w:color="auto" w:sz="6" w:space="0"/>
            </w:tcBorders>
            <w:vAlign w:val="center"/>
          </w:tcPr>
          <w:p w14:paraId="240DA558">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474" w:type="pct"/>
            <w:tcBorders>
              <w:top w:val="double" w:color="auto" w:sz="6" w:space="0"/>
            </w:tcBorders>
            <w:vAlign w:val="center"/>
          </w:tcPr>
          <w:p w14:paraId="51D1D1F4">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396" w:type="pct"/>
            <w:tcBorders>
              <w:top w:val="double" w:color="auto" w:sz="6" w:space="0"/>
            </w:tcBorders>
            <w:vAlign w:val="center"/>
          </w:tcPr>
          <w:p w14:paraId="7D05FCFF">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474" w:type="pct"/>
            <w:tcBorders>
              <w:top w:val="double" w:color="auto" w:sz="6" w:space="0"/>
            </w:tcBorders>
            <w:vAlign w:val="center"/>
          </w:tcPr>
          <w:p w14:paraId="3CEB33E7">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537" w:type="pct"/>
            <w:tcBorders>
              <w:top w:val="double" w:color="auto" w:sz="6" w:space="0"/>
            </w:tcBorders>
            <w:vAlign w:val="center"/>
          </w:tcPr>
          <w:p w14:paraId="1FBBAEC9">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827" w:type="pct"/>
            <w:tcBorders>
              <w:top w:val="double" w:color="auto" w:sz="6" w:space="0"/>
            </w:tcBorders>
            <w:vAlign w:val="center"/>
          </w:tcPr>
          <w:p w14:paraId="63048EC3">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569" w:type="pct"/>
            <w:tcBorders>
              <w:top w:val="double" w:color="auto" w:sz="6" w:space="0"/>
            </w:tcBorders>
            <w:vAlign w:val="center"/>
          </w:tcPr>
          <w:p w14:paraId="7429D35C">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519" w:type="pct"/>
            <w:tcBorders>
              <w:top w:val="double" w:color="auto" w:sz="6" w:space="0"/>
            </w:tcBorders>
            <w:vAlign w:val="center"/>
          </w:tcPr>
          <w:p w14:paraId="1B5E5FBD">
            <w:pPr>
              <w:keepNext/>
              <w:keepLines w:val="0"/>
              <w:suppressLineNumbers w:val="0"/>
              <w:spacing w:before="0" w:beforeAutospacing="0" w:after="0" w:afterAutospacing="0"/>
              <w:ind w:left="0" w:right="0"/>
              <w:jc w:val="center"/>
              <w:rPr>
                <w:rFonts w:hint="default" w:cs="宋体"/>
                <w:color w:val="auto"/>
                <w:sz w:val="21"/>
                <w:szCs w:val="21"/>
                <w:highlight w:val="none"/>
              </w:rPr>
            </w:pPr>
          </w:p>
        </w:tc>
      </w:tr>
      <w:tr w14:paraId="3DCE8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1BB369F2">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792" w:type="pct"/>
            <w:tcBorders>
              <w:top w:val="nil"/>
            </w:tcBorders>
            <w:vAlign w:val="center"/>
          </w:tcPr>
          <w:p w14:paraId="344B875D">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474" w:type="pct"/>
            <w:tcBorders>
              <w:top w:val="nil"/>
            </w:tcBorders>
            <w:vAlign w:val="center"/>
          </w:tcPr>
          <w:p w14:paraId="1E05747C">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396" w:type="pct"/>
            <w:tcBorders>
              <w:top w:val="nil"/>
            </w:tcBorders>
            <w:vAlign w:val="center"/>
          </w:tcPr>
          <w:p w14:paraId="6A45820F">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474" w:type="pct"/>
            <w:tcBorders>
              <w:top w:val="nil"/>
            </w:tcBorders>
            <w:vAlign w:val="center"/>
          </w:tcPr>
          <w:p w14:paraId="70BBD1C6">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537" w:type="pct"/>
            <w:tcBorders>
              <w:top w:val="nil"/>
            </w:tcBorders>
            <w:vAlign w:val="center"/>
          </w:tcPr>
          <w:p w14:paraId="7D0FA9AE">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827" w:type="pct"/>
            <w:tcBorders>
              <w:top w:val="nil"/>
            </w:tcBorders>
            <w:vAlign w:val="center"/>
          </w:tcPr>
          <w:p w14:paraId="19BB09BC">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569" w:type="pct"/>
            <w:tcBorders>
              <w:top w:val="nil"/>
            </w:tcBorders>
            <w:vAlign w:val="center"/>
          </w:tcPr>
          <w:p w14:paraId="4C964001">
            <w:pPr>
              <w:keepNext/>
              <w:keepLines w:val="0"/>
              <w:suppressLineNumbers w:val="0"/>
              <w:spacing w:before="0" w:beforeAutospacing="0" w:after="0" w:afterAutospacing="0"/>
              <w:ind w:left="0" w:right="0"/>
              <w:jc w:val="center"/>
              <w:rPr>
                <w:rFonts w:hint="default" w:cs="宋体"/>
                <w:color w:val="auto"/>
                <w:sz w:val="21"/>
                <w:szCs w:val="21"/>
                <w:highlight w:val="none"/>
              </w:rPr>
            </w:pPr>
          </w:p>
        </w:tc>
        <w:tc>
          <w:tcPr>
            <w:tcW w:w="519" w:type="pct"/>
            <w:tcBorders>
              <w:top w:val="nil"/>
            </w:tcBorders>
            <w:vAlign w:val="center"/>
          </w:tcPr>
          <w:p w14:paraId="2F8737BB">
            <w:pPr>
              <w:keepNext/>
              <w:keepLines w:val="0"/>
              <w:suppressLineNumbers w:val="0"/>
              <w:spacing w:before="0" w:beforeAutospacing="0" w:after="0" w:afterAutospacing="0"/>
              <w:ind w:left="0" w:right="0"/>
              <w:jc w:val="center"/>
              <w:rPr>
                <w:rFonts w:hint="default" w:cs="宋体"/>
                <w:color w:val="auto"/>
                <w:sz w:val="21"/>
                <w:szCs w:val="21"/>
                <w:highlight w:val="none"/>
              </w:rPr>
            </w:pPr>
          </w:p>
        </w:tc>
      </w:tr>
      <w:tr w14:paraId="00D7C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4413ED02">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792" w:type="pct"/>
            <w:vAlign w:val="center"/>
          </w:tcPr>
          <w:p w14:paraId="4AB59DA6">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474" w:type="pct"/>
            <w:vAlign w:val="center"/>
          </w:tcPr>
          <w:p w14:paraId="2D54F4F0">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396" w:type="pct"/>
            <w:vAlign w:val="center"/>
          </w:tcPr>
          <w:p w14:paraId="1E280320">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474" w:type="pct"/>
            <w:vAlign w:val="center"/>
          </w:tcPr>
          <w:p w14:paraId="2169E69D">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537" w:type="pct"/>
            <w:vAlign w:val="center"/>
          </w:tcPr>
          <w:p w14:paraId="43F0B9BA">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827" w:type="pct"/>
            <w:vAlign w:val="center"/>
          </w:tcPr>
          <w:p w14:paraId="66275FFB">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569" w:type="pct"/>
            <w:vAlign w:val="center"/>
          </w:tcPr>
          <w:p w14:paraId="2D9BED3B">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519" w:type="pct"/>
            <w:vAlign w:val="center"/>
          </w:tcPr>
          <w:p w14:paraId="713BE62C">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r>
      <w:tr w14:paraId="0276D7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682E5678">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792" w:type="pct"/>
            <w:vAlign w:val="center"/>
          </w:tcPr>
          <w:p w14:paraId="4C64C50D">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474" w:type="pct"/>
            <w:vAlign w:val="center"/>
          </w:tcPr>
          <w:p w14:paraId="59ECB12E">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396" w:type="pct"/>
            <w:vAlign w:val="center"/>
          </w:tcPr>
          <w:p w14:paraId="4C0CCFAD">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474" w:type="pct"/>
            <w:vAlign w:val="center"/>
          </w:tcPr>
          <w:p w14:paraId="71AA0FC8">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537" w:type="pct"/>
            <w:vAlign w:val="center"/>
          </w:tcPr>
          <w:p w14:paraId="54A9BD7B">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827" w:type="pct"/>
            <w:vAlign w:val="center"/>
          </w:tcPr>
          <w:p w14:paraId="4F61C4BC">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569" w:type="pct"/>
            <w:vAlign w:val="center"/>
          </w:tcPr>
          <w:p w14:paraId="63B67EB1">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519" w:type="pct"/>
            <w:vAlign w:val="center"/>
          </w:tcPr>
          <w:p w14:paraId="7E60F2B5">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r>
      <w:tr w14:paraId="45D79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652C376B">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792" w:type="pct"/>
            <w:tcBorders>
              <w:bottom w:val="single" w:color="auto" w:sz="12" w:space="0"/>
            </w:tcBorders>
            <w:vAlign w:val="center"/>
          </w:tcPr>
          <w:p w14:paraId="4052CE80">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474" w:type="pct"/>
            <w:tcBorders>
              <w:bottom w:val="single" w:color="auto" w:sz="12" w:space="0"/>
            </w:tcBorders>
            <w:vAlign w:val="center"/>
          </w:tcPr>
          <w:p w14:paraId="6648AF81">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396" w:type="pct"/>
            <w:tcBorders>
              <w:bottom w:val="single" w:color="auto" w:sz="12" w:space="0"/>
            </w:tcBorders>
            <w:vAlign w:val="center"/>
          </w:tcPr>
          <w:p w14:paraId="3A89C4CB">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474" w:type="pct"/>
            <w:tcBorders>
              <w:bottom w:val="single" w:color="auto" w:sz="12" w:space="0"/>
            </w:tcBorders>
            <w:vAlign w:val="center"/>
          </w:tcPr>
          <w:p w14:paraId="6946113B">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537" w:type="pct"/>
            <w:tcBorders>
              <w:bottom w:val="single" w:color="auto" w:sz="12" w:space="0"/>
            </w:tcBorders>
            <w:vAlign w:val="center"/>
          </w:tcPr>
          <w:p w14:paraId="75A74503">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827" w:type="pct"/>
            <w:tcBorders>
              <w:bottom w:val="single" w:color="auto" w:sz="12" w:space="0"/>
            </w:tcBorders>
            <w:vAlign w:val="center"/>
          </w:tcPr>
          <w:p w14:paraId="7CF3D28A">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569" w:type="pct"/>
            <w:tcBorders>
              <w:bottom w:val="single" w:color="auto" w:sz="12" w:space="0"/>
            </w:tcBorders>
            <w:vAlign w:val="center"/>
          </w:tcPr>
          <w:p w14:paraId="0BA5790B">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c>
          <w:tcPr>
            <w:tcW w:w="519" w:type="pct"/>
            <w:tcBorders>
              <w:bottom w:val="single" w:color="auto" w:sz="12" w:space="0"/>
            </w:tcBorders>
            <w:vAlign w:val="center"/>
          </w:tcPr>
          <w:p w14:paraId="590D1B2E">
            <w:pPr>
              <w:keepNext w:val="0"/>
              <w:keepLines w:val="0"/>
              <w:suppressLineNumbers w:val="0"/>
              <w:spacing w:before="0" w:beforeAutospacing="0" w:after="0" w:afterAutospacing="0"/>
              <w:ind w:left="0" w:right="0"/>
              <w:jc w:val="center"/>
              <w:rPr>
                <w:rFonts w:hint="default" w:cs="宋体"/>
                <w:color w:val="auto"/>
                <w:sz w:val="21"/>
                <w:szCs w:val="21"/>
                <w:highlight w:val="none"/>
              </w:rPr>
            </w:pPr>
          </w:p>
        </w:tc>
      </w:tr>
    </w:tbl>
    <w:p w14:paraId="2264FA03">
      <w:pPr>
        <w:spacing w:before="312" w:beforeLines="100" w:after="312" w:afterLines="100"/>
        <w:outlineLvl w:val="2"/>
        <w:rPr>
          <w:rFonts w:ascii="Times New Roman" w:eastAsia="黑体"/>
          <w:color w:val="auto"/>
          <w:sz w:val="21"/>
          <w:szCs w:val="21"/>
          <w:highlight w:val="none"/>
        </w:rPr>
      </w:pPr>
      <w:r>
        <w:rPr>
          <w:rFonts w:hint="eastAsia" w:cs="宋体"/>
          <w:bCs/>
          <w:color w:val="auto"/>
          <w:highlight w:val="none"/>
        </w:rPr>
        <w:br w:type="page"/>
      </w:r>
      <w:bookmarkStart w:id="614" w:name="_Toc128950241"/>
      <w:r>
        <w:rPr>
          <w:rFonts w:hint="eastAsia" w:ascii="Times New Roman" w:eastAsia="黑体"/>
          <w:color w:val="auto"/>
          <w:sz w:val="21"/>
          <w:szCs w:val="21"/>
          <w:highlight w:val="none"/>
        </w:rPr>
        <w:t>附</w:t>
      </w:r>
      <w:bookmarkStart w:id="615" w:name="_Toc296944567"/>
      <w:bookmarkStart w:id="616" w:name="_Toc296891268"/>
      <w:bookmarkStart w:id="617" w:name="_Toc296503228"/>
      <w:bookmarkStart w:id="618" w:name="_Toc296891056"/>
      <w:bookmarkStart w:id="619" w:name="_Toc267261699"/>
      <w:bookmarkStart w:id="620" w:name="_Toc296347227"/>
      <w:bookmarkStart w:id="621" w:name="_Toc296346729"/>
      <w:r>
        <w:rPr>
          <w:rFonts w:hint="eastAsia" w:ascii="Times New Roman" w:eastAsia="黑体"/>
          <w:color w:val="auto"/>
          <w:sz w:val="21"/>
          <w:szCs w:val="21"/>
          <w:highlight w:val="none"/>
        </w:rPr>
        <w:t>件</w:t>
      </w:r>
      <w:bookmarkEnd w:id="615"/>
      <w:bookmarkEnd w:id="616"/>
      <w:bookmarkEnd w:id="617"/>
      <w:bookmarkEnd w:id="618"/>
      <w:bookmarkEnd w:id="619"/>
      <w:bookmarkEnd w:id="620"/>
      <w:bookmarkEnd w:id="621"/>
      <w:r>
        <w:rPr>
          <w:rFonts w:ascii="Times New Roman" w:eastAsia="黑体"/>
          <w:color w:val="auto"/>
          <w:sz w:val="21"/>
          <w:szCs w:val="21"/>
          <w:highlight w:val="none"/>
        </w:rPr>
        <w:t>6</w:t>
      </w:r>
      <w:r>
        <w:rPr>
          <w:rFonts w:hint="eastAsia" w:ascii="Times New Roman" w:eastAsia="黑体"/>
          <w:color w:val="auto"/>
          <w:sz w:val="21"/>
          <w:szCs w:val="21"/>
          <w:highlight w:val="none"/>
        </w:rPr>
        <w:t>：承包人主要施工管理人员表</w:t>
      </w:r>
      <w:bookmarkEnd w:id="614"/>
    </w:p>
    <w:p w14:paraId="7F7A0A3E">
      <w:pPr>
        <w:spacing w:line="360" w:lineRule="auto"/>
        <w:jc w:val="center"/>
        <w:rPr>
          <w:rFonts w:cs="宋体"/>
          <w:color w:val="auto"/>
          <w:sz w:val="21"/>
          <w:szCs w:val="21"/>
          <w:highlight w:val="none"/>
        </w:rPr>
      </w:pPr>
      <w:r>
        <w:rPr>
          <w:rFonts w:hint="eastAsia" w:cs="宋体"/>
          <w:color w:val="auto"/>
          <w:sz w:val="21"/>
          <w:szCs w:val="21"/>
          <w:highlight w:val="none"/>
        </w:rPr>
        <w:t>承包人主要施工管理人员表</w:t>
      </w:r>
    </w:p>
    <w:tbl>
      <w:tblPr>
        <w:tblStyle w:val="5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7CA42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61B7662E">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名称</w:t>
            </w:r>
          </w:p>
        </w:tc>
        <w:tc>
          <w:tcPr>
            <w:tcW w:w="627" w:type="pct"/>
            <w:tcBorders>
              <w:top w:val="single" w:color="auto" w:sz="12" w:space="0"/>
              <w:bottom w:val="double" w:color="auto" w:sz="6" w:space="0"/>
            </w:tcBorders>
            <w:vAlign w:val="center"/>
          </w:tcPr>
          <w:p w14:paraId="4E86983C">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姓名</w:t>
            </w:r>
          </w:p>
        </w:tc>
        <w:tc>
          <w:tcPr>
            <w:tcW w:w="502" w:type="pct"/>
            <w:tcBorders>
              <w:top w:val="single" w:color="auto" w:sz="12" w:space="0"/>
              <w:bottom w:val="double" w:color="auto" w:sz="6" w:space="0"/>
            </w:tcBorders>
            <w:vAlign w:val="center"/>
          </w:tcPr>
          <w:p w14:paraId="3925DA1F">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职务</w:t>
            </w:r>
          </w:p>
        </w:tc>
        <w:tc>
          <w:tcPr>
            <w:tcW w:w="502" w:type="pct"/>
            <w:tcBorders>
              <w:top w:val="single" w:color="auto" w:sz="12" w:space="0"/>
              <w:bottom w:val="double" w:color="auto" w:sz="6" w:space="0"/>
            </w:tcBorders>
            <w:vAlign w:val="center"/>
          </w:tcPr>
          <w:p w14:paraId="361672B4">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职称</w:t>
            </w:r>
          </w:p>
        </w:tc>
        <w:tc>
          <w:tcPr>
            <w:tcW w:w="1281" w:type="pct"/>
            <w:tcBorders>
              <w:top w:val="single" w:color="auto" w:sz="12" w:space="0"/>
              <w:bottom w:val="double" w:color="auto" w:sz="6" w:space="0"/>
            </w:tcBorders>
            <w:vAlign w:val="center"/>
          </w:tcPr>
          <w:p w14:paraId="31FA9C18">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主要资历、经验及承担过的项目</w:t>
            </w:r>
          </w:p>
        </w:tc>
        <w:tc>
          <w:tcPr>
            <w:tcW w:w="1151" w:type="pct"/>
            <w:tcBorders>
              <w:top w:val="single" w:color="auto" w:sz="12" w:space="0"/>
              <w:bottom w:val="double" w:color="auto" w:sz="6" w:space="0"/>
            </w:tcBorders>
            <w:vAlign w:val="center"/>
          </w:tcPr>
          <w:p w14:paraId="6DFCD026">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身份证号码</w:t>
            </w:r>
          </w:p>
        </w:tc>
      </w:tr>
      <w:tr w14:paraId="65042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6A9C849D">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一、总部人员</w:t>
            </w:r>
          </w:p>
        </w:tc>
        <w:tc>
          <w:tcPr>
            <w:tcW w:w="1151" w:type="pct"/>
            <w:tcBorders>
              <w:top w:val="double" w:color="auto" w:sz="6" w:space="0"/>
            </w:tcBorders>
            <w:vAlign w:val="center"/>
          </w:tcPr>
          <w:p w14:paraId="1C68ECDC">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23637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5589D448">
            <w:pPr>
              <w:keepNext w:val="0"/>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项目主管</w:t>
            </w:r>
          </w:p>
        </w:tc>
        <w:tc>
          <w:tcPr>
            <w:tcW w:w="627" w:type="pct"/>
            <w:tcBorders>
              <w:top w:val="nil"/>
            </w:tcBorders>
            <w:vAlign w:val="center"/>
          </w:tcPr>
          <w:p w14:paraId="3161B97F">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tcBorders>
              <w:top w:val="nil"/>
            </w:tcBorders>
            <w:vAlign w:val="center"/>
          </w:tcPr>
          <w:p w14:paraId="452A7919">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tcBorders>
              <w:top w:val="nil"/>
            </w:tcBorders>
            <w:vAlign w:val="center"/>
          </w:tcPr>
          <w:p w14:paraId="79572326">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281" w:type="pct"/>
            <w:tcBorders>
              <w:top w:val="nil"/>
            </w:tcBorders>
            <w:vAlign w:val="center"/>
          </w:tcPr>
          <w:p w14:paraId="72CC4AEC">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151" w:type="pct"/>
            <w:tcBorders>
              <w:top w:val="nil"/>
            </w:tcBorders>
            <w:vAlign w:val="center"/>
          </w:tcPr>
          <w:p w14:paraId="7A9C5314">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1BE63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128E07A4">
            <w:pPr>
              <w:keepNext w:val="0"/>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其他人员</w:t>
            </w:r>
          </w:p>
        </w:tc>
        <w:tc>
          <w:tcPr>
            <w:tcW w:w="627" w:type="pct"/>
            <w:vAlign w:val="center"/>
          </w:tcPr>
          <w:p w14:paraId="79F3B96D">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543F6509">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1D2BC858">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281" w:type="pct"/>
            <w:vAlign w:val="center"/>
          </w:tcPr>
          <w:p w14:paraId="1EF9CCD5">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151" w:type="pct"/>
            <w:vAlign w:val="center"/>
          </w:tcPr>
          <w:p w14:paraId="6846C8AD">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4D68E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4A6DA3EC">
            <w:pPr>
              <w:keepNext w:val="0"/>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627" w:type="pct"/>
            <w:vAlign w:val="center"/>
          </w:tcPr>
          <w:p w14:paraId="4F8C2793">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72245A02">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59D7B7FC">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281" w:type="pct"/>
            <w:vAlign w:val="center"/>
          </w:tcPr>
          <w:p w14:paraId="5E953E24">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151" w:type="pct"/>
            <w:vAlign w:val="center"/>
          </w:tcPr>
          <w:p w14:paraId="5D06B04D">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52C61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44925D33">
            <w:pPr>
              <w:keepNext w:val="0"/>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627" w:type="pct"/>
            <w:vAlign w:val="center"/>
          </w:tcPr>
          <w:p w14:paraId="4317074D">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01823A6D">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3E7D047E">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281" w:type="pct"/>
            <w:vAlign w:val="center"/>
          </w:tcPr>
          <w:p w14:paraId="7B3DB221">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151" w:type="pct"/>
            <w:vAlign w:val="center"/>
          </w:tcPr>
          <w:p w14:paraId="73875566">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65382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7FCA178E">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二、现场人员</w:t>
            </w:r>
          </w:p>
        </w:tc>
        <w:tc>
          <w:tcPr>
            <w:tcW w:w="1151" w:type="pct"/>
            <w:vAlign w:val="center"/>
          </w:tcPr>
          <w:p w14:paraId="04F088AC">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42AF6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13ED99E7">
            <w:pPr>
              <w:keepNext w:val="0"/>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项目经理</w:t>
            </w:r>
          </w:p>
        </w:tc>
        <w:tc>
          <w:tcPr>
            <w:tcW w:w="627" w:type="pct"/>
            <w:vAlign w:val="center"/>
          </w:tcPr>
          <w:p w14:paraId="633A9076">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43569BDC">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32A71A60">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281" w:type="pct"/>
            <w:vAlign w:val="center"/>
          </w:tcPr>
          <w:p w14:paraId="4CC138C0">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151" w:type="pct"/>
            <w:vAlign w:val="center"/>
          </w:tcPr>
          <w:p w14:paraId="3AAA99CD">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500D2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1719F460">
            <w:pPr>
              <w:keepNext w:val="0"/>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项目副经理</w:t>
            </w:r>
          </w:p>
        </w:tc>
        <w:tc>
          <w:tcPr>
            <w:tcW w:w="627" w:type="pct"/>
            <w:vAlign w:val="center"/>
          </w:tcPr>
          <w:p w14:paraId="41BFD2BB">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07A22968">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219121A7">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281" w:type="pct"/>
            <w:vAlign w:val="center"/>
          </w:tcPr>
          <w:p w14:paraId="2A1B3B7D">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151" w:type="pct"/>
            <w:vAlign w:val="center"/>
          </w:tcPr>
          <w:p w14:paraId="758AAF8C">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10A51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1EAD7195">
            <w:pPr>
              <w:keepNext w:val="0"/>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项目技术负责人</w:t>
            </w:r>
          </w:p>
        </w:tc>
        <w:tc>
          <w:tcPr>
            <w:tcW w:w="627" w:type="pct"/>
            <w:vAlign w:val="center"/>
          </w:tcPr>
          <w:p w14:paraId="439AD2CF">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54D96B2F">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3610DC14">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281" w:type="pct"/>
            <w:vAlign w:val="center"/>
          </w:tcPr>
          <w:p w14:paraId="139619D7">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151" w:type="pct"/>
            <w:vAlign w:val="center"/>
          </w:tcPr>
          <w:p w14:paraId="1510FDEB">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714EE9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771072C">
            <w:pPr>
              <w:keepNext w:val="0"/>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施工员</w:t>
            </w:r>
          </w:p>
        </w:tc>
        <w:tc>
          <w:tcPr>
            <w:tcW w:w="627" w:type="pct"/>
            <w:vAlign w:val="center"/>
          </w:tcPr>
          <w:p w14:paraId="75671B1F">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72C3C46E">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7639D656">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281" w:type="pct"/>
            <w:vAlign w:val="center"/>
          </w:tcPr>
          <w:p w14:paraId="0A901CB8">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151" w:type="pct"/>
            <w:vAlign w:val="center"/>
          </w:tcPr>
          <w:p w14:paraId="4C24F9CC">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76052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6C08906">
            <w:pPr>
              <w:keepNext w:val="0"/>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质检员（质量员）</w:t>
            </w:r>
          </w:p>
        </w:tc>
        <w:tc>
          <w:tcPr>
            <w:tcW w:w="627" w:type="pct"/>
            <w:vAlign w:val="center"/>
          </w:tcPr>
          <w:p w14:paraId="4085C78A">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5CD0F123">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42632E6F">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281" w:type="pct"/>
            <w:vAlign w:val="center"/>
          </w:tcPr>
          <w:p w14:paraId="357575F4">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151" w:type="pct"/>
            <w:vAlign w:val="center"/>
          </w:tcPr>
          <w:p w14:paraId="47FD0E0E">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70B7B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FA21179">
            <w:pPr>
              <w:keepNext w:val="0"/>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安全员</w:t>
            </w:r>
          </w:p>
        </w:tc>
        <w:tc>
          <w:tcPr>
            <w:tcW w:w="627" w:type="pct"/>
            <w:vAlign w:val="center"/>
          </w:tcPr>
          <w:p w14:paraId="6797DA7A">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67D38553">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362EC231">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281" w:type="pct"/>
            <w:vAlign w:val="center"/>
          </w:tcPr>
          <w:p w14:paraId="16955493">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151" w:type="pct"/>
            <w:vAlign w:val="center"/>
          </w:tcPr>
          <w:p w14:paraId="76FFADBF">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3EFAC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5F50B9B">
            <w:pPr>
              <w:keepNext w:val="0"/>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资料员</w:t>
            </w:r>
          </w:p>
        </w:tc>
        <w:tc>
          <w:tcPr>
            <w:tcW w:w="627" w:type="pct"/>
            <w:vAlign w:val="center"/>
          </w:tcPr>
          <w:p w14:paraId="7DCF7F69">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1008523B">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22E465B0">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281" w:type="pct"/>
            <w:vAlign w:val="center"/>
          </w:tcPr>
          <w:p w14:paraId="50AE3F53">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151" w:type="pct"/>
            <w:vAlign w:val="center"/>
          </w:tcPr>
          <w:p w14:paraId="00BF410C">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60B4B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7ED2A63C">
            <w:pPr>
              <w:keepNext w:val="0"/>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其他人员</w:t>
            </w:r>
          </w:p>
        </w:tc>
        <w:tc>
          <w:tcPr>
            <w:tcW w:w="627" w:type="pct"/>
            <w:vAlign w:val="center"/>
          </w:tcPr>
          <w:p w14:paraId="7CA05DF0">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5F96B60F">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791B8CAB">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281" w:type="pct"/>
            <w:vAlign w:val="center"/>
          </w:tcPr>
          <w:p w14:paraId="0840BF07">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151" w:type="pct"/>
            <w:vAlign w:val="center"/>
          </w:tcPr>
          <w:p w14:paraId="1829EB81">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09381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F1F3FAC">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627" w:type="pct"/>
            <w:tcBorders>
              <w:bottom w:val="nil"/>
            </w:tcBorders>
            <w:vAlign w:val="center"/>
          </w:tcPr>
          <w:p w14:paraId="386CE0A5">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tcBorders>
              <w:bottom w:val="nil"/>
            </w:tcBorders>
            <w:vAlign w:val="center"/>
          </w:tcPr>
          <w:p w14:paraId="1CB62737">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tcBorders>
              <w:bottom w:val="nil"/>
            </w:tcBorders>
            <w:vAlign w:val="center"/>
          </w:tcPr>
          <w:p w14:paraId="35E35218">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281" w:type="pct"/>
            <w:tcBorders>
              <w:bottom w:val="nil"/>
            </w:tcBorders>
            <w:vAlign w:val="center"/>
          </w:tcPr>
          <w:p w14:paraId="21A8C85F">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151" w:type="pct"/>
            <w:tcBorders>
              <w:bottom w:val="nil"/>
            </w:tcBorders>
            <w:vAlign w:val="center"/>
          </w:tcPr>
          <w:p w14:paraId="6C5B464A">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5E302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7EFDA1CF">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627" w:type="pct"/>
            <w:vAlign w:val="center"/>
          </w:tcPr>
          <w:p w14:paraId="4FBE4B3D">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4D56BDA1">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3E4D224F">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281" w:type="pct"/>
            <w:vAlign w:val="center"/>
          </w:tcPr>
          <w:p w14:paraId="5B101C67">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151" w:type="pct"/>
            <w:vAlign w:val="center"/>
          </w:tcPr>
          <w:p w14:paraId="12A542B0">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75579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140D496">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627" w:type="pct"/>
            <w:vAlign w:val="center"/>
          </w:tcPr>
          <w:p w14:paraId="5BEE4253">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73D3802A">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0F04E54A">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281" w:type="pct"/>
            <w:vAlign w:val="center"/>
          </w:tcPr>
          <w:p w14:paraId="19773AF7">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151" w:type="pct"/>
            <w:vAlign w:val="center"/>
          </w:tcPr>
          <w:p w14:paraId="4D1DB449">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7DAE6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416F083">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627" w:type="pct"/>
            <w:vAlign w:val="center"/>
          </w:tcPr>
          <w:p w14:paraId="4A9A350B">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64A8D2D5">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vAlign w:val="center"/>
          </w:tcPr>
          <w:p w14:paraId="212C6C74">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281" w:type="pct"/>
            <w:vAlign w:val="center"/>
          </w:tcPr>
          <w:p w14:paraId="62F547F8">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151" w:type="pct"/>
            <w:vAlign w:val="center"/>
          </w:tcPr>
          <w:p w14:paraId="662E7871">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05B26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2B3BD5F0">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627" w:type="pct"/>
            <w:tcBorders>
              <w:bottom w:val="single" w:color="auto" w:sz="12" w:space="0"/>
            </w:tcBorders>
            <w:vAlign w:val="center"/>
          </w:tcPr>
          <w:p w14:paraId="3B02BBE6">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tcBorders>
              <w:bottom w:val="single" w:color="auto" w:sz="12" w:space="0"/>
            </w:tcBorders>
            <w:vAlign w:val="center"/>
          </w:tcPr>
          <w:p w14:paraId="156008A8">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02" w:type="pct"/>
            <w:tcBorders>
              <w:bottom w:val="single" w:color="auto" w:sz="12" w:space="0"/>
            </w:tcBorders>
            <w:vAlign w:val="center"/>
          </w:tcPr>
          <w:p w14:paraId="125B1667">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281" w:type="pct"/>
            <w:tcBorders>
              <w:bottom w:val="single" w:color="auto" w:sz="12" w:space="0"/>
            </w:tcBorders>
            <w:vAlign w:val="center"/>
          </w:tcPr>
          <w:p w14:paraId="10641582">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151" w:type="pct"/>
            <w:tcBorders>
              <w:bottom w:val="single" w:color="auto" w:sz="12" w:space="0"/>
            </w:tcBorders>
            <w:vAlign w:val="center"/>
          </w:tcPr>
          <w:p w14:paraId="5A68EC37">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bl>
    <w:p w14:paraId="345BB1B0">
      <w:pPr>
        <w:spacing w:before="312" w:beforeLines="100" w:after="312" w:afterLines="100"/>
        <w:outlineLvl w:val="2"/>
        <w:rPr>
          <w:rFonts w:ascii="Times New Roman" w:eastAsia="黑体"/>
          <w:color w:val="auto"/>
          <w:sz w:val="21"/>
          <w:szCs w:val="21"/>
          <w:highlight w:val="none"/>
        </w:rPr>
      </w:pPr>
      <w:r>
        <w:rPr>
          <w:rFonts w:hint="eastAsia" w:cs="宋体"/>
          <w:bCs/>
          <w:color w:val="auto"/>
          <w:highlight w:val="none"/>
        </w:rPr>
        <w:br w:type="page"/>
      </w:r>
      <w:bookmarkStart w:id="622" w:name="_Toc128950242"/>
      <w:r>
        <w:rPr>
          <w:rFonts w:hint="eastAsia" w:ascii="Times New Roman" w:eastAsia="黑体"/>
          <w:color w:val="auto"/>
          <w:sz w:val="21"/>
          <w:szCs w:val="21"/>
          <w:highlight w:val="none"/>
        </w:rPr>
        <w:t>附</w:t>
      </w:r>
      <w:bookmarkStart w:id="623" w:name="_Toc296891057"/>
      <w:bookmarkStart w:id="624" w:name="_Toc296891269"/>
      <w:bookmarkStart w:id="625" w:name="_Toc296944568"/>
      <w:bookmarkStart w:id="626" w:name="_Toc296346730"/>
      <w:bookmarkStart w:id="627" w:name="_Toc296347228"/>
      <w:bookmarkStart w:id="628" w:name="_Toc296503229"/>
      <w:r>
        <w:rPr>
          <w:rFonts w:hint="eastAsia" w:ascii="Times New Roman" w:eastAsia="黑体"/>
          <w:color w:val="auto"/>
          <w:sz w:val="21"/>
          <w:szCs w:val="21"/>
          <w:highlight w:val="none"/>
        </w:rPr>
        <w:t>件</w:t>
      </w:r>
      <w:r>
        <w:rPr>
          <w:rFonts w:ascii="Times New Roman" w:eastAsia="黑体"/>
          <w:color w:val="auto"/>
          <w:sz w:val="21"/>
          <w:szCs w:val="21"/>
          <w:highlight w:val="none"/>
        </w:rPr>
        <w:t>7</w:t>
      </w:r>
      <w:r>
        <w:rPr>
          <w:rFonts w:hint="eastAsia" w:ascii="Times New Roman" w:eastAsia="黑体"/>
          <w:color w:val="auto"/>
          <w:sz w:val="21"/>
          <w:szCs w:val="21"/>
          <w:highlight w:val="none"/>
        </w:rPr>
        <w:t>：分包人主要施工管理人员表</w:t>
      </w:r>
      <w:bookmarkEnd w:id="622"/>
    </w:p>
    <w:bookmarkEnd w:id="623"/>
    <w:bookmarkEnd w:id="624"/>
    <w:bookmarkEnd w:id="625"/>
    <w:bookmarkEnd w:id="626"/>
    <w:bookmarkEnd w:id="627"/>
    <w:bookmarkEnd w:id="628"/>
    <w:p w14:paraId="1B3D863F">
      <w:pPr>
        <w:spacing w:before="156" w:beforeLines="50" w:after="156" w:afterLines="50" w:line="360" w:lineRule="auto"/>
        <w:jc w:val="center"/>
        <w:rPr>
          <w:rFonts w:cs="宋体"/>
          <w:b/>
          <w:color w:val="auto"/>
          <w:sz w:val="21"/>
          <w:szCs w:val="21"/>
          <w:highlight w:val="none"/>
        </w:rPr>
      </w:pPr>
      <w:r>
        <w:rPr>
          <w:rFonts w:hint="eastAsia" w:cs="宋体"/>
          <w:b/>
          <w:color w:val="auto"/>
          <w:sz w:val="21"/>
          <w:szCs w:val="21"/>
          <w:highlight w:val="none"/>
        </w:rPr>
        <w:t>分包人主要施工管理人员表</w:t>
      </w:r>
    </w:p>
    <w:tbl>
      <w:tblPr>
        <w:tblStyle w:val="5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3"/>
        <w:gridCol w:w="1072"/>
        <w:gridCol w:w="858"/>
        <w:gridCol w:w="624"/>
        <w:gridCol w:w="3159"/>
        <w:gridCol w:w="1236"/>
      </w:tblGrid>
      <w:tr w14:paraId="3FD75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single" w:color="auto" w:sz="12" w:space="0"/>
              <w:bottom w:val="double" w:color="auto" w:sz="6" w:space="0"/>
            </w:tcBorders>
            <w:vAlign w:val="center"/>
          </w:tcPr>
          <w:p w14:paraId="12E2D32A">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名称</w:t>
            </w:r>
          </w:p>
        </w:tc>
        <w:tc>
          <w:tcPr>
            <w:tcW w:w="641" w:type="pct"/>
            <w:tcBorders>
              <w:top w:val="single" w:color="auto" w:sz="12" w:space="0"/>
              <w:bottom w:val="double" w:color="auto" w:sz="6" w:space="0"/>
            </w:tcBorders>
            <w:vAlign w:val="center"/>
          </w:tcPr>
          <w:p w14:paraId="6D0D670C">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姓名</w:t>
            </w:r>
          </w:p>
        </w:tc>
        <w:tc>
          <w:tcPr>
            <w:tcW w:w="513" w:type="pct"/>
            <w:tcBorders>
              <w:top w:val="single" w:color="auto" w:sz="12" w:space="0"/>
              <w:bottom w:val="double" w:color="auto" w:sz="6" w:space="0"/>
            </w:tcBorders>
            <w:vAlign w:val="center"/>
          </w:tcPr>
          <w:p w14:paraId="2CB11B2D">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职务</w:t>
            </w:r>
          </w:p>
        </w:tc>
        <w:tc>
          <w:tcPr>
            <w:tcW w:w="373" w:type="pct"/>
            <w:tcBorders>
              <w:top w:val="single" w:color="auto" w:sz="12" w:space="0"/>
              <w:bottom w:val="double" w:color="auto" w:sz="6" w:space="0"/>
            </w:tcBorders>
            <w:vAlign w:val="center"/>
          </w:tcPr>
          <w:p w14:paraId="6CEE2FDE">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职称</w:t>
            </w:r>
          </w:p>
        </w:tc>
        <w:tc>
          <w:tcPr>
            <w:tcW w:w="1889" w:type="pct"/>
            <w:tcBorders>
              <w:top w:val="single" w:color="auto" w:sz="12" w:space="0"/>
              <w:bottom w:val="double" w:color="auto" w:sz="6" w:space="0"/>
            </w:tcBorders>
            <w:vAlign w:val="center"/>
          </w:tcPr>
          <w:p w14:paraId="3D77011B">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主要资历、经验及承担过的项目</w:t>
            </w:r>
          </w:p>
        </w:tc>
        <w:tc>
          <w:tcPr>
            <w:tcW w:w="739" w:type="pct"/>
            <w:tcBorders>
              <w:top w:val="single" w:color="auto" w:sz="12" w:space="0"/>
              <w:bottom w:val="double" w:color="auto" w:sz="6" w:space="0"/>
            </w:tcBorders>
            <w:vAlign w:val="center"/>
          </w:tcPr>
          <w:p w14:paraId="58824590">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身份证号码</w:t>
            </w:r>
          </w:p>
        </w:tc>
      </w:tr>
      <w:tr w14:paraId="24F92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tcBorders>
              <w:top w:val="double" w:color="auto" w:sz="6" w:space="0"/>
            </w:tcBorders>
            <w:vAlign w:val="center"/>
          </w:tcPr>
          <w:p w14:paraId="0D8853F0">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一、总部人员</w:t>
            </w:r>
          </w:p>
        </w:tc>
        <w:tc>
          <w:tcPr>
            <w:tcW w:w="739" w:type="pct"/>
            <w:tcBorders>
              <w:top w:val="double" w:color="auto" w:sz="6" w:space="0"/>
            </w:tcBorders>
            <w:vAlign w:val="center"/>
          </w:tcPr>
          <w:p w14:paraId="7A7712F7">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62FA5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nil"/>
              <w:bottom w:val="nil"/>
            </w:tcBorders>
            <w:vAlign w:val="center"/>
          </w:tcPr>
          <w:p w14:paraId="4C597162">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项目主管</w:t>
            </w:r>
          </w:p>
        </w:tc>
        <w:tc>
          <w:tcPr>
            <w:tcW w:w="641" w:type="pct"/>
            <w:tcBorders>
              <w:top w:val="nil"/>
            </w:tcBorders>
            <w:vAlign w:val="center"/>
          </w:tcPr>
          <w:p w14:paraId="6AF352C5">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13" w:type="pct"/>
            <w:tcBorders>
              <w:top w:val="nil"/>
            </w:tcBorders>
            <w:vAlign w:val="center"/>
          </w:tcPr>
          <w:p w14:paraId="0625C6E8">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373" w:type="pct"/>
            <w:tcBorders>
              <w:top w:val="nil"/>
            </w:tcBorders>
            <w:vAlign w:val="center"/>
          </w:tcPr>
          <w:p w14:paraId="2D6F9B69">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889" w:type="pct"/>
            <w:tcBorders>
              <w:top w:val="nil"/>
            </w:tcBorders>
            <w:vAlign w:val="center"/>
          </w:tcPr>
          <w:p w14:paraId="43AFBAFE">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739" w:type="pct"/>
            <w:tcBorders>
              <w:top w:val="nil"/>
            </w:tcBorders>
            <w:vAlign w:val="center"/>
          </w:tcPr>
          <w:p w14:paraId="6A2512D3">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32B30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48AD43FE">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其他人员</w:t>
            </w:r>
          </w:p>
        </w:tc>
        <w:tc>
          <w:tcPr>
            <w:tcW w:w="641" w:type="pct"/>
            <w:vAlign w:val="center"/>
          </w:tcPr>
          <w:p w14:paraId="03884D64">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13" w:type="pct"/>
            <w:vAlign w:val="center"/>
          </w:tcPr>
          <w:p w14:paraId="68290E3C">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373" w:type="pct"/>
            <w:vAlign w:val="center"/>
          </w:tcPr>
          <w:p w14:paraId="69E02687">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889" w:type="pct"/>
            <w:vAlign w:val="center"/>
          </w:tcPr>
          <w:p w14:paraId="16138C34">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739" w:type="pct"/>
            <w:vAlign w:val="center"/>
          </w:tcPr>
          <w:p w14:paraId="15BAAA4A">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53599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5EBC8F4B">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641" w:type="pct"/>
            <w:vAlign w:val="center"/>
          </w:tcPr>
          <w:p w14:paraId="2770B818">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13" w:type="pct"/>
            <w:vAlign w:val="center"/>
          </w:tcPr>
          <w:p w14:paraId="50C0863C">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373" w:type="pct"/>
            <w:vAlign w:val="center"/>
          </w:tcPr>
          <w:p w14:paraId="3F2B987E">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889" w:type="pct"/>
            <w:vAlign w:val="center"/>
          </w:tcPr>
          <w:p w14:paraId="2B4AC6F4">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739" w:type="pct"/>
            <w:vAlign w:val="center"/>
          </w:tcPr>
          <w:p w14:paraId="7FDC66DB">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086B8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nil"/>
            </w:tcBorders>
            <w:vAlign w:val="center"/>
          </w:tcPr>
          <w:p w14:paraId="36C9A886">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641" w:type="pct"/>
            <w:vAlign w:val="center"/>
          </w:tcPr>
          <w:p w14:paraId="76EFAF1A">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13" w:type="pct"/>
            <w:vAlign w:val="center"/>
          </w:tcPr>
          <w:p w14:paraId="7EB40D64">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373" w:type="pct"/>
            <w:vAlign w:val="center"/>
          </w:tcPr>
          <w:p w14:paraId="3348F335">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889" w:type="pct"/>
            <w:vAlign w:val="center"/>
          </w:tcPr>
          <w:p w14:paraId="2E688442">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739" w:type="pct"/>
            <w:vAlign w:val="center"/>
          </w:tcPr>
          <w:p w14:paraId="4B1B73D3">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3D433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vAlign w:val="center"/>
          </w:tcPr>
          <w:p w14:paraId="30619FAB">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二、现场人员</w:t>
            </w:r>
          </w:p>
        </w:tc>
        <w:tc>
          <w:tcPr>
            <w:tcW w:w="739" w:type="pct"/>
            <w:vAlign w:val="center"/>
          </w:tcPr>
          <w:p w14:paraId="3811B392">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773E5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49CA6DC2">
            <w:pPr>
              <w:keepNext w:val="0"/>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项目经理</w:t>
            </w:r>
          </w:p>
        </w:tc>
        <w:tc>
          <w:tcPr>
            <w:tcW w:w="641" w:type="pct"/>
            <w:vAlign w:val="center"/>
          </w:tcPr>
          <w:p w14:paraId="76DBAC7D">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13" w:type="pct"/>
            <w:vAlign w:val="center"/>
          </w:tcPr>
          <w:p w14:paraId="3625C30E">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373" w:type="pct"/>
            <w:vAlign w:val="center"/>
          </w:tcPr>
          <w:p w14:paraId="1D1BF473">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889" w:type="pct"/>
            <w:vAlign w:val="center"/>
          </w:tcPr>
          <w:p w14:paraId="788F7A00">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739" w:type="pct"/>
            <w:vAlign w:val="center"/>
          </w:tcPr>
          <w:p w14:paraId="433F7442">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08FCB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4ACA6BF2">
            <w:pPr>
              <w:keepNext w:val="0"/>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项目副经理</w:t>
            </w:r>
          </w:p>
        </w:tc>
        <w:tc>
          <w:tcPr>
            <w:tcW w:w="641" w:type="pct"/>
            <w:vAlign w:val="center"/>
          </w:tcPr>
          <w:p w14:paraId="210DF5AF">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13" w:type="pct"/>
            <w:vAlign w:val="center"/>
          </w:tcPr>
          <w:p w14:paraId="44A7EA79">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373" w:type="pct"/>
            <w:vAlign w:val="center"/>
          </w:tcPr>
          <w:p w14:paraId="477CE91B">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889" w:type="pct"/>
            <w:vAlign w:val="center"/>
          </w:tcPr>
          <w:p w14:paraId="68D85840">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739" w:type="pct"/>
            <w:vAlign w:val="center"/>
          </w:tcPr>
          <w:p w14:paraId="719BC6EF">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349FB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5F73E6E7">
            <w:pPr>
              <w:keepNext w:val="0"/>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项目技术负责人</w:t>
            </w:r>
          </w:p>
        </w:tc>
        <w:tc>
          <w:tcPr>
            <w:tcW w:w="641" w:type="pct"/>
            <w:vAlign w:val="center"/>
          </w:tcPr>
          <w:p w14:paraId="6DDDB3B1">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13" w:type="pct"/>
            <w:vAlign w:val="center"/>
          </w:tcPr>
          <w:p w14:paraId="5DAE4DF7">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373" w:type="pct"/>
            <w:vAlign w:val="center"/>
          </w:tcPr>
          <w:p w14:paraId="6C7670B8">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889" w:type="pct"/>
            <w:vAlign w:val="center"/>
          </w:tcPr>
          <w:p w14:paraId="0F5F1FAC">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739" w:type="pct"/>
            <w:vAlign w:val="center"/>
          </w:tcPr>
          <w:p w14:paraId="66F8776F">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639D0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5455D69B">
            <w:pPr>
              <w:keepNext w:val="0"/>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施工员</w:t>
            </w:r>
          </w:p>
        </w:tc>
        <w:tc>
          <w:tcPr>
            <w:tcW w:w="641" w:type="pct"/>
            <w:vAlign w:val="center"/>
          </w:tcPr>
          <w:p w14:paraId="6E19F32B">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13" w:type="pct"/>
            <w:vAlign w:val="center"/>
          </w:tcPr>
          <w:p w14:paraId="4D0F55E3">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373" w:type="pct"/>
            <w:vAlign w:val="center"/>
          </w:tcPr>
          <w:p w14:paraId="1C70FD1F">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889" w:type="pct"/>
            <w:vAlign w:val="center"/>
          </w:tcPr>
          <w:p w14:paraId="73451B4A">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739" w:type="pct"/>
            <w:vAlign w:val="center"/>
          </w:tcPr>
          <w:p w14:paraId="42D1C8EB">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57C37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3ED4EEA">
            <w:pPr>
              <w:keepNext w:val="0"/>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质检员（质量员）</w:t>
            </w:r>
          </w:p>
        </w:tc>
        <w:tc>
          <w:tcPr>
            <w:tcW w:w="641" w:type="pct"/>
            <w:vAlign w:val="center"/>
          </w:tcPr>
          <w:p w14:paraId="09D2FB8D">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13" w:type="pct"/>
            <w:vAlign w:val="center"/>
          </w:tcPr>
          <w:p w14:paraId="413AD35D">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373" w:type="pct"/>
            <w:vAlign w:val="center"/>
          </w:tcPr>
          <w:p w14:paraId="29552418">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889" w:type="pct"/>
            <w:vAlign w:val="center"/>
          </w:tcPr>
          <w:p w14:paraId="5B62E3BD">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739" w:type="pct"/>
            <w:vAlign w:val="center"/>
          </w:tcPr>
          <w:p w14:paraId="614B814C">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00FBF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1481D9A">
            <w:pPr>
              <w:keepNext w:val="0"/>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安全员</w:t>
            </w:r>
          </w:p>
        </w:tc>
        <w:tc>
          <w:tcPr>
            <w:tcW w:w="641" w:type="pct"/>
            <w:vAlign w:val="center"/>
          </w:tcPr>
          <w:p w14:paraId="2B0D670E">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13" w:type="pct"/>
            <w:vAlign w:val="center"/>
          </w:tcPr>
          <w:p w14:paraId="1ABFD5FA">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373" w:type="pct"/>
            <w:vAlign w:val="center"/>
          </w:tcPr>
          <w:p w14:paraId="5987FB44">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889" w:type="pct"/>
            <w:vAlign w:val="center"/>
          </w:tcPr>
          <w:p w14:paraId="46118A6A">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739" w:type="pct"/>
            <w:vAlign w:val="center"/>
          </w:tcPr>
          <w:p w14:paraId="412937C2">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5F431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36305AA2">
            <w:pPr>
              <w:keepNext w:val="0"/>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资料员</w:t>
            </w:r>
          </w:p>
        </w:tc>
        <w:tc>
          <w:tcPr>
            <w:tcW w:w="641" w:type="pct"/>
            <w:vAlign w:val="center"/>
          </w:tcPr>
          <w:p w14:paraId="1B37943E">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13" w:type="pct"/>
            <w:vAlign w:val="center"/>
          </w:tcPr>
          <w:p w14:paraId="29EF0E09">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373" w:type="pct"/>
            <w:vAlign w:val="center"/>
          </w:tcPr>
          <w:p w14:paraId="216F4799">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889" w:type="pct"/>
            <w:vAlign w:val="center"/>
          </w:tcPr>
          <w:p w14:paraId="5068CD3F">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739" w:type="pct"/>
            <w:vAlign w:val="center"/>
          </w:tcPr>
          <w:p w14:paraId="77674C51">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460E4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4E681BCA">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r>
              <w:rPr>
                <w:rFonts w:hint="eastAsia" w:cs="宋体"/>
                <w:color w:val="auto"/>
                <w:sz w:val="21"/>
                <w:szCs w:val="21"/>
                <w:highlight w:val="none"/>
              </w:rPr>
              <w:t>其他人员</w:t>
            </w:r>
          </w:p>
        </w:tc>
        <w:tc>
          <w:tcPr>
            <w:tcW w:w="641" w:type="pct"/>
            <w:vAlign w:val="center"/>
          </w:tcPr>
          <w:p w14:paraId="29461E00">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13" w:type="pct"/>
            <w:vAlign w:val="center"/>
          </w:tcPr>
          <w:p w14:paraId="423CC97F">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373" w:type="pct"/>
            <w:vAlign w:val="center"/>
          </w:tcPr>
          <w:p w14:paraId="53219636">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889" w:type="pct"/>
            <w:vAlign w:val="center"/>
          </w:tcPr>
          <w:p w14:paraId="0F6B5AA2">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739" w:type="pct"/>
            <w:vAlign w:val="center"/>
          </w:tcPr>
          <w:p w14:paraId="23FD9833">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6C670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499E170C">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641" w:type="pct"/>
            <w:tcBorders>
              <w:bottom w:val="nil"/>
            </w:tcBorders>
            <w:vAlign w:val="center"/>
          </w:tcPr>
          <w:p w14:paraId="49AFED82">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13" w:type="pct"/>
            <w:tcBorders>
              <w:bottom w:val="nil"/>
            </w:tcBorders>
            <w:vAlign w:val="center"/>
          </w:tcPr>
          <w:p w14:paraId="01F03C29">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373" w:type="pct"/>
            <w:tcBorders>
              <w:bottom w:val="nil"/>
            </w:tcBorders>
            <w:vAlign w:val="center"/>
          </w:tcPr>
          <w:p w14:paraId="5717B707">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889" w:type="pct"/>
            <w:tcBorders>
              <w:bottom w:val="nil"/>
            </w:tcBorders>
            <w:vAlign w:val="center"/>
          </w:tcPr>
          <w:p w14:paraId="6976BB87">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739" w:type="pct"/>
            <w:tcBorders>
              <w:bottom w:val="nil"/>
            </w:tcBorders>
            <w:vAlign w:val="center"/>
          </w:tcPr>
          <w:p w14:paraId="7AD3DD90">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2311F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7BE54A05">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641" w:type="pct"/>
            <w:vAlign w:val="center"/>
          </w:tcPr>
          <w:p w14:paraId="5EB9212C">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13" w:type="pct"/>
            <w:vAlign w:val="center"/>
          </w:tcPr>
          <w:p w14:paraId="4611E326">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373" w:type="pct"/>
            <w:vAlign w:val="center"/>
          </w:tcPr>
          <w:p w14:paraId="005D54BA">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889" w:type="pct"/>
            <w:vAlign w:val="center"/>
          </w:tcPr>
          <w:p w14:paraId="60F46FD9">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739" w:type="pct"/>
            <w:vAlign w:val="center"/>
          </w:tcPr>
          <w:p w14:paraId="6B02E2F9">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156E7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54DC8DF0">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641" w:type="pct"/>
            <w:vAlign w:val="center"/>
          </w:tcPr>
          <w:p w14:paraId="29038A7D">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13" w:type="pct"/>
            <w:vAlign w:val="center"/>
          </w:tcPr>
          <w:p w14:paraId="23028EDB">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373" w:type="pct"/>
            <w:vAlign w:val="center"/>
          </w:tcPr>
          <w:p w14:paraId="74F7B3D5">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889" w:type="pct"/>
            <w:vAlign w:val="center"/>
          </w:tcPr>
          <w:p w14:paraId="6BEEFA0A">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739" w:type="pct"/>
            <w:vAlign w:val="center"/>
          </w:tcPr>
          <w:p w14:paraId="41ABA6AE">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778E1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366B2C66">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641" w:type="pct"/>
            <w:vAlign w:val="center"/>
          </w:tcPr>
          <w:p w14:paraId="7285D34B">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13" w:type="pct"/>
            <w:vAlign w:val="center"/>
          </w:tcPr>
          <w:p w14:paraId="2B05ACB6">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373" w:type="pct"/>
            <w:vAlign w:val="center"/>
          </w:tcPr>
          <w:p w14:paraId="4F574031">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889" w:type="pct"/>
            <w:vAlign w:val="center"/>
          </w:tcPr>
          <w:p w14:paraId="7F801807">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739" w:type="pct"/>
            <w:vAlign w:val="center"/>
          </w:tcPr>
          <w:p w14:paraId="46556C31">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r w14:paraId="12BAA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single" w:color="auto" w:sz="12" w:space="0"/>
            </w:tcBorders>
            <w:vAlign w:val="center"/>
          </w:tcPr>
          <w:p w14:paraId="7690236F">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641" w:type="pct"/>
            <w:tcBorders>
              <w:bottom w:val="single" w:color="auto" w:sz="12" w:space="0"/>
            </w:tcBorders>
            <w:vAlign w:val="center"/>
          </w:tcPr>
          <w:p w14:paraId="0739E4D6">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513" w:type="pct"/>
            <w:tcBorders>
              <w:bottom w:val="single" w:color="auto" w:sz="12" w:space="0"/>
            </w:tcBorders>
            <w:vAlign w:val="center"/>
          </w:tcPr>
          <w:p w14:paraId="45FF745C">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373" w:type="pct"/>
            <w:tcBorders>
              <w:bottom w:val="single" w:color="auto" w:sz="12" w:space="0"/>
            </w:tcBorders>
            <w:vAlign w:val="center"/>
          </w:tcPr>
          <w:p w14:paraId="7EDE13B1">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1889" w:type="pct"/>
            <w:tcBorders>
              <w:bottom w:val="single" w:color="auto" w:sz="12" w:space="0"/>
            </w:tcBorders>
            <w:vAlign w:val="center"/>
          </w:tcPr>
          <w:p w14:paraId="04B7F605">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c>
          <w:tcPr>
            <w:tcW w:w="739" w:type="pct"/>
            <w:tcBorders>
              <w:bottom w:val="single" w:color="auto" w:sz="12" w:space="0"/>
            </w:tcBorders>
            <w:vAlign w:val="center"/>
          </w:tcPr>
          <w:p w14:paraId="4F5F6C0E">
            <w:pPr>
              <w:keepNext/>
              <w:keepLines w:val="0"/>
              <w:suppressLineNumbers w:val="0"/>
              <w:spacing w:before="0" w:beforeAutospacing="0" w:after="0" w:afterAutospacing="0" w:line="360" w:lineRule="auto"/>
              <w:ind w:left="0" w:right="0"/>
              <w:jc w:val="center"/>
              <w:rPr>
                <w:rFonts w:hint="default" w:cs="宋体"/>
                <w:color w:val="auto"/>
                <w:sz w:val="21"/>
                <w:szCs w:val="21"/>
                <w:highlight w:val="none"/>
              </w:rPr>
            </w:pPr>
          </w:p>
        </w:tc>
      </w:tr>
    </w:tbl>
    <w:p w14:paraId="1F0B7F2B">
      <w:pPr>
        <w:spacing w:before="312" w:beforeLines="100" w:after="312" w:afterLines="100"/>
        <w:outlineLvl w:val="2"/>
        <w:rPr>
          <w:rFonts w:ascii="Times New Roman" w:eastAsia="黑体"/>
          <w:color w:val="auto"/>
          <w:sz w:val="21"/>
          <w:szCs w:val="21"/>
          <w:highlight w:val="none"/>
        </w:rPr>
      </w:pPr>
      <w:r>
        <w:rPr>
          <w:rFonts w:hint="eastAsia" w:cs="宋体"/>
          <w:bCs/>
          <w:color w:val="auto"/>
          <w:highlight w:val="none"/>
        </w:rPr>
        <w:br w:type="page"/>
      </w:r>
      <w:bookmarkStart w:id="629" w:name="_Toc128950243"/>
      <w:r>
        <w:rPr>
          <w:rFonts w:hint="eastAsia" w:ascii="Times New Roman" w:eastAsia="黑体"/>
          <w:color w:val="auto"/>
          <w:sz w:val="21"/>
          <w:szCs w:val="21"/>
          <w:highlight w:val="none"/>
        </w:rPr>
        <w:t>附</w:t>
      </w:r>
      <w:bookmarkStart w:id="630" w:name="_Toc296347230"/>
      <w:bookmarkStart w:id="631" w:name="_Toc296944570"/>
      <w:bookmarkStart w:id="632" w:name="_Toc296891271"/>
      <w:bookmarkStart w:id="633" w:name="_Toc296346732"/>
      <w:bookmarkStart w:id="634" w:name="_Toc296891059"/>
      <w:bookmarkStart w:id="635" w:name="_Toc296503231"/>
      <w:r>
        <w:rPr>
          <w:rFonts w:hint="eastAsia" w:ascii="Times New Roman" w:eastAsia="黑体"/>
          <w:color w:val="auto"/>
          <w:sz w:val="21"/>
          <w:szCs w:val="21"/>
          <w:highlight w:val="none"/>
        </w:rPr>
        <w:t>件</w:t>
      </w:r>
      <w:r>
        <w:rPr>
          <w:rFonts w:ascii="Times New Roman" w:eastAsia="黑体"/>
          <w:color w:val="auto"/>
          <w:sz w:val="21"/>
          <w:szCs w:val="21"/>
          <w:highlight w:val="none"/>
        </w:rPr>
        <w:t>8</w:t>
      </w:r>
      <w:r>
        <w:rPr>
          <w:rFonts w:hint="eastAsia" w:ascii="Times New Roman" w:eastAsia="黑体"/>
          <w:color w:val="auto"/>
          <w:sz w:val="21"/>
          <w:szCs w:val="21"/>
          <w:highlight w:val="none"/>
        </w:rPr>
        <w:t>：廉政协议</w:t>
      </w:r>
      <w:bookmarkEnd w:id="629"/>
    </w:p>
    <w:bookmarkEnd w:id="630"/>
    <w:bookmarkEnd w:id="631"/>
    <w:bookmarkEnd w:id="632"/>
    <w:bookmarkEnd w:id="633"/>
    <w:bookmarkEnd w:id="634"/>
    <w:bookmarkEnd w:id="635"/>
    <w:p w14:paraId="11A9F469">
      <w:pPr>
        <w:widowControl/>
        <w:spacing w:line="360" w:lineRule="auto"/>
        <w:ind w:firstLine="643"/>
        <w:jc w:val="center"/>
        <w:rPr>
          <w:rFonts w:cs="宋体"/>
          <w:b/>
          <w:bCs/>
          <w:color w:val="auto"/>
          <w:sz w:val="32"/>
          <w:szCs w:val="32"/>
          <w:highlight w:val="none"/>
        </w:rPr>
      </w:pPr>
      <w:r>
        <w:rPr>
          <w:rFonts w:hint="eastAsia" w:cs="宋体"/>
          <w:b/>
          <w:bCs/>
          <w:color w:val="auto"/>
          <w:sz w:val="32"/>
          <w:szCs w:val="32"/>
          <w:highlight w:val="none"/>
        </w:rPr>
        <w:t>廉政协议</w:t>
      </w:r>
    </w:p>
    <w:p w14:paraId="57B096F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为促进双方诚信经营、廉洁从业，防范商业贿赂，保护国家、集体和当事人的合法权益，根据国家有关法律法规和安徽省廉政建设的规定，</w:t>
      </w:r>
      <w:r>
        <w:rPr>
          <w:rFonts w:hint="eastAsia" w:cs="宋体"/>
          <w:color w:val="auto"/>
          <w:sz w:val="21"/>
          <w:szCs w:val="21"/>
          <w:highlight w:val="none"/>
          <w:u w:val="single"/>
        </w:rPr>
        <w:t xml:space="preserve">     </w:t>
      </w:r>
      <w:r>
        <w:rPr>
          <w:rFonts w:hint="eastAsia" w:cs="宋体"/>
          <w:color w:val="auto"/>
          <w:sz w:val="21"/>
          <w:szCs w:val="21"/>
          <w:highlight w:val="none"/>
        </w:rPr>
        <w:t>（以下称甲方）与</w:t>
      </w:r>
      <w:r>
        <w:rPr>
          <w:rFonts w:hint="eastAsia" w:cs="宋体"/>
          <w:color w:val="auto"/>
          <w:sz w:val="21"/>
          <w:szCs w:val="21"/>
          <w:highlight w:val="none"/>
          <w:u w:val="single"/>
        </w:rPr>
        <w:t xml:space="preserve">             （</w:t>
      </w:r>
      <w:r>
        <w:rPr>
          <w:rFonts w:hint="eastAsia" w:cs="宋体"/>
          <w:color w:val="auto"/>
          <w:sz w:val="21"/>
          <w:szCs w:val="21"/>
          <w:highlight w:val="none"/>
        </w:rPr>
        <w:t>以下称乙方），特此订立本协议共同遵照执行。</w:t>
      </w:r>
    </w:p>
    <w:p w14:paraId="0E4B785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第一条 甲乙双方的权利和义务</w:t>
      </w:r>
    </w:p>
    <w:p w14:paraId="632BC0B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0BA9CC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（二）严格执行</w:t>
      </w:r>
      <w:r>
        <w:rPr>
          <w:rFonts w:hint="eastAsia" w:cs="宋体"/>
          <w:color w:val="auto"/>
          <w:sz w:val="21"/>
          <w:szCs w:val="21"/>
          <w:highlight w:val="none"/>
          <w:u w:val="single"/>
        </w:rPr>
        <w:t xml:space="preserve">                                </w:t>
      </w:r>
      <w:r>
        <w:rPr>
          <w:rFonts w:hint="eastAsia" w:cs="宋体"/>
          <w:color w:val="auto"/>
          <w:sz w:val="21"/>
          <w:szCs w:val="21"/>
          <w:highlight w:val="none"/>
        </w:rPr>
        <w:t>的合同要求，自觉履行合同约定的相关义务。</w:t>
      </w:r>
    </w:p>
    <w:p w14:paraId="39A520E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（三）在业务活动中坚持公开、公正、诚信、透明的原则，不得损害国家、集体利益。</w:t>
      </w:r>
    </w:p>
    <w:p w14:paraId="3BE808D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（四）建立健全廉政制度，开展廉政教育，公布举报电话，监督并认真查处违法违纪行为。</w:t>
      </w:r>
    </w:p>
    <w:p w14:paraId="2B5DB08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（五）发现对方在业务活动中有违反廉政规定的行为，应及时提醒对方纠正。情节严重的，应向其上级有关部门举报、建议给予处理，并有权要求告知处理结果。</w:t>
      </w:r>
    </w:p>
    <w:p w14:paraId="5240FDD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第二条 甲方的义务</w:t>
      </w:r>
    </w:p>
    <w:p w14:paraId="4A06506D">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（一）甲方及其工作人员不得索要或接受乙方的礼金、有价证券和贵重物品，不得在乙方报销任何应由甲方单位或个人支付的费用等。</w:t>
      </w:r>
    </w:p>
    <w:p w14:paraId="5159387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79F65C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 甲方及其工作人员不得要求或者接受乙方为其住房装修、婚丧嫁娶活动、配偶子女工作安排以及出国出境、旅游等提供方便等。</w:t>
      </w:r>
    </w:p>
    <w:p w14:paraId="6A9EE97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 甲方工作人员不得在乙方有股权关联的企业兼职，不得向乙方介绍家属或者亲友从事与甲方业务有关的经济活动。</w:t>
      </w:r>
    </w:p>
    <w:p w14:paraId="2A1B13A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224B779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（六）甲方工作人员不得利用职务之便收受乙方以回扣、手续费、加班费、咨询费、劳务费、协调费、辛苦费等各种名义给予或赠送的钱物。</w:t>
      </w:r>
    </w:p>
    <w:p w14:paraId="2C9E879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（七）甲方工作人员不得接受乙方给予或赠送的干股或红利。</w:t>
      </w:r>
    </w:p>
    <w:p w14:paraId="67438A1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（八）甲方任何人不得以个人的名义向乙方推荐设备、部件等供货商以及其他合作单位。</w:t>
      </w:r>
    </w:p>
    <w:p w14:paraId="4FAB8AA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第三条 乙方的义务</w:t>
      </w:r>
    </w:p>
    <w:p w14:paraId="7E4346C5">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（一）乙方不得以任何理由向甲方及其工作人员行贿或馈赠礼金、有价证券、贵重礼品。</w:t>
      </w:r>
    </w:p>
    <w:p w14:paraId="3E7DF8C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（二）乙方不得以任何名义为甲方及其工作人员报销应由甲方单位或个人支付的任何费用。</w:t>
      </w:r>
    </w:p>
    <w:p w14:paraId="6A39E5F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（三）乙方不得以任何理由安排甲方工作人员参加可能影响相关业务公开、公正、公平性的宴请及娱乐活动。</w:t>
      </w:r>
    </w:p>
    <w:p w14:paraId="22C6004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（四）乙方不得为甲方单位和个人购置或提供通讯工具和高档办公用品等物品，也不得为甲方提供与工作无关的房屋、汽车等。</w:t>
      </w:r>
    </w:p>
    <w:p w14:paraId="76D14F8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（五）乙方不得与甲方工作人员就合同中的质量、数量、价格、工程量、验收等条款进行私下商谈或者达成默契。</w:t>
      </w:r>
    </w:p>
    <w:p w14:paraId="370D6CF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（六）乙方不得以回扣、手续费、加班费、咨询费、劳务费、协调费、辛苦费等各种名义向甲方工作人员给予或赠送钱物。</w:t>
      </w:r>
    </w:p>
    <w:p w14:paraId="1787B80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（七）乙方不得向甲方工作人员提供干股或红利。</w:t>
      </w:r>
    </w:p>
    <w:p w14:paraId="7FB3134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（八）乙方须按</w:t>
      </w:r>
      <w:r>
        <w:rPr>
          <w:rFonts w:hint="eastAsia" w:cs="宋体"/>
          <w:color w:val="auto"/>
          <w:sz w:val="21"/>
          <w:szCs w:val="21"/>
          <w:highlight w:val="none"/>
          <w:u w:val="single"/>
        </w:rPr>
        <w:t xml:space="preserve">         </w:t>
      </w:r>
      <w:r>
        <w:rPr>
          <w:rFonts w:hint="eastAsia" w:cs="宋体"/>
          <w:color w:val="auto"/>
          <w:sz w:val="21"/>
          <w:szCs w:val="21"/>
          <w:highlight w:val="none"/>
        </w:rPr>
        <w:t>专项纪检监察工作组（如有）要求开展相关工作。</w:t>
      </w:r>
    </w:p>
    <w:p w14:paraId="2C3DAD1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第四条 违约责任</w:t>
      </w:r>
    </w:p>
    <w:p w14:paraId="6C03D7B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22359CA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甲方投诉联系部门：</w:t>
      </w:r>
      <w:r>
        <w:rPr>
          <w:rFonts w:hint="eastAsia" w:cs="宋体"/>
          <w:color w:val="auto"/>
          <w:sz w:val="21"/>
          <w:szCs w:val="21"/>
          <w:highlight w:val="none"/>
          <w:u w:val="single"/>
        </w:rPr>
        <w:t xml:space="preserve">           </w:t>
      </w: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1F6968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（二）乙方及其工作人员违反本协议第一、三条规定。根据具体情节和造成的后果，甲方有权对乙方采取以下一种或多种处理办法：</w:t>
      </w:r>
    </w:p>
    <w:p w14:paraId="05D7594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1. 全额收取乙方合同履约保证金不予退还； </w:t>
      </w:r>
    </w:p>
    <w:p w14:paraId="68847C0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 追究乙方其他违约责任；</w:t>
      </w:r>
    </w:p>
    <w:p w14:paraId="4F09C93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 终止或解除双方已签订的包括本合同在内的所有合同；</w:t>
      </w:r>
    </w:p>
    <w:p w14:paraId="3794BB1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 乙方一定期限内（6个月至3年，具体由甲方根据情况而定）不得参与甲方作为发包人（业主）的工程项目投标。</w:t>
      </w:r>
    </w:p>
    <w:p w14:paraId="06A2309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甲方作出的处理意见，乙方应无条件接受并承担给甲方造成的损失，全额返还通过不正当手段从甲方获取的非法所得，并承担相应的法律责任。</w:t>
      </w:r>
    </w:p>
    <w:p w14:paraId="1173980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第五条 双方约定</w:t>
      </w:r>
    </w:p>
    <w:p w14:paraId="64EB305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39136AC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第六条  本协议有效期为甲乙双方签署之日起至合同终止。  </w:t>
      </w:r>
    </w:p>
    <w:p w14:paraId="20A561C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第七条  本协议作为合同的附件，与本合同具有同等法律效力。</w:t>
      </w:r>
    </w:p>
    <w:p w14:paraId="28469E7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 </w:t>
      </w:r>
    </w:p>
    <w:p w14:paraId="3134B0A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甲方（盖章）： </w:t>
      </w:r>
      <w:r>
        <w:rPr>
          <w:rFonts w:hint="eastAsia" w:cs="宋体"/>
          <w:color w:val="auto"/>
          <w:sz w:val="21"/>
          <w:szCs w:val="21"/>
          <w:highlight w:val="none"/>
          <w:u w:val="single"/>
        </w:rPr>
        <w:t xml:space="preserve">                  </w:t>
      </w:r>
      <w:r>
        <w:rPr>
          <w:rFonts w:hint="eastAsia" w:cs="宋体"/>
          <w:color w:val="auto"/>
          <w:sz w:val="21"/>
          <w:szCs w:val="21"/>
          <w:highlight w:val="none"/>
        </w:rPr>
        <w:t xml:space="preserve">     乙方（盖章）：</w:t>
      </w:r>
      <w:r>
        <w:rPr>
          <w:rFonts w:hint="eastAsia" w:cs="宋体"/>
          <w:color w:val="auto"/>
          <w:sz w:val="21"/>
          <w:szCs w:val="21"/>
          <w:highlight w:val="none"/>
          <w:u w:val="single"/>
        </w:rPr>
        <w:t xml:space="preserve">             </w:t>
      </w:r>
    </w:p>
    <w:p w14:paraId="51177E2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法定代表人或                          法定代表人或</w:t>
      </w:r>
    </w:p>
    <w:p w14:paraId="509F894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授权代表：</w:t>
      </w:r>
      <w:r>
        <w:rPr>
          <w:rFonts w:hint="eastAsia" w:cs="宋体"/>
          <w:color w:val="auto"/>
          <w:sz w:val="21"/>
          <w:szCs w:val="21"/>
          <w:highlight w:val="none"/>
          <w:u w:val="single"/>
        </w:rPr>
        <w:t xml:space="preserve">              </w:t>
      </w:r>
      <w:r>
        <w:rPr>
          <w:rFonts w:hint="eastAsia" w:cs="宋体"/>
          <w:color w:val="auto"/>
          <w:sz w:val="21"/>
          <w:szCs w:val="21"/>
          <w:highlight w:val="none"/>
        </w:rPr>
        <w:t>(职务)        授权代表：</w:t>
      </w:r>
      <w:r>
        <w:rPr>
          <w:rFonts w:hint="eastAsia" w:cs="宋体"/>
          <w:color w:val="auto"/>
          <w:sz w:val="21"/>
          <w:szCs w:val="21"/>
          <w:highlight w:val="none"/>
          <w:u w:val="single"/>
        </w:rPr>
        <w:t xml:space="preserve">             </w:t>
      </w:r>
      <w:r>
        <w:rPr>
          <w:rFonts w:hint="eastAsia" w:cs="宋体"/>
          <w:color w:val="auto"/>
          <w:sz w:val="21"/>
          <w:szCs w:val="21"/>
          <w:highlight w:val="none"/>
        </w:rPr>
        <w:t>(职务)</w:t>
      </w:r>
    </w:p>
    <w:p w14:paraId="53126EB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43C0ED8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5A22450D">
      <w:pPr>
        <w:widowControl/>
        <w:spacing w:line="360" w:lineRule="auto"/>
        <w:ind w:firstLine="420" w:firstLineChars="200"/>
        <w:jc w:val="left"/>
        <w:rPr>
          <w:rFonts w:cs="宋体"/>
          <w:color w:val="auto"/>
          <w:sz w:val="21"/>
          <w:szCs w:val="21"/>
          <w:highlight w:val="none"/>
        </w:rPr>
      </w:pPr>
    </w:p>
    <w:p w14:paraId="3406900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廉政监督联系人                        廉政监督联系人</w:t>
      </w:r>
    </w:p>
    <w:p w14:paraId="505A2B1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607172C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1220955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电话：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电话：</w:t>
      </w:r>
      <w:r>
        <w:rPr>
          <w:rFonts w:hint="eastAsia" w:cs="宋体"/>
          <w:color w:val="auto"/>
          <w:sz w:val="21"/>
          <w:szCs w:val="21"/>
          <w:highlight w:val="none"/>
          <w:u w:val="single"/>
        </w:rPr>
        <w:t xml:space="preserve">                     </w:t>
      </w:r>
    </w:p>
    <w:p w14:paraId="39E4087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地址：</w:t>
      </w:r>
      <w:r>
        <w:rPr>
          <w:rFonts w:hint="eastAsia" w:cs="宋体"/>
          <w:color w:val="auto"/>
          <w:sz w:val="21"/>
          <w:szCs w:val="21"/>
          <w:highlight w:val="none"/>
          <w:u w:val="single"/>
        </w:rPr>
        <w:t xml:space="preserve">                       </w:t>
      </w:r>
      <w:r>
        <w:rPr>
          <w:rFonts w:hint="eastAsia" w:cs="宋体"/>
          <w:color w:val="auto"/>
          <w:sz w:val="21"/>
          <w:szCs w:val="21"/>
          <w:highlight w:val="none"/>
        </w:rPr>
        <w:t xml:space="preserve">         地址：</w:t>
      </w:r>
      <w:r>
        <w:rPr>
          <w:rFonts w:hint="eastAsia" w:cs="宋体"/>
          <w:color w:val="auto"/>
          <w:sz w:val="21"/>
          <w:szCs w:val="21"/>
          <w:highlight w:val="none"/>
          <w:u w:val="single"/>
        </w:rPr>
        <w:t xml:space="preserve">                     </w:t>
      </w:r>
    </w:p>
    <w:p w14:paraId="0D0DA47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日期：</w:t>
      </w:r>
      <w:r>
        <w:rPr>
          <w:rFonts w:hint="eastAsia" w:cs="宋体"/>
          <w:color w:val="auto"/>
          <w:sz w:val="21"/>
          <w:szCs w:val="21"/>
          <w:highlight w:val="none"/>
          <w:u w:val="single"/>
        </w:rPr>
        <w:t xml:space="preserve">                       </w:t>
      </w:r>
      <w:r>
        <w:rPr>
          <w:rFonts w:hint="eastAsia" w:cs="宋体"/>
          <w:color w:val="auto"/>
          <w:sz w:val="21"/>
          <w:szCs w:val="21"/>
          <w:highlight w:val="none"/>
        </w:rPr>
        <w:t xml:space="preserve">         日期：</w:t>
      </w:r>
      <w:r>
        <w:rPr>
          <w:rFonts w:hint="eastAsia" w:cs="宋体"/>
          <w:color w:val="auto"/>
          <w:sz w:val="21"/>
          <w:szCs w:val="21"/>
          <w:highlight w:val="none"/>
          <w:u w:val="single"/>
        </w:rPr>
        <w:t xml:space="preserve">                     </w:t>
      </w:r>
    </w:p>
    <w:p w14:paraId="043229B9">
      <w:pPr>
        <w:spacing w:before="312" w:beforeLines="100" w:after="312" w:afterLines="100"/>
        <w:outlineLvl w:val="2"/>
        <w:rPr>
          <w:rFonts w:ascii="Times New Roman" w:eastAsia="黑体"/>
          <w:color w:val="auto"/>
          <w:sz w:val="21"/>
          <w:szCs w:val="21"/>
          <w:highlight w:val="none"/>
        </w:rPr>
      </w:pPr>
      <w:r>
        <w:rPr>
          <w:rFonts w:hint="eastAsia" w:ascii="Times New Roman" w:eastAsia="黑体"/>
          <w:bCs/>
          <w:color w:val="auto"/>
          <w:szCs w:val="21"/>
          <w:highlight w:val="none"/>
        </w:rPr>
        <w:br w:type="page"/>
      </w:r>
      <w:bookmarkStart w:id="636" w:name="_Toc128950244"/>
      <w:r>
        <w:rPr>
          <w:rFonts w:hint="eastAsia" w:ascii="Times New Roman" w:eastAsia="黑体"/>
          <w:color w:val="auto"/>
          <w:sz w:val="21"/>
          <w:szCs w:val="21"/>
          <w:highlight w:val="none"/>
        </w:rPr>
        <w:t>附件9：履约保证金</w:t>
      </w:r>
      <w:bookmarkEnd w:id="636"/>
    </w:p>
    <w:p w14:paraId="62880E37">
      <w:pPr>
        <w:spacing w:line="360" w:lineRule="auto"/>
        <w:jc w:val="center"/>
        <w:rPr>
          <w:rFonts w:cs="宋体"/>
          <w:b/>
          <w:bCs/>
          <w:color w:val="auto"/>
          <w:sz w:val="32"/>
          <w:szCs w:val="32"/>
          <w:highlight w:val="none"/>
        </w:rPr>
      </w:pPr>
      <w:r>
        <w:rPr>
          <w:rFonts w:hint="eastAsia" w:cs="宋体"/>
          <w:b/>
          <w:bCs/>
          <w:color w:val="auto"/>
          <w:sz w:val="32"/>
          <w:szCs w:val="32"/>
          <w:highlight w:val="none"/>
        </w:rPr>
        <w:t>履约保函示范文本</w:t>
      </w:r>
    </w:p>
    <w:p w14:paraId="7C25EBAE">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48883AC5">
      <w:pPr>
        <w:spacing w:line="360" w:lineRule="auto"/>
        <w:rPr>
          <w:rFonts w:ascii="Times New Roman"/>
          <w:color w:val="auto"/>
          <w:szCs w:val="21"/>
          <w:highlight w:val="none"/>
        </w:rPr>
      </w:pPr>
    </w:p>
    <w:p w14:paraId="5842079A">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29121EB6">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56D41228">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一、本保函担保范围：承包人未按照基础合同的约定履行义务，应当向受益人承担的违约责任和赔偿因此造成的损失、利息、律师费、诉讼费用等实现债权的费用。</w:t>
      </w:r>
    </w:p>
    <w:p w14:paraId="07EE85B2">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3311C842">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三、本保函有效期自开立之日起至基础合同约定的缺陷责任期满之日止。 </w:t>
      </w:r>
    </w:p>
    <w:p w14:paraId="3AD6451B">
      <w:pPr>
        <w:spacing w:line="360" w:lineRule="auto"/>
        <w:ind w:firstLine="480"/>
        <w:rPr>
          <w:rFonts w:cs="宋体"/>
          <w:color w:val="auto"/>
          <w:sz w:val="21"/>
          <w:szCs w:val="21"/>
          <w:highlight w:val="none"/>
        </w:rPr>
      </w:pPr>
      <w:bookmarkStart w:id="637" w:name="_Hlk40302764"/>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bookmarkEnd w:id="637"/>
    <w:p w14:paraId="6E1175AD">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322FE67D">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0F391C77">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3328D941">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2D1B0B7A">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D7625C2">
      <w:pPr>
        <w:spacing w:line="360" w:lineRule="auto"/>
        <w:ind w:firstLine="420" w:firstLineChars="200"/>
        <w:rPr>
          <w:rFonts w:cs="宋体"/>
          <w:color w:val="auto"/>
          <w:sz w:val="21"/>
          <w:szCs w:val="21"/>
          <w:highlight w:val="none"/>
        </w:rPr>
      </w:pPr>
      <w:bookmarkStart w:id="638" w:name="_Hlk40303486"/>
      <w:r>
        <w:rPr>
          <w:rFonts w:hint="eastAsia" w:cs="宋体"/>
          <w:color w:val="auto"/>
          <w:sz w:val="21"/>
          <w:szCs w:val="21"/>
          <w:highlight w:val="none"/>
        </w:rPr>
        <w:t>受益人发出的书面付款通知应由其法定代表人（负责人）或授权代理人签字并加盖公章。</w:t>
      </w:r>
      <w:bookmarkEnd w:id="638"/>
    </w:p>
    <w:p w14:paraId="6FBB5575">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五、本保函项下的权利不得转让，不得设定担保。受益人未经我方书面同意转 让本保函或其项下任何权利，对我方不发生法律效力。 </w:t>
      </w:r>
    </w:p>
    <w:p w14:paraId="11115C02">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六、与本保函有关的基础合同不成立、不生效、无效、被撤销、被解除，不影响本保函的独立有效。 </w:t>
      </w:r>
    </w:p>
    <w:p w14:paraId="4B4027C5">
      <w:pPr>
        <w:spacing w:line="360" w:lineRule="auto"/>
        <w:ind w:firstLine="420" w:firstLineChars="200"/>
        <w:rPr>
          <w:rFonts w:cs="宋体"/>
          <w:color w:val="auto"/>
          <w:sz w:val="21"/>
          <w:szCs w:val="21"/>
          <w:highlight w:val="none"/>
        </w:rPr>
      </w:pPr>
      <w:bookmarkStart w:id="639" w:name="_Hlk40303383"/>
      <w:bookmarkStart w:id="640" w:name="_Hlk40354981"/>
      <w:r>
        <w:rPr>
          <w:rFonts w:hint="eastAsia" w:cs="宋体"/>
          <w:color w:val="auto"/>
          <w:sz w:val="21"/>
          <w:szCs w:val="21"/>
          <w:highlight w:val="none"/>
        </w:rPr>
        <w:t xml:space="preserve">七、本保函项下的义务和责任均在保函有效期到期后自动消灭。 </w:t>
      </w:r>
    </w:p>
    <w:p w14:paraId="43092556">
      <w:pPr>
        <w:spacing w:line="360" w:lineRule="auto"/>
        <w:ind w:firstLine="420" w:firstLineChars="200"/>
        <w:rPr>
          <w:rFonts w:cs="宋体"/>
          <w:color w:val="auto"/>
          <w:sz w:val="21"/>
          <w:szCs w:val="21"/>
          <w:highlight w:val="none"/>
        </w:rPr>
      </w:pPr>
      <w:r>
        <w:rPr>
          <w:rFonts w:hint="eastAsia" w:cs="宋体"/>
          <w:color w:val="auto"/>
          <w:sz w:val="21"/>
          <w:szCs w:val="21"/>
          <w:highlight w:val="none"/>
        </w:rPr>
        <w:t>八、本保函适用的法律为中华人民共和国法律，因本保函产生的纠纷案件，</w:t>
      </w:r>
      <w:bookmarkEnd w:id="639"/>
      <w:r>
        <w:rPr>
          <w:rFonts w:hint="eastAsia" w:cs="宋体"/>
          <w:color w:val="auto"/>
          <w:sz w:val="21"/>
          <w:szCs w:val="21"/>
          <w:highlight w:val="none"/>
        </w:rPr>
        <w:t xml:space="preserve">由受益人所在地人民法院管辖。 </w:t>
      </w:r>
    </w:p>
    <w:bookmarkEnd w:id="640"/>
    <w:p w14:paraId="06EE4317">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4AC5578D">
      <w:pPr>
        <w:spacing w:line="360" w:lineRule="auto"/>
        <w:ind w:firstLine="420" w:firstLineChars="200"/>
        <w:rPr>
          <w:rFonts w:cs="宋体"/>
          <w:color w:val="auto"/>
          <w:sz w:val="21"/>
          <w:szCs w:val="21"/>
          <w:highlight w:val="none"/>
        </w:rPr>
      </w:pPr>
    </w:p>
    <w:p w14:paraId="07C421A7">
      <w:pPr>
        <w:spacing w:line="360" w:lineRule="auto"/>
        <w:ind w:firstLine="420" w:firstLineChars="200"/>
        <w:rPr>
          <w:rFonts w:cs="宋体"/>
          <w:color w:val="auto"/>
          <w:sz w:val="21"/>
          <w:szCs w:val="21"/>
          <w:highlight w:val="none"/>
        </w:rPr>
      </w:pPr>
    </w:p>
    <w:p w14:paraId="6327D2CA">
      <w:pPr>
        <w:spacing w:line="360" w:lineRule="auto"/>
        <w:ind w:firstLine="420" w:firstLineChars="200"/>
        <w:rPr>
          <w:rFonts w:cs="宋体"/>
          <w:color w:val="auto"/>
          <w:sz w:val="21"/>
          <w:szCs w:val="21"/>
          <w:highlight w:val="none"/>
        </w:rPr>
      </w:pPr>
    </w:p>
    <w:p w14:paraId="68C58723">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23879F11">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362BF4B0">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022EFD58">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24F642C1">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7EB556C5">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0DC8AB2F">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6321478F">
      <w:pPr>
        <w:spacing w:before="312" w:beforeLines="100" w:after="312" w:afterLines="100"/>
        <w:outlineLvl w:val="2"/>
        <w:rPr>
          <w:rFonts w:ascii="Times New Roman" w:eastAsia="黑体"/>
          <w:color w:val="auto"/>
          <w:sz w:val="21"/>
          <w:szCs w:val="21"/>
          <w:highlight w:val="none"/>
        </w:rPr>
      </w:pPr>
      <w:r>
        <w:rPr>
          <w:rFonts w:ascii="Times New Roman" w:eastAsia="黑体"/>
          <w:bCs/>
          <w:color w:val="auto"/>
          <w:highlight w:val="none"/>
        </w:rPr>
        <w:br w:type="page"/>
      </w:r>
      <w:bookmarkStart w:id="641" w:name="_Toc128950245"/>
      <w:r>
        <w:rPr>
          <w:rFonts w:hint="eastAsia" w:ascii="Times New Roman" w:eastAsia="黑体"/>
          <w:color w:val="auto"/>
          <w:sz w:val="21"/>
          <w:szCs w:val="21"/>
          <w:highlight w:val="none"/>
        </w:rPr>
        <w:t>附</w:t>
      </w:r>
      <w:bookmarkStart w:id="642" w:name="_Toc267261702"/>
      <w:bookmarkStart w:id="643" w:name="_Toc296891272"/>
      <w:bookmarkStart w:id="644" w:name="_Toc296503232"/>
      <w:bookmarkStart w:id="645" w:name="_Toc296891060"/>
      <w:bookmarkStart w:id="646" w:name="_Toc296346733"/>
      <w:bookmarkStart w:id="647" w:name="_Toc296944571"/>
      <w:bookmarkStart w:id="648" w:name="_Toc296347231"/>
      <w:r>
        <w:rPr>
          <w:rFonts w:hint="eastAsia" w:ascii="Times New Roman" w:eastAsia="黑体"/>
          <w:color w:val="auto"/>
          <w:sz w:val="21"/>
          <w:szCs w:val="21"/>
          <w:highlight w:val="none"/>
        </w:rPr>
        <w:t>件10：预付款担保</w:t>
      </w:r>
      <w:bookmarkEnd w:id="641"/>
    </w:p>
    <w:bookmarkEnd w:id="642"/>
    <w:bookmarkEnd w:id="643"/>
    <w:bookmarkEnd w:id="644"/>
    <w:bookmarkEnd w:id="645"/>
    <w:bookmarkEnd w:id="646"/>
    <w:bookmarkEnd w:id="647"/>
    <w:bookmarkEnd w:id="648"/>
    <w:p w14:paraId="2BD28670">
      <w:pPr>
        <w:spacing w:line="360" w:lineRule="auto"/>
        <w:jc w:val="center"/>
        <w:rPr>
          <w:rFonts w:cs="宋体"/>
          <w:b/>
          <w:bCs/>
          <w:color w:val="auto"/>
          <w:sz w:val="32"/>
          <w:szCs w:val="32"/>
          <w:highlight w:val="none"/>
        </w:rPr>
      </w:pPr>
      <w:r>
        <w:rPr>
          <w:rFonts w:hint="eastAsia" w:cs="宋体"/>
          <w:b/>
          <w:bCs/>
          <w:color w:val="auto"/>
          <w:sz w:val="32"/>
          <w:szCs w:val="32"/>
          <w:highlight w:val="none"/>
        </w:rPr>
        <w:t>预付款保函示范文本</w:t>
      </w:r>
    </w:p>
    <w:p w14:paraId="277DFEBF">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0C94E7E2">
      <w:pPr>
        <w:spacing w:line="360" w:lineRule="auto"/>
        <w:rPr>
          <w:rFonts w:ascii="Times New Roman"/>
          <w:color w:val="auto"/>
          <w:szCs w:val="21"/>
          <w:highlight w:val="none"/>
        </w:rPr>
      </w:pPr>
    </w:p>
    <w:p w14:paraId="0FF0CD8B">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74CB8AC8">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3388604C">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65CD773A">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1F3FD28">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三、本保函有效期自开立之日起至发包人全额扣回预付款之日止。</w:t>
      </w:r>
    </w:p>
    <w:p w14:paraId="2CAD9C38">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336FB138">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2D2A3973">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326BBEA2">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19228BF8">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2BC239CA">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6561B4F">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536E2B28">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13DD90F1">
      <w:pPr>
        <w:spacing w:line="400" w:lineRule="exact"/>
        <w:ind w:firstLine="420" w:firstLineChars="200"/>
        <w:rPr>
          <w:rStyle w:val="64"/>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10037598">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31B7C47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0882509E">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595C60DA">
      <w:pPr>
        <w:spacing w:line="360" w:lineRule="auto"/>
        <w:ind w:firstLine="420" w:firstLineChars="200"/>
        <w:rPr>
          <w:rFonts w:cs="宋体"/>
          <w:color w:val="auto"/>
          <w:sz w:val="21"/>
          <w:szCs w:val="21"/>
          <w:highlight w:val="none"/>
        </w:rPr>
      </w:pPr>
    </w:p>
    <w:p w14:paraId="7A0DE36F">
      <w:pPr>
        <w:spacing w:line="360" w:lineRule="auto"/>
        <w:ind w:firstLine="420" w:firstLineChars="200"/>
        <w:rPr>
          <w:rFonts w:cs="宋体"/>
          <w:color w:val="auto"/>
          <w:sz w:val="21"/>
          <w:szCs w:val="21"/>
          <w:highlight w:val="none"/>
        </w:rPr>
      </w:pPr>
    </w:p>
    <w:p w14:paraId="25FF1F82">
      <w:pPr>
        <w:spacing w:line="360" w:lineRule="auto"/>
        <w:ind w:firstLine="420" w:firstLineChars="200"/>
        <w:rPr>
          <w:rFonts w:cs="宋体"/>
          <w:color w:val="auto"/>
          <w:sz w:val="21"/>
          <w:szCs w:val="21"/>
          <w:highlight w:val="none"/>
        </w:rPr>
      </w:pPr>
    </w:p>
    <w:p w14:paraId="3CAB5482">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59567754">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2717E731">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5B91F24B">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0CA67D3D">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54DEB53D">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00470E34">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3E126870">
      <w:pPr>
        <w:spacing w:before="312" w:beforeLines="100" w:after="312" w:afterLines="100"/>
        <w:outlineLvl w:val="2"/>
        <w:rPr>
          <w:rFonts w:ascii="Times New Roman" w:eastAsia="黑体"/>
          <w:color w:val="auto"/>
          <w:sz w:val="21"/>
          <w:szCs w:val="21"/>
          <w:highlight w:val="none"/>
        </w:rPr>
      </w:pPr>
      <w:r>
        <w:rPr>
          <w:rFonts w:ascii="Times New Roman" w:eastAsia="黑体"/>
          <w:b/>
          <w:bCs/>
          <w:color w:val="auto"/>
          <w:highlight w:val="none"/>
        </w:rPr>
        <w:br w:type="page"/>
      </w:r>
      <w:bookmarkStart w:id="649" w:name="_Toc128950246"/>
      <w:r>
        <w:rPr>
          <w:rFonts w:hint="eastAsia" w:ascii="Times New Roman" w:eastAsia="黑体"/>
          <w:color w:val="auto"/>
          <w:sz w:val="21"/>
          <w:szCs w:val="21"/>
          <w:highlight w:val="none"/>
        </w:rPr>
        <w:t>附</w:t>
      </w:r>
      <w:bookmarkStart w:id="650" w:name="_Toc296346734"/>
      <w:bookmarkStart w:id="651" w:name="_Toc296891273"/>
      <w:bookmarkStart w:id="652" w:name="_Toc296503233"/>
      <w:bookmarkStart w:id="653" w:name="_Toc296347232"/>
      <w:bookmarkStart w:id="654" w:name="_Toc296891061"/>
      <w:bookmarkStart w:id="655" w:name="_Toc296944572"/>
      <w:r>
        <w:rPr>
          <w:rFonts w:hint="eastAsia" w:ascii="Times New Roman" w:eastAsia="黑体"/>
          <w:color w:val="auto"/>
          <w:sz w:val="21"/>
          <w:szCs w:val="21"/>
          <w:highlight w:val="none"/>
        </w:rPr>
        <w:t>件</w:t>
      </w:r>
      <w:r>
        <w:rPr>
          <w:rFonts w:ascii="Times New Roman" w:eastAsia="黑体"/>
          <w:color w:val="auto"/>
          <w:sz w:val="21"/>
          <w:szCs w:val="21"/>
          <w:highlight w:val="none"/>
        </w:rPr>
        <w:t>1</w:t>
      </w:r>
      <w:r>
        <w:rPr>
          <w:rFonts w:hint="eastAsia" w:ascii="Times New Roman" w:eastAsia="黑体"/>
          <w:color w:val="auto"/>
          <w:sz w:val="21"/>
          <w:szCs w:val="21"/>
          <w:highlight w:val="none"/>
        </w:rPr>
        <w:t>1：支付担保</w:t>
      </w:r>
      <w:bookmarkEnd w:id="649"/>
      <w:bookmarkEnd w:id="650"/>
      <w:bookmarkEnd w:id="651"/>
      <w:bookmarkEnd w:id="652"/>
      <w:bookmarkEnd w:id="653"/>
      <w:bookmarkEnd w:id="654"/>
      <w:bookmarkEnd w:id="655"/>
    </w:p>
    <w:p w14:paraId="7CC60774">
      <w:pPr>
        <w:spacing w:line="360" w:lineRule="auto"/>
        <w:jc w:val="center"/>
        <w:rPr>
          <w:rFonts w:cs="宋体"/>
          <w:b/>
          <w:bCs/>
          <w:color w:val="auto"/>
          <w:sz w:val="32"/>
          <w:szCs w:val="32"/>
          <w:highlight w:val="none"/>
        </w:rPr>
      </w:pPr>
      <w:r>
        <w:rPr>
          <w:rFonts w:hint="eastAsia" w:cs="宋体"/>
          <w:b/>
          <w:bCs/>
          <w:color w:val="auto"/>
          <w:sz w:val="32"/>
          <w:szCs w:val="32"/>
          <w:highlight w:val="none"/>
        </w:rPr>
        <w:t>支付保函示范文本</w:t>
      </w:r>
    </w:p>
    <w:p w14:paraId="7356E6E8">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1BB11BE1">
      <w:pPr>
        <w:spacing w:line="360" w:lineRule="auto"/>
        <w:rPr>
          <w:rFonts w:ascii="Times New Roman"/>
          <w:color w:val="auto"/>
          <w:szCs w:val="21"/>
          <w:highlight w:val="none"/>
        </w:rPr>
      </w:pPr>
    </w:p>
    <w:p w14:paraId="1C380470">
      <w:pPr>
        <w:spacing w:line="360" w:lineRule="auto"/>
        <w:rPr>
          <w:rFonts w:cs="宋体"/>
          <w:color w:val="auto"/>
          <w:sz w:val="21"/>
          <w:szCs w:val="21"/>
          <w:highlight w:val="none"/>
        </w:rPr>
      </w:pPr>
      <w:bookmarkStart w:id="656" w:name="_Hlk40355074"/>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bookmarkEnd w:id="656"/>
    <w:p w14:paraId="3F239CA9">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798B255E">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一、本保函担保范围：申请人未履行基础合同约定的工程款支付义务，应当向受益人承担的违约责任和赔偿因此造成的损失、利息、律师费、诉讼费用等实现债权的费用。</w:t>
      </w:r>
    </w:p>
    <w:p w14:paraId="3548A691">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E527E82">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三、本保函有效期自开立之日起至基础合同约定的除工程质量保修金以外的全部工程结算款项支付之日后</w:t>
      </w:r>
      <w:r>
        <w:rPr>
          <w:rFonts w:hint="eastAsia" w:cs="宋体"/>
          <w:color w:val="auto"/>
          <w:sz w:val="21"/>
          <w:szCs w:val="21"/>
          <w:highlight w:val="none"/>
          <w:u w:val="single"/>
        </w:rPr>
        <w:t xml:space="preserve">    </w:t>
      </w:r>
      <w:r>
        <w:rPr>
          <w:rFonts w:hint="eastAsia" w:cs="宋体"/>
          <w:color w:val="auto"/>
          <w:sz w:val="21"/>
          <w:szCs w:val="21"/>
          <w:highlight w:val="none"/>
        </w:rPr>
        <w:t xml:space="preserve">日止。 </w:t>
      </w:r>
    </w:p>
    <w:p w14:paraId="3D36FC02">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30A7C51F">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2EC7961E">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03F8C07F">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67530831">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4558BE61">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760983">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46871B6B">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2700F58C">
      <w:pPr>
        <w:spacing w:line="400" w:lineRule="exact"/>
        <w:ind w:firstLine="420" w:firstLineChars="200"/>
        <w:rPr>
          <w:rStyle w:val="64"/>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1BC36C85">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5E678EAF">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八、本保函适用的法律为中华人民共和国法律，因本保函产生的纠纷案件，由申请人所在地人民法院管辖。 </w:t>
      </w:r>
    </w:p>
    <w:p w14:paraId="349D96A6">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284A11B7">
      <w:pPr>
        <w:spacing w:line="360" w:lineRule="auto"/>
        <w:ind w:firstLine="420" w:firstLineChars="200"/>
        <w:rPr>
          <w:rFonts w:cs="宋体"/>
          <w:color w:val="auto"/>
          <w:sz w:val="21"/>
          <w:szCs w:val="21"/>
          <w:highlight w:val="none"/>
        </w:rPr>
      </w:pPr>
    </w:p>
    <w:p w14:paraId="68C63357">
      <w:pPr>
        <w:spacing w:line="360" w:lineRule="auto"/>
        <w:ind w:firstLine="420" w:firstLineChars="200"/>
        <w:rPr>
          <w:rFonts w:cs="宋体"/>
          <w:color w:val="auto"/>
          <w:sz w:val="21"/>
          <w:szCs w:val="21"/>
          <w:highlight w:val="none"/>
        </w:rPr>
      </w:pPr>
    </w:p>
    <w:p w14:paraId="2D38F6B1">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54287226">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50D59FB2">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3345BA9B">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2CB28369">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339857E6">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7F2400CD">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6B140D49">
      <w:pPr>
        <w:spacing w:before="312" w:beforeLines="100" w:after="312" w:afterLines="100"/>
        <w:outlineLvl w:val="2"/>
        <w:rPr>
          <w:rFonts w:ascii="Times New Roman" w:eastAsia="黑体"/>
          <w:color w:val="auto"/>
          <w:sz w:val="21"/>
          <w:szCs w:val="21"/>
          <w:highlight w:val="none"/>
        </w:rPr>
      </w:pPr>
      <w:r>
        <w:rPr>
          <w:rFonts w:ascii="Times New Roman" w:eastAsia="黑体"/>
          <w:bCs/>
          <w:color w:val="auto"/>
          <w:highlight w:val="none"/>
        </w:rPr>
        <w:br w:type="page"/>
      </w:r>
      <w:bookmarkStart w:id="657" w:name="_Toc128950247"/>
      <w:r>
        <w:rPr>
          <w:rFonts w:hint="eastAsia" w:ascii="Times New Roman" w:eastAsia="黑体"/>
          <w:color w:val="auto"/>
          <w:sz w:val="21"/>
          <w:szCs w:val="21"/>
          <w:highlight w:val="none"/>
        </w:rPr>
        <w:t>附件</w:t>
      </w:r>
      <w:r>
        <w:rPr>
          <w:rFonts w:ascii="Times New Roman" w:eastAsia="黑体"/>
          <w:color w:val="auto"/>
          <w:sz w:val="21"/>
          <w:szCs w:val="21"/>
          <w:highlight w:val="none"/>
        </w:rPr>
        <w:t>1</w:t>
      </w:r>
      <w:r>
        <w:rPr>
          <w:rFonts w:hint="eastAsia" w:ascii="Times New Roman" w:eastAsia="黑体"/>
          <w:color w:val="auto"/>
          <w:sz w:val="21"/>
          <w:szCs w:val="21"/>
          <w:highlight w:val="none"/>
        </w:rPr>
        <w:t>2：暂估价一览表</w:t>
      </w:r>
      <w:bookmarkEnd w:id="657"/>
    </w:p>
    <w:p w14:paraId="3F91E528">
      <w:pPr>
        <w:spacing w:before="156" w:beforeLines="50" w:after="156" w:afterLines="50" w:line="440" w:lineRule="exact"/>
        <w:jc w:val="center"/>
        <w:rPr>
          <w:rFonts w:cs="宋体"/>
          <w:color w:val="auto"/>
          <w:sz w:val="21"/>
          <w:szCs w:val="21"/>
          <w:highlight w:val="none"/>
        </w:rPr>
      </w:pPr>
      <w:r>
        <w:rPr>
          <w:rFonts w:hint="eastAsia" w:cs="宋体"/>
          <w:color w:val="auto"/>
          <w:sz w:val="21"/>
          <w:szCs w:val="21"/>
          <w:highlight w:val="none"/>
        </w:rPr>
        <w:t>12-1：材料暂估价表</w:t>
      </w:r>
    </w:p>
    <w:tbl>
      <w:tblPr>
        <w:tblStyle w:val="5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79449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24C1EA91">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r>
              <w:rPr>
                <w:rFonts w:hint="eastAsia" w:cs="宋体"/>
                <w:color w:val="auto"/>
                <w:sz w:val="21"/>
                <w:szCs w:val="21"/>
                <w:highlight w:val="none"/>
              </w:rPr>
              <w:t>序号</w:t>
            </w:r>
          </w:p>
        </w:tc>
        <w:tc>
          <w:tcPr>
            <w:tcW w:w="1094" w:type="pct"/>
            <w:tcBorders>
              <w:top w:val="single" w:color="auto" w:sz="12" w:space="0"/>
              <w:bottom w:val="double" w:color="auto" w:sz="6" w:space="0"/>
            </w:tcBorders>
            <w:vAlign w:val="center"/>
          </w:tcPr>
          <w:p w14:paraId="773151E7">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r>
              <w:rPr>
                <w:rFonts w:hint="eastAsia" w:cs="宋体"/>
                <w:color w:val="auto"/>
                <w:sz w:val="21"/>
                <w:szCs w:val="21"/>
                <w:highlight w:val="none"/>
              </w:rPr>
              <w:t>名称</w:t>
            </w:r>
          </w:p>
        </w:tc>
        <w:tc>
          <w:tcPr>
            <w:tcW w:w="468" w:type="pct"/>
            <w:tcBorders>
              <w:top w:val="single" w:color="auto" w:sz="12" w:space="0"/>
              <w:bottom w:val="double" w:color="auto" w:sz="6" w:space="0"/>
            </w:tcBorders>
            <w:vAlign w:val="center"/>
          </w:tcPr>
          <w:p w14:paraId="0BBEC870">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r>
              <w:rPr>
                <w:rFonts w:hint="eastAsia" w:cs="宋体"/>
                <w:color w:val="auto"/>
                <w:sz w:val="21"/>
                <w:szCs w:val="21"/>
                <w:highlight w:val="none"/>
              </w:rPr>
              <w:t>单位</w:t>
            </w:r>
          </w:p>
        </w:tc>
        <w:tc>
          <w:tcPr>
            <w:tcW w:w="426" w:type="pct"/>
            <w:tcBorders>
              <w:top w:val="single" w:color="auto" w:sz="12" w:space="0"/>
              <w:bottom w:val="double" w:color="auto" w:sz="6" w:space="0"/>
            </w:tcBorders>
            <w:vAlign w:val="center"/>
          </w:tcPr>
          <w:p w14:paraId="120C3061">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r>
              <w:rPr>
                <w:rFonts w:hint="eastAsia" w:cs="宋体"/>
                <w:color w:val="auto"/>
                <w:sz w:val="21"/>
                <w:szCs w:val="21"/>
                <w:highlight w:val="none"/>
              </w:rPr>
              <w:t>数量</w:t>
            </w:r>
          </w:p>
        </w:tc>
        <w:tc>
          <w:tcPr>
            <w:tcW w:w="745" w:type="pct"/>
            <w:tcBorders>
              <w:top w:val="single" w:color="auto" w:sz="12" w:space="0"/>
              <w:bottom w:val="double" w:color="auto" w:sz="6" w:space="0"/>
            </w:tcBorders>
            <w:vAlign w:val="center"/>
          </w:tcPr>
          <w:p w14:paraId="47596880">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r>
              <w:rPr>
                <w:rFonts w:hint="eastAsia" w:cs="宋体"/>
                <w:color w:val="auto"/>
                <w:sz w:val="21"/>
                <w:szCs w:val="21"/>
                <w:highlight w:val="none"/>
              </w:rPr>
              <w:t>单价（元）</w:t>
            </w:r>
          </w:p>
        </w:tc>
        <w:tc>
          <w:tcPr>
            <w:tcW w:w="781" w:type="pct"/>
            <w:tcBorders>
              <w:top w:val="single" w:color="auto" w:sz="12" w:space="0"/>
              <w:bottom w:val="double" w:color="auto" w:sz="6" w:space="0"/>
            </w:tcBorders>
            <w:vAlign w:val="center"/>
          </w:tcPr>
          <w:p w14:paraId="4E1E863A">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r>
              <w:rPr>
                <w:rFonts w:hint="eastAsia" w:cs="宋体"/>
                <w:color w:val="auto"/>
                <w:sz w:val="21"/>
                <w:szCs w:val="21"/>
                <w:highlight w:val="none"/>
              </w:rPr>
              <w:t>合价（元）</w:t>
            </w:r>
          </w:p>
        </w:tc>
        <w:tc>
          <w:tcPr>
            <w:tcW w:w="938" w:type="pct"/>
            <w:tcBorders>
              <w:top w:val="single" w:color="auto" w:sz="12" w:space="0"/>
              <w:bottom w:val="double" w:color="auto" w:sz="6" w:space="0"/>
            </w:tcBorders>
            <w:vAlign w:val="center"/>
          </w:tcPr>
          <w:p w14:paraId="49B9B63B">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r>
              <w:rPr>
                <w:rFonts w:hint="eastAsia" w:cs="宋体"/>
                <w:color w:val="auto"/>
                <w:sz w:val="21"/>
                <w:szCs w:val="21"/>
                <w:highlight w:val="none"/>
              </w:rPr>
              <w:t>备注</w:t>
            </w:r>
          </w:p>
        </w:tc>
      </w:tr>
      <w:tr w14:paraId="5EFBF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1D0D4589">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1094" w:type="pct"/>
            <w:tcBorders>
              <w:top w:val="double" w:color="auto" w:sz="6" w:space="0"/>
            </w:tcBorders>
            <w:vAlign w:val="center"/>
          </w:tcPr>
          <w:p w14:paraId="5B64C4FC">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68" w:type="pct"/>
            <w:tcBorders>
              <w:top w:val="double" w:color="auto" w:sz="6" w:space="0"/>
            </w:tcBorders>
            <w:vAlign w:val="center"/>
          </w:tcPr>
          <w:p w14:paraId="652C67A7">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26" w:type="pct"/>
            <w:tcBorders>
              <w:top w:val="double" w:color="auto" w:sz="6" w:space="0"/>
            </w:tcBorders>
            <w:vAlign w:val="center"/>
          </w:tcPr>
          <w:p w14:paraId="1BAD449B">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45" w:type="pct"/>
            <w:tcBorders>
              <w:top w:val="double" w:color="auto" w:sz="6" w:space="0"/>
            </w:tcBorders>
            <w:vAlign w:val="center"/>
          </w:tcPr>
          <w:p w14:paraId="58FA330C">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81" w:type="pct"/>
            <w:tcBorders>
              <w:top w:val="double" w:color="auto" w:sz="6" w:space="0"/>
            </w:tcBorders>
            <w:vAlign w:val="center"/>
          </w:tcPr>
          <w:p w14:paraId="6F13F117">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938" w:type="pct"/>
            <w:tcBorders>
              <w:top w:val="double" w:color="auto" w:sz="6" w:space="0"/>
            </w:tcBorders>
            <w:vAlign w:val="center"/>
          </w:tcPr>
          <w:p w14:paraId="46CB6E73">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r>
      <w:tr w14:paraId="5519B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0FE155BC">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1094" w:type="pct"/>
            <w:tcBorders>
              <w:top w:val="nil"/>
            </w:tcBorders>
            <w:vAlign w:val="center"/>
          </w:tcPr>
          <w:p w14:paraId="1EB18AC3">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68" w:type="pct"/>
            <w:tcBorders>
              <w:top w:val="nil"/>
            </w:tcBorders>
            <w:vAlign w:val="center"/>
          </w:tcPr>
          <w:p w14:paraId="0136023D">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26" w:type="pct"/>
            <w:tcBorders>
              <w:top w:val="nil"/>
            </w:tcBorders>
            <w:vAlign w:val="center"/>
          </w:tcPr>
          <w:p w14:paraId="4D639487">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45" w:type="pct"/>
            <w:tcBorders>
              <w:top w:val="nil"/>
            </w:tcBorders>
            <w:vAlign w:val="center"/>
          </w:tcPr>
          <w:p w14:paraId="0656773D">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81" w:type="pct"/>
            <w:tcBorders>
              <w:top w:val="nil"/>
            </w:tcBorders>
            <w:vAlign w:val="center"/>
          </w:tcPr>
          <w:p w14:paraId="5918D025">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938" w:type="pct"/>
            <w:tcBorders>
              <w:top w:val="nil"/>
            </w:tcBorders>
            <w:vAlign w:val="center"/>
          </w:tcPr>
          <w:p w14:paraId="7E7DC11A">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r>
      <w:tr w14:paraId="2876C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7E239E77">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1094" w:type="pct"/>
            <w:vAlign w:val="center"/>
          </w:tcPr>
          <w:p w14:paraId="2396D9EE">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68" w:type="pct"/>
            <w:vAlign w:val="center"/>
          </w:tcPr>
          <w:p w14:paraId="77701411">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26" w:type="pct"/>
            <w:vAlign w:val="center"/>
          </w:tcPr>
          <w:p w14:paraId="7EB26CA5">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45" w:type="pct"/>
            <w:vAlign w:val="center"/>
          </w:tcPr>
          <w:p w14:paraId="0B951C81">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81" w:type="pct"/>
            <w:vAlign w:val="center"/>
          </w:tcPr>
          <w:p w14:paraId="2E0E26E1">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938" w:type="pct"/>
            <w:vAlign w:val="center"/>
          </w:tcPr>
          <w:p w14:paraId="6E66685A">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r>
      <w:tr w14:paraId="1BF37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7A5AF89F">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1094" w:type="pct"/>
            <w:vAlign w:val="center"/>
          </w:tcPr>
          <w:p w14:paraId="52AC64E7">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68" w:type="pct"/>
            <w:vAlign w:val="center"/>
          </w:tcPr>
          <w:p w14:paraId="35A09CA6">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26" w:type="pct"/>
            <w:vAlign w:val="center"/>
          </w:tcPr>
          <w:p w14:paraId="2E74FF81">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45" w:type="pct"/>
            <w:vAlign w:val="center"/>
          </w:tcPr>
          <w:p w14:paraId="5F3ECA61">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81" w:type="pct"/>
            <w:vAlign w:val="center"/>
          </w:tcPr>
          <w:p w14:paraId="0B5DF153">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938" w:type="pct"/>
            <w:vAlign w:val="center"/>
          </w:tcPr>
          <w:p w14:paraId="40ACCCB9">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r>
      <w:tr w14:paraId="26BB7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7DBFFE03">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1094" w:type="pct"/>
            <w:tcBorders>
              <w:bottom w:val="single" w:color="auto" w:sz="12" w:space="0"/>
            </w:tcBorders>
            <w:vAlign w:val="center"/>
          </w:tcPr>
          <w:p w14:paraId="0545787F">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68" w:type="pct"/>
            <w:tcBorders>
              <w:bottom w:val="single" w:color="auto" w:sz="12" w:space="0"/>
            </w:tcBorders>
            <w:vAlign w:val="center"/>
          </w:tcPr>
          <w:p w14:paraId="0A54580D">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26" w:type="pct"/>
            <w:tcBorders>
              <w:bottom w:val="single" w:color="auto" w:sz="12" w:space="0"/>
            </w:tcBorders>
            <w:vAlign w:val="center"/>
          </w:tcPr>
          <w:p w14:paraId="18F259BC">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45" w:type="pct"/>
            <w:tcBorders>
              <w:bottom w:val="single" w:color="auto" w:sz="12" w:space="0"/>
            </w:tcBorders>
            <w:vAlign w:val="center"/>
          </w:tcPr>
          <w:p w14:paraId="6282B10A">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81" w:type="pct"/>
            <w:tcBorders>
              <w:bottom w:val="single" w:color="auto" w:sz="12" w:space="0"/>
            </w:tcBorders>
            <w:vAlign w:val="center"/>
          </w:tcPr>
          <w:p w14:paraId="0CFA34E7">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938" w:type="pct"/>
            <w:tcBorders>
              <w:bottom w:val="single" w:color="auto" w:sz="12" w:space="0"/>
            </w:tcBorders>
            <w:vAlign w:val="center"/>
          </w:tcPr>
          <w:p w14:paraId="4536386F">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r>
    </w:tbl>
    <w:p w14:paraId="3BFFE130">
      <w:pPr>
        <w:spacing w:before="156" w:beforeLines="50" w:after="156" w:afterLines="50" w:line="440" w:lineRule="exact"/>
        <w:jc w:val="center"/>
        <w:rPr>
          <w:rFonts w:cs="宋体"/>
          <w:color w:val="auto"/>
          <w:sz w:val="21"/>
          <w:szCs w:val="21"/>
          <w:highlight w:val="none"/>
        </w:rPr>
      </w:pPr>
      <w:r>
        <w:rPr>
          <w:rFonts w:hint="eastAsia" w:cs="宋体"/>
          <w:color w:val="auto"/>
          <w:sz w:val="21"/>
          <w:szCs w:val="21"/>
          <w:highlight w:val="none"/>
        </w:rPr>
        <w:t>12-2：工程设备暂估价表</w:t>
      </w:r>
    </w:p>
    <w:tbl>
      <w:tblPr>
        <w:tblStyle w:val="5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702EB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4A5917A9">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r>
              <w:rPr>
                <w:rFonts w:hint="eastAsia" w:cs="宋体"/>
                <w:color w:val="auto"/>
                <w:sz w:val="21"/>
                <w:szCs w:val="21"/>
                <w:highlight w:val="none"/>
              </w:rPr>
              <w:t>序号</w:t>
            </w:r>
          </w:p>
        </w:tc>
        <w:tc>
          <w:tcPr>
            <w:tcW w:w="1094" w:type="pct"/>
            <w:tcBorders>
              <w:top w:val="single" w:color="auto" w:sz="12" w:space="0"/>
              <w:bottom w:val="double" w:color="auto" w:sz="6" w:space="0"/>
            </w:tcBorders>
            <w:vAlign w:val="center"/>
          </w:tcPr>
          <w:p w14:paraId="786D15D2">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r>
              <w:rPr>
                <w:rFonts w:hint="eastAsia" w:cs="宋体"/>
                <w:color w:val="auto"/>
                <w:sz w:val="21"/>
                <w:szCs w:val="21"/>
                <w:highlight w:val="none"/>
              </w:rPr>
              <w:t>名称</w:t>
            </w:r>
          </w:p>
        </w:tc>
        <w:tc>
          <w:tcPr>
            <w:tcW w:w="468" w:type="pct"/>
            <w:tcBorders>
              <w:top w:val="single" w:color="auto" w:sz="12" w:space="0"/>
              <w:bottom w:val="double" w:color="auto" w:sz="6" w:space="0"/>
            </w:tcBorders>
            <w:vAlign w:val="center"/>
          </w:tcPr>
          <w:p w14:paraId="0788B9E0">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r>
              <w:rPr>
                <w:rFonts w:hint="eastAsia" w:cs="宋体"/>
                <w:color w:val="auto"/>
                <w:sz w:val="21"/>
                <w:szCs w:val="21"/>
                <w:highlight w:val="none"/>
              </w:rPr>
              <w:t>单位</w:t>
            </w:r>
          </w:p>
        </w:tc>
        <w:tc>
          <w:tcPr>
            <w:tcW w:w="426" w:type="pct"/>
            <w:tcBorders>
              <w:top w:val="single" w:color="auto" w:sz="12" w:space="0"/>
              <w:bottom w:val="double" w:color="auto" w:sz="6" w:space="0"/>
            </w:tcBorders>
            <w:vAlign w:val="center"/>
          </w:tcPr>
          <w:p w14:paraId="5219648D">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r>
              <w:rPr>
                <w:rFonts w:hint="eastAsia" w:cs="宋体"/>
                <w:color w:val="auto"/>
                <w:sz w:val="21"/>
                <w:szCs w:val="21"/>
                <w:highlight w:val="none"/>
              </w:rPr>
              <w:t>数量</w:t>
            </w:r>
          </w:p>
        </w:tc>
        <w:tc>
          <w:tcPr>
            <w:tcW w:w="745" w:type="pct"/>
            <w:tcBorders>
              <w:top w:val="single" w:color="auto" w:sz="12" w:space="0"/>
              <w:bottom w:val="double" w:color="auto" w:sz="6" w:space="0"/>
            </w:tcBorders>
            <w:vAlign w:val="center"/>
          </w:tcPr>
          <w:p w14:paraId="50009C68">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r>
              <w:rPr>
                <w:rFonts w:hint="eastAsia" w:cs="宋体"/>
                <w:color w:val="auto"/>
                <w:sz w:val="21"/>
                <w:szCs w:val="21"/>
                <w:highlight w:val="none"/>
              </w:rPr>
              <w:t>单价（元）</w:t>
            </w:r>
          </w:p>
        </w:tc>
        <w:tc>
          <w:tcPr>
            <w:tcW w:w="781" w:type="pct"/>
            <w:tcBorders>
              <w:top w:val="single" w:color="auto" w:sz="12" w:space="0"/>
              <w:bottom w:val="double" w:color="auto" w:sz="6" w:space="0"/>
            </w:tcBorders>
            <w:vAlign w:val="center"/>
          </w:tcPr>
          <w:p w14:paraId="1A6E8933">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r>
              <w:rPr>
                <w:rFonts w:hint="eastAsia" w:cs="宋体"/>
                <w:color w:val="auto"/>
                <w:sz w:val="21"/>
                <w:szCs w:val="21"/>
                <w:highlight w:val="none"/>
              </w:rPr>
              <w:t>合价（元）</w:t>
            </w:r>
          </w:p>
        </w:tc>
        <w:tc>
          <w:tcPr>
            <w:tcW w:w="938" w:type="pct"/>
            <w:tcBorders>
              <w:top w:val="single" w:color="auto" w:sz="12" w:space="0"/>
              <w:bottom w:val="double" w:color="auto" w:sz="6" w:space="0"/>
            </w:tcBorders>
            <w:vAlign w:val="center"/>
          </w:tcPr>
          <w:p w14:paraId="206F28B7">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r>
              <w:rPr>
                <w:rFonts w:hint="eastAsia" w:cs="宋体"/>
                <w:color w:val="auto"/>
                <w:sz w:val="21"/>
                <w:szCs w:val="21"/>
                <w:highlight w:val="none"/>
              </w:rPr>
              <w:t>备注</w:t>
            </w:r>
          </w:p>
        </w:tc>
      </w:tr>
      <w:tr w14:paraId="015D6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502A3610">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1094" w:type="pct"/>
            <w:tcBorders>
              <w:top w:val="double" w:color="auto" w:sz="6" w:space="0"/>
            </w:tcBorders>
            <w:vAlign w:val="center"/>
          </w:tcPr>
          <w:p w14:paraId="4A086E22">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68" w:type="pct"/>
            <w:tcBorders>
              <w:top w:val="double" w:color="auto" w:sz="6" w:space="0"/>
            </w:tcBorders>
            <w:vAlign w:val="center"/>
          </w:tcPr>
          <w:p w14:paraId="04DAC57D">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26" w:type="pct"/>
            <w:tcBorders>
              <w:top w:val="double" w:color="auto" w:sz="6" w:space="0"/>
            </w:tcBorders>
            <w:vAlign w:val="center"/>
          </w:tcPr>
          <w:p w14:paraId="1FCF7AA0">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45" w:type="pct"/>
            <w:tcBorders>
              <w:top w:val="double" w:color="auto" w:sz="6" w:space="0"/>
            </w:tcBorders>
            <w:vAlign w:val="center"/>
          </w:tcPr>
          <w:p w14:paraId="34F15ED1">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81" w:type="pct"/>
            <w:tcBorders>
              <w:top w:val="double" w:color="auto" w:sz="6" w:space="0"/>
            </w:tcBorders>
            <w:vAlign w:val="center"/>
          </w:tcPr>
          <w:p w14:paraId="74A5C848">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938" w:type="pct"/>
            <w:tcBorders>
              <w:top w:val="double" w:color="auto" w:sz="6" w:space="0"/>
            </w:tcBorders>
            <w:vAlign w:val="center"/>
          </w:tcPr>
          <w:p w14:paraId="08B171B0">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r>
      <w:tr w14:paraId="1E1B5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05A48725">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1094" w:type="pct"/>
            <w:tcBorders>
              <w:top w:val="nil"/>
            </w:tcBorders>
            <w:vAlign w:val="center"/>
          </w:tcPr>
          <w:p w14:paraId="010ED002">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68" w:type="pct"/>
            <w:tcBorders>
              <w:top w:val="nil"/>
            </w:tcBorders>
            <w:vAlign w:val="center"/>
          </w:tcPr>
          <w:p w14:paraId="7D30BAE1">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26" w:type="pct"/>
            <w:tcBorders>
              <w:top w:val="nil"/>
            </w:tcBorders>
            <w:vAlign w:val="center"/>
          </w:tcPr>
          <w:p w14:paraId="18D7CB9A">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45" w:type="pct"/>
            <w:tcBorders>
              <w:top w:val="nil"/>
            </w:tcBorders>
            <w:vAlign w:val="center"/>
          </w:tcPr>
          <w:p w14:paraId="2731DC04">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81" w:type="pct"/>
            <w:tcBorders>
              <w:top w:val="nil"/>
            </w:tcBorders>
            <w:vAlign w:val="center"/>
          </w:tcPr>
          <w:p w14:paraId="528DFCE1">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938" w:type="pct"/>
            <w:tcBorders>
              <w:top w:val="nil"/>
            </w:tcBorders>
            <w:vAlign w:val="center"/>
          </w:tcPr>
          <w:p w14:paraId="16F5E3DF">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r>
      <w:tr w14:paraId="05613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1B4DEC89">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1094" w:type="pct"/>
            <w:vAlign w:val="center"/>
          </w:tcPr>
          <w:p w14:paraId="45AEB804">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68" w:type="pct"/>
            <w:vAlign w:val="center"/>
          </w:tcPr>
          <w:p w14:paraId="5956C68E">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26" w:type="pct"/>
            <w:vAlign w:val="center"/>
          </w:tcPr>
          <w:p w14:paraId="5EF44C0C">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45" w:type="pct"/>
            <w:vAlign w:val="center"/>
          </w:tcPr>
          <w:p w14:paraId="678ADFC2">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81" w:type="pct"/>
            <w:vAlign w:val="center"/>
          </w:tcPr>
          <w:p w14:paraId="0A6CA794">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938" w:type="pct"/>
            <w:vAlign w:val="center"/>
          </w:tcPr>
          <w:p w14:paraId="5AEFF385">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r>
      <w:tr w14:paraId="748FE0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158291F9">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1094" w:type="pct"/>
            <w:tcBorders>
              <w:bottom w:val="single" w:color="auto" w:sz="12" w:space="0"/>
            </w:tcBorders>
            <w:vAlign w:val="center"/>
          </w:tcPr>
          <w:p w14:paraId="5C221F9B">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68" w:type="pct"/>
            <w:tcBorders>
              <w:bottom w:val="single" w:color="auto" w:sz="12" w:space="0"/>
            </w:tcBorders>
            <w:vAlign w:val="center"/>
          </w:tcPr>
          <w:p w14:paraId="39E31DDD">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26" w:type="pct"/>
            <w:tcBorders>
              <w:bottom w:val="single" w:color="auto" w:sz="12" w:space="0"/>
            </w:tcBorders>
            <w:vAlign w:val="center"/>
          </w:tcPr>
          <w:p w14:paraId="6ED6BB24">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45" w:type="pct"/>
            <w:tcBorders>
              <w:bottom w:val="single" w:color="auto" w:sz="12" w:space="0"/>
            </w:tcBorders>
            <w:vAlign w:val="center"/>
          </w:tcPr>
          <w:p w14:paraId="6F2AB390">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81" w:type="pct"/>
            <w:tcBorders>
              <w:bottom w:val="single" w:color="auto" w:sz="12" w:space="0"/>
            </w:tcBorders>
            <w:vAlign w:val="center"/>
          </w:tcPr>
          <w:p w14:paraId="3473BA83">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938" w:type="pct"/>
            <w:tcBorders>
              <w:bottom w:val="single" w:color="auto" w:sz="12" w:space="0"/>
            </w:tcBorders>
            <w:vAlign w:val="center"/>
          </w:tcPr>
          <w:p w14:paraId="48A473EF">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r>
    </w:tbl>
    <w:p w14:paraId="1C9491EE">
      <w:pPr>
        <w:spacing w:before="156" w:beforeLines="50" w:after="156" w:afterLines="50" w:line="440" w:lineRule="exact"/>
        <w:jc w:val="center"/>
        <w:rPr>
          <w:rFonts w:cs="宋体"/>
          <w:color w:val="auto"/>
          <w:sz w:val="21"/>
          <w:szCs w:val="21"/>
          <w:highlight w:val="none"/>
        </w:rPr>
      </w:pPr>
      <w:r>
        <w:rPr>
          <w:rFonts w:hint="eastAsia" w:cs="宋体"/>
          <w:color w:val="auto"/>
          <w:sz w:val="21"/>
          <w:szCs w:val="21"/>
          <w:highlight w:val="none"/>
        </w:rPr>
        <w:t>12-3：专业工程暂估价表</w:t>
      </w:r>
    </w:p>
    <w:tbl>
      <w:tblPr>
        <w:tblStyle w:val="5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25FBE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7F426A90">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r>
              <w:rPr>
                <w:rFonts w:hint="eastAsia" w:cs="宋体"/>
                <w:color w:val="auto"/>
                <w:sz w:val="21"/>
                <w:szCs w:val="21"/>
                <w:highlight w:val="none"/>
              </w:rPr>
              <w:t>序号</w:t>
            </w:r>
          </w:p>
        </w:tc>
        <w:tc>
          <w:tcPr>
            <w:tcW w:w="1094" w:type="pct"/>
            <w:tcBorders>
              <w:top w:val="single" w:color="auto" w:sz="12" w:space="0"/>
              <w:bottom w:val="double" w:color="auto" w:sz="6" w:space="0"/>
            </w:tcBorders>
            <w:vAlign w:val="center"/>
          </w:tcPr>
          <w:p w14:paraId="1F6C669C">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r>
              <w:rPr>
                <w:rFonts w:hint="eastAsia" w:cs="宋体"/>
                <w:color w:val="auto"/>
                <w:sz w:val="21"/>
                <w:szCs w:val="21"/>
                <w:highlight w:val="none"/>
              </w:rPr>
              <w:t>名称</w:t>
            </w:r>
          </w:p>
        </w:tc>
        <w:tc>
          <w:tcPr>
            <w:tcW w:w="468" w:type="pct"/>
            <w:tcBorders>
              <w:top w:val="single" w:color="auto" w:sz="12" w:space="0"/>
              <w:bottom w:val="double" w:color="auto" w:sz="6" w:space="0"/>
            </w:tcBorders>
            <w:vAlign w:val="center"/>
          </w:tcPr>
          <w:p w14:paraId="19C99F2D">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r>
              <w:rPr>
                <w:rFonts w:hint="eastAsia" w:cs="宋体"/>
                <w:color w:val="auto"/>
                <w:sz w:val="21"/>
                <w:szCs w:val="21"/>
                <w:highlight w:val="none"/>
              </w:rPr>
              <w:t>单位</w:t>
            </w:r>
          </w:p>
        </w:tc>
        <w:tc>
          <w:tcPr>
            <w:tcW w:w="426" w:type="pct"/>
            <w:tcBorders>
              <w:top w:val="single" w:color="auto" w:sz="12" w:space="0"/>
              <w:bottom w:val="double" w:color="auto" w:sz="6" w:space="0"/>
            </w:tcBorders>
            <w:vAlign w:val="center"/>
          </w:tcPr>
          <w:p w14:paraId="214EFB69">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r>
              <w:rPr>
                <w:rFonts w:hint="eastAsia" w:cs="宋体"/>
                <w:color w:val="auto"/>
                <w:sz w:val="21"/>
                <w:szCs w:val="21"/>
                <w:highlight w:val="none"/>
              </w:rPr>
              <w:t>数量</w:t>
            </w:r>
          </w:p>
        </w:tc>
        <w:tc>
          <w:tcPr>
            <w:tcW w:w="745" w:type="pct"/>
            <w:tcBorders>
              <w:top w:val="single" w:color="auto" w:sz="12" w:space="0"/>
              <w:bottom w:val="double" w:color="auto" w:sz="6" w:space="0"/>
            </w:tcBorders>
            <w:vAlign w:val="center"/>
          </w:tcPr>
          <w:p w14:paraId="597F426E">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r>
              <w:rPr>
                <w:rFonts w:hint="eastAsia" w:cs="宋体"/>
                <w:color w:val="auto"/>
                <w:sz w:val="21"/>
                <w:szCs w:val="21"/>
                <w:highlight w:val="none"/>
              </w:rPr>
              <w:t>单价（元）</w:t>
            </w:r>
          </w:p>
        </w:tc>
        <w:tc>
          <w:tcPr>
            <w:tcW w:w="781" w:type="pct"/>
            <w:tcBorders>
              <w:top w:val="single" w:color="auto" w:sz="12" w:space="0"/>
              <w:bottom w:val="double" w:color="auto" w:sz="6" w:space="0"/>
            </w:tcBorders>
            <w:vAlign w:val="center"/>
          </w:tcPr>
          <w:p w14:paraId="6C5639B5">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r>
              <w:rPr>
                <w:rFonts w:hint="eastAsia" w:cs="宋体"/>
                <w:color w:val="auto"/>
                <w:sz w:val="21"/>
                <w:szCs w:val="21"/>
                <w:highlight w:val="none"/>
              </w:rPr>
              <w:t>合价（元）</w:t>
            </w:r>
          </w:p>
        </w:tc>
        <w:tc>
          <w:tcPr>
            <w:tcW w:w="938" w:type="pct"/>
            <w:tcBorders>
              <w:top w:val="single" w:color="auto" w:sz="12" w:space="0"/>
              <w:bottom w:val="double" w:color="auto" w:sz="6" w:space="0"/>
            </w:tcBorders>
            <w:vAlign w:val="center"/>
          </w:tcPr>
          <w:p w14:paraId="12E75E4C">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r>
              <w:rPr>
                <w:rFonts w:hint="eastAsia" w:cs="宋体"/>
                <w:color w:val="auto"/>
                <w:sz w:val="21"/>
                <w:szCs w:val="21"/>
                <w:highlight w:val="none"/>
              </w:rPr>
              <w:t>备注</w:t>
            </w:r>
          </w:p>
        </w:tc>
      </w:tr>
      <w:tr w14:paraId="02AD1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1D04F28A">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1094" w:type="pct"/>
            <w:tcBorders>
              <w:top w:val="double" w:color="auto" w:sz="6" w:space="0"/>
            </w:tcBorders>
            <w:vAlign w:val="center"/>
          </w:tcPr>
          <w:p w14:paraId="6DAEECD5">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68" w:type="pct"/>
            <w:tcBorders>
              <w:top w:val="double" w:color="auto" w:sz="6" w:space="0"/>
            </w:tcBorders>
            <w:vAlign w:val="center"/>
          </w:tcPr>
          <w:p w14:paraId="4C960237">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26" w:type="pct"/>
            <w:tcBorders>
              <w:top w:val="double" w:color="auto" w:sz="6" w:space="0"/>
            </w:tcBorders>
            <w:vAlign w:val="center"/>
          </w:tcPr>
          <w:p w14:paraId="5FBF20C2">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45" w:type="pct"/>
            <w:tcBorders>
              <w:top w:val="double" w:color="auto" w:sz="6" w:space="0"/>
            </w:tcBorders>
            <w:vAlign w:val="center"/>
          </w:tcPr>
          <w:p w14:paraId="3AA75E96">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81" w:type="pct"/>
            <w:tcBorders>
              <w:top w:val="double" w:color="auto" w:sz="6" w:space="0"/>
            </w:tcBorders>
            <w:vAlign w:val="center"/>
          </w:tcPr>
          <w:p w14:paraId="4878D002">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938" w:type="pct"/>
            <w:tcBorders>
              <w:top w:val="double" w:color="auto" w:sz="6" w:space="0"/>
            </w:tcBorders>
            <w:vAlign w:val="center"/>
          </w:tcPr>
          <w:p w14:paraId="5D8C2774">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r>
      <w:tr w14:paraId="0A82F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6B848100">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1094" w:type="pct"/>
            <w:tcBorders>
              <w:top w:val="nil"/>
            </w:tcBorders>
            <w:vAlign w:val="center"/>
          </w:tcPr>
          <w:p w14:paraId="0F581F37">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68" w:type="pct"/>
            <w:tcBorders>
              <w:top w:val="nil"/>
            </w:tcBorders>
            <w:vAlign w:val="center"/>
          </w:tcPr>
          <w:p w14:paraId="79BE0215">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26" w:type="pct"/>
            <w:tcBorders>
              <w:top w:val="nil"/>
            </w:tcBorders>
            <w:vAlign w:val="center"/>
          </w:tcPr>
          <w:p w14:paraId="1991A203">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45" w:type="pct"/>
            <w:tcBorders>
              <w:top w:val="nil"/>
            </w:tcBorders>
            <w:vAlign w:val="center"/>
          </w:tcPr>
          <w:p w14:paraId="4BC88E5B">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81" w:type="pct"/>
            <w:tcBorders>
              <w:top w:val="nil"/>
            </w:tcBorders>
            <w:vAlign w:val="center"/>
          </w:tcPr>
          <w:p w14:paraId="5A7C25FB">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938" w:type="pct"/>
            <w:tcBorders>
              <w:top w:val="nil"/>
            </w:tcBorders>
            <w:vAlign w:val="center"/>
          </w:tcPr>
          <w:p w14:paraId="380088DB">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r>
      <w:tr w14:paraId="1481E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28155354">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1094" w:type="pct"/>
            <w:vAlign w:val="center"/>
          </w:tcPr>
          <w:p w14:paraId="0D06555A">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68" w:type="pct"/>
            <w:vAlign w:val="center"/>
          </w:tcPr>
          <w:p w14:paraId="772F33A9">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26" w:type="pct"/>
            <w:vAlign w:val="center"/>
          </w:tcPr>
          <w:p w14:paraId="2F36F79F">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45" w:type="pct"/>
            <w:vAlign w:val="center"/>
          </w:tcPr>
          <w:p w14:paraId="03407FE7">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81" w:type="pct"/>
            <w:vAlign w:val="center"/>
          </w:tcPr>
          <w:p w14:paraId="743E4B5F">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938" w:type="pct"/>
            <w:vAlign w:val="center"/>
          </w:tcPr>
          <w:p w14:paraId="274B94F2">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r>
      <w:tr w14:paraId="456E2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3E494B57">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1094" w:type="pct"/>
            <w:tcBorders>
              <w:bottom w:val="single" w:color="auto" w:sz="12" w:space="0"/>
            </w:tcBorders>
            <w:vAlign w:val="center"/>
          </w:tcPr>
          <w:p w14:paraId="2EDC2D49">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68" w:type="pct"/>
            <w:tcBorders>
              <w:bottom w:val="single" w:color="auto" w:sz="12" w:space="0"/>
            </w:tcBorders>
            <w:vAlign w:val="center"/>
          </w:tcPr>
          <w:p w14:paraId="10826180">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426" w:type="pct"/>
            <w:tcBorders>
              <w:bottom w:val="single" w:color="auto" w:sz="12" w:space="0"/>
            </w:tcBorders>
            <w:vAlign w:val="center"/>
          </w:tcPr>
          <w:p w14:paraId="55DC17B9">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45" w:type="pct"/>
            <w:tcBorders>
              <w:bottom w:val="single" w:color="auto" w:sz="12" w:space="0"/>
            </w:tcBorders>
            <w:vAlign w:val="center"/>
          </w:tcPr>
          <w:p w14:paraId="48FEB445">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781" w:type="pct"/>
            <w:tcBorders>
              <w:bottom w:val="single" w:color="auto" w:sz="12" w:space="0"/>
            </w:tcBorders>
            <w:vAlign w:val="center"/>
          </w:tcPr>
          <w:p w14:paraId="2518BF04">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c>
          <w:tcPr>
            <w:tcW w:w="938" w:type="pct"/>
            <w:tcBorders>
              <w:bottom w:val="single" w:color="auto" w:sz="12" w:space="0"/>
            </w:tcBorders>
            <w:vAlign w:val="center"/>
          </w:tcPr>
          <w:p w14:paraId="738A6DFF">
            <w:pPr>
              <w:keepNext/>
              <w:keepLines w:val="0"/>
              <w:suppressLineNumbers w:val="0"/>
              <w:spacing w:before="0" w:beforeAutospacing="0" w:after="0" w:afterAutospacing="0" w:line="440" w:lineRule="exact"/>
              <w:ind w:left="0" w:right="0"/>
              <w:jc w:val="center"/>
              <w:rPr>
                <w:rFonts w:hint="default" w:cs="宋体"/>
                <w:color w:val="auto"/>
                <w:sz w:val="21"/>
                <w:szCs w:val="21"/>
                <w:highlight w:val="none"/>
              </w:rPr>
            </w:pPr>
          </w:p>
        </w:tc>
      </w:tr>
    </w:tbl>
    <w:p w14:paraId="6AAD98E0">
      <w:pPr>
        <w:rPr>
          <w:rFonts w:cs="宋体"/>
          <w:color w:val="auto"/>
          <w:szCs w:val="21"/>
          <w:highlight w:val="none"/>
        </w:rPr>
      </w:pPr>
    </w:p>
    <w:p w14:paraId="1E96B03C">
      <w:pPr>
        <w:spacing w:before="312" w:beforeLines="100" w:after="312" w:afterLines="100"/>
        <w:outlineLvl w:val="2"/>
        <w:rPr>
          <w:rFonts w:ascii="Times New Roman" w:eastAsia="黑体"/>
          <w:color w:val="auto"/>
          <w:sz w:val="21"/>
          <w:szCs w:val="21"/>
          <w:highlight w:val="none"/>
        </w:rPr>
      </w:pPr>
      <w:r>
        <w:rPr>
          <w:rFonts w:hint="eastAsia" w:cs="宋体"/>
          <w:bCs/>
          <w:color w:val="auto"/>
          <w:highlight w:val="none"/>
        </w:rPr>
        <w:br w:type="page"/>
      </w:r>
      <w:bookmarkStart w:id="658" w:name="_Toc128950248"/>
      <w:r>
        <w:rPr>
          <w:rFonts w:hint="eastAsia" w:ascii="Times New Roman" w:eastAsia="黑体"/>
          <w:color w:val="auto"/>
          <w:sz w:val="21"/>
          <w:szCs w:val="21"/>
          <w:highlight w:val="none"/>
        </w:rPr>
        <w:t>附件13：安全生产合同</w:t>
      </w:r>
      <w:bookmarkEnd w:id="658"/>
    </w:p>
    <w:p w14:paraId="05FCA5E9">
      <w:pPr>
        <w:spacing w:before="156" w:beforeLines="50" w:after="156" w:afterLines="50" w:line="360" w:lineRule="auto"/>
        <w:jc w:val="center"/>
        <w:rPr>
          <w:rFonts w:cs="宋体"/>
          <w:b/>
          <w:color w:val="auto"/>
          <w:sz w:val="32"/>
          <w:szCs w:val="32"/>
          <w:highlight w:val="none"/>
        </w:rPr>
      </w:pPr>
      <w:bookmarkStart w:id="659" w:name="_Toc23792"/>
      <w:bookmarkStart w:id="660" w:name="_Toc11475"/>
      <w:r>
        <w:rPr>
          <w:rFonts w:hint="eastAsia" w:cs="宋体"/>
          <w:b/>
          <w:color w:val="auto"/>
          <w:sz w:val="32"/>
          <w:szCs w:val="32"/>
          <w:highlight w:val="none"/>
        </w:rPr>
        <w:t>安全生产合同</w:t>
      </w:r>
      <w:bookmarkEnd w:id="659"/>
      <w:bookmarkEnd w:id="660"/>
    </w:p>
    <w:p w14:paraId="657679CB">
      <w:pPr>
        <w:spacing w:line="360" w:lineRule="auto"/>
        <w:ind w:firstLine="420" w:firstLineChars="200"/>
        <w:rPr>
          <w:rFonts w:cs="宋体"/>
          <w:color w:val="auto"/>
          <w:sz w:val="21"/>
          <w:szCs w:val="21"/>
          <w:highlight w:val="none"/>
        </w:rPr>
      </w:pPr>
      <w:r>
        <w:rPr>
          <w:rFonts w:hint="eastAsia" w:cs="宋体"/>
          <w:color w:val="auto"/>
          <w:sz w:val="21"/>
          <w:szCs w:val="21"/>
          <w:highlight w:val="none"/>
        </w:rPr>
        <w:t>为在</w:t>
      </w:r>
      <w:r>
        <w:rPr>
          <w:rFonts w:hint="eastAsia" w:cs="宋体"/>
          <w:color w:val="auto"/>
          <w:sz w:val="21"/>
          <w:szCs w:val="21"/>
          <w:highlight w:val="none"/>
          <w:u w:val="single"/>
        </w:rPr>
        <w:t xml:space="preserve">            </w:t>
      </w:r>
      <w:r>
        <w:rPr>
          <w:rFonts w:hint="eastAsia" w:cs="宋体"/>
          <w:color w:val="auto"/>
          <w:sz w:val="21"/>
          <w:szCs w:val="21"/>
          <w:highlight w:val="none"/>
        </w:rPr>
        <w:t>（项目名称）施工合同的实施过程中创造安全、高效的施工环境，切实搞好本项目的安全管理工作，本项目发包人</w:t>
      </w:r>
      <w:r>
        <w:rPr>
          <w:rFonts w:hint="eastAsia" w:cs="宋体"/>
          <w:color w:val="auto"/>
          <w:sz w:val="21"/>
          <w:szCs w:val="21"/>
          <w:highlight w:val="none"/>
          <w:u w:val="single"/>
        </w:rPr>
        <w:t xml:space="preserve">       </w:t>
      </w:r>
      <w:r>
        <w:rPr>
          <w:rFonts w:hint="eastAsia" w:cs="宋体"/>
          <w:color w:val="auto"/>
          <w:sz w:val="21"/>
          <w:szCs w:val="21"/>
          <w:highlight w:val="none"/>
        </w:rPr>
        <w:t>（发包人名称，以下简称“发包人”）与承包人</w:t>
      </w:r>
      <w:r>
        <w:rPr>
          <w:rFonts w:hint="eastAsia" w:cs="宋体"/>
          <w:color w:val="auto"/>
          <w:sz w:val="21"/>
          <w:szCs w:val="21"/>
          <w:highlight w:val="none"/>
          <w:u w:val="single"/>
        </w:rPr>
        <w:t xml:space="preserve">         </w:t>
      </w:r>
      <w:r>
        <w:rPr>
          <w:rFonts w:hint="eastAsia" w:cs="宋体"/>
          <w:color w:val="auto"/>
          <w:sz w:val="21"/>
          <w:szCs w:val="21"/>
          <w:highlight w:val="none"/>
        </w:rPr>
        <w:t>（承包人名称，以下简称“承包人”）特此签订安全生产合同：</w:t>
      </w:r>
    </w:p>
    <w:p w14:paraId="0A281D12">
      <w:pPr>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1.发包人职责</w:t>
      </w:r>
    </w:p>
    <w:p w14:paraId="092FD937">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（1）严格遵守国家有关安全生产的法律法规，认真执行工程承包合同中的有关安全要求。</w:t>
      </w:r>
    </w:p>
    <w:p w14:paraId="18C331F7">
      <w:pPr>
        <w:spacing w:line="360" w:lineRule="auto"/>
        <w:ind w:firstLine="420" w:firstLineChars="200"/>
        <w:rPr>
          <w:rFonts w:cs="宋体"/>
          <w:color w:val="auto"/>
          <w:sz w:val="21"/>
          <w:szCs w:val="21"/>
          <w:highlight w:val="none"/>
        </w:rPr>
      </w:pPr>
      <w:r>
        <w:rPr>
          <w:rFonts w:hint="eastAsia" w:cs="宋体"/>
          <w:color w:val="auto"/>
          <w:sz w:val="21"/>
          <w:szCs w:val="21"/>
          <w:highlight w:val="none"/>
        </w:rPr>
        <w:t>（2）按照“安全第一、预防为主”和坚持“管生产必须管安全”的原则进行安全生产管理，做到生产与安全工作同时计划、布置、检查、总结和评比。</w:t>
      </w:r>
    </w:p>
    <w:p w14:paraId="39240C0D">
      <w:pPr>
        <w:spacing w:line="360" w:lineRule="auto"/>
        <w:ind w:firstLine="420" w:firstLineChars="200"/>
        <w:rPr>
          <w:rFonts w:cs="宋体"/>
          <w:color w:val="auto"/>
          <w:sz w:val="21"/>
          <w:szCs w:val="21"/>
          <w:highlight w:val="none"/>
        </w:rPr>
      </w:pPr>
      <w:r>
        <w:rPr>
          <w:rFonts w:hint="eastAsia" w:cs="宋体"/>
          <w:color w:val="auto"/>
          <w:sz w:val="21"/>
          <w:szCs w:val="21"/>
          <w:highlight w:val="none"/>
        </w:rPr>
        <w:t>（3）重要的安全设施必须坚持与主体工程“三同时”的原则，即：同时设计、审批，同时施工，同时验收，投入使用。</w:t>
      </w:r>
    </w:p>
    <w:p w14:paraId="61CF7664">
      <w:pPr>
        <w:spacing w:line="360" w:lineRule="auto"/>
        <w:ind w:firstLine="420" w:firstLineChars="200"/>
        <w:rPr>
          <w:rFonts w:cs="宋体"/>
          <w:color w:val="auto"/>
          <w:sz w:val="21"/>
          <w:szCs w:val="21"/>
          <w:highlight w:val="none"/>
        </w:rPr>
      </w:pPr>
      <w:r>
        <w:rPr>
          <w:rFonts w:hint="eastAsia" w:cs="宋体"/>
          <w:color w:val="auto"/>
          <w:sz w:val="21"/>
          <w:szCs w:val="21"/>
          <w:highlight w:val="none"/>
        </w:rPr>
        <w:t>（4）定期召开安全生产调度会，及时传达中央及地方有关安全生产的精神。</w:t>
      </w:r>
    </w:p>
    <w:p w14:paraId="779BB4B5">
      <w:pPr>
        <w:spacing w:line="360" w:lineRule="auto"/>
        <w:ind w:firstLine="420" w:firstLineChars="200"/>
        <w:rPr>
          <w:rFonts w:cs="宋体"/>
          <w:color w:val="auto"/>
          <w:sz w:val="21"/>
          <w:szCs w:val="21"/>
          <w:highlight w:val="none"/>
        </w:rPr>
      </w:pPr>
      <w:r>
        <w:rPr>
          <w:rFonts w:hint="eastAsia" w:cs="宋体"/>
          <w:color w:val="auto"/>
          <w:sz w:val="21"/>
          <w:szCs w:val="21"/>
          <w:highlight w:val="none"/>
        </w:rPr>
        <w:t>（5）组织对承包人施工现场安全生产检查，监督承包人及时处理发现的各种安全隐患。</w:t>
      </w:r>
    </w:p>
    <w:p w14:paraId="1E4587E8">
      <w:pPr>
        <w:spacing w:line="360" w:lineRule="auto"/>
        <w:ind w:firstLine="420" w:firstLineChars="200"/>
        <w:rPr>
          <w:rFonts w:cs="宋体"/>
          <w:color w:val="auto"/>
          <w:sz w:val="21"/>
          <w:szCs w:val="21"/>
          <w:highlight w:val="none"/>
        </w:rPr>
      </w:pPr>
      <w:r>
        <w:rPr>
          <w:rFonts w:hint="eastAsia" w:cs="宋体"/>
          <w:color w:val="auto"/>
          <w:sz w:val="21"/>
          <w:szCs w:val="21"/>
          <w:highlight w:val="none"/>
        </w:rPr>
        <w:t>2.承包人职责</w:t>
      </w:r>
    </w:p>
    <w:p w14:paraId="487AA848">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7C9E0147">
      <w:pPr>
        <w:spacing w:line="360" w:lineRule="auto"/>
        <w:ind w:firstLine="420" w:firstLineChars="200"/>
        <w:rPr>
          <w:rFonts w:cs="宋体"/>
          <w:color w:val="auto"/>
          <w:sz w:val="21"/>
          <w:szCs w:val="21"/>
          <w:highlight w:val="none"/>
        </w:rPr>
      </w:pPr>
      <w:r>
        <w:rPr>
          <w:rFonts w:hint="eastAsia"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E2BB9A4">
      <w:pPr>
        <w:spacing w:line="360" w:lineRule="auto"/>
        <w:ind w:firstLine="420" w:firstLineChars="200"/>
        <w:rPr>
          <w:rFonts w:cs="宋体"/>
          <w:color w:val="auto"/>
          <w:sz w:val="21"/>
          <w:szCs w:val="21"/>
          <w:highlight w:val="none"/>
        </w:rPr>
      </w:pPr>
      <w:r>
        <w:rPr>
          <w:rFonts w:hint="eastAsia"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7389AFEE">
      <w:pPr>
        <w:spacing w:line="360" w:lineRule="auto"/>
        <w:ind w:firstLine="420" w:firstLineChars="200"/>
        <w:rPr>
          <w:rFonts w:cs="宋体"/>
          <w:color w:val="auto"/>
          <w:sz w:val="21"/>
          <w:szCs w:val="21"/>
          <w:highlight w:val="none"/>
        </w:rPr>
      </w:pPr>
      <w:r>
        <w:rPr>
          <w:rFonts w:hint="eastAsia" w:cs="宋体"/>
          <w:color w:val="auto"/>
          <w:sz w:val="21"/>
          <w:szCs w:val="21"/>
          <w:highlight w:val="none"/>
        </w:rPr>
        <w:t>（4）承包人在任何时候都应采取各种合理的预防措施，防止其员工发生任何违法、违禁、暴力或妨碍治安的行为。</w:t>
      </w:r>
    </w:p>
    <w:p w14:paraId="59727EC7">
      <w:pPr>
        <w:spacing w:line="360" w:lineRule="auto"/>
        <w:ind w:firstLine="420" w:firstLineChars="200"/>
        <w:rPr>
          <w:rFonts w:cs="宋体"/>
          <w:color w:val="auto"/>
          <w:sz w:val="21"/>
          <w:szCs w:val="21"/>
          <w:highlight w:val="none"/>
        </w:rPr>
      </w:pPr>
      <w:r>
        <w:rPr>
          <w:rFonts w:hint="eastAsia"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735781B2">
      <w:pPr>
        <w:spacing w:line="360" w:lineRule="auto"/>
        <w:ind w:firstLine="420" w:firstLineChars="200"/>
        <w:rPr>
          <w:rFonts w:cs="宋体"/>
          <w:color w:val="auto"/>
          <w:sz w:val="21"/>
          <w:szCs w:val="21"/>
          <w:highlight w:val="none"/>
        </w:rPr>
      </w:pPr>
      <w:r>
        <w:rPr>
          <w:rFonts w:hint="eastAsia"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2C0FF3E3">
      <w:pPr>
        <w:spacing w:line="360" w:lineRule="auto"/>
        <w:ind w:firstLine="420" w:firstLineChars="200"/>
        <w:rPr>
          <w:rFonts w:cs="宋体"/>
          <w:color w:val="auto"/>
          <w:sz w:val="21"/>
          <w:szCs w:val="21"/>
          <w:highlight w:val="none"/>
        </w:rPr>
      </w:pPr>
      <w:r>
        <w:rPr>
          <w:rFonts w:hint="eastAsia"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2F6DFFF9">
      <w:pPr>
        <w:spacing w:line="360" w:lineRule="auto"/>
        <w:ind w:firstLine="420" w:firstLineChars="200"/>
        <w:rPr>
          <w:rFonts w:cs="宋体"/>
          <w:color w:val="auto"/>
          <w:sz w:val="21"/>
          <w:szCs w:val="21"/>
          <w:highlight w:val="none"/>
        </w:rPr>
      </w:pPr>
      <w:r>
        <w:rPr>
          <w:rFonts w:hint="eastAsia"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1CA5D0ED">
      <w:pPr>
        <w:spacing w:line="360" w:lineRule="auto"/>
        <w:ind w:firstLine="420" w:firstLineChars="200"/>
        <w:rPr>
          <w:rFonts w:cs="宋体"/>
          <w:color w:val="auto"/>
          <w:sz w:val="21"/>
          <w:szCs w:val="21"/>
          <w:highlight w:val="none"/>
        </w:rPr>
      </w:pPr>
      <w:r>
        <w:rPr>
          <w:rFonts w:hint="eastAsia" w:cs="宋体"/>
          <w:color w:val="auto"/>
          <w:sz w:val="21"/>
          <w:szCs w:val="21"/>
          <w:highlight w:val="none"/>
        </w:rPr>
        <w:t>（9）施工中采用新技术、新工艺、新设备、新材料时，必须制定相应的安全技术措施，施工现场必须具有相关的安全标志牌。</w:t>
      </w:r>
    </w:p>
    <w:p w14:paraId="5FB525AE">
      <w:pPr>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8447981">
      <w:pPr>
        <w:spacing w:line="360" w:lineRule="auto"/>
        <w:ind w:firstLine="420" w:firstLineChars="200"/>
        <w:rPr>
          <w:rFonts w:cs="宋体"/>
          <w:color w:val="auto"/>
          <w:sz w:val="21"/>
          <w:szCs w:val="21"/>
          <w:highlight w:val="none"/>
        </w:rPr>
      </w:pPr>
      <w:r>
        <w:rPr>
          <w:rFonts w:hint="eastAsia" w:cs="宋体"/>
          <w:color w:val="auto"/>
          <w:sz w:val="21"/>
          <w:szCs w:val="21"/>
          <w:highlight w:val="none"/>
        </w:rPr>
        <w:t>（11）安全生产费用按照《建设工程安全生产管理条例》的相关规定使用和管理。</w:t>
      </w:r>
    </w:p>
    <w:p w14:paraId="14A48714">
      <w:pPr>
        <w:spacing w:line="360" w:lineRule="auto"/>
        <w:ind w:firstLine="420" w:firstLineChars="200"/>
        <w:rPr>
          <w:rFonts w:cs="宋体"/>
          <w:color w:val="auto"/>
          <w:sz w:val="21"/>
          <w:szCs w:val="21"/>
          <w:highlight w:val="none"/>
        </w:rPr>
      </w:pPr>
      <w:r>
        <w:rPr>
          <w:rFonts w:hint="eastAsia" w:cs="宋体"/>
          <w:color w:val="auto"/>
          <w:sz w:val="21"/>
          <w:szCs w:val="21"/>
          <w:highlight w:val="none"/>
        </w:rPr>
        <w:t>3.违约责任</w:t>
      </w:r>
    </w:p>
    <w:p w14:paraId="5E833655">
      <w:pPr>
        <w:spacing w:line="360" w:lineRule="auto"/>
        <w:ind w:firstLine="420" w:firstLineChars="200"/>
        <w:rPr>
          <w:rFonts w:cs="宋体"/>
          <w:color w:val="auto"/>
          <w:sz w:val="21"/>
          <w:szCs w:val="21"/>
          <w:highlight w:val="none"/>
        </w:rPr>
      </w:pPr>
      <w:r>
        <w:rPr>
          <w:rFonts w:hint="eastAsia" w:cs="宋体"/>
          <w:color w:val="auto"/>
          <w:sz w:val="21"/>
          <w:szCs w:val="21"/>
          <w:highlight w:val="none"/>
        </w:rPr>
        <w:t>如因发包人或承包人违约造成安全事故，将依法追究责任。</w:t>
      </w:r>
    </w:p>
    <w:p w14:paraId="183A98F8">
      <w:pPr>
        <w:spacing w:line="360" w:lineRule="auto"/>
        <w:ind w:firstLine="420" w:firstLineChars="200"/>
        <w:rPr>
          <w:rFonts w:cs="宋体"/>
          <w:color w:val="auto"/>
          <w:sz w:val="21"/>
          <w:szCs w:val="21"/>
          <w:highlight w:val="none"/>
        </w:rPr>
      </w:pPr>
      <w:r>
        <w:rPr>
          <w:rFonts w:hint="eastAsia" w:cs="宋体"/>
          <w:color w:val="auto"/>
          <w:sz w:val="21"/>
          <w:szCs w:val="21"/>
          <w:highlight w:val="none"/>
        </w:rPr>
        <w:t>4.本合同由双方法定代表人或其授权的代理人签署并加盖单位章后生效，全部工程竣工验收后失效。</w:t>
      </w:r>
    </w:p>
    <w:p w14:paraId="439D7769">
      <w:pPr>
        <w:spacing w:line="360" w:lineRule="auto"/>
        <w:ind w:firstLine="420" w:firstLineChars="200"/>
        <w:rPr>
          <w:rFonts w:cs="宋体"/>
          <w:color w:val="auto"/>
          <w:sz w:val="21"/>
          <w:szCs w:val="21"/>
          <w:highlight w:val="none"/>
        </w:rPr>
      </w:pPr>
      <w:r>
        <w:rPr>
          <w:rFonts w:hint="eastAsia" w:cs="宋体"/>
          <w:color w:val="auto"/>
          <w:sz w:val="21"/>
          <w:szCs w:val="21"/>
          <w:highlight w:val="none"/>
        </w:rPr>
        <w:t>5.本合同正本—式</w:t>
      </w:r>
      <w:r>
        <w:rPr>
          <w:rFonts w:hint="eastAsia" w:cs="宋体"/>
          <w:color w:val="auto"/>
          <w:sz w:val="21"/>
          <w:szCs w:val="21"/>
          <w:highlight w:val="none"/>
          <w:u w:val="single"/>
        </w:rPr>
        <w:t xml:space="preserve">   </w:t>
      </w:r>
      <w:r>
        <w:rPr>
          <w:rFonts w:hint="eastAsia" w:cs="宋体"/>
          <w:color w:val="auto"/>
          <w:sz w:val="21"/>
          <w:szCs w:val="21"/>
          <w:highlight w:val="none"/>
        </w:rPr>
        <w:t>份，副本</w:t>
      </w:r>
      <w:r>
        <w:rPr>
          <w:rFonts w:hint="eastAsia" w:cs="宋体"/>
          <w:color w:val="auto"/>
          <w:sz w:val="21"/>
          <w:szCs w:val="21"/>
          <w:highlight w:val="none"/>
          <w:u w:val="single"/>
        </w:rPr>
        <w:t xml:space="preserve">  </w:t>
      </w:r>
      <w:r>
        <w:rPr>
          <w:rFonts w:hint="eastAsia" w:cs="宋体"/>
          <w:color w:val="auto"/>
          <w:sz w:val="21"/>
          <w:szCs w:val="21"/>
          <w:highlight w:val="none"/>
        </w:rPr>
        <w:t>份，合同双方各执正本—份，副本</w:t>
      </w:r>
      <w:r>
        <w:rPr>
          <w:rFonts w:hint="eastAsia" w:cs="宋体"/>
          <w:color w:val="auto"/>
          <w:sz w:val="21"/>
          <w:szCs w:val="21"/>
          <w:highlight w:val="none"/>
          <w:u w:val="single"/>
        </w:rPr>
        <w:t xml:space="preserve">  </w:t>
      </w:r>
      <w:r>
        <w:rPr>
          <w:rFonts w:hint="eastAsia" w:cs="宋体"/>
          <w:color w:val="auto"/>
          <w:sz w:val="21"/>
          <w:szCs w:val="21"/>
          <w:highlight w:val="none"/>
        </w:rPr>
        <w:t>份，当正本与副本的内容不一致时，以正本为准。</w:t>
      </w:r>
    </w:p>
    <w:p w14:paraId="7E71F865">
      <w:pPr>
        <w:spacing w:line="360" w:lineRule="auto"/>
        <w:rPr>
          <w:rFonts w:cs="宋体"/>
          <w:color w:val="auto"/>
          <w:sz w:val="21"/>
          <w:szCs w:val="21"/>
          <w:highlight w:val="none"/>
        </w:rPr>
      </w:pPr>
    </w:p>
    <w:p w14:paraId="27B7651F">
      <w:pPr>
        <w:spacing w:line="360" w:lineRule="auto"/>
        <w:rPr>
          <w:rFonts w:cs="宋体"/>
          <w:color w:val="auto"/>
          <w:sz w:val="21"/>
          <w:szCs w:val="21"/>
          <w:highlight w:val="none"/>
        </w:rPr>
      </w:pPr>
    </w:p>
    <w:p w14:paraId="6C70D8DB">
      <w:pPr>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xml:space="preserve">            </w:t>
      </w:r>
      <w:r>
        <w:rPr>
          <w:rFonts w:hint="eastAsia" w:cs="宋体"/>
          <w:color w:val="auto"/>
          <w:sz w:val="21"/>
          <w:szCs w:val="21"/>
          <w:highlight w:val="none"/>
        </w:rPr>
        <w:t>（盖单位章）          承包人：</w:t>
      </w:r>
      <w:r>
        <w:rPr>
          <w:rFonts w:hint="eastAsia" w:cs="宋体"/>
          <w:color w:val="auto"/>
          <w:sz w:val="21"/>
          <w:szCs w:val="21"/>
          <w:highlight w:val="none"/>
          <w:u w:val="single"/>
        </w:rPr>
        <w:t xml:space="preserve">        </w:t>
      </w:r>
      <w:r>
        <w:rPr>
          <w:rFonts w:hint="eastAsia" w:cs="宋体"/>
          <w:color w:val="auto"/>
          <w:sz w:val="21"/>
          <w:szCs w:val="21"/>
          <w:highlight w:val="none"/>
        </w:rPr>
        <w:t>（盖单位章）</w:t>
      </w:r>
    </w:p>
    <w:p w14:paraId="3E969616">
      <w:pPr>
        <w:spacing w:line="360" w:lineRule="auto"/>
        <w:rPr>
          <w:rFonts w:cs="宋体"/>
          <w:color w:val="auto"/>
          <w:sz w:val="21"/>
          <w:szCs w:val="21"/>
          <w:highlight w:val="none"/>
        </w:rPr>
      </w:pPr>
    </w:p>
    <w:p w14:paraId="796EABFA">
      <w:pPr>
        <w:spacing w:line="360" w:lineRule="auto"/>
        <w:rPr>
          <w:rFonts w:cs="宋体"/>
          <w:color w:val="auto"/>
          <w:sz w:val="21"/>
          <w:szCs w:val="21"/>
          <w:highlight w:val="none"/>
        </w:rPr>
      </w:pPr>
      <w:r>
        <w:rPr>
          <w:rFonts w:hint="eastAsia" w:cs="宋体"/>
          <w:color w:val="auto"/>
          <w:sz w:val="21"/>
          <w:szCs w:val="21"/>
          <w:highlight w:val="none"/>
        </w:rPr>
        <w:t>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     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w:t>
      </w:r>
    </w:p>
    <w:p w14:paraId="24CE73A1">
      <w:pPr>
        <w:spacing w:line="360" w:lineRule="auto"/>
        <w:rPr>
          <w:rFonts w:cs="宋体"/>
          <w:color w:val="auto"/>
          <w:sz w:val="21"/>
          <w:szCs w:val="21"/>
          <w:highlight w:val="none"/>
        </w:rPr>
      </w:pPr>
    </w:p>
    <w:p w14:paraId="581E5DAC">
      <w:pPr>
        <w:spacing w:line="360" w:lineRule="auto"/>
        <w:ind w:firstLine="84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 xml:space="preserve">日                </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094E419D">
      <w:pPr>
        <w:spacing w:before="312" w:beforeLines="100" w:after="312" w:afterLines="100"/>
        <w:outlineLvl w:val="2"/>
        <w:rPr>
          <w:rFonts w:ascii="Times New Roman" w:eastAsia="黑体"/>
          <w:color w:val="auto"/>
          <w:sz w:val="21"/>
          <w:szCs w:val="21"/>
          <w:highlight w:val="none"/>
        </w:rPr>
      </w:pPr>
      <w:r>
        <w:rPr>
          <w:rFonts w:hint="eastAsia" w:cs="宋体"/>
          <w:bCs/>
          <w:color w:val="auto"/>
          <w:kern w:val="44"/>
          <w:sz w:val="21"/>
          <w:szCs w:val="21"/>
          <w:highlight w:val="none"/>
        </w:rPr>
        <w:br w:type="page"/>
      </w:r>
      <w:bookmarkStart w:id="661" w:name="_Toc128950249"/>
      <w:r>
        <w:rPr>
          <w:rFonts w:hint="eastAsia" w:ascii="Times New Roman" w:eastAsia="黑体"/>
          <w:color w:val="auto"/>
          <w:sz w:val="21"/>
          <w:szCs w:val="21"/>
          <w:highlight w:val="none"/>
        </w:rPr>
        <w:t>附件14：项目经理质量终身责任制承诺</w:t>
      </w:r>
      <w:bookmarkEnd w:id="661"/>
    </w:p>
    <w:p w14:paraId="7FC8CF03">
      <w:pPr>
        <w:spacing w:before="156" w:beforeLines="50" w:after="156" w:afterLines="50" w:line="360" w:lineRule="auto"/>
        <w:jc w:val="center"/>
        <w:rPr>
          <w:rFonts w:cs="宋体"/>
          <w:b/>
          <w:color w:val="auto"/>
          <w:sz w:val="32"/>
          <w:szCs w:val="32"/>
          <w:highlight w:val="none"/>
        </w:rPr>
      </w:pPr>
      <w:bookmarkStart w:id="662" w:name="_Toc19417"/>
      <w:bookmarkStart w:id="663" w:name="_Toc128950250"/>
      <w:bookmarkStart w:id="664" w:name="_Toc14540"/>
      <w:r>
        <w:rPr>
          <w:rFonts w:hint="eastAsia" w:cs="宋体"/>
          <w:b/>
          <w:color w:val="auto"/>
          <w:sz w:val="32"/>
          <w:szCs w:val="32"/>
          <w:highlight w:val="none"/>
        </w:rPr>
        <w:t>项目经理质量终身责任制承诺</w:t>
      </w:r>
      <w:bookmarkEnd w:id="662"/>
      <w:bookmarkEnd w:id="663"/>
      <w:bookmarkEnd w:id="664"/>
    </w:p>
    <w:p w14:paraId="655A1C9F">
      <w:pPr>
        <w:spacing w:line="360" w:lineRule="auto"/>
        <w:rPr>
          <w:rFonts w:cs="宋体"/>
          <w:bCs/>
          <w:color w:val="auto"/>
          <w:sz w:val="21"/>
          <w:szCs w:val="21"/>
          <w:highlight w:val="none"/>
        </w:rPr>
      </w:pPr>
      <w:r>
        <w:rPr>
          <w:rFonts w:hint="eastAsia" w:cs="宋体"/>
          <w:bCs/>
          <w:color w:val="auto"/>
          <w:sz w:val="21"/>
          <w:szCs w:val="21"/>
          <w:highlight w:val="none"/>
        </w:rPr>
        <w:t>致：</w:t>
      </w:r>
      <w:r>
        <w:rPr>
          <w:rFonts w:hint="eastAsia" w:cs="宋体"/>
          <w:bCs/>
          <w:color w:val="auto"/>
          <w:sz w:val="21"/>
          <w:szCs w:val="21"/>
          <w:highlight w:val="none"/>
          <w:u w:val="single"/>
        </w:rPr>
        <w:t>（采购人）</w:t>
      </w:r>
    </w:p>
    <w:p w14:paraId="45B5D043">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本人作为施工项目经理，承担相关质量终身责任，现郑重承诺如下：</w:t>
      </w:r>
    </w:p>
    <w:p w14:paraId="091BA555">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一、在取得施工许可证后进行施工。</w:t>
      </w:r>
    </w:p>
    <w:p w14:paraId="254F3DF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二、严格执行施工规范及标准。</w:t>
      </w:r>
    </w:p>
    <w:p w14:paraId="0C2B2DAD">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三、严格按规定配备施工项目部关键岗位人员，并确保所有人员到岗履职。</w:t>
      </w:r>
    </w:p>
    <w:p w14:paraId="0489EF23">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四、严格按照经施工图审查机构审查合格的工程设计文件及合同约定的质量标准精心组织施工。</w:t>
      </w:r>
    </w:p>
    <w:p w14:paraId="68F47876">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五、施工中采用合格的建筑材料、建筑构配件和设备等，并严格按规定执行见证取样制度。</w:t>
      </w:r>
    </w:p>
    <w:p w14:paraId="7E5D78ED">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六、建立、健全质量检查、验收制度，严格工序管理，做好隐蔽工程质量的检查和记录。</w:t>
      </w:r>
    </w:p>
    <w:p w14:paraId="39448FBD">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七、对施工中出现的质量问题，及时进行整改。严格依法依规履行义务。</w:t>
      </w:r>
    </w:p>
    <w:p w14:paraId="0CBD5818">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八、履行相关工程质量检查、验收及事故处理等职责。</w:t>
      </w:r>
    </w:p>
    <w:p w14:paraId="54142B2E">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九、履行其他法律法规规定的职责。</w:t>
      </w:r>
    </w:p>
    <w:p w14:paraId="2748BA8F">
      <w:pPr>
        <w:spacing w:line="360" w:lineRule="auto"/>
        <w:ind w:left="342" w:leftChars="171" w:firstLine="630" w:firstLineChars="300"/>
        <w:rPr>
          <w:rFonts w:cs="宋体"/>
          <w:bCs/>
          <w:color w:val="auto"/>
          <w:sz w:val="21"/>
          <w:szCs w:val="21"/>
          <w:highlight w:val="none"/>
        </w:rPr>
      </w:pPr>
    </w:p>
    <w:p w14:paraId="7F62A606">
      <w:pPr>
        <w:spacing w:line="360" w:lineRule="auto"/>
        <w:ind w:left="342" w:leftChars="171" w:firstLine="630" w:firstLineChars="300"/>
        <w:rPr>
          <w:rFonts w:cs="宋体"/>
          <w:bCs/>
          <w:color w:val="auto"/>
          <w:sz w:val="21"/>
          <w:szCs w:val="21"/>
          <w:highlight w:val="none"/>
        </w:rPr>
      </w:pPr>
    </w:p>
    <w:p w14:paraId="19674318">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项目经理：</w:t>
      </w:r>
      <w:r>
        <w:rPr>
          <w:rFonts w:hint="eastAsia" w:cs="宋体"/>
          <w:bCs/>
          <w:color w:val="auto"/>
          <w:sz w:val="21"/>
          <w:szCs w:val="21"/>
          <w:highlight w:val="none"/>
          <w:u w:val="single"/>
        </w:rPr>
        <w:t xml:space="preserve">                   </w:t>
      </w:r>
      <w:r>
        <w:rPr>
          <w:rFonts w:hint="eastAsia" w:cs="宋体"/>
          <w:bCs/>
          <w:color w:val="auto"/>
          <w:sz w:val="21"/>
          <w:szCs w:val="21"/>
          <w:highlight w:val="none"/>
        </w:rPr>
        <w:t>（签字）</w:t>
      </w:r>
    </w:p>
    <w:p w14:paraId="1C5E4F45">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日期：_____年____月____日</w:t>
      </w:r>
    </w:p>
    <w:p w14:paraId="604A8359">
      <w:pPr>
        <w:pStyle w:val="22"/>
        <w:rPr>
          <w:rFonts w:ascii="宋体" w:hAnsi="宋体" w:eastAsia="宋体" w:cs="宋体"/>
          <w:bCs/>
          <w:color w:val="auto"/>
          <w:sz w:val="21"/>
          <w:szCs w:val="21"/>
          <w:highlight w:val="none"/>
        </w:rPr>
      </w:pPr>
    </w:p>
    <w:p w14:paraId="2AAE3E2D">
      <w:pPr>
        <w:widowControl/>
        <w:jc w:val="left"/>
        <w:rPr>
          <w:b/>
          <w:color w:val="auto"/>
          <w:sz w:val="24"/>
          <w:highlight w:val="none"/>
        </w:rPr>
      </w:pPr>
      <w:r>
        <w:rPr>
          <w:b/>
          <w:color w:val="auto"/>
          <w:sz w:val="24"/>
          <w:highlight w:val="none"/>
        </w:rPr>
        <w:br w:type="page"/>
      </w:r>
    </w:p>
    <w:p w14:paraId="54378A25">
      <w:pPr>
        <w:spacing w:line="360" w:lineRule="auto"/>
        <w:jc w:val="center"/>
        <w:outlineLvl w:val="0"/>
        <w:rPr>
          <w:rFonts w:hint="eastAsia" w:asciiTheme="minorEastAsia" w:hAnsiTheme="minorEastAsia" w:eastAsiaTheme="minorEastAsia"/>
          <w:b/>
          <w:color w:val="auto"/>
          <w:sz w:val="28"/>
          <w:highlight w:val="none"/>
        </w:rPr>
      </w:pPr>
      <w:bookmarkStart w:id="665" w:name="_Toc22734"/>
      <w:r>
        <w:rPr>
          <w:rFonts w:hint="eastAsia" w:asciiTheme="minorEastAsia" w:hAnsiTheme="minorEastAsia" w:eastAsiaTheme="minorEastAsia"/>
          <w:b/>
          <w:color w:val="auto"/>
          <w:sz w:val="28"/>
          <w:highlight w:val="none"/>
        </w:rPr>
        <w:t>第六章  响应文件格式</w:t>
      </w:r>
      <w:bookmarkEnd w:id="665"/>
    </w:p>
    <w:p w14:paraId="74C0AF03">
      <w:pPr>
        <w:spacing w:line="900" w:lineRule="exact"/>
        <w:jc w:val="center"/>
        <w:rPr>
          <w:rFonts w:asciiTheme="minorEastAsia" w:hAnsiTheme="minorEastAsia" w:eastAsiaTheme="minorEastAsia"/>
          <w:b/>
          <w:color w:val="auto"/>
          <w:sz w:val="72"/>
          <w:highlight w:val="none"/>
        </w:rPr>
      </w:pPr>
    </w:p>
    <w:p w14:paraId="08C8A060">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3E9C8C80">
      <w:pPr>
        <w:spacing w:line="900" w:lineRule="exact"/>
        <w:jc w:val="center"/>
        <w:rPr>
          <w:rFonts w:asciiTheme="minorEastAsia" w:hAnsiTheme="minorEastAsia" w:eastAsiaTheme="minorEastAsia"/>
          <w:b/>
          <w:color w:val="auto"/>
          <w:sz w:val="72"/>
          <w:highlight w:val="none"/>
        </w:rPr>
      </w:pPr>
    </w:p>
    <w:p w14:paraId="1ADBC52E">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1A8033E3">
      <w:pPr>
        <w:spacing w:line="900" w:lineRule="exact"/>
        <w:jc w:val="center"/>
        <w:rPr>
          <w:rFonts w:asciiTheme="minorEastAsia" w:hAnsiTheme="minorEastAsia" w:eastAsiaTheme="minorEastAsia"/>
          <w:b/>
          <w:color w:val="auto"/>
          <w:sz w:val="72"/>
          <w:highlight w:val="none"/>
        </w:rPr>
      </w:pPr>
    </w:p>
    <w:p w14:paraId="6C2FF0FB">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62A11916">
      <w:pPr>
        <w:spacing w:line="900" w:lineRule="exact"/>
        <w:jc w:val="center"/>
        <w:rPr>
          <w:rFonts w:asciiTheme="minorEastAsia" w:hAnsiTheme="minorEastAsia" w:eastAsiaTheme="minorEastAsia"/>
          <w:b/>
          <w:color w:val="auto"/>
          <w:sz w:val="72"/>
          <w:highlight w:val="none"/>
        </w:rPr>
      </w:pPr>
    </w:p>
    <w:p w14:paraId="2A599869">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52CA87E8">
      <w:pPr>
        <w:spacing w:after="156" w:afterLines="50"/>
        <w:jc w:val="center"/>
        <w:rPr>
          <w:rFonts w:asciiTheme="minorEastAsia" w:hAnsiTheme="minorEastAsia" w:eastAsiaTheme="minorEastAsia"/>
          <w:b/>
          <w:color w:val="auto"/>
          <w:sz w:val="72"/>
          <w:highlight w:val="none"/>
        </w:rPr>
      </w:pPr>
    </w:p>
    <w:p w14:paraId="5EC73DC2">
      <w:pPr>
        <w:spacing w:after="156" w:afterLines="50" w:line="500" w:lineRule="exact"/>
        <w:jc w:val="center"/>
        <w:rPr>
          <w:rFonts w:asciiTheme="minorEastAsia" w:hAnsiTheme="minorEastAsia" w:eastAsiaTheme="minorEastAsia"/>
          <w:b/>
          <w:color w:val="auto"/>
          <w:sz w:val="28"/>
          <w:szCs w:val="28"/>
          <w:highlight w:val="none"/>
        </w:rPr>
      </w:pPr>
    </w:p>
    <w:p w14:paraId="179F5B0F">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68A3961">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80DC591">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C6C6E10">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66" w:name="_Toc24911"/>
      <w:bookmarkStart w:id="667" w:name="_Toc1989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66"/>
      <w:bookmarkEnd w:id="667"/>
    </w:p>
    <w:p w14:paraId="7004512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ADCE255">
      <w:pPr>
        <w:spacing w:line="360" w:lineRule="auto"/>
        <w:jc w:val="center"/>
        <w:outlineLvl w:val="1"/>
        <w:rPr>
          <w:rFonts w:asciiTheme="minorEastAsia" w:hAnsiTheme="minorEastAsia" w:eastAsiaTheme="minorEastAsia"/>
          <w:b/>
          <w:color w:val="auto"/>
          <w:sz w:val="24"/>
          <w:highlight w:val="none"/>
        </w:rPr>
      </w:pPr>
      <w:bookmarkStart w:id="668" w:name="_Toc461056631"/>
      <w:bookmarkStart w:id="669" w:name="_Toc461053086"/>
      <w:bookmarkStart w:id="670" w:name="_Toc520983587"/>
      <w:bookmarkStart w:id="671" w:name="_Toc28280"/>
      <w:bookmarkStart w:id="672" w:name="_Toc21496"/>
      <w:r>
        <w:rPr>
          <w:rFonts w:hint="eastAsia" w:asciiTheme="minorEastAsia" w:hAnsiTheme="minorEastAsia" w:eastAsiaTheme="minorEastAsia"/>
          <w:b/>
          <w:color w:val="auto"/>
          <w:sz w:val="24"/>
          <w:highlight w:val="none"/>
        </w:rPr>
        <w:t>一</w:t>
      </w:r>
      <w:bookmarkEnd w:id="668"/>
      <w:bookmarkEnd w:id="669"/>
      <w:r>
        <w:rPr>
          <w:rFonts w:hint="eastAsia" w:asciiTheme="minorEastAsia" w:hAnsiTheme="minorEastAsia" w:eastAsiaTheme="minorEastAsia"/>
          <w:b/>
          <w:color w:val="auto"/>
          <w:sz w:val="24"/>
          <w:highlight w:val="none"/>
        </w:rPr>
        <w:t>、报价表格式</w:t>
      </w:r>
      <w:bookmarkEnd w:id="670"/>
      <w:bookmarkEnd w:id="671"/>
      <w:bookmarkEnd w:id="672"/>
    </w:p>
    <w:p w14:paraId="26B4BB20">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35092FD6">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某项目    </w:t>
      </w:r>
    </w:p>
    <w:p w14:paraId="3F6C7DDC">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6F67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AC3F68F">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2A5E35BE">
            <w:pPr>
              <w:keepNext w:val="0"/>
              <w:keepLines w:val="0"/>
              <w:suppressLineNumbers w:val="0"/>
              <w:spacing w:before="0" w:beforeAutospacing="0" w:after="0" w:afterAutospacing="0"/>
              <w:ind w:left="0" w:right="0"/>
              <w:rPr>
                <w:rFonts w:hint="default" w:cs="宋体" w:asciiTheme="minorEastAsia" w:hAnsiTheme="minorEastAsia" w:eastAsiaTheme="minorEastAsia"/>
                <w:b/>
                <w:color w:val="auto"/>
                <w:kern w:val="2"/>
                <w:sz w:val="24"/>
                <w:szCs w:val="24"/>
                <w:highlight w:val="none"/>
              </w:rPr>
            </w:pPr>
          </w:p>
        </w:tc>
      </w:tr>
      <w:tr w14:paraId="5379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45211BD">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63667C64">
            <w:pPr>
              <w:keepNext w:val="0"/>
              <w:keepLines w:val="0"/>
              <w:widowControl/>
              <w:suppressLineNumbers w:val="0"/>
              <w:spacing w:before="0" w:beforeAutospacing="0" w:after="0" w:afterAutospacing="0"/>
              <w:ind w:left="0" w:right="0"/>
              <w:rPr>
                <w:rFonts w:hint="default"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6C01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1" w:hRule="atLeast"/>
          <w:jc w:val="center"/>
        </w:trPr>
        <w:tc>
          <w:tcPr>
            <w:tcW w:w="1443" w:type="pct"/>
            <w:tcBorders>
              <w:top w:val="single" w:color="auto" w:sz="4" w:space="0"/>
            </w:tcBorders>
            <w:vAlign w:val="center"/>
          </w:tcPr>
          <w:p w14:paraId="4A344F81">
            <w:pPr>
              <w:keepNext w:val="0"/>
              <w:keepLines w:val="0"/>
              <w:suppressLineNumbers w:val="0"/>
              <w:spacing w:before="0" w:beforeAutospacing="0" w:after="0" w:afterAutospacing="0" w:line="360" w:lineRule="auto"/>
              <w:ind w:left="0" w:right="0"/>
              <w:jc w:val="center"/>
              <w:rPr>
                <w:rFonts w:hint="default" w:cs="@仿宋_GB2312"/>
                <w:b/>
                <w:color w:val="auto"/>
                <w:kern w:val="2"/>
                <w:sz w:val="24"/>
                <w:szCs w:val="20"/>
                <w:highlight w:val="none"/>
              </w:rPr>
            </w:pPr>
            <w:r>
              <w:rPr>
                <w:rFonts w:hint="eastAsia" w:cs="@仿宋_GB2312"/>
                <w:b/>
                <w:color w:val="auto"/>
                <w:kern w:val="2"/>
                <w:sz w:val="24"/>
                <w:szCs w:val="20"/>
                <w:highlight w:val="none"/>
              </w:rPr>
              <w:t>报价</w:t>
            </w:r>
          </w:p>
          <w:p w14:paraId="65394C8F">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39A5813F">
            <w:pPr>
              <w:keepNext w:val="0"/>
              <w:keepLines w:val="0"/>
              <w:suppressLineNumbers w:val="0"/>
              <w:snapToGrid w:val="0"/>
              <w:spacing w:before="0" w:beforeAutospacing="0" w:after="0" w:afterAutospacing="0"/>
              <w:ind w:left="0" w:right="0"/>
              <w:rPr>
                <w:rFonts w:hint="default" w:cs="宋体" w:asciiTheme="minorEastAsia" w:hAnsiTheme="minorEastAsia" w:eastAsiaTheme="minorEastAsia"/>
                <w:color w:val="auto"/>
                <w:kern w:val="2"/>
                <w:sz w:val="24"/>
                <w:szCs w:val="24"/>
                <w:highlight w:val="none"/>
              </w:rPr>
            </w:pPr>
          </w:p>
          <w:p w14:paraId="7D8B6D0B">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77D03EF">
            <w:pPr>
              <w:keepNext w:val="0"/>
              <w:keepLines w:val="0"/>
              <w:suppressLineNumbers w:val="0"/>
              <w:spacing w:before="0" w:beforeAutospacing="0" w:after="0" w:afterAutospacing="0" w:line="360" w:lineRule="auto"/>
              <w:ind w:left="0" w:right="-670"/>
              <w:rPr>
                <w:rFonts w:hint="eastAsia" w:asciiTheme="minorEastAsia" w:hAnsiTheme="minorEastAsia" w:eastAsiaTheme="minorEastAsia"/>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568CB8C4">
            <w:pPr>
              <w:keepNext w:val="0"/>
              <w:keepLines w:val="0"/>
              <w:suppressLineNumbers w:val="0"/>
              <w:snapToGrid w:val="0"/>
              <w:spacing w:before="0" w:beforeAutospacing="0" w:after="0" w:afterAutospacing="0"/>
              <w:ind w:left="0" w:right="0"/>
              <w:rPr>
                <w:rFonts w:hint="default" w:cs="宋体" w:asciiTheme="minorEastAsia" w:hAnsiTheme="minorEastAsia" w:eastAsiaTheme="minorEastAsia"/>
                <w:b/>
                <w:color w:val="auto"/>
                <w:kern w:val="2"/>
                <w:sz w:val="24"/>
                <w:szCs w:val="24"/>
                <w:highlight w:val="none"/>
              </w:rPr>
            </w:pPr>
          </w:p>
        </w:tc>
      </w:tr>
      <w:tr w14:paraId="1EAC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5E2887AC">
            <w:pPr>
              <w:keepNext w:val="0"/>
              <w:keepLines w:val="0"/>
              <w:suppressLineNumbers w:val="0"/>
              <w:snapToGrid w:val="0"/>
              <w:spacing w:before="0" w:beforeAutospacing="0" w:after="0" w:afterAutospacing="0"/>
              <w:ind w:left="0" w:right="0"/>
              <w:jc w:val="center"/>
              <w:rPr>
                <w:rFonts w:hint="default"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7C25C84F">
            <w:pPr>
              <w:keepNext w:val="0"/>
              <w:keepLines w:val="0"/>
              <w:suppressLineNumbers w:val="0"/>
              <w:snapToGrid w:val="0"/>
              <w:spacing w:before="0" w:beforeAutospacing="0" w:after="0" w:afterAutospacing="0"/>
              <w:ind w:left="0" w:right="0"/>
              <w:rPr>
                <w:rFonts w:hint="default" w:cs="宋体" w:asciiTheme="minorEastAsia" w:hAnsiTheme="minorEastAsia" w:eastAsiaTheme="minorEastAsia"/>
                <w:b/>
                <w:color w:val="auto"/>
                <w:kern w:val="2"/>
                <w:sz w:val="24"/>
                <w:szCs w:val="24"/>
                <w:highlight w:val="none"/>
              </w:rPr>
            </w:pPr>
          </w:p>
        </w:tc>
      </w:tr>
      <w:tr w14:paraId="33EA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1E04C001">
            <w:pPr>
              <w:keepNext w:val="0"/>
              <w:keepLines w:val="0"/>
              <w:suppressLineNumbers w:val="0"/>
              <w:snapToGrid w:val="0"/>
              <w:spacing w:before="0" w:beforeAutospacing="0" w:after="0" w:afterAutospacing="0"/>
              <w:ind w:left="0" w:right="0"/>
              <w:jc w:val="center"/>
              <w:rPr>
                <w:rFonts w:hint="default" w:cs="宋体" w:asciiTheme="minorEastAsia" w:hAnsiTheme="minorEastAsia" w:eastAsiaTheme="minorEastAsia"/>
                <w:b/>
                <w:color w:val="auto"/>
                <w:kern w:val="2"/>
                <w:sz w:val="24"/>
                <w:szCs w:val="24"/>
                <w:highlight w:val="none"/>
              </w:rPr>
            </w:pPr>
            <w:r>
              <w:rPr>
                <w:rFonts w:hint="eastAsia" w:ascii="宋体" w:hAnsi="宋体" w:eastAsia="宋体" w:cs="宋体"/>
                <w:b/>
                <w:bCs/>
                <w:color w:val="auto"/>
                <w:kern w:val="2"/>
                <w:sz w:val="24"/>
                <w:szCs w:val="24"/>
                <w:highlight w:val="none"/>
              </w:rPr>
              <w:t>工    期</w:t>
            </w:r>
          </w:p>
        </w:tc>
        <w:tc>
          <w:tcPr>
            <w:tcW w:w="6063" w:type="dxa"/>
            <w:vAlign w:val="center"/>
          </w:tcPr>
          <w:p w14:paraId="0D5FB912">
            <w:pPr>
              <w:keepNext w:val="0"/>
              <w:keepLines w:val="0"/>
              <w:suppressLineNumbers w:val="0"/>
              <w:snapToGrid w:val="0"/>
              <w:spacing w:before="0" w:beforeAutospacing="0" w:after="0" w:afterAutospacing="0"/>
              <w:ind w:left="0" w:right="0"/>
              <w:rPr>
                <w:rFonts w:hint="default" w:cs="宋体" w:asciiTheme="minorEastAsia" w:hAnsiTheme="minorEastAsia" w:eastAsiaTheme="minorEastAsia"/>
                <w:b/>
                <w:color w:val="auto"/>
                <w:kern w:val="2"/>
                <w:sz w:val="24"/>
                <w:szCs w:val="24"/>
                <w:highlight w:val="none"/>
              </w:rPr>
            </w:pPr>
            <w:r>
              <w:rPr>
                <w:rFonts w:hint="eastAsia" w:ascii="宋体" w:hAnsi="宋体" w:eastAsia="宋体" w:cs="宋体"/>
                <w:b/>
                <w:color w:val="auto"/>
                <w:kern w:val="2"/>
                <w:sz w:val="24"/>
                <w:szCs w:val="24"/>
                <w:highlight w:val="none"/>
              </w:rPr>
              <w:t>具备实施条件以下发开工令之日算起</w:t>
            </w:r>
            <w:r>
              <w:rPr>
                <w:rFonts w:hint="eastAsia" w:cs="宋体"/>
                <w:b/>
                <w:color w:val="auto"/>
                <w:kern w:val="2"/>
                <w:sz w:val="24"/>
                <w:szCs w:val="24"/>
                <w:highlight w:val="none"/>
                <w:lang w:eastAsia="zh-CN"/>
              </w:rPr>
              <w:t>，</w:t>
            </w:r>
            <w:r>
              <w:rPr>
                <w:rFonts w:hint="eastAsia" w:ascii="宋体" w:hAnsi="宋体" w:eastAsia="宋体" w:cs="宋体"/>
                <w:b/>
                <w:color w:val="auto"/>
                <w:kern w:val="2"/>
                <w:sz w:val="24"/>
                <w:szCs w:val="24"/>
                <w:highlight w:val="none"/>
              </w:rPr>
              <w:t>不高于</w:t>
            </w:r>
            <w:r>
              <w:rPr>
                <w:rFonts w:hint="eastAsia" w:ascii="宋体" w:hAnsi="宋体" w:eastAsia="宋体" w:cs="宋体"/>
                <w:b/>
                <w:color w:val="auto"/>
                <w:kern w:val="2"/>
                <w:sz w:val="24"/>
                <w:szCs w:val="24"/>
                <w:highlight w:val="none"/>
                <w:u w:val="single"/>
                <w:lang w:val="en-US" w:eastAsia="zh-CN"/>
              </w:rPr>
              <w:t xml:space="preserve">     </w:t>
            </w:r>
            <w:r>
              <w:rPr>
                <w:rFonts w:hint="eastAsia" w:ascii="宋体" w:hAnsi="宋体" w:eastAsia="宋体" w:cs="宋体"/>
                <w:b/>
                <w:color w:val="auto"/>
                <w:kern w:val="2"/>
                <w:sz w:val="24"/>
                <w:szCs w:val="24"/>
                <w:highlight w:val="none"/>
              </w:rPr>
              <w:t>个日历天。供应商自报的承诺工期为考核标准</w:t>
            </w:r>
            <w:r>
              <w:rPr>
                <w:rFonts w:hint="eastAsia" w:ascii="宋体" w:hAnsi="宋体" w:eastAsia="宋体" w:cs="宋体"/>
                <w:b/>
                <w:color w:val="auto"/>
                <w:kern w:val="2"/>
                <w:sz w:val="24"/>
                <w:szCs w:val="24"/>
                <w:highlight w:val="none"/>
                <w:lang w:eastAsia="zh-CN"/>
              </w:rPr>
              <w:t>。</w:t>
            </w:r>
            <w:r>
              <w:rPr>
                <w:rFonts w:hint="eastAsia" w:ascii="宋体" w:hAnsi="宋体" w:eastAsia="宋体" w:cs="宋体"/>
                <w:b/>
                <w:color w:val="auto"/>
                <w:kern w:val="2"/>
                <w:sz w:val="24"/>
                <w:szCs w:val="24"/>
                <w:highlight w:val="none"/>
                <w:lang w:val="en-US" w:eastAsia="zh-CN"/>
              </w:rPr>
              <w:t>因</w:t>
            </w:r>
            <w:r>
              <w:rPr>
                <w:rFonts w:hint="eastAsia" w:ascii="宋体" w:hAnsi="宋体" w:eastAsia="宋体" w:cs="宋体"/>
                <w:b/>
                <w:color w:val="auto"/>
                <w:kern w:val="2"/>
                <w:sz w:val="24"/>
                <w:szCs w:val="24"/>
                <w:highlight w:val="none"/>
              </w:rPr>
              <w:t>供应商</w:t>
            </w:r>
            <w:r>
              <w:rPr>
                <w:rFonts w:hint="eastAsia" w:ascii="宋体" w:hAnsi="宋体" w:eastAsia="宋体" w:cs="宋体"/>
                <w:b/>
                <w:color w:val="auto"/>
                <w:kern w:val="2"/>
                <w:sz w:val="24"/>
                <w:szCs w:val="24"/>
                <w:highlight w:val="none"/>
                <w:lang w:val="en-US" w:eastAsia="zh-CN"/>
              </w:rPr>
              <w:t>原因造成的工期延误，每推迟一天，按合同价款（扣除暂估价和暂列金）万分之二处以违约金</w:t>
            </w:r>
            <w:r>
              <w:rPr>
                <w:rFonts w:hint="eastAsia" w:ascii="宋体" w:hAnsi="宋体" w:eastAsia="宋体" w:cs="宋体"/>
                <w:b/>
                <w:color w:val="auto"/>
                <w:kern w:val="2"/>
                <w:sz w:val="24"/>
                <w:szCs w:val="24"/>
                <w:highlight w:val="none"/>
              </w:rPr>
              <w:t>。</w:t>
            </w:r>
          </w:p>
        </w:tc>
      </w:tr>
      <w:tr w14:paraId="071E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4A5627BB">
            <w:pPr>
              <w:keepNext w:val="0"/>
              <w:keepLines w:val="0"/>
              <w:suppressLineNumbers w:val="0"/>
              <w:snapToGrid w:val="0"/>
              <w:spacing w:before="0" w:beforeAutospacing="0" w:after="0" w:afterAutospacing="0"/>
              <w:ind w:left="0" w:right="0"/>
              <w:jc w:val="center"/>
              <w:rPr>
                <w:rFonts w:hint="default"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631A9752">
            <w:pPr>
              <w:keepNext w:val="0"/>
              <w:keepLines w:val="0"/>
              <w:suppressLineNumbers w:val="0"/>
              <w:snapToGrid w:val="0"/>
              <w:spacing w:before="0" w:beforeAutospacing="0" w:after="0" w:afterAutospacing="0"/>
              <w:ind w:left="0" w:right="0"/>
              <w:rPr>
                <w:rFonts w:hint="default"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173B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151714E3">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4F89AB24">
            <w:pPr>
              <w:keepNext w:val="0"/>
              <w:keepLines w:val="0"/>
              <w:suppressLineNumbers w:val="0"/>
              <w:spacing w:before="0" w:beforeAutospacing="0" w:after="0" w:afterAutospacing="0"/>
              <w:ind w:left="0" w:right="0"/>
              <w:rPr>
                <w:rFonts w:hint="default" w:cs="宋体" w:asciiTheme="minorEastAsia" w:hAnsiTheme="minorEastAsia" w:eastAsiaTheme="minorEastAsia"/>
                <w:b/>
                <w:color w:val="auto"/>
                <w:kern w:val="2"/>
                <w:sz w:val="24"/>
                <w:szCs w:val="24"/>
                <w:highlight w:val="none"/>
              </w:rPr>
            </w:pPr>
          </w:p>
        </w:tc>
      </w:tr>
    </w:tbl>
    <w:p w14:paraId="67F4FC61">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2EF736A1">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437D3F6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464B24C9">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008DA67E">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77E2E91A">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68845CA2">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644492EF">
      <w:pPr>
        <w:adjustRightInd w:val="0"/>
        <w:snapToGrid w:val="0"/>
        <w:spacing w:line="360" w:lineRule="auto"/>
        <w:outlineLvl w:val="2"/>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426725F5">
      <w:pPr>
        <w:autoSpaceDE w:val="0"/>
        <w:autoSpaceDN w:val="0"/>
        <w:adjustRightInd w:val="0"/>
        <w:spacing w:before="20" w:after="20" w:line="360" w:lineRule="auto"/>
        <w:jc w:val="center"/>
        <w:outlineLvl w:val="1"/>
        <w:rPr>
          <w:rFonts w:cs="宋体" w:asciiTheme="minorEastAsia" w:hAnsiTheme="minorEastAsia" w:eastAsiaTheme="minorEastAsia"/>
          <w:b/>
          <w:color w:val="auto"/>
          <w:sz w:val="24"/>
          <w:szCs w:val="24"/>
          <w:highlight w:val="none"/>
        </w:rPr>
      </w:pPr>
      <w:bookmarkStart w:id="673" w:name="_Toc1874"/>
      <w:bookmarkStart w:id="674" w:name="_Toc26702"/>
      <w:r>
        <w:rPr>
          <w:rFonts w:hint="eastAsia" w:cs="宋体" w:asciiTheme="minorEastAsia" w:hAnsiTheme="minorEastAsia" w:eastAsiaTheme="minorEastAsia"/>
          <w:b/>
          <w:color w:val="auto"/>
          <w:sz w:val="24"/>
          <w:szCs w:val="24"/>
          <w:highlight w:val="none"/>
        </w:rPr>
        <w:t>工程量清单报价书</w:t>
      </w:r>
      <w:bookmarkEnd w:id="673"/>
      <w:bookmarkEnd w:id="674"/>
    </w:p>
    <w:p w14:paraId="38043543">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42BAA94E">
      <w:pPr>
        <w:rPr>
          <w:b/>
          <w:bCs/>
          <w:color w:val="auto"/>
          <w:sz w:val="24"/>
          <w:szCs w:val="28"/>
          <w:highlight w:val="none"/>
        </w:rPr>
      </w:pPr>
      <w:r>
        <w:rPr>
          <w:b/>
          <w:bCs/>
          <w:color w:val="auto"/>
          <w:sz w:val="24"/>
          <w:szCs w:val="28"/>
          <w:highlight w:val="none"/>
        </w:rPr>
        <w:br w:type="page"/>
      </w:r>
    </w:p>
    <w:p w14:paraId="51220ED3">
      <w:pPr>
        <w:jc w:val="center"/>
        <w:rPr>
          <w:rFonts w:ascii="Calibri" w:hAnsi="Calibri"/>
          <w:b/>
          <w:color w:val="auto"/>
          <w:sz w:val="24"/>
          <w:szCs w:val="24"/>
          <w:highlight w:val="none"/>
        </w:rPr>
      </w:pPr>
      <w:r>
        <w:rPr>
          <w:rFonts w:hint="eastAsia" w:ascii="FangSong_GB2312" w:hAnsi="Calibri" w:eastAsia="FangSong_GB2312"/>
          <w:b/>
          <w:color w:val="auto"/>
          <w:sz w:val="24"/>
          <w:szCs w:val="24"/>
          <w:highlight w:val="none"/>
        </w:rPr>
        <w:t>①</w:t>
      </w:r>
      <w:r>
        <w:rPr>
          <w:rFonts w:hint="eastAsia" w:ascii="Calibri" w:hAnsi="Calibri"/>
          <w:b/>
          <w:color w:val="auto"/>
          <w:sz w:val="24"/>
          <w:szCs w:val="24"/>
          <w:highlight w:val="none"/>
        </w:rPr>
        <w:t>工程量清单报价书（封面）</w:t>
      </w:r>
    </w:p>
    <w:p w14:paraId="1431A772">
      <w:pPr>
        <w:ind w:firstLine="482" w:firstLineChars="200"/>
        <w:jc w:val="center"/>
        <w:rPr>
          <w:rFonts w:hint="default" w:ascii="Calibri" w:hAnsi="Calibri"/>
          <w:b/>
          <w:color w:val="auto"/>
          <w:sz w:val="24"/>
          <w:szCs w:val="24"/>
          <w:highlight w:val="none"/>
        </w:rPr>
      </w:pPr>
    </w:p>
    <w:p w14:paraId="71F58ED1">
      <w:pPr>
        <w:ind w:firstLine="482" w:firstLineChars="200"/>
        <w:jc w:val="center"/>
        <w:rPr>
          <w:rFonts w:ascii="Calibri" w:hAnsi="Calibri"/>
          <w:b/>
          <w:color w:val="auto"/>
          <w:sz w:val="24"/>
          <w:szCs w:val="24"/>
          <w:highlight w:val="none"/>
        </w:rPr>
      </w:pPr>
      <w:r>
        <w:rPr>
          <w:rFonts w:hint="default" w:ascii="Calibri" w:hAnsi="Calibri"/>
          <w:b/>
          <w:color w:val="auto"/>
          <w:sz w:val="24"/>
          <w:szCs w:val="24"/>
          <w:highlight w:val="none"/>
        </w:rPr>
        <w:t>响应</w:t>
      </w:r>
      <w:r>
        <w:rPr>
          <w:rFonts w:hint="eastAsia" w:ascii="Calibri" w:hAnsi="Calibri"/>
          <w:b/>
          <w:color w:val="auto"/>
          <w:sz w:val="24"/>
          <w:szCs w:val="24"/>
          <w:highlight w:val="none"/>
        </w:rPr>
        <w:t>总价</w:t>
      </w:r>
    </w:p>
    <w:p w14:paraId="1A6762CF">
      <w:pPr>
        <w:spacing w:line="800" w:lineRule="exact"/>
        <w:ind w:firstLine="480" w:firstLineChars="200"/>
        <w:rPr>
          <w:rFonts w:ascii="Calibri" w:hAnsi="Calibri"/>
          <w:color w:val="auto"/>
          <w:sz w:val="24"/>
          <w:szCs w:val="24"/>
          <w:highlight w:val="none"/>
          <w:u w:val="single"/>
        </w:rPr>
      </w:pPr>
      <w:r>
        <w:rPr>
          <w:rFonts w:hint="default" w:ascii="Calibri" w:hAnsi="Calibri"/>
          <w:color w:val="auto"/>
          <w:sz w:val="24"/>
          <w:szCs w:val="24"/>
          <w:highlight w:val="none"/>
        </w:rPr>
        <w:t>采购人</w:t>
      </w:r>
      <w:r>
        <w:rPr>
          <w:rFonts w:hint="eastAsia" w:ascii="Calibri" w:hAnsi="Calibri"/>
          <w:color w:val="auto"/>
          <w:sz w:val="24"/>
          <w:szCs w:val="24"/>
          <w:highlight w:val="none"/>
        </w:rPr>
        <w:t>：</w:t>
      </w:r>
      <w:r>
        <w:rPr>
          <w:rFonts w:hint="eastAsia" w:ascii="Calibri" w:hAnsi="Calibri"/>
          <w:color w:val="auto"/>
          <w:sz w:val="24"/>
          <w:szCs w:val="24"/>
          <w:highlight w:val="none"/>
          <w:u w:val="single"/>
        </w:rPr>
        <w:t xml:space="preserve">                                                 </w:t>
      </w:r>
    </w:p>
    <w:p w14:paraId="6464DACB">
      <w:pPr>
        <w:spacing w:line="800" w:lineRule="exact"/>
        <w:ind w:firstLine="480" w:firstLineChars="200"/>
        <w:rPr>
          <w:rFonts w:ascii="Calibri" w:hAnsi="Calibri"/>
          <w:color w:val="auto"/>
          <w:sz w:val="24"/>
          <w:szCs w:val="24"/>
          <w:highlight w:val="none"/>
        </w:rPr>
      </w:pPr>
      <w:r>
        <w:rPr>
          <w:rFonts w:hint="eastAsia" w:ascii="Calibri" w:hAnsi="Calibri"/>
          <w:color w:val="auto"/>
          <w:sz w:val="24"/>
          <w:szCs w:val="24"/>
          <w:highlight w:val="none"/>
        </w:rPr>
        <w:t>工程名称：</w:t>
      </w:r>
      <w:r>
        <w:rPr>
          <w:rFonts w:hint="eastAsia" w:ascii="Calibri" w:hAnsi="Calibri"/>
          <w:color w:val="auto"/>
          <w:sz w:val="24"/>
          <w:szCs w:val="24"/>
          <w:highlight w:val="none"/>
          <w:u w:val="single"/>
        </w:rPr>
        <w:t xml:space="preserve">                                               </w:t>
      </w:r>
    </w:p>
    <w:p w14:paraId="2441F25F">
      <w:pPr>
        <w:spacing w:line="800" w:lineRule="exact"/>
        <w:ind w:firstLine="480" w:firstLineChars="200"/>
        <w:rPr>
          <w:rFonts w:ascii="Calibri" w:hAnsi="Calibri"/>
          <w:color w:val="auto"/>
          <w:sz w:val="24"/>
          <w:szCs w:val="24"/>
          <w:highlight w:val="none"/>
          <w:u w:val="single"/>
        </w:rPr>
      </w:pPr>
      <w:r>
        <w:rPr>
          <w:rFonts w:hint="default" w:ascii="Calibri" w:hAnsi="Calibri"/>
          <w:color w:val="auto"/>
          <w:sz w:val="24"/>
          <w:szCs w:val="24"/>
          <w:highlight w:val="none"/>
        </w:rPr>
        <w:t>响应</w:t>
      </w:r>
      <w:r>
        <w:rPr>
          <w:rFonts w:hint="eastAsia" w:ascii="Calibri" w:hAnsi="Calibri"/>
          <w:color w:val="auto"/>
          <w:sz w:val="24"/>
          <w:szCs w:val="24"/>
          <w:highlight w:val="none"/>
        </w:rPr>
        <w:t>总价（小写）：</w:t>
      </w:r>
      <w:r>
        <w:rPr>
          <w:rFonts w:hint="eastAsia" w:ascii="Calibri" w:hAnsi="Calibri"/>
          <w:color w:val="auto"/>
          <w:sz w:val="24"/>
          <w:szCs w:val="24"/>
          <w:highlight w:val="none"/>
          <w:u w:val="single"/>
        </w:rPr>
        <w:t xml:space="preserve">                                       </w:t>
      </w:r>
    </w:p>
    <w:p w14:paraId="200EBDE4">
      <w:pPr>
        <w:spacing w:line="800" w:lineRule="exact"/>
        <w:ind w:firstLine="1440" w:firstLineChars="600"/>
        <w:rPr>
          <w:rFonts w:ascii="Calibri" w:hAnsi="Calibri"/>
          <w:color w:val="auto"/>
          <w:sz w:val="24"/>
          <w:szCs w:val="24"/>
          <w:highlight w:val="none"/>
        </w:rPr>
      </w:pPr>
      <w:r>
        <w:rPr>
          <w:rFonts w:hint="eastAsia" w:ascii="Calibri" w:hAnsi="Calibri"/>
          <w:color w:val="auto"/>
          <w:sz w:val="24"/>
          <w:szCs w:val="24"/>
          <w:highlight w:val="none"/>
        </w:rPr>
        <w:t>（大写）：</w:t>
      </w:r>
      <w:r>
        <w:rPr>
          <w:rFonts w:hint="eastAsia" w:ascii="Calibri" w:hAnsi="Calibri"/>
          <w:color w:val="auto"/>
          <w:sz w:val="24"/>
          <w:szCs w:val="24"/>
          <w:highlight w:val="none"/>
          <w:u w:val="single"/>
        </w:rPr>
        <w:t xml:space="preserve">                                       </w:t>
      </w:r>
    </w:p>
    <w:p w14:paraId="0F7D9654">
      <w:pPr>
        <w:spacing w:line="800" w:lineRule="exact"/>
        <w:ind w:firstLine="480" w:firstLineChars="200"/>
        <w:rPr>
          <w:rFonts w:ascii="Calibri" w:hAnsi="Calibri"/>
          <w:color w:val="auto"/>
          <w:sz w:val="24"/>
          <w:szCs w:val="24"/>
          <w:highlight w:val="none"/>
        </w:rPr>
      </w:pPr>
    </w:p>
    <w:p w14:paraId="7072E505">
      <w:pPr>
        <w:spacing w:line="800" w:lineRule="exact"/>
        <w:ind w:firstLine="480" w:firstLineChars="200"/>
        <w:rPr>
          <w:rFonts w:ascii="Calibri" w:hAnsi="Calibri"/>
          <w:color w:val="auto"/>
          <w:sz w:val="24"/>
          <w:szCs w:val="24"/>
          <w:highlight w:val="none"/>
        </w:rPr>
      </w:pPr>
      <w:r>
        <w:rPr>
          <w:rFonts w:hint="default" w:ascii="Calibri" w:hAnsi="Calibri"/>
          <w:color w:val="auto"/>
          <w:sz w:val="24"/>
          <w:szCs w:val="24"/>
          <w:highlight w:val="none"/>
        </w:rPr>
        <w:t>供应商</w:t>
      </w:r>
      <w:r>
        <w:rPr>
          <w:rFonts w:hint="eastAsia" w:ascii="Calibri" w:hAnsi="Calibri"/>
          <w:color w:val="auto"/>
          <w:sz w:val="24"/>
          <w:szCs w:val="24"/>
          <w:highlight w:val="none"/>
        </w:rPr>
        <w:t>：</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 xml:space="preserve"> (单位盖章)</w:t>
      </w:r>
    </w:p>
    <w:p w14:paraId="2BAA0752">
      <w:pPr>
        <w:spacing w:line="800" w:lineRule="exact"/>
        <w:ind w:firstLine="480" w:firstLineChars="200"/>
        <w:rPr>
          <w:rFonts w:ascii="Calibri" w:hAnsi="Calibri"/>
          <w:color w:val="auto"/>
          <w:sz w:val="24"/>
          <w:szCs w:val="24"/>
          <w:highlight w:val="none"/>
        </w:rPr>
      </w:pPr>
      <w:r>
        <w:rPr>
          <w:rFonts w:hint="eastAsia" w:ascii="Calibri" w:hAnsi="Calibri"/>
          <w:color w:val="auto"/>
          <w:sz w:val="24"/>
          <w:szCs w:val="24"/>
          <w:highlight w:val="none"/>
        </w:rPr>
        <w:t>法定代表人：</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 xml:space="preserve"> (签字或盖章)</w:t>
      </w:r>
    </w:p>
    <w:p w14:paraId="0E8C5E7D">
      <w:pPr>
        <w:spacing w:line="800" w:lineRule="exact"/>
        <w:ind w:firstLine="480" w:firstLineChars="200"/>
        <w:rPr>
          <w:rFonts w:ascii="Calibri" w:hAnsi="Calibri"/>
          <w:color w:val="auto"/>
          <w:sz w:val="24"/>
          <w:szCs w:val="24"/>
          <w:highlight w:val="none"/>
          <w:u w:val="single"/>
        </w:rPr>
      </w:pPr>
      <w:r>
        <w:rPr>
          <w:rFonts w:hint="eastAsia" w:ascii="Calibri" w:hAnsi="Calibri"/>
          <w:color w:val="auto"/>
          <w:sz w:val="24"/>
          <w:szCs w:val="24"/>
          <w:highlight w:val="none"/>
        </w:rPr>
        <w:t>编制人：</w:t>
      </w:r>
      <w:r>
        <w:rPr>
          <w:rFonts w:hint="eastAsia" w:ascii="Calibri" w:hAnsi="Calibri"/>
          <w:color w:val="auto"/>
          <w:sz w:val="24"/>
          <w:szCs w:val="24"/>
          <w:highlight w:val="none"/>
          <w:u w:val="single"/>
        </w:rPr>
        <w:t xml:space="preserve">                                                 </w:t>
      </w:r>
    </w:p>
    <w:p w14:paraId="3FDAA19F">
      <w:pPr>
        <w:spacing w:line="800" w:lineRule="exact"/>
        <w:ind w:firstLine="2040" w:firstLineChars="850"/>
        <w:rPr>
          <w:rFonts w:ascii="Calibri" w:hAnsi="Calibri"/>
          <w:color w:val="auto"/>
          <w:sz w:val="24"/>
          <w:szCs w:val="24"/>
          <w:highlight w:val="none"/>
        </w:rPr>
      </w:pPr>
      <w:r>
        <w:rPr>
          <w:rFonts w:hint="eastAsia" w:ascii="Calibri" w:hAnsi="Calibri"/>
          <w:color w:val="auto"/>
          <w:sz w:val="24"/>
          <w:szCs w:val="24"/>
          <w:highlight w:val="none"/>
        </w:rPr>
        <w:t xml:space="preserve"> (注册造价工程师签字并盖执业专用章)</w:t>
      </w:r>
    </w:p>
    <w:p w14:paraId="6392BF66">
      <w:pPr>
        <w:spacing w:line="800" w:lineRule="exact"/>
        <w:ind w:firstLine="480" w:firstLineChars="200"/>
        <w:rPr>
          <w:rFonts w:ascii="Calibri" w:hAnsi="Calibri"/>
          <w:color w:val="auto"/>
          <w:sz w:val="24"/>
          <w:szCs w:val="24"/>
          <w:highlight w:val="none"/>
        </w:rPr>
      </w:pPr>
      <w:r>
        <w:rPr>
          <w:rFonts w:hint="eastAsia" w:ascii="Calibri" w:hAnsi="Calibri"/>
          <w:color w:val="auto"/>
          <w:sz w:val="24"/>
          <w:szCs w:val="24"/>
          <w:highlight w:val="none"/>
        </w:rPr>
        <w:t>编制时间：</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年</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月</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日</w:t>
      </w:r>
    </w:p>
    <w:p w14:paraId="413DECAC">
      <w:pPr>
        <w:rPr>
          <w:rFonts w:ascii="Calibri" w:hAnsi="Calibri"/>
          <w:color w:val="auto"/>
          <w:sz w:val="32"/>
          <w:szCs w:val="32"/>
          <w:highlight w:val="none"/>
        </w:rPr>
      </w:pPr>
    </w:p>
    <w:p w14:paraId="1ED5561D">
      <w:pPr>
        <w:rPr>
          <w:color w:val="auto"/>
          <w:highlight w:val="none"/>
        </w:rPr>
      </w:pPr>
      <w:r>
        <w:rPr>
          <w:color w:val="auto"/>
          <w:highlight w:val="none"/>
        </w:rPr>
        <w:br w:type="page"/>
      </w:r>
    </w:p>
    <w:p w14:paraId="4C847E34">
      <w:pPr>
        <w:rPr>
          <w:color w:val="auto"/>
          <w:highlight w:val="none"/>
        </w:rPr>
      </w:pPr>
    </w:p>
    <w:p w14:paraId="4F9EFD9C">
      <w:pPr>
        <w:spacing w:line="360" w:lineRule="auto"/>
        <w:jc w:val="center"/>
        <w:outlineLvl w:val="1"/>
        <w:rPr>
          <w:rFonts w:asciiTheme="minorEastAsia" w:hAnsiTheme="minorEastAsia" w:eastAsiaTheme="minorEastAsia"/>
          <w:b/>
          <w:color w:val="auto"/>
          <w:sz w:val="24"/>
          <w:highlight w:val="none"/>
        </w:rPr>
      </w:pPr>
      <w:bookmarkStart w:id="675" w:name="_Toc461053087"/>
      <w:bookmarkStart w:id="676" w:name="_Toc461056632"/>
      <w:bookmarkStart w:id="677" w:name="_Toc20879"/>
      <w:bookmarkStart w:id="678" w:name="_Toc520983588"/>
      <w:bookmarkStart w:id="679" w:name="_Toc22341"/>
      <w:r>
        <w:rPr>
          <w:rFonts w:hint="eastAsia" w:asciiTheme="minorEastAsia" w:hAnsiTheme="minorEastAsia" w:eastAsiaTheme="minorEastAsia"/>
          <w:b/>
          <w:color w:val="auto"/>
          <w:sz w:val="24"/>
          <w:highlight w:val="none"/>
        </w:rPr>
        <w:t>二</w:t>
      </w:r>
      <w:bookmarkEnd w:id="675"/>
      <w:bookmarkEnd w:id="676"/>
      <w:r>
        <w:rPr>
          <w:rFonts w:hint="eastAsia" w:asciiTheme="minorEastAsia" w:hAnsiTheme="minorEastAsia" w:eastAsiaTheme="minorEastAsia"/>
          <w:b/>
          <w:color w:val="auto"/>
          <w:sz w:val="24"/>
          <w:highlight w:val="none"/>
        </w:rPr>
        <w:t>、最后承诺报价表</w:t>
      </w:r>
      <w:bookmarkEnd w:id="677"/>
      <w:bookmarkEnd w:id="678"/>
      <w:bookmarkEnd w:id="679"/>
    </w:p>
    <w:p w14:paraId="3A1C0CFC">
      <w:pPr>
        <w:spacing w:before="156" w:beforeLines="50" w:after="156" w:afterLines="50" w:line="360" w:lineRule="auto"/>
        <w:ind w:firstLine="236" w:firstLineChars="98"/>
        <w:jc w:val="center"/>
        <w:outlineLvl w:val="1"/>
        <w:rPr>
          <w:b/>
          <w:color w:val="auto"/>
          <w:sz w:val="24"/>
          <w:szCs w:val="28"/>
          <w:highlight w:val="none"/>
        </w:rPr>
      </w:pPr>
      <w:bookmarkStart w:id="680" w:name="_Toc13333"/>
      <w:bookmarkStart w:id="681" w:name="_Toc8562"/>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680"/>
      <w:bookmarkEnd w:id="681"/>
    </w:p>
    <w:p w14:paraId="042A5C97">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1F92A805">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39BA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6AC710C8">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2EA6919A">
            <w:pPr>
              <w:keepNext w:val="0"/>
              <w:keepLines w:val="0"/>
              <w:suppressLineNumbers w:val="0"/>
              <w:spacing w:before="0" w:beforeAutospacing="0" w:after="0" w:afterAutospacing="0"/>
              <w:ind w:left="0" w:right="0"/>
              <w:rPr>
                <w:rFonts w:hint="default" w:cs="宋体" w:asciiTheme="minorEastAsia" w:hAnsiTheme="minorEastAsia" w:eastAsiaTheme="minorEastAsia"/>
                <w:b/>
                <w:color w:val="auto"/>
                <w:kern w:val="2"/>
                <w:sz w:val="24"/>
                <w:szCs w:val="24"/>
                <w:highlight w:val="none"/>
              </w:rPr>
            </w:pPr>
          </w:p>
        </w:tc>
      </w:tr>
      <w:tr w14:paraId="649C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F12C46A">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75CC1589">
            <w:pPr>
              <w:keepNext w:val="0"/>
              <w:keepLines w:val="0"/>
              <w:widowControl/>
              <w:suppressLineNumbers w:val="0"/>
              <w:spacing w:before="0" w:beforeAutospacing="0" w:after="0" w:afterAutospacing="0"/>
              <w:ind w:left="0" w:right="0"/>
              <w:rPr>
                <w:rFonts w:hint="default"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06E0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9" w:type="pct"/>
            <w:tcBorders>
              <w:top w:val="single" w:color="auto" w:sz="4" w:space="0"/>
            </w:tcBorders>
            <w:vAlign w:val="center"/>
          </w:tcPr>
          <w:p w14:paraId="52586925">
            <w:pPr>
              <w:keepNext w:val="0"/>
              <w:keepLines w:val="0"/>
              <w:suppressLineNumbers w:val="0"/>
              <w:spacing w:before="0" w:beforeAutospacing="0" w:after="0" w:afterAutospacing="0" w:line="360" w:lineRule="auto"/>
              <w:ind w:left="0" w:right="0"/>
              <w:jc w:val="center"/>
              <w:rPr>
                <w:rFonts w:hint="default" w:cs="@仿宋_GB2312"/>
                <w:b/>
                <w:color w:val="auto"/>
                <w:kern w:val="2"/>
                <w:sz w:val="24"/>
                <w:szCs w:val="20"/>
                <w:highlight w:val="none"/>
              </w:rPr>
            </w:pPr>
            <w:r>
              <w:rPr>
                <w:rFonts w:hint="eastAsia" w:cs="@仿宋_GB2312"/>
                <w:b/>
                <w:bCs/>
                <w:color w:val="auto"/>
                <w:kern w:val="2"/>
                <w:sz w:val="24"/>
                <w:szCs w:val="28"/>
                <w:highlight w:val="none"/>
              </w:rPr>
              <w:t>最后报价</w:t>
            </w:r>
          </w:p>
          <w:p w14:paraId="75D1605C">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41F70590">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2C71650">
            <w:pPr>
              <w:keepNext w:val="0"/>
              <w:keepLines w:val="0"/>
              <w:suppressLineNumbers w:val="0"/>
              <w:spacing w:before="0" w:beforeAutospacing="0" w:after="0" w:afterAutospacing="0" w:line="360" w:lineRule="auto"/>
              <w:ind w:left="0" w:right="-670"/>
              <w:rPr>
                <w:rFonts w:hint="default"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3CFC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D54191E">
            <w:pPr>
              <w:keepNext w:val="0"/>
              <w:keepLines w:val="0"/>
              <w:suppressLineNumbers w:val="0"/>
              <w:snapToGrid w:val="0"/>
              <w:spacing w:before="0" w:beforeAutospacing="0" w:after="0" w:afterAutospacing="0"/>
              <w:ind w:left="0" w:right="0"/>
              <w:jc w:val="center"/>
              <w:rPr>
                <w:rFonts w:hint="default"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12BA36E1">
            <w:pPr>
              <w:keepNext w:val="0"/>
              <w:keepLines w:val="0"/>
              <w:suppressLineNumbers w:val="0"/>
              <w:snapToGrid w:val="0"/>
              <w:spacing w:before="0" w:beforeAutospacing="0" w:after="0" w:afterAutospacing="0"/>
              <w:ind w:left="0" w:right="0"/>
              <w:rPr>
                <w:rFonts w:hint="default" w:cs="宋体" w:asciiTheme="minorEastAsia" w:hAnsiTheme="minorEastAsia" w:eastAsiaTheme="minorEastAsia"/>
                <w:b/>
                <w:color w:val="auto"/>
                <w:kern w:val="2"/>
                <w:sz w:val="24"/>
                <w:szCs w:val="24"/>
                <w:highlight w:val="none"/>
              </w:rPr>
            </w:pPr>
          </w:p>
        </w:tc>
      </w:tr>
      <w:tr w14:paraId="5475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9" w:type="pct"/>
            <w:tcBorders>
              <w:top w:val="single" w:color="auto" w:sz="4" w:space="0"/>
            </w:tcBorders>
            <w:vAlign w:val="center"/>
          </w:tcPr>
          <w:p w14:paraId="50869DCF">
            <w:pPr>
              <w:keepNext w:val="0"/>
              <w:keepLines w:val="0"/>
              <w:suppressLineNumbers w:val="0"/>
              <w:snapToGrid w:val="0"/>
              <w:spacing w:before="0" w:beforeAutospacing="0" w:after="0" w:afterAutospacing="0"/>
              <w:ind w:left="0" w:right="0"/>
              <w:jc w:val="center"/>
              <w:rPr>
                <w:rFonts w:hint="default"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66C5247F">
            <w:pPr>
              <w:keepNext w:val="0"/>
              <w:keepLines w:val="0"/>
              <w:widowControl w:val="0"/>
              <w:suppressLineNumbers w:val="0"/>
              <w:spacing w:before="0" w:beforeAutospacing="0" w:after="0" w:afterAutospacing="0"/>
              <w:ind w:left="0" w:right="0"/>
              <w:jc w:val="both"/>
              <w:rPr>
                <w:rFonts w:hint="default" w:cs="宋体" w:asciiTheme="minorEastAsia" w:hAnsiTheme="minorEastAsia" w:eastAsiaTheme="minorEastAsia"/>
                <w:b/>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具备实施条件以下发开工令之日算起，不高于</w:t>
            </w:r>
            <w:r>
              <w:rPr>
                <w:rFonts w:hint="eastAsia" w:ascii="宋体" w:hAnsi="宋体" w:eastAsia="宋体" w:cs="宋体"/>
                <w:b/>
                <w:bCs w:val="0"/>
                <w:color w:val="auto"/>
                <w:kern w:val="2"/>
                <w:sz w:val="24"/>
                <w:szCs w:val="24"/>
                <w:highlight w:val="none"/>
                <w:u w:val="singl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个日历天。供应商自报的承诺工期为考核标准。因供应商原因造成的工期延误，每推迟一天，按合同价款（扣除暂估价和暂列金）万分之二处以违约金。</w:t>
            </w:r>
          </w:p>
        </w:tc>
      </w:tr>
      <w:tr w14:paraId="5915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F84473B">
            <w:pPr>
              <w:keepNext w:val="0"/>
              <w:keepLines w:val="0"/>
              <w:suppressLineNumbers w:val="0"/>
              <w:snapToGrid w:val="0"/>
              <w:spacing w:before="0" w:beforeAutospacing="0" w:after="0" w:afterAutospacing="0"/>
              <w:ind w:left="0" w:right="0"/>
              <w:jc w:val="center"/>
              <w:rPr>
                <w:rFonts w:hint="default"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3E32A0A2">
            <w:pPr>
              <w:keepNext w:val="0"/>
              <w:keepLines w:val="0"/>
              <w:suppressLineNumbers w:val="0"/>
              <w:snapToGrid w:val="0"/>
              <w:spacing w:before="0" w:beforeAutospacing="0" w:after="0" w:afterAutospacing="0"/>
              <w:ind w:left="0" w:right="0"/>
              <w:rPr>
                <w:rFonts w:hint="default"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4191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9" w:type="pct"/>
            <w:vAlign w:val="center"/>
          </w:tcPr>
          <w:p w14:paraId="2626B7A7">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064DA84F">
            <w:pPr>
              <w:keepNext w:val="0"/>
              <w:keepLines w:val="0"/>
              <w:suppressLineNumbers w:val="0"/>
              <w:spacing w:before="0" w:beforeAutospacing="0" w:after="0" w:afterAutospacing="0"/>
              <w:ind w:left="0" w:right="0"/>
              <w:rPr>
                <w:rFonts w:hint="default"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099F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4825803B">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15308BB4">
            <w:pPr>
              <w:keepNext w:val="0"/>
              <w:keepLines w:val="0"/>
              <w:suppressLineNumbers w:val="0"/>
              <w:spacing w:before="0" w:beforeAutospacing="0" w:after="0" w:afterAutospacing="0"/>
              <w:ind w:left="0" w:right="0"/>
              <w:rPr>
                <w:rFonts w:hint="default" w:cs="宋体" w:asciiTheme="minorEastAsia" w:hAnsiTheme="minorEastAsia" w:eastAsiaTheme="minorEastAsia"/>
                <w:b/>
                <w:color w:val="auto"/>
                <w:kern w:val="2"/>
                <w:sz w:val="24"/>
                <w:szCs w:val="24"/>
                <w:highlight w:val="none"/>
              </w:rPr>
            </w:pPr>
          </w:p>
        </w:tc>
      </w:tr>
    </w:tbl>
    <w:p w14:paraId="4E8BB724">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55AEE325">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7B709904">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2C1F6F2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bCs/>
          <w:color w:val="auto"/>
          <w:sz w:val="24"/>
          <w:highlight w:val="none"/>
        </w:rPr>
      </w:pPr>
      <w:r>
        <w:rPr>
          <w:rFonts w:hint="eastAsia" w:cs="宋体" w:asciiTheme="minorEastAsia" w:hAnsiTheme="minorEastAsia" w:eastAsiaTheme="minorEastAsia"/>
          <w:b/>
          <w:bCs/>
          <w:color w:val="auto"/>
          <w:kern w:val="2"/>
          <w:sz w:val="24"/>
          <w:szCs w:val="24"/>
          <w:highlight w:val="none"/>
          <w:lang w:val="en-US" w:eastAsia="zh-CN"/>
        </w:rPr>
        <w:t>1.</w:t>
      </w:r>
      <w:r>
        <w:rPr>
          <w:rFonts w:hint="eastAsia" w:cs="@仿宋_GB2312"/>
          <w:b/>
          <w:bCs/>
          <w:color w:val="auto"/>
          <w:kern w:val="2"/>
          <w:sz w:val="24"/>
          <w:highlight w:val="none"/>
        </w:rPr>
        <w:t>本页《报价表》由供应商在接到报价通知后依据磋商情况填写,并在规定时间内提交。</w:t>
      </w:r>
      <w:r>
        <w:rPr>
          <w:rFonts w:hint="eastAsia" w:cs="宋体" w:asciiTheme="minorEastAsia" w:hAnsiTheme="minorEastAsia" w:eastAsiaTheme="minorEastAsia"/>
          <w:color w:val="auto"/>
          <w:kern w:val="2"/>
          <w:sz w:val="24"/>
          <w:szCs w:val="24"/>
          <w:highlight w:val="none"/>
        </w:rPr>
        <w:t>考虑磋商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7627B531">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79E4846A">
      <w:pPr>
        <w:widowControl/>
        <w:jc w:val="left"/>
        <w:rPr>
          <w:bCs/>
          <w:color w:val="auto"/>
          <w:sz w:val="24"/>
          <w:highlight w:val="none"/>
        </w:rPr>
      </w:pPr>
      <w:r>
        <w:rPr>
          <w:bCs/>
          <w:color w:val="auto"/>
          <w:sz w:val="24"/>
          <w:highlight w:val="none"/>
        </w:rPr>
        <w:br w:type="page"/>
      </w:r>
    </w:p>
    <w:p w14:paraId="284C647E">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82" w:name="_Toc7943"/>
      <w:bookmarkStart w:id="683" w:name="_Toc22429"/>
      <w:bookmarkStart w:id="684"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682"/>
      <w:bookmarkEnd w:id="683"/>
    </w:p>
    <w:p w14:paraId="76A6D44A">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7DE81179">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88EE54A">
      <w:pPr>
        <w:spacing w:line="360" w:lineRule="auto"/>
        <w:jc w:val="center"/>
        <w:outlineLvl w:val="1"/>
        <w:rPr>
          <w:rFonts w:asciiTheme="minorEastAsia" w:hAnsiTheme="minorEastAsia" w:eastAsiaTheme="minorEastAsia"/>
          <w:b/>
          <w:color w:val="auto"/>
          <w:sz w:val="24"/>
          <w:highlight w:val="none"/>
        </w:rPr>
      </w:pPr>
      <w:bookmarkStart w:id="685" w:name="_Toc28160"/>
      <w:bookmarkStart w:id="686" w:name="_Toc8006"/>
      <w:r>
        <w:rPr>
          <w:rFonts w:hint="eastAsia" w:asciiTheme="minorEastAsia" w:hAnsiTheme="minorEastAsia" w:eastAsiaTheme="minorEastAsia"/>
          <w:b/>
          <w:color w:val="auto"/>
          <w:sz w:val="24"/>
          <w:highlight w:val="none"/>
        </w:rPr>
        <w:t>四、磋商响应函</w:t>
      </w:r>
      <w:bookmarkEnd w:id="684"/>
      <w:bookmarkEnd w:id="685"/>
      <w:bookmarkEnd w:id="686"/>
    </w:p>
    <w:p w14:paraId="6621631A">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val="en-US" w:eastAsia="zh-CN"/>
        </w:rPr>
        <w:t>采购人</w:t>
      </w:r>
    </w:p>
    <w:p w14:paraId="15F82017">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20940CDC">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3F9A216F">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46D90DC6">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我方保证按磋商文件约定的工期和磋商文件或业主开工令的要求如期开工、工程质量达到合格标准、如期竣工并移交整个工程。</w:t>
      </w:r>
    </w:p>
    <w:p w14:paraId="7686AF55">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59103769">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206868BE">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412D1E09">
      <w:pPr>
        <w:pStyle w:val="55"/>
        <w:ind w:firstLine="200"/>
        <w:rPr>
          <w:color w:val="auto"/>
          <w:highlight w:val="none"/>
          <w:lang w:val="en-US"/>
        </w:rPr>
      </w:pPr>
    </w:p>
    <w:p w14:paraId="42C27658">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4F22FE9D">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192EFC24">
      <w:pPr>
        <w:widowControl/>
        <w:jc w:val="left"/>
        <w:rPr>
          <w:color w:val="auto"/>
          <w:sz w:val="24"/>
          <w:highlight w:val="none"/>
        </w:rPr>
      </w:pPr>
      <w:r>
        <w:rPr>
          <w:color w:val="auto"/>
          <w:sz w:val="24"/>
          <w:highlight w:val="none"/>
        </w:rPr>
        <w:br w:type="page"/>
      </w:r>
    </w:p>
    <w:p w14:paraId="5BFDE766">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Times New Roman"/>
          <w:b/>
          <w:bCs w:val="0"/>
          <w:i/>
          <w:iCs w:val="0"/>
          <w:color w:val="auto"/>
          <w:sz w:val="24"/>
          <w:szCs w:val="24"/>
          <w:highlight w:val="none"/>
        </w:rPr>
      </w:pPr>
      <w:bookmarkStart w:id="687" w:name="_Toc31589"/>
      <w:bookmarkStart w:id="688" w:name="_Toc28359"/>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w:t>
      </w:r>
      <w:r>
        <w:rPr>
          <w:rFonts w:hint="eastAsia" w:ascii="宋体" w:hAnsi="宋体" w:eastAsia="宋体" w:cs="宋体"/>
          <w:b/>
          <w:bCs w:val="0"/>
          <w:color w:val="auto"/>
          <w:kern w:val="0"/>
          <w:sz w:val="24"/>
          <w:szCs w:val="24"/>
          <w:highlight w:val="none"/>
          <w:lang w:val="en-US" w:eastAsia="zh-CN" w:bidi="ar"/>
        </w:rPr>
        <w:t>供应商资格声明书</w:t>
      </w:r>
      <w:r>
        <w:rPr>
          <w:rFonts w:hint="eastAsia" w:ascii="宋体" w:hAnsi="宋体" w:eastAsia="宋体" w:cs="Times New Roman"/>
          <w:b/>
          <w:bCs w:val="0"/>
          <w:color w:val="auto"/>
          <w:kern w:val="0"/>
          <w:sz w:val="24"/>
          <w:szCs w:val="24"/>
          <w:highlight w:val="none"/>
          <w:lang w:val="en-US" w:eastAsia="zh-CN" w:bidi="ar"/>
        </w:rPr>
        <w:t xml:space="preserve"> </w:t>
      </w:r>
    </w:p>
    <w:p w14:paraId="3B54EFC3">
      <w:pPr>
        <w:spacing w:line="360" w:lineRule="auto"/>
        <w:rPr>
          <w:rFonts w:hint="eastAsia" w:cs="宋体" w:asciiTheme="minorEastAsia" w:hAnsiTheme="minorEastAsia" w:eastAsiaTheme="minorEastAsia"/>
          <w:b/>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u w:val="none"/>
          <w:lang w:val="en-US" w:eastAsia="zh-CN"/>
        </w:rPr>
        <w:t>致：</w:t>
      </w:r>
      <w:r>
        <w:rPr>
          <w:rFonts w:hint="eastAsia" w:cs="宋体" w:asciiTheme="minorEastAsia" w:hAnsiTheme="minorEastAsia" w:eastAsiaTheme="minorEastAsia"/>
          <w:b/>
          <w:color w:val="auto"/>
          <w:kern w:val="2"/>
          <w:sz w:val="24"/>
          <w:szCs w:val="24"/>
          <w:highlight w:val="none"/>
          <w:u w:val="single"/>
          <w:lang w:val="en-US" w:eastAsia="zh-CN"/>
        </w:rPr>
        <w:t>采购人</w:t>
      </w:r>
    </w:p>
    <w:p w14:paraId="00C624B3">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在参与本次项目磋商中，我单位承诺：</w:t>
      </w:r>
    </w:p>
    <w:p w14:paraId="43F4BFC7">
      <w:pPr>
        <w:keepNext w:val="0"/>
        <w:keepLines w:val="0"/>
        <w:widowControl/>
        <w:suppressLineNumbers w:val="0"/>
        <w:autoSpaceDE w:val="0"/>
        <w:autoSpaceDN/>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（一）具有良好的商业信誉和健全的财务会计制度；</w:t>
      </w:r>
    </w:p>
    <w:p w14:paraId="0A1C6F16">
      <w:pPr>
        <w:keepNext w:val="0"/>
        <w:keepLines w:val="0"/>
        <w:widowControl/>
        <w:suppressLineNumbers w:val="0"/>
        <w:autoSpaceDE w:val="0"/>
        <w:autoSpaceDN/>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（二）具有履行合同所必需的设备和专业技术能力；</w:t>
      </w:r>
    </w:p>
    <w:p w14:paraId="0522A540">
      <w:pPr>
        <w:keepNext w:val="0"/>
        <w:keepLines w:val="0"/>
        <w:widowControl/>
        <w:suppressLineNumbers w:val="0"/>
        <w:autoSpaceDE w:val="0"/>
        <w:autoSpaceDN/>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（三）有依法缴纳税收和社会保障资金的良好记录；</w:t>
      </w:r>
    </w:p>
    <w:p w14:paraId="0AD960FE">
      <w:pPr>
        <w:keepNext w:val="0"/>
        <w:keepLines w:val="0"/>
        <w:widowControl/>
        <w:suppressLineNumbers w:val="0"/>
        <w:autoSpaceDE w:val="0"/>
        <w:autoSpaceDN/>
        <w:spacing w:before="0" w:beforeAutospacing="0" w:after="0" w:afterAutospacing="0" w:line="360" w:lineRule="auto"/>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1061D1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6450C05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（六）我单位在本项目磋商有效期内，在本项目所在区域未存在因质量事故、安全事故等被限期承包工程或市场不良行为等被限制磋商资格行为，且处于处罚期内的情况；</w:t>
      </w:r>
    </w:p>
    <w:p w14:paraId="4B0284D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highlight w:val="none"/>
        </w:rPr>
      </w:pPr>
      <w:r>
        <w:rPr>
          <w:rFonts w:hint="eastAsia" w:ascii="宋体" w:hAnsi="宋体" w:eastAsia="宋体" w:cs="宋体"/>
          <w:color w:val="auto"/>
          <w:kern w:val="2"/>
          <w:sz w:val="24"/>
          <w:szCs w:val="24"/>
          <w:highlight w:val="none"/>
          <w:lang w:val="en-US" w:eastAsia="zh-CN" w:bidi="ar"/>
        </w:rPr>
        <w:t>（七）我单位</w:t>
      </w:r>
      <w:r>
        <w:rPr>
          <w:rFonts w:hint="eastAsia" w:ascii="宋体" w:hAnsi="宋体" w:eastAsia="宋体" w:cs="宋体"/>
          <w:color w:val="auto"/>
          <w:kern w:val="0"/>
          <w:sz w:val="24"/>
          <w:szCs w:val="24"/>
          <w:highlight w:val="none"/>
          <w:lang w:val="en-US" w:eastAsia="zh-CN" w:bidi="ar"/>
        </w:rPr>
        <w:t>未被“信用中国”网站列入拖欠农民工工资失信联合惩戒对象名单</w:t>
      </w:r>
      <w:r>
        <w:rPr>
          <w:rFonts w:hint="eastAsia" w:ascii="宋体" w:hAnsi="宋体" w:eastAsia="宋体" w:cs="宋体"/>
          <w:color w:val="auto"/>
          <w:kern w:val="2"/>
          <w:sz w:val="24"/>
          <w:szCs w:val="24"/>
          <w:highlight w:val="none"/>
          <w:lang w:val="en-US" w:eastAsia="zh-CN" w:bidi="ar"/>
        </w:rPr>
        <w:t>；</w:t>
      </w:r>
    </w:p>
    <w:p w14:paraId="26F7DC36">
      <w:pPr>
        <w:keepNext w:val="0"/>
        <w:keepLines w:val="0"/>
        <w:widowControl/>
        <w:suppressLineNumbers w:val="0"/>
        <w:autoSpaceDE w:val="0"/>
        <w:autoSpaceDN/>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69323344">
      <w:pPr>
        <w:keepNext w:val="0"/>
        <w:keepLines w:val="0"/>
        <w:widowControl/>
        <w:suppressLineNumbers w:val="0"/>
        <w:autoSpaceDE w:val="0"/>
        <w:autoSpaceDN/>
        <w:spacing w:before="0" w:beforeAutospacing="0" w:after="0" w:afterAutospacing="0" w:line="360" w:lineRule="auto"/>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40"/>
        <w:gridCol w:w="2841"/>
        <w:gridCol w:w="2841"/>
      </w:tblGrid>
      <w:tr w14:paraId="69DE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vAlign w:val="top"/>
          </w:tcPr>
          <w:p w14:paraId="5A2FC7EA">
            <w:pPr>
              <w:keepNext w:val="0"/>
              <w:keepLines w:val="0"/>
              <w:widowControl/>
              <w:suppressLineNumbers w:val="0"/>
              <w:autoSpaceDE w:val="0"/>
              <w:autoSpaceDN/>
              <w:spacing w:before="157"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序号</w:t>
            </w: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302ED1EC">
            <w:pPr>
              <w:pStyle w:val="51"/>
              <w:keepNext w:val="0"/>
              <w:keepLines w:val="0"/>
              <w:widowControl w:val="0"/>
              <w:suppressLineNumbers w:val="0"/>
              <w:autoSpaceDE w:val="0"/>
              <w:autoSpaceDN/>
              <w:spacing w:before="157"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单位名称</w:t>
            </w: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73BE8E06">
            <w:pPr>
              <w:pStyle w:val="51"/>
              <w:keepNext w:val="0"/>
              <w:keepLines w:val="0"/>
              <w:widowControl w:val="0"/>
              <w:suppressLineNumbers w:val="0"/>
              <w:autoSpaceDE w:val="0"/>
              <w:autoSpaceDN/>
              <w:spacing w:before="157"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相互关系</w:t>
            </w:r>
          </w:p>
        </w:tc>
      </w:tr>
      <w:tr w14:paraId="56F2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vAlign w:val="top"/>
          </w:tcPr>
          <w:p w14:paraId="16A33D81">
            <w:pPr>
              <w:pStyle w:val="51"/>
              <w:keepNext w:val="0"/>
              <w:keepLines w:val="0"/>
              <w:widowControl w:val="0"/>
              <w:suppressLineNumbers w:val="0"/>
              <w:autoSpaceDE w:val="0"/>
              <w:autoSpaceDN/>
              <w:spacing w:before="157"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w:t>
            </w: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612B6BE1">
            <w:pPr>
              <w:pStyle w:val="51"/>
              <w:keepNext w:val="0"/>
              <w:keepLines w:val="0"/>
              <w:widowControl w:val="0"/>
              <w:suppressLineNumbers w:val="0"/>
              <w:autoSpaceDE w:val="0"/>
              <w:autoSpaceDN/>
              <w:spacing w:before="157" w:beforeLines="50" w:beforeAutospacing="0" w:after="10" w:afterAutospacing="0"/>
              <w:ind w:left="0" w:right="0"/>
              <w:jc w:val="center"/>
              <w:rPr>
                <w:rFonts w:hint="eastAsia" w:ascii="宋体" w:hAnsi="宋体" w:eastAsia="宋体" w:cs="宋体"/>
                <w:color w:val="auto"/>
                <w:kern w:val="0"/>
                <w:sz w:val="24"/>
                <w:szCs w:val="24"/>
                <w:highlight w:val="none"/>
              </w:rPr>
            </w:pP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49DCDFBB">
            <w:pPr>
              <w:pStyle w:val="51"/>
              <w:keepNext w:val="0"/>
              <w:keepLines w:val="0"/>
              <w:widowControl w:val="0"/>
              <w:suppressLineNumbers w:val="0"/>
              <w:autoSpaceDE w:val="0"/>
              <w:autoSpaceDN/>
              <w:spacing w:before="157" w:beforeLines="50" w:beforeAutospacing="0" w:after="10" w:afterAutospacing="0"/>
              <w:ind w:left="0" w:right="0"/>
              <w:jc w:val="center"/>
              <w:rPr>
                <w:rFonts w:hint="eastAsia" w:ascii="宋体" w:hAnsi="宋体" w:eastAsia="宋体" w:cs="宋体"/>
                <w:color w:val="auto"/>
                <w:kern w:val="0"/>
                <w:sz w:val="24"/>
                <w:szCs w:val="24"/>
                <w:highlight w:val="none"/>
              </w:rPr>
            </w:pPr>
          </w:p>
        </w:tc>
      </w:tr>
      <w:tr w14:paraId="4763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vAlign w:val="top"/>
          </w:tcPr>
          <w:p w14:paraId="1A72E7EC">
            <w:pPr>
              <w:pStyle w:val="51"/>
              <w:keepNext w:val="0"/>
              <w:keepLines w:val="0"/>
              <w:widowControl w:val="0"/>
              <w:suppressLineNumbers w:val="0"/>
              <w:autoSpaceDE w:val="0"/>
              <w:autoSpaceDN/>
              <w:spacing w:before="157"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w:t>
            </w: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6A8EE50C">
            <w:pPr>
              <w:pStyle w:val="51"/>
              <w:keepNext w:val="0"/>
              <w:keepLines w:val="0"/>
              <w:widowControl w:val="0"/>
              <w:suppressLineNumbers w:val="0"/>
              <w:autoSpaceDE w:val="0"/>
              <w:autoSpaceDN/>
              <w:spacing w:before="157" w:beforeLines="50" w:beforeAutospacing="0" w:after="10" w:afterAutospacing="0"/>
              <w:ind w:left="0" w:right="0"/>
              <w:jc w:val="center"/>
              <w:rPr>
                <w:rFonts w:hint="eastAsia" w:ascii="宋体" w:hAnsi="宋体" w:eastAsia="宋体" w:cs="宋体"/>
                <w:color w:val="auto"/>
                <w:kern w:val="0"/>
                <w:sz w:val="24"/>
                <w:szCs w:val="24"/>
                <w:highlight w:val="none"/>
              </w:rPr>
            </w:pP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1DB0A5AC">
            <w:pPr>
              <w:pStyle w:val="51"/>
              <w:keepNext w:val="0"/>
              <w:keepLines w:val="0"/>
              <w:widowControl w:val="0"/>
              <w:suppressLineNumbers w:val="0"/>
              <w:autoSpaceDE w:val="0"/>
              <w:autoSpaceDN/>
              <w:spacing w:before="157" w:beforeLines="50" w:beforeAutospacing="0" w:after="10" w:afterAutospacing="0"/>
              <w:ind w:left="0" w:right="0"/>
              <w:jc w:val="center"/>
              <w:rPr>
                <w:rFonts w:hint="eastAsia" w:ascii="宋体" w:hAnsi="宋体" w:eastAsia="宋体" w:cs="宋体"/>
                <w:color w:val="auto"/>
                <w:kern w:val="0"/>
                <w:sz w:val="24"/>
                <w:szCs w:val="24"/>
                <w:highlight w:val="none"/>
              </w:rPr>
            </w:pPr>
          </w:p>
        </w:tc>
      </w:tr>
    </w:tbl>
    <w:p w14:paraId="1D32955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本单位对上述声明的真实性负责。如有虚假，将依法承担相应责任。</w:t>
      </w:r>
    </w:p>
    <w:p w14:paraId="6925FC72">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供应商电子签章：</w:t>
      </w:r>
      <w:r>
        <w:rPr>
          <w:rFonts w:hint="eastAsia" w:ascii="宋体" w:hAnsi="宋体" w:eastAsia="宋体" w:cs="Times New Roman"/>
          <w:color w:val="auto"/>
          <w:kern w:val="0"/>
          <w:sz w:val="24"/>
          <w:szCs w:val="24"/>
          <w:highlight w:val="none"/>
          <w:u w:val="single"/>
          <w:lang w:val="en-US" w:eastAsia="zh-CN" w:bidi="ar"/>
        </w:rPr>
        <w:t xml:space="preserve">             </w:t>
      </w:r>
    </w:p>
    <w:p w14:paraId="39DACE93">
      <w:pPr>
        <w:keepNext w:val="0"/>
        <w:keepLines w:val="0"/>
        <w:widowControl w:val="0"/>
        <w:suppressLineNumbers w:val="0"/>
        <w:spacing w:before="0" w:beforeAutospacing="0" w:after="0" w:afterAutospacing="0" w:line="360" w:lineRule="auto"/>
        <w:ind w:left="0" w:right="0" w:firstLine="4800" w:firstLineChars="2000"/>
        <w:jc w:val="both"/>
        <w:rPr>
          <w:rFonts w:hint="eastAsia" w:asciiTheme="minorEastAsia" w:hAnsiTheme="minorEastAsia" w:eastAsiaTheme="minorEastAsia"/>
          <w:b/>
          <w:color w:val="auto"/>
          <w:sz w:val="24"/>
          <w:highlight w:val="none"/>
        </w:rPr>
      </w:pPr>
      <w:r>
        <w:rPr>
          <w:rFonts w:hint="eastAsia" w:ascii="宋体" w:hAnsi="宋体" w:eastAsia="宋体" w:cs="宋体"/>
          <w:color w:val="auto"/>
          <w:kern w:val="0"/>
          <w:sz w:val="24"/>
          <w:szCs w:val="24"/>
          <w:highlight w:val="none"/>
          <w:lang w:val="en-US" w:eastAsia="zh-CN" w:bidi="ar"/>
        </w:rPr>
        <w:t>日</w:t>
      </w:r>
      <w:r>
        <w:rPr>
          <w:rFonts w:hint="eastAsia" w:ascii="宋体" w:hAnsi="宋体"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eastAsia" w:ascii="宋体" w:hAnsi="宋体" w:eastAsia="宋体" w:cs="Times New Roman"/>
          <w:color w:val="auto"/>
          <w:kern w:val="0"/>
          <w:sz w:val="24"/>
          <w:szCs w:val="24"/>
          <w:highlight w:val="none"/>
          <w:u w:val="single"/>
          <w:lang w:val="en-US" w:eastAsia="zh-CN" w:bidi="ar"/>
        </w:rPr>
        <w:t xml:space="preserve">             </w:t>
      </w:r>
    </w:p>
    <w:bookmarkEnd w:id="687"/>
    <w:bookmarkEnd w:id="688"/>
    <w:p w14:paraId="2AB10B68">
      <w:pPr>
        <w:rPr>
          <w:rFonts w:hint="eastAsia" w:ascii="宋体" w:hAnsi="宋体" w:eastAsia="宋体" w:cs="宋体"/>
          <w:b/>
          <w:bCs w:val="0"/>
          <w:color w:val="auto"/>
          <w:kern w:val="0"/>
          <w:sz w:val="24"/>
          <w:szCs w:val="24"/>
          <w:highlight w:val="none"/>
          <w:lang w:val="en-US" w:eastAsia="zh-CN" w:bidi="ar"/>
        </w:rPr>
      </w:pPr>
      <w:bookmarkStart w:id="689" w:name="_Toc28645"/>
      <w:bookmarkStart w:id="690" w:name="_Toc8176"/>
      <w:r>
        <w:rPr>
          <w:rFonts w:hint="eastAsia" w:ascii="宋体" w:hAnsi="宋体" w:eastAsia="宋体" w:cs="宋体"/>
          <w:b/>
          <w:bCs w:val="0"/>
          <w:color w:val="auto"/>
          <w:kern w:val="0"/>
          <w:sz w:val="24"/>
          <w:szCs w:val="24"/>
          <w:highlight w:val="none"/>
          <w:lang w:val="en-US" w:eastAsia="zh-CN" w:bidi="ar"/>
        </w:rPr>
        <w:br w:type="page"/>
      </w:r>
    </w:p>
    <w:p w14:paraId="23E9B94A">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0"/>
          <w:sz w:val="24"/>
          <w:szCs w:val="24"/>
          <w:highlight w:val="none"/>
          <w:lang w:val="en-US" w:eastAsia="zh-CN" w:bidi="ar"/>
        </w:rPr>
        <w:t>六、</w:t>
      </w:r>
      <w:r>
        <w:rPr>
          <w:rFonts w:hint="eastAsia" w:ascii="宋体" w:hAnsi="宋体" w:eastAsia="宋体" w:cs="宋体"/>
          <w:b/>
          <w:bCs w:val="0"/>
          <w:color w:val="auto"/>
          <w:kern w:val="2"/>
          <w:sz w:val="24"/>
          <w:szCs w:val="24"/>
          <w:highlight w:val="none"/>
          <w:lang w:val="en-US" w:eastAsia="zh-CN" w:bidi="ar"/>
        </w:rPr>
        <w:t>诚信响应承诺书</w:t>
      </w:r>
    </w:p>
    <w:p w14:paraId="51CD253F">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本人以企业法定代表人的身份郑重承诺：</w:t>
      </w:r>
    </w:p>
    <w:p w14:paraId="6E9643C3">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一、将遵循公开、公正和诚实信用的原则自愿参加</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项目的响应，所提供的一切材料都是真实、有效、合法的；</w:t>
      </w:r>
    </w:p>
    <w:p w14:paraId="04E21FA9">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1FAE315">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三、不出借、转让资质证书，不让他人挂靠投标，不以他人名义投标或者以其他方式弄虚作假，骗取成交；</w:t>
      </w:r>
    </w:p>
    <w:p w14:paraId="31729692">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四、不与其他供应商相互串通响应报价，不排挤其他供应商的公平竞争、损害采购人的合法权益；</w:t>
      </w:r>
    </w:p>
    <w:p w14:paraId="4256010A">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五、不与采购人、采购代理机构或其他供应商串通响应，损害国家利益、社会公共利益或者他人的合法权益；</w:t>
      </w:r>
    </w:p>
    <w:p w14:paraId="09C61B3A">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2F8D12A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七、严格遵守会议现场纪律，服从监管人员管理；</w:t>
      </w:r>
    </w:p>
    <w:p w14:paraId="18E3B326">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八、保证成交后不转包，若有分包征得采购人同意；</w:t>
      </w:r>
    </w:p>
    <w:p w14:paraId="408FDEA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九、保证成交之后，按照响应文件要求提供相关后续服务；</w:t>
      </w:r>
    </w:p>
    <w:p w14:paraId="1EFDFCB3">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十、保证企业及所属相关人员在本次响应中无行贿等犯罪行为；</w:t>
      </w:r>
    </w:p>
    <w:p w14:paraId="5BC27E81">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40BE7F76">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上内容我已仔细阅读，本公司若有违反承诺内容的行为，自愿接受取消谈判或者中标（成交）资格、中标（成交）无效、记入不良行为记录等有关处理，愿意承担法律责任，给采购人造成损失的，依法承担赔偿责任。</w:t>
      </w:r>
    </w:p>
    <w:p w14:paraId="1EC26C3C">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D202A66">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8D6FA26">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开户银行：                       基本账户：</w:t>
      </w:r>
    </w:p>
    <w:p w14:paraId="132D0DA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供应商（签章）：        </w:t>
      </w:r>
      <w:r>
        <w:rPr>
          <w:rFonts w:hint="eastAsia"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法定代表人（签章）：</w:t>
      </w:r>
    </w:p>
    <w:p w14:paraId="41B9014E">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1A81A32">
      <w:pPr>
        <w:keepNext w:val="0"/>
        <w:keepLines w:val="0"/>
        <w:widowControl w:val="0"/>
        <w:suppressLineNumbers w:val="0"/>
        <w:spacing w:before="0" w:beforeAutospacing="0" w:after="0" w:afterAutospacing="0" w:line="560" w:lineRule="exact"/>
        <w:ind w:left="0" w:right="0"/>
        <w:jc w:val="right"/>
        <w:rPr>
          <w:rFonts w:hint="eastAsia" w:ascii="仿宋_GB2312" w:hAnsi="@仿宋_GB2312" w:eastAsia="仿宋_GB2312" w:cs="仿宋_GB2312"/>
          <w:color w:val="auto"/>
          <w:kern w:val="2"/>
          <w:sz w:val="32"/>
          <w:szCs w:val="32"/>
          <w:highlight w:val="none"/>
        </w:rPr>
      </w:pPr>
      <w:r>
        <w:rPr>
          <w:rFonts w:hint="eastAsia" w:ascii="宋体" w:hAnsi="宋体" w:eastAsia="宋体" w:cs="宋体"/>
          <w:color w:val="auto"/>
          <w:kern w:val="2"/>
          <w:sz w:val="21"/>
          <w:szCs w:val="21"/>
          <w:highlight w:val="none"/>
          <w:lang w:val="en-US" w:eastAsia="zh-CN" w:bidi="ar"/>
        </w:rPr>
        <w:t>日期：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年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月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18F86D56">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03B39B9A">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08FEEB86">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kern w:val="0"/>
          <w:sz w:val="24"/>
          <w:szCs w:val="24"/>
          <w:highlight w:val="none"/>
          <w:lang w:val="en-US" w:eastAsia="zh-CN" w:bidi="ar"/>
        </w:rPr>
        <w:t xml:space="preserve"> </w:t>
      </w:r>
    </w:p>
    <w:p w14:paraId="3143F116">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kern w:val="0"/>
          <w:sz w:val="24"/>
          <w:szCs w:val="24"/>
          <w:highlight w:val="none"/>
          <w:lang w:val="en-US" w:eastAsia="zh-CN" w:bidi="ar"/>
        </w:rPr>
        <w:t xml:space="preserve"> </w:t>
      </w:r>
    </w:p>
    <w:p w14:paraId="49D2B018">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kern w:val="0"/>
          <w:sz w:val="24"/>
          <w:szCs w:val="24"/>
          <w:highlight w:val="none"/>
          <w:lang w:val="en-US" w:eastAsia="zh-CN" w:bidi="ar"/>
        </w:rPr>
        <w:t xml:space="preserve"> </w:t>
      </w:r>
    </w:p>
    <w:p w14:paraId="20FB19CD">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kern w:val="0"/>
          <w:sz w:val="24"/>
          <w:szCs w:val="24"/>
          <w:highlight w:val="none"/>
          <w:lang w:val="en-US" w:eastAsia="zh-CN" w:bidi="ar"/>
        </w:rPr>
        <w:t xml:space="preserve"> </w:t>
      </w:r>
    </w:p>
    <w:p w14:paraId="6ECD6CDA">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kern w:val="0"/>
          <w:sz w:val="24"/>
          <w:szCs w:val="24"/>
          <w:highlight w:val="none"/>
          <w:lang w:val="en-US" w:eastAsia="zh-CN" w:bidi="ar"/>
        </w:rPr>
        <w:br w:type="page"/>
      </w:r>
    </w:p>
    <w:p w14:paraId="36E4A5E9">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Times New Roman"/>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七、授权书</w:t>
      </w:r>
    </w:p>
    <w:p w14:paraId="7F893F9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kern w:val="0"/>
          <w:sz w:val="24"/>
          <w:szCs w:val="24"/>
          <w:highlight w:val="none"/>
          <w:lang w:val="en-US" w:eastAsia="zh-CN" w:bidi="ar"/>
        </w:rPr>
        <w:t xml:space="preserve"> </w:t>
      </w:r>
    </w:p>
    <w:p w14:paraId="710270E0">
      <w:pPr>
        <w:pStyle w:val="51"/>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本授权书声明：</w:t>
      </w:r>
      <w:r>
        <w:rPr>
          <w:rFonts w:hint="eastAsia" w:ascii="宋体" w:hAnsi="宋体"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（供应商名称）授权</w:t>
      </w:r>
      <w:r>
        <w:rPr>
          <w:rFonts w:hint="eastAsia" w:ascii="宋体" w:hAnsi="宋体"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（供应商授权代表姓名）代表我方参加本项目</w:t>
      </w:r>
      <w:r>
        <w:rPr>
          <w:rFonts w:hint="eastAsia" w:ascii="宋体" w:hAnsi="宋体" w:eastAsia="宋体" w:cs="宋体"/>
          <w:bCs/>
          <w:color w:val="auto"/>
          <w:kern w:val="0"/>
          <w:sz w:val="24"/>
          <w:szCs w:val="24"/>
          <w:highlight w:val="none"/>
          <w:lang w:val="en-US" w:eastAsia="zh-CN" w:bidi="ar"/>
        </w:rPr>
        <w:t>采购活动</w:t>
      </w:r>
      <w:r>
        <w:rPr>
          <w:rFonts w:hint="eastAsia" w:ascii="宋体" w:hAnsi="宋体" w:eastAsia="宋体" w:cs="宋体"/>
          <w:color w:val="auto"/>
          <w:kern w:val="0"/>
          <w:sz w:val="24"/>
          <w:szCs w:val="24"/>
          <w:highlight w:val="none"/>
          <w:lang w:val="en-US" w:eastAsia="zh-CN" w:bidi="ar"/>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426EA087">
      <w:pPr>
        <w:pStyle w:val="51"/>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本授权书自出具之日起生效。</w:t>
      </w:r>
    </w:p>
    <w:p w14:paraId="41B4E437">
      <w:pPr>
        <w:pStyle w:val="51"/>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授权代表身份证明扫描件：</w:t>
      </w:r>
    </w:p>
    <w:p w14:paraId="25CE0DEE">
      <w:pPr>
        <w:pStyle w:val="51"/>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lang w:val="en-US" w:eastAsia="zh-CN" w:bidi="ar"/>
        </w:rPr>
        <w:t xml:space="preserve"> </w:t>
      </w:r>
    </w:p>
    <w:p w14:paraId="2D11A1AA">
      <w:pPr>
        <w:pStyle w:val="51"/>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lang w:val="en-US" w:eastAsia="zh-CN" w:bidi="ar"/>
        </w:rPr>
        <w:t xml:space="preserve"> </w:t>
      </w:r>
    </w:p>
    <w:p w14:paraId="676A90C8">
      <w:pPr>
        <w:pStyle w:val="51"/>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lang w:val="en-US" w:eastAsia="zh-CN" w:bidi="ar"/>
        </w:rPr>
        <w:t xml:space="preserve"> </w:t>
      </w:r>
    </w:p>
    <w:p w14:paraId="18A344B9">
      <w:pPr>
        <w:pStyle w:val="51"/>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lang w:val="en-US" w:eastAsia="zh-CN" w:bidi="ar"/>
        </w:rPr>
        <w:t xml:space="preserve"> </w:t>
      </w:r>
    </w:p>
    <w:p w14:paraId="190584FF">
      <w:pPr>
        <w:pStyle w:val="51"/>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Times New Roman"/>
          <w:color w:val="auto"/>
          <w:sz w:val="24"/>
          <w:szCs w:val="24"/>
          <w:highlight w:val="none"/>
          <w:u w:val="single"/>
        </w:rPr>
      </w:pPr>
      <w:r>
        <w:rPr>
          <w:rFonts w:hint="eastAsia" w:ascii="宋体" w:hAnsi="宋体" w:eastAsia="宋体" w:cs="宋体"/>
          <w:color w:val="auto"/>
          <w:kern w:val="0"/>
          <w:sz w:val="24"/>
          <w:szCs w:val="24"/>
          <w:highlight w:val="none"/>
          <w:lang w:val="en-US" w:eastAsia="zh-CN" w:bidi="ar"/>
        </w:rPr>
        <w:t>授权代表联系方式：</w:t>
      </w:r>
      <w:r>
        <w:rPr>
          <w:rFonts w:hint="eastAsia" w:ascii="宋体" w:hAnsi="宋体"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val="en-US" w:eastAsia="zh-CN" w:bidi="ar"/>
        </w:rPr>
        <w:t>（请填写手机号码）</w:t>
      </w:r>
    </w:p>
    <w:p w14:paraId="40768574">
      <w:pPr>
        <w:pStyle w:val="51"/>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lang w:val="en-US" w:eastAsia="zh-CN" w:bidi="ar"/>
        </w:rPr>
        <w:t xml:space="preserve"> </w:t>
      </w:r>
    </w:p>
    <w:p w14:paraId="78ACCFA1">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特此声明。</w:t>
      </w:r>
    </w:p>
    <w:p w14:paraId="72BB8AD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lang w:val="en-US" w:eastAsia="zh-CN" w:bidi="ar"/>
        </w:rPr>
        <w:t xml:space="preserve"> </w:t>
      </w:r>
    </w:p>
    <w:p w14:paraId="35DABFD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kern w:val="0"/>
          <w:sz w:val="24"/>
          <w:szCs w:val="24"/>
          <w:highlight w:val="none"/>
          <w:lang w:val="en-US" w:eastAsia="zh-CN" w:bidi="ar"/>
        </w:rPr>
        <w:t xml:space="preserve">                        </w:t>
      </w:r>
      <w:r>
        <w:rPr>
          <w:rFonts w:hint="eastAsia" w:ascii="宋体" w:hAnsi="宋体" w:eastAsia="宋体" w:cs="宋体"/>
          <w:bCs/>
          <w:color w:val="auto"/>
          <w:kern w:val="0"/>
          <w:sz w:val="24"/>
          <w:szCs w:val="24"/>
          <w:highlight w:val="none"/>
          <w:lang w:val="en-US" w:eastAsia="zh-CN" w:bidi="ar"/>
        </w:rPr>
        <w:t>供应商电子签章：</w:t>
      </w:r>
      <w:r>
        <w:rPr>
          <w:rFonts w:hint="eastAsia" w:ascii="宋体" w:hAnsi="宋体" w:eastAsia="宋体" w:cs="Times New Roman"/>
          <w:bCs/>
          <w:color w:val="auto"/>
          <w:kern w:val="0"/>
          <w:sz w:val="24"/>
          <w:szCs w:val="24"/>
          <w:highlight w:val="none"/>
          <w:u w:val="single"/>
          <w:lang w:val="en-US" w:eastAsia="zh-CN" w:bidi="ar"/>
        </w:rPr>
        <w:t xml:space="preserve">                    </w:t>
      </w:r>
    </w:p>
    <w:p w14:paraId="0A49594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宋体" w:hAnsi="宋体"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eastAsia" w:ascii="宋体" w:hAnsi="宋体" w:eastAsia="宋体" w:cs="Times New Roman"/>
          <w:color w:val="auto"/>
          <w:kern w:val="0"/>
          <w:sz w:val="24"/>
          <w:szCs w:val="24"/>
          <w:highlight w:val="none"/>
          <w:u w:val="single"/>
          <w:lang w:val="en-US" w:eastAsia="zh-CN" w:bidi="ar"/>
        </w:rPr>
        <w:t xml:space="preserve">                    </w:t>
      </w:r>
    </w:p>
    <w:p w14:paraId="4F4BB9D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lang w:val="en-US" w:eastAsia="zh-CN" w:bidi="ar"/>
        </w:rPr>
        <w:t xml:space="preserve"> </w:t>
      </w:r>
    </w:p>
    <w:p w14:paraId="53760FE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lang w:val="en-US" w:eastAsia="zh-CN" w:bidi="ar"/>
        </w:rPr>
        <w:t xml:space="preserve"> </w:t>
      </w:r>
    </w:p>
    <w:p w14:paraId="5DE91EB0">
      <w:pPr>
        <w:pStyle w:val="51"/>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注：</w:t>
      </w:r>
    </w:p>
    <w:p w14:paraId="13A25525">
      <w:pPr>
        <w:pStyle w:val="51"/>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1.本项目只允许有唯一的供应商授权代表，提供身份证明扫描件；</w:t>
      </w:r>
    </w:p>
    <w:p w14:paraId="1E94246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2.法定代表人参加磋商的无需提供授权书，仅提供身份证明扫描件。</w:t>
      </w:r>
    </w:p>
    <w:p w14:paraId="2A5EFAB2">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lang w:val="en-US" w:eastAsia="zh-CN" w:bidi="ar"/>
        </w:rPr>
        <w:br w:type="page"/>
      </w:r>
    </w:p>
    <w:p w14:paraId="0B99B36B">
      <w:pPr>
        <w:keepNext/>
        <w:keepLines/>
        <w:widowControl w:val="0"/>
        <w:suppressLineNumbers w:val="0"/>
        <w:spacing w:before="260" w:beforeAutospacing="0" w:after="260" w:afterAutospacing="0" w:line="415" w:lineRule="auto"/>
        <w:ind w:left="0" w:right="0"/>
        <w:jc w:val="center"/>
        <w:outlineLvl w:val="1"/>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八、法定代表人身份证明书</w:t>
      </w:r>
    </w:p>
    <w:p w14:paraId="56CDDA9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Ansi="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E56A4BB">
      <w:pPr>
        <w:keepNext w:val="0"/>
        <w:keepLines w:val="0"/>
        <w:widowControl w:val="0"/>
        <w:suppressLineNumbers w:val="0"/>
        <w:snapToGrid w:val="0"/>
        <w:spacing w:before="0" w:beforeAutospacing="0" w:after="0" w:afterAutospacing="0" w:line="360" w:lineRule="auto"/>
        <w:ind w:left="0" w:right="0" w:firstLine="480" w:firstLineChars="200"/>
        <w:jc w:val="left"/>
        <w:rPr>
          <w:rFonts w:hint="default" w:ascii="Calibri"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单位名称：</w:t>
      </w:r>
      <w:r>
        <w:rPr>
          <w:rFonts w:hint="eastAsia" w:ascii="Calibri" w:hAnsi="Calibri" w:eastAsia="宋体" w:cs="Times New Roman"/>
          <w:color w:val="auto"/>
          <w:kern w:val="2"/>
          <w:sz w:val="24"/>
          <w:szCs w:val="24"/>
          <w:highlight w:val="none"/>
          <w:u w:val="single"/>
          <w:lang w:val="en-US" w:eastAsia="zh-CN" w:bidi="ar"/>
        </w:rPr>
        <w:t xml:space="preserve">                            </w:t>
      </w:r>
      <w:r>
        <w:rPr>
          <w:rFonts w:hint="default" w:ascii="Calibri" w:hAnsi="Calibri" w:eastAsia="宋体" w:cs="Times New Roman"/>
          <w:color w:val="auto"/>
          <w:kern w:val="2"/>
          <w:sz w:val="24"/>
          <w:szCs w:val="24"/>
          <w:highlight w:val="none"/>
          <w:u w:val="single"/>
          <w:lang w:val="en-US" w:eastAsia="zh-CN" w:bidi="ar"/>
        </w:rPr>
        <w:t xml:space="preserve">    </w:t>
      </w:r>
      <w:r>
        <w:rPr>
          <w:rFonts w:hint="eastAsia" w:ascii="Calibri" w:hAnsi="Calibri" w:eastAsia="宋体" w:cs="Times New Roman"/>
          <w:color w:val="auto"/>
          <w:kern w:val="2"/>
          <w:sz w:val="24"/>
          <w:szCs w:val="24"/>
          <w:highlight w:val="none"/>
          <w:u w:val="single"/>
          <w:lang w:val="en-US" w:eastAsia="zh-CN" w:bidi="ar"/>
        </w:rPr>
        <w:t xml:space="preserve">          </w:t>
      </w:r>
    </w:p>
    <w:p w14:paraId="59C52DE7">
      <w:pPr>
        <w:keepNext w:val="0"/>
        <w:keepLines w:val="0"/>
        <w:widowControl w:val="0"/>
        <w:suppressLineNumbers w:val="0"/>
        <w:snapToGrid w:val="0"/>
        <w:spacing w:before="0" w:beforeAutospacing="0" w:after="0" w:afterAutospacing="0" w:line="360" w:lineRule="auto"/>
        <w:ind w:left="0" w:right="0" w:firstLine="480" w:firstLineChars="200"/>
        <w:jc w:val="left"/>
        <w:rPr>
          <w:rFonts w:hint="default" w:ascii="Calibri"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eastAsia" w:ascii="Calibri" w:hAnsi="Calibri" w:eastAsia="宋体" w:cs="Times New Roman"/>
          <w:color w:val="auto"/>
          <w:kern w:val="2"/>
          <w:sz w:val="24"/>
          <w:szCs w:val="24"/>
          <w:highlight w:val="none"/>
          <w:u w:val="single"/>
          <w:lang w:val="en-US" w:eastAsia="zh-CN" w:bidi="ar"/>
        </w:rPr>
        <w:t xml:space="preserve">                             </w:t>
      </w:r>
      <w:r>
        <w:rPr>
          <w:rFonts w:hint="default" w:ascii="Calibri" w:hAnsi="Calibri" w:eastAsia="宋体" w:cs="Times New Roman"/>
          <w:color w:val="auto"/>
          <w:kern w:val="2"/>
          <w:sz w:val="24"/>
          <w:szCs w:val="24"/>
          <w:highlight w:val="none"/>
          <w:u w:val="single"/>
          <w:lang w:val="en-US" w:eastAsia="zh-CN" w:bidi="ar"/>
        </w:rPr>
        <w:t xml:space="preserve">    </w:t>
      </w:r>
      <w:r>
        <w:rPr>
          <w:rFonts w:hint="eastAsia" w:ascii="Calibri" w:hAnsi="Calibri" w:eastAsia="宋体" w:cs="Times New Roman"/>
          <w:color w:val="auto"/>
          <w:kern w:val="2"/>
          <w:sz w:val="24"/>
          <w:szCs w:val="24"/>
          <w:highlight w:val="none"/>
          <w:u w:val="single"/>
          <w:lang w:val="en-US" w:eastAsia="zh-CN" w:bidi="ar"/>
        </w:rPr>
        <w:t xml:space="preserve">         </w:t>
      </w:r>
    </w:p>
    <w:p w14:paraId="35A7C14B">
      <w:pPr>
        <w:keepNext w:val="0"/>
        <w:keepLines w:val="0"/>
        <w:widowControl w:val="0"/>
        <w:suppressLineNumbers w:val="0"/>
        <w:snapToGrid w:val="0"/>
        <w:spacing w:before="0" w:beforeAutospacing="0" w:after="0" w:afterAutospacing="0" w:line="360" w:lineRule="auto"/>
        <w:ind w:left="0" w:right="0" w:firstLine="480" w:firstLineChars="200"/>
        <w:jc w:val="left"/>
        <w:rPr>
          <w:rFonts w:hint="default" w:ascii="Calibri"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w:t>
      </w:r>
      <w:r>
        <w:rPr>
          <w:rFonts w:hint="eastAsia" w:ascii="Calibri" w:hAnsi="Calibri"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Calibri" w:hAnsi="Calibri" w:eastAsia="宋体" w:cs="Times New Roman"/>
          <w:color w:val="auto"/>
          <w:kern w:val="2"/>
          <w:sz w:val="24"/>
          <w:szCs w:val="24"/>
          <w:highlight w:val="none"/>
          <w:u w:val="single"/>
          <w:lang w:val="en-US" w:eastAsia="zh-CN" w:bidi="ar"/>
        </w:rPr>
        <w:t xml:space="preserve">                             </w:t>
      </w:r>
      <w:r>
        <w:rPr>
          <w:rFonts w:hint="default" w:ascii="Calibri" w:hAnsi="Calibri" w:eastAsia="宋体" w:cs="Times New Roman"/>
          <w:color w:val="auto"/>
          <w:kern w:val="2"/>
          <w:sz w:val="24"/>
          <w:szCs w:val="24"/>
          <w:highlight w:val="none"/>
          <w:u w:val="single"/>
          <w:lang w:val="en-US" w:eastAsia="zh-CN" w:bidi="ar"/>
        </w:rPr>
        <w:t xml:space="preserve">    </w:t>
      </w:r>
      <w:r>
        <w:rPr>
          <w:rFonts w:hint="eastAsia" w:ascii="Calibri" w:hAnsi="Calibri" w:eastAsia="宋体" w:cs="Times New Roman"/>
          <w:color w:val="auto"/>
          <w:kern w:val="2"/>
          <w:sz w:val="24"/>
          <w:szCs w:val="24"/>
          <w:highlight w:val="none"/>
          <w:u w:val="single"/>
          <w:lang w:val="en-US" w:eastAsia="zh-CN" w:bidi="ar"/>
        </w:rPr>
        <w:t xml:space="preserve">         </w:t>
      </w:r>
    </w:p>
    <w:p w14:paraId="5584D873">
      <w:pPr>
        <w:keepNext w:val="0"/>
        <w:keepLines w:val="0"/>
        <w:widowControl w:val="0"/>
        <w:suppressLineNumbers w:val="0"/>
        <w:snapToGrid w:val="0"/>
        <w:spacing w:before="0" w:beforeAutospacing="0" w:after="0" w:afterAutospacing="0" w:line="360" w:lineRule="auto"/>
        <w:ind w:left="0" w:right="0" w:firstLine="480" w:firstLineChars="200"/>
        <w:jc w:val="left"/>
        <w:rPr>
          <w:rFonts w:hint="default" w:ascii="Calibri"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eastAsia" w:ascii="Calibri" w:hAnsi="Calibri"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eastAsia" w:ascii="Calibri" w:hAnsi="Calibri"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Calibri" w:hAnsi="Calibri"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2F4E40E1">
      <w:pPr>
        <w:keepNext w:val="0"/>
        <w:keepLines w:val="0"/>
        <w:widowControl w:val="0"/>
        <w:suppressLineNumbers w:val="0"/>
        <w:snapToGrid w:val="0"/>
        <w:spacing w:before="0" w:beforeAutospacing="0" w:after="0" w:afterAutospacing="0" w:line="360" w:lineRule="auto"/>
        <w:ind w:left="0" w:right="0" w:firstLine="480" w:firstLineChars="200"/>
        <w:jc w:val="left"/>
        <w:rPr>
          <w:rFonts w:hint="default" w:ascii="Calibri"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eastAsia" w:ascii="Calibri" w:hAnsi="Calibri" w:eastAsia="宋体" w:cs="Times New Roman"/>
          <w:color w:val="auto"/>
          <w:kern w:val="2"/>
          <w:sz w:val="24"/>
          <w:szCs w:val="24"/>
          <w:highlight w:val="none"/>
          <w:u w:val="single"/>
          <w:lang w:val="en-US" w:eastAsia="zh-CN" w:bidi="ar"/>
        </w:rPr>
        <w:t xml:space="preserve">                               </w:t>
      </w:r>
      <w:r>
        <w:rPr>
          <w:rFonts w:hint="default" w:ascii="Calibri" w:hAnsi="Calibri" w:eastAsia="宋体" w:cs="Times New Roman"/>
          <w:color w:val="auto"/>
          <w:kern w:val="2"/>
          <w:sz w:val="24"/>
          <w:szCs w:val="24"/>
          <w:highlight w:val="none"/>
          <w:u w:val="single"/>
          <w:lang w:val="en-US" w:eastAsia="zh-CN" w:bidi="ar"/>
        </w:rPr>
        <w:t xml:space="preserve">    </w:t>
      </w:r>
      <w:r>
        <w:rPr>
          <w:rFonts w:hint="eastAsia" w:ascii="Calibri" w:hAnsi="Calibri" w:eastAsia="宋体" w:cs="Times New Roman"/>
          <w:color w:val="auto"/>
          <w:kern w:val="2"/>
          <w:sz w:val="24"/>
          <w:szCs w:val="24"/>
          <w:highlight w:val="none"/>
          <w:u w:val="single"/>
          <w:lang w:val="en-US" w:eastAsia="zh-CN" w:bidi="ar"/>
        </w:rPr>
        <w:t xml:space="preserve"> </w:t>
      </w:r>
      <w:r>
        <w:rPr>
          <w:rFonts w:hint="default" w:ascii="Calibri" w:hAnsi="Calibri" w:eastAsia="宋体" w:cs="Times New Roman"/>
          <w:color w:val="auto"/>
          <w:kern w:val="2"/>
          <w:sz w:val="24"/>
          <w:szCs w:val="24"/>
          <w:highlight w:val="none"/>
          <w:u w:val="single"/>
          <w:lang w:val="en-US" w:eastAsia="zh-CN" w:bidi="ar"/>
        </w:rPr>
        <w:t xml:space="preserve"> </w:t>
      </w:r>
      <w:r>
        <w:rPr>
          <w:rFonts w:hint="eastAsia" w:ascii="Calibri" w:hAnsi="Calibri" w:eastAsia="宋体" w:cs="Times New Roman"/>
          <w:color w:val="auto"/>
          <w:kern w:val="2"/>
          <w:sz w:val="24"/>
          <w:szCs w:val="24"/>
          <w:highlight w:val="none"/>
          <w:u w:val="single"/>
          <w:lang w:val="en-US" w:eastAsia="zh-CN" w:bidi="ar"/>
        </w:rPr>
        <w:t xml:space="preserve">     </w:t>
      </w:r>
    </w:p>
    <w:p w14:paraId="55FCB0B6">
      <w:pPr>
        <w:keepNext w:val="0"/>
        <w:keepLines w:val="0"/>
        <w:widowControl w:val="0"/>
        <w:suppressLineNumbers w:val="0"/>
        <w:snapToGrid w:val="0"/>
        <w:spacing w:before="0" w:beforeAutospacing="0" w:after="0" w:afterAutospacing="0" w:line="360" w:lineRule="auto"/>
        <w:ind w:left="0" w:right="0" w:firstLine="480" w:firstLineChars="200"/>
        <w:jc w:val="left"/>
        <w:rPr>
          <w:rFonts w:hint="default" w:ascii="Calibri"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w:t>
      </w:r>
      <w:r>
        <w:rPr>
          <w:rFonts w:hint="eastAsia" w:ascii="Calibri" w:hAnsi="Calibri"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名：</w:t>
      </w:r>
      <w:r>
        <w:rPr>
          <w:rFonts w:hint="eastAsia" w:ascii="Calibri" w:hAnsi="Calibri" w:eastAsia="宋体" w:cs="Times New Roman"/>
          <w:color w:val="auto"/>
          <w:kern w:val="2"/>
          <w:sz w:val="24"/>
          <w:szCs w:val="24"/>
          <w:highlight w:val="none"/>
          <w:u w:val="single"/>
          <w:lang w:val="en-US" w:eastAsia="zh-CN" w:bidi="ar"/>
        </w:rPr>
        <w:t xml:space="preserve">                  </w:t>
      </w:r>
      <w:r>
        <w:rPr>
          <w:rFonts w:hint="eastAsia" w:ascii="Calibri" w:hAnsi="Calibri"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w:t>
      </w:r>
      <w:r>
        <w:rPr>
          <w:rFonts w:hint="eastAsia" w:ascii="Calibri" w:hAnsi="Calibri" w:eastAsia="宋体" w:cs="Times New Roman"/>
          <w:color w:val="auto"/>
          <w:kern w:val="2"/>
          <w:sz w:val="24"/>
          <w:szCs w:val="24"/>
          <w:highlight w:val="none"/>
          <w:lang w:val="en-US" w:eastAsia="zh-CN" w:bidi="ar"/>
        </w:rPr>
        <w:t xml:space="preserve"> </w:t>
      </w:r>
      <w:r>
        <w:rPr>
          <w:rFonts w:hint="default" w:ascii="Calibri" w:hAnsi="Calibri" w:eastAsia="宋体" w:cs="Times New Roman"/>
          <w:color w:val="auto"/>
          <w:kern w:val="2"/>
          <w:sz w:val="24"/>
          <w:szCs w:val="24"/>
          <w:highlight w:val="none"/>
          <w:lang w:val="en-US" w:eastAsia="zh-CN" w:bidi="ar"/>
        </w:rPr>
        <w:t xml:space="preserve">  </w:t>
      </w:r>
      <w:r>
        <w:rPr>
          <w:rFonts w:hint="eastAsia" w:ascii="Calibri" w:hAnsi="Calibri"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别：</w:t>
      </w:r>
      <w:r>
        <w:rPr>
          <w:rFonts w:hint="eastAsia" w:ascii="Calibri" w:hAnsi="Calibri" w:eastAsia="宋体" w:cs="Times New Roman"/>
          <w:color w:val="auto"/>
          <w:kern w:val="2"/>
          <w:sz w:val="24"/>
          <w:szCs w:val="24"/>
          <w:highlight w:val="none"/>
          <w:u w:val="single"/>
          <w:lang w:val="en-US" w:eastAsia="zh-CN" w:bidi="ar"/>
        </w:rPr>
        <w:t xml:space="preserve">             </w:t>
      </w:r>
    </w:p>
    <w:p w14:paraId="1828FDFD">
      <w:pPr>
        <w:keepNext w:val="0"/>
        <w:keepLines w:val="0"/>
        <w:widowControl w:val="0"/>
        <w:suppressLineNumbers w:val="0"/>
        <w:snapToGrid w:val="0"/>
        <w:spacing w:before="0" w:beforeAutospacing="0" w:after="0" w:afterAutospacing="0" w:line="360" w:lineRule="auto"/>
        <w:ind w:left="0" w:right="0" w:firstLine="480" w:firstLineChars="200"/>
        <w:jc w:val="left"/>
        <w:rPr>
          <w:rFonts w:hint="default" w:ascii="Calibri" w:hAnsi="Calibri"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年</w:t>
      </w:r>
      <w:r>
        <w:rPr>
          <w:rFonts w:hint="eastAsia" w:ascii="Calibri" w:hAnsi="Calibri"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龄：</w:t>
      </w:r>
      <w:r>
        <w:rPr>
          <w:rFonts w:hint="eastAsia" w:ascii="Calibri" w:hAnsi="Calibri" w:eastAsia="宋体" w:cs="Times New Roman"/>
          <w:color w:val="auto"/>
          <w:kern w:val="2"/>
          <w:sz w:val="24"/>
          <w:szCs w:val="24"/>
          <w:highlight w:val="none"/>
          <w:u w:val="single"/>
          <w:lang w:val="en-US" w:eastAsia="zh-CN" w:bidi="ar"/>
        </w:rPr>
        <w:t xml:space="preserve">                  </w:t>
      </w:r>
      <w:r>
        <w:rPr>
          <w:rFonts w:hint="eastAsia" w:ascii="Calibri" w:hAnsi="Calibri"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职</w:t>
      </w:r>
      <w:r>
        <w:rPr>
          <w:rFonts w:hint="eastAsia" w:ascii="Calibri" w:hAnsi="Calibri"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务：</w:t>
      </w:r>
      <w:r>
        <w:rPr>
          <w:rFonts w:hint="eastAsia" w:ascii="Calibri" w:hAnsi="Calibri" w:eastAsia="宋体" w:cs="Times New Roman"/>
          <w:color w:val="auto"/>
          <w:kern w:val="2"/>
          <w:sz w:val="24"/>
          <w:szCs w:val="24"/>
          <w:highlight w:val="none"/>
          <w:u w:val="single"/>
          <w:lang w:val="en-US" w:eastAsia="zh-CN" w:bidi="ar"/>
        </w:rPr>
        <w:t xml:space="preserve">             </w:t>
      </w:r>
    </w:p>
    <w:p w14:paraId="1E4A93D2">
      <w:pPr>
        <w:keepNext w:val="0"/>
        <w:keepLines w:val="0"/>
        <w:widowControl w:val="0"/>
        <w:suppressLineNumbers w:val="0"/>
        <w:snapToGrid w:val="0"/>
        <w:spacing w:before="0" w:beforeAutospacing="0" w:after="0" w:afterAutospacing="0" w:line="360" w:lineRule="auto"/>
        <w:ind w:left="0" w:right="0" w:firstLine="480" w:firstLineChars="200"/>
        <w:jc w:val="left"/>
        <w:rPr>
          <w:rFonts w:hint="default" w:ascii="Calibri"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联系电话：</w:t>
      </w:r>
      <w:r>
        <w:rPr>
          <w:rFonts w:hint="eastAsia" w:ascii="Calibri" w:hAnsi="Calibri" w:eastAsia="宋体" w:cs="Times New Roman"/>
          <w:color w:val="auto"/>
          <w:kern w:val="2"/>
          <w:sz w:val="24"/>
          <w:szCs w:val="24"/>
          <w:highlight w:val="none"/>
          <w:u w:val="single"/>
          <w:lang w:val="en-US" w:eastAsia="zh-CN" w:bidi="ar"/>
        </w:rPr>
        <w:t xml:space="preserve">                  </w:t>
      </w:r>
      <w:r>
        <w:rPr>
          <w:rFonts w:hint="eastAsia" w:ascii="Calibri" w:hAnsi="Calibri"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手机号码：</w:t>
      </w:r>
      <w:r>
        <w:rPr>
          <w:rFonts w:hint="eastAsia" w:ascii="Calibri" w:hAnsi="Calibri" w:eastAsia="宋体" w:cs="Times New Roman"/>
          <w:color w:val="auto"/>
          <w:kern w:val="2"/>
          <w:sz w:val="24"/>
          <w:szCs w:val="24"/>
          <w:highlight w:val="none"/>
          <w:u w:val="single"/>
          <w:lang w:val="en-US" w:eastAsia="zh-CN" w:bidi="ar"/>
        </w:rPr>
        <w:t xml:space="preserve">             </w:t>
      </w:r>
    </w:p>
    <w:p w14:paraId="74CAF664">
      <w:pPr>
        <w:keepNext w:val="0"/>
        <w:keepLines w:val="0"/>
        <w:widowControl w:val="0"/>
        <w:suppressLineNumbers w:val="0"/>
        <w:snapToGrid w:val="0"/>
        <w:spacing w:before="0" w:beforeAutospacing="0" w:after="0" w:afterAutospacing="0" w:line="360" w:lineRule="auto"/>
        <w:ind w:left="0" w:right="0" w:firstLine="480" w:firstLineChars="200"/>
        <w:jc w:val="left"/>
        <w:rPr>
          <w:rFonts w:hint="default" w:ascii="Calibri" w:hAnsi="Calibri" w:eastAsia="宋体" w:cs="Times New Roman"/>
          <w:color w:val="auto"/>
          <w:kern w:val="2"/>
          <w:sz w:val="24"/>
          <w:szCs w:val="24"/>
          <w:highlight w:val="none"/>
        </w:rPr>
      </w:pPr>
      <w:r>
        <w:rPr>
          <w:rFonts w:hint="eastAsia" w:ascii="Calibri" w:hAnsi="Calibri"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系</w:t>
      </w:r>
      <w:r>
        <w:rPr>
          <w:rFonts w:hint="eastAsia" w:ascii="Calibri" w:hAnsi="Calibri" w:eastAsia="宋体" w:cs="Times New Roman"/>
          <w:color w:val="auto"/>
          <w:kern w:val="2"/>
          <w:sz w:val="24"/>
          <w:szCs w:val="24"/>
          <w:highlight w:val="none"/>
          <w:lang w:val="en-US" w:eastAsia="zh-CN" w:bidi="ar"/>
        </w:rPr>
        <w:t xml:space="preserve">  </w:t>
      </w:r>
      <w:r>
        <w:rPr>
          <w:rFonts w:hint="eastAsia" w:ascii="Calibri" w:hAnsi="Calibri"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（供应商单位名称）</w:t>
      </w:r>
      <w:r>
        <w:rPr>
          <w:rFonts w:hint="eastAsia" w:ascii="Calibri" w:hAnsi="Calibri"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的法定代表人。</w:t>
      </w:r>
    </w:p>
    <w:p w14:paraId="05AEB622">
      <w:pPr>
        <w:keepNext w:val="0"/>
        <w:keepLines w:val="0"/>
        <w:widowControl w:val="0"/>
        <w:suppressLineNumbers w:val="0"/>
        <w:spacing w:before="62" w:beforeLines="20" w:beforeAutospacing="0" w:after="62" w:afterLines="20" w:afterAutospacing="0" w:line="540" w:lineRule="exact"/>
        <w:ind w:left="0" w:right="0" w:firstLine="610"/>
        <w:jc w:val="both"/>
        <w:rPr>
          <w:rFonts w:hAnsi="Calibri" w:cs="宋体"/>
          <w:color w:val="auto"/>
          <w:kern w:val="2"/>
          <w:sz w:val="24"/>
          <w:szCs w:val="24"/>
          <w:highlight w:val="none"/>
        </w:rPr>
      </w:pPr>
      <w:r>
        <w:rPr>
          <w:rFonts w:hint="eastAsia" w:ascii="宋体" w:hAnsi="Calibri" w:eastAsia="宋体" w:cs="宋体"/>
          <w:color w:val="auto"/>
          <w:kern w:val="2"/>
          <w:sz w:val="24"/>
          <w:szCs w:val="24"/>
          <w:highlight w:val="none"/>
          <w:lang w:val="en-US" w:eastAsia="zh-CN" w:bidi="ar"/>
        </w:rPr>
        <w:t xml:space="preserve"> </w:t>
      </w:r>
    </w:p>
    <w:p w14:paraId="32B47A49">
      <w:pPr>
        <w:keepNext w:val="0"/>
        <w:keepLines w:val="0"/>
        <w:widowControl w:val="0"/>
        <w:suppressLineNumbers w:val="0"/>
        <w:spacing w:before="62" w:beforeLines="20" w:beforeAutospacing="0" w:after="62" w:afterLines="20" w:afterAutospacing="0" w:line="540" w:lineRule="exact"/>
        <w:ind w:left="400" w:leftChars="200" w:right="0" w:firstLine="240" w:firstLineChars="100"/>
        <w:jc w:val="both"/>
        <w:rPr>
          <w:rFonts w:hint="default" w:ascii="Calibri" w:hAnsi="Calibri"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7DD964CA">
      <w:pPr>
        <w:keepNext w:val="0"/>
        <w:keepLines w:val="0"/>
        <w:widowControl w:val="0"/>
        <w:suppressLineNumbers w:val="0"/>
        <w:tabs>
          <w:tab w:val="left" w:pos="720"/>
          <w:tab w:val="left" w:pos="900"/>
        </w:tabs>
        <w:spacing w:before="62" w:beforeLines="20" w:beforeAutospacing="0" w:after="62" w:afterLines="20" w:afterAutospacing="0" w:line="540" w:lineRule="exact"/>
        <w:ind w:left="0" w:right="0" w:firstLine="480" w:firstLineChars="200"/>
        <w:jc w:val="both"/>
        <w:rPr>
          <w:rFonts w:hint="default" w:ascii="Calibri" w:hAnsi="Calibri"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附：法定代表人身份证扫描件</w:t>
      </w:r>
    </w:p>
    <w:p w14:paraId="155859D1">
      <w:pPr>
        <w:keepNext w:val="0"/>
        <w:keepLines w:val="0"/>
        <w:widowControl w:val="0"/>
        <w:suppressLineNumbers w:val="0"/>
        <w:tabs>
          <w:tab w:val="left" w:pos="720"/>
          <w:tab w:val="left" w:pos="900"/>
        </w:tabs>
        <w:spacing w:before="62" w:beforeLines="20" w:beforeAutospacing="0" w:after="62" w:afterLines="20" w:afterAutospacing="0" w:line="540" w:lineRule="exact"/>
        <w:ind w:left="0" w:right="0" w:firstLine="480" w:firstLineChars="200"/>
        <w:jc w:val="both"/>
        <w:rPr>
          <w:rFonts w:hAnsi="Calibri" w:cs="宋体"/>
          <w:color w:val="auto"/>
          <w:kern w:val="2"/>
          <w:sz w:val="24"/>
          <w:szCs w:val="24"/>
          <w:highlight w:val="none"/>
        </w:rPr>
      </w:pPr>
      <w:r>
        <w:rPr>
          <w:rFonts w:hint="eastAsia" w:ascii="宋体" w:hAnsi="Calibri" w:eastAsia="宋体" w:cs="宋体"/>
          <w:color w:val="auto"/>
          <w:kern w:val="2"/>
          <w:sz w:val="24"/>
          <w:szCs w:val="24"/>
          <w:highlight w:val="none"/>
          <w:lang w:val="en-US" w:eastAsia="zh-CN" w:bidi="ar"/>
        </w:rPr>
        <w:t xml:space="preserve"> </w:t>
      </w:r>
    </w:p>
    <w:p w14:paraId="0AE74CB2">
      <w:pPr>
        <w:keepNext w:val="0"/>
        <w:keepLines w:val="0"/>
        <w:widowControl w:val="0"/>
        <w:suppressLineNumbers w:val="0"/>
        <w:tabs>
          <w:tab w:val="left" w:pos="720"/>
          <w:tab w:val="left" w:pos="900"/>
        </w:tabs>
        <w:spacing w:before="62" w:beforeLines="20" w:beforeAutospacing="0" w:after="62" w:afterLines="20" w:afterAutospacing="0" w:line="540" w:lineRule="exact"/>
        <w:ind w:left="0" w:right="0" w:firstLine="4560" w:firstLineChars="1900"/>
        <w:jc w:val="both"/>
        <w:rPr>
          <w:rFonts w:hAnsi="Calibri" w:cs="宋体"/>
          <w:color w:val="auto"/>
          <w:kern w:val="2"/>
          <w:sz w:val="24"/>
          <w:szCs w:val="24"/>
          <w:highlight w:val="none"/>
        </w:rPr>
      </w:pPr>
      <w:r>
        <w:rPr>
          <w:rFonts w:hint="eastAsia" w:ascii="宋体" w:hAnsi="Calibri" w:eastAsia="宋体" w:cs="宋体"/>
          <w:color w:val="auto"/>
          <w:kern w:val="2"/>
          <w:sz w:val="24"/>
          <w:szCs w:val="24"/>
          <w:highlight w:val="none"/>
          <w:lang w:val="en-US" w:eastAsia="zh-CN" w:bidi="ar"/>
        </w:rPr>
        <w:t xml:space="preserve"> </w:t>
      </w:r>
    </w:p>
    <w:p w14:paraId="1E397FCF">
      <w:pPr>
        <w:keepNext w:val="0"/>
        <w:keepLines w:val="0"/>
        <w:widowControl w:val="0"/>
        <w:suppressLineNumbers w:val="0"/>
        <w:spacing w:before="0" w:beforeAutospacing="0" w:after="0" w:afterAutospacing="0" w:line="360" w:lineRule="auto"/>
        <w:ind w:left="0" w:right="0" w:firstLine="3840" w:firstLineChars="16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供应商电子签章：</w:t>
      </w:r>
      <w:r>
        <w:rPr>
          <w:rFonts w:hint="eastAsia" w:ascii="宋体" w:hAnsi="宋体" w:eastAsia="宋体" w:cs="宋体"/>
          <w:color w:val="auto"/>
          <w:kern w:val="2"/>
          <w:sz w:val="24"/>
          <w:szCs w:val="24"/>
          <w:highlight w:val="none"/>
          <w:u w:val="single"/>
          <w:lang w:val="en-US" w:eastAsia="zh-CN" w:bidi="ar"/>
        </w:rPr>
        <w:t xml:space="preserve">                     </w:t>
      </w:r>
    </w:p>
    <w:p w14:paraId="26821E01">
      <w:pPr>
        <w:keepNext w:val="0"/>
        <w:keepLines w:val="0"/>
        <w:widowControl w:val="0"/>
        <w:suppressLineNumbers w:val="0"/>
        <w:spacing w:before="0" w:beforeAutospacing="0" w:after="0" w:afterAutospacing="0" w:line="360" w:lineRule="auto"/>
        <w:ind w:left="0" w:right="0" w:firstLine="3840" w:firstLineChars="16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日          期：</w:t>
      </w:r>
      <w:r>
        <w:rPr>
          <w:rFonts w:hint="eastAsia" w:ascii="宋体" w:hAnsi="宋体" w:eastAsia="宋体" w:cs="宋体"/>
          <w:color w:val="auto"/>
          <w:kern w:val="2"/>
          <w:sz w:val="24"/>
          <w:szCs w:val="24"/>
          <w:highlight w:val="none"/>
          <w:u w:val="single"/>
          <w:lang w:val="en-US" w:eastAsia="zh-CN" w:bidi="ar"/>
        </w:rPr>
        <w:t xml:space="preserve">                     </w:t>
      </w:r>
    </w:p>
    <w:p w14:paraId="7656BE85">
      <w:pPr>
        <w:keepNext w:val="0"/>
        <w:keepLines w:val="0"/>
        <w:widowControl/>
        <w:suppressLineNumbers w:val="0"/>
        <w:spacing w:before="0" w:beforeAutospacing="0" w:after="0" w:afterAutospacing="0"/>
        <w:ind w:left="0" w:right="0"/>
        <w:jc w:val="left"/>
        <w:rPr>
          <w:rFonts w:hint="eastAsia" w:ascii="宋体" w:hAnsi="宋体" w:eastAsia="宋体" w:cs="@仿宋_GB2312"/>
          <w:b/>
          <w:bCs/>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br w:type="page"/>
      </w:r>
    </w:p>
    <w:p w14:paraId="35B615E8">
      <w:pPr>
        <w:keepNext/>
        <w:keepLines/>
        <w:widowControl w:val="0"/>
        <w:suppressLineNumbers w:val="0"/>
        <w:spacing w:before="260" w:beforeAutospacing="0" w:after="260" w:afterAutospacing="0" w:line="415" w:lineRule="auto"/>
        <w:ind w:left="0" w:right="0"/>
        <w:jc w:val="center"/>
        <w:outlineLvl w:val="1"/>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九、项目经理承诺书</w:t>
      </w:r>
    </w:p>
    <w:p w14:paraId="6CB00B0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致：采购人</w:t>
      </w:r>
    </w:p>
    <w:p w14:paraId="0D032E8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本人作为我单位在本项目磋商担任的项目经理，郑重承诺：</w:t>
      </w:r>
    </w:p>
    <w:p w14:paraId="54D5774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1A6F10B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二、本人承诺，一旦成交，将严格按照磋商文件规定履约。</w:t>
      </w:r>
    </w:p>
    <w:p w14:paraId="279F84F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三、本人声明，对以上承诺，一旦发现虚假现象，本人愿意承担相应法律责任，并随时无条件配合监管部门调查取证。</w:t>
      </w:r>
    </w:p>
    <w:p w14:paraId="49E0D28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w:t>
      </w:r>
      <w:r>
        <w:rPr>
          <w:rFonts w:hint="eastAsia" w:ascii="宋体" w:hAnsi="宋体" w:eastAsia="宋体" w:cs="宋体"/>
          <w:color w:val="auto"/>
          <w:kern w:val="2"/>
          <w:sz w:val="24"/>
          <w:szCs w:val="24"/>
          <w:highlight w:val="none"/>
          <w:u w:val="single"/>
          <w:lang w:val="en-US" w:eastAsia="zh-CN" w:bidi="ar"/>
        </w:rPr>
        <w:t xml:space="preserve">                   </w:t>
      </w:r>
    </w:p>
    <w:p w14:paraId="1930BFF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14201AFA">
      <w:pPr>
        <w:keepNext w:val="0"/>
        <w:keepLines w:val="0"/>
        <w:widowControl w:val="0"/>
        <w:suppressLineNumbers w:val="0"/>
        <w:spacing w:before="0" w:beforeAutospacing="0" w:after="0" w:afterAutospacing="0" w:line="360" w:lineRule="auto"/>
        <w:ind w:left="0" w:right="0" w:firstLine="4200" w:firstLineChars="175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项目经理签字：</w:t>
      </w:r>
      <w:r>
        <w:rPr>
          <w:rFonts w:hint="eastAsia" w:ascii="宋体" w:hAnsi="宋体" w:eastAsia="宋体" w:cs="宋体"/>
          <w:color w:val="auto"/>
          <w:kern w:val="2"/>
          <w:sz w:val="24"/>
          <w:szCs w:val="24"/>
          <w:highlight w:val="none"/>
          <w:u w:val="single"/>
          <w:lang w:val="en-US" w:eastAsia="zh-CN" w:bidi="ar"/>
        </w:rPr>
        <w:t xml:space="preserve">                   </w:t>
      </w:r>
    </w:p>
    <w:p w14:paraId="640D8D93">
      <w:pPr>
        <w:keepNext w:val="0"/>
        <w:keepLines w:val="0"/>
        <w:widowControl w:val="0"/>
        <w:suppressLineNumbers w:val="0"/>
        <w:spacing w:before="0" w:beforeAutospacing="0" w:after="0" w:afterAutospacing="0" w:line="360" w:lineRule="auto"/>
        <w:ind w:left="0" w:right="0" w:firstLine="4200" w:firstLineChars="175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w:t>
      </w:r>
      <w:r>
        <w:rPr>
          <w:rFonts w:hint="eastAsia" w:ascii="宋体" w:hAnsi="宋体" w:eastAsia="宋体" w:cs="宋体"/>
          <w:color w:val="auto"/>
          <w:kern w:val="2"/>
          <w:sz w:val="24"/>
          <w:szCs w:val="24"/>
          <w:highlight w:val="none"/>
          <w:u w:val="single"/>
          <w:lang w:val="en-US" w:eastAsia="zh-CN" w:bidi="ar"/>
        </w:rPr>
        <w:t xml:space="preserve">                       </w:t>
      </w:r>
    </w:p>
    <w:p w14:paraId="2BEAC084">
      <w:pPr>
        <w:keepNext w:val="0"/>
        <w:keepLines w:val="0"/>
        <w:widowControl w:val="0"/>
        <w:suppressLineNumbers w:val="0"/>
        <w:spacing w:before="0" w:beforeAutospacing="0" w:after="0" w:afterAutospacing="0" w:line="360" w:lineRule="auto"/>
        <w:ind w:left="0" w:right="0" w:firstLine="4200" w:firstLineChars="175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日    期：</w:t>
      </w:r>
      <w:r>
        <w:rPr>
          <w:rFonts w:hint="eastAsia" w:ascii="宋体" w:hAnsi="宋体" w:eastAsia="宋体" w:cs="宋体"/>
          <w:color w:val="auto"/>
          <w:kern w:val="2"/>
          <w:sz w:val="24"/>
          <w:szCs w:val="24"/>
          <w:highlight w:val="none"/>
          <w:u w:val="single"/>
          <w:lang w:val="en-US" w:eastAsia="zh-CN" w:bidi="ar"/>
        </w:rPr>
        <w:t xml:space="preserve">                       </w:t>
      </w:r>
    </w:p>
    <w:p w14:paraId="3831EE8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86C909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注：本页后附项目经理身份证明扫描件。</w:t>
      </w:r>
    </w:p>
    <w:p w14:paraId="49C6C979">
      <w:pPr>
        <w:keepNext w:val="0"/>
        <w:keepLines w:val="0"/>
        <w:widowControl w:val="0"/>
        <w:suppressLineNumbers w:val="0"/>
        <w:spacing w:before="0" w:beforeAutospacing="0" w:after="0" w:afterAutospacing="0" w:line="360" w:lineRule="auto"/>
        <w:ind w:left="0" w:right="0" w:firstLine="4200" w:firstLineChars="1750"/>
        <w:jc w:val="both"/>
        <w:rPr>
          <w:rFonts w:hAnsi="宋体" w:cs="宋体"/>
          <w:color w:val="auto"/>
          <w:kern w:val="2"/>
          <w:sz w:val="24"/>
          <w:szCs w:val="24"/>
          <w:highlight w:val="none"/>
        </w:rPr>
      </w:pPr>
      <w:r>
        <w:rPr>
          <w:rFonts w:hint="eastAsia" w:ascii="@仿宋_GB2312" w:hAnsi="宋体" w:eastAsia="宋体" w:cs="@仿宋_GB2312"/>
          <w:color w:val="auto"/>
          <w:kern w:val="2"/>
          <w:sz w:val="24"/>
          <w:szCs w:val="24"/>
          <w:highlight w:val="none"/>
          <w:lang w:val="en-US" w:eastAsia="zh-CN" w:bidi="ar"/>
        </w:rPr>
        <w:br w:type="page"/>
      </w:r>
    </w:p>
    <w:p w14:paraId="311E803A">
      <w:pPr>
        <w:keepNext w:val="0"/>
        <w:keepLines w:val="0"/>
        <w:widowControl/>
        <w:suppressLineNumbers w:val="0"/>
        <w:spacing w:before="0" w:beforeAutospacing="0" w:after="0" w:afterAutospacing="0"/>
        <w:ind w:left="0" w:right="0"/>
        <w:jc w:val="left"/>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kern w:val="0"/>
          <w:sz w:val="24"/>
          <w:szCs w:val="24"/>
          <w:highlight w:val="none"/>
          <w:lang w:val="en-US" w:eastAsia="zh-CN" w:bidi="ar"/>
        </w:rPr>
        <w:t xml:space="preserve"> </w:t>
      </w:r>
    </w:p>
    <w:p w14:paraId="776235ED">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Times New Roman"/>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十、中小企业声明函</w:t>
      </w:r>
    </w:p>
    <w:p w14:paraId="26F6C1DE">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sz w:val="24"/>
          <w:szCs w:val="24"/>
          <w:highlight w:val="none"/>
        </w:rPr>
      </w:pPr>
      <w:r>
        <w:rPr>
          <w:rFonts w:hint="eastAsia" w:ascii="宋体" w:hAnsi="宋体" w:eastAsia="宋体" w:cs="宋体"/>
          <w:i/>
          <w:iCs/>
          <w:color w:val="auto"/>
          <w:kern w:val="0"/>
          <w:sz w:val="24"/>
          <w:szCs w:val="24"/>
          <w:highlight w:val="none"/>
          <w:lang w:val="en-US" w:eastAsia="zh-CN" w:bidi="ar"/>
        </w:rPr>
        <w:t>（非中小企业磋商，不需此件，请删去“中小企业声明函”）</w:t>
      </w:r>
    </w:p>
    <w:p w14:paraId="594F3D5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611FDB2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color w:val="auto"/>
          <w:kern w:val="2"/>
          <w:sz w:val="24"/>
          <w:szCs w:val="24"/>
          <w:highlight w:val="none"/>
          <w:lang w:val="en-US" w:eastAsia="zh-CN" w:bidi="ar"/>
        </w:rPr>
        <w:t>本</w:t>
      </w:r>
      <w:r>
        <w:rPr>
          <w:rFonts w:hint="eastAsia" w:ascii="宋体" w:hAnsi="宋体" w:eastAsia="宋体" w:cs="宋体"/>
          <w:kern w:val="2"/>
          <w:sz w:val="24"/>
          <w:szCs w:val="24"/>
          <w:highlight w:val="none"/>
          <w:lang w:val="en-US" w:eastAsia="zh-CN" w:bidi="ar"/>
        </w:rPr>
        <w:t>公司（联合体）郑重声明，根据《政府采购促进中小企业发展管理办法》（财库﹝2020﹞46号）的规定，本公司（联合体）参加</w:t>
      </w:r>
      <w:r>
        <w:rPr>
          <w:rFonts w:hint="eastAsia" w:ascii="宋体" w:hAnsi="宋体" w:eastAsia="宋体" w:cs="宋体"/>
          <w:kern w:val="2"/>
          <w:sz w:val="24"/>
          <w:szCs w:val="24"/>
          <w:highlight w:val="none"/>
          <w:u w:val="single"/>
          <w:lang w:val="en-US" w:eastAsia="zh-CN" w:bidi="ar"/>
        </w:rPr>
        <w:t>（单位名称）</w:t>
      </w:r>
      <w:r>
        <w:rPr>
          <w:rFonts w:hint="eastAsia" w:ascii="宋体" w:hAnsi="宋体" w:eastAsia="宋体" w:cs="宋体"/>
          <w:kern w:val="2"/>
          <w:sz w:val="24"/>
          <w:szCs w:val="24"/>
          <w:highlight w:val="none"/>
          <w:lang w:val="en-US" w:eastAsia="zh-CN" w:bidi="ar"/>
        </w:rPr>
        <w:t>的</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采购活动，工程的施工单位全部为符合政策要求的中小企业。相关企业（含联合体中的中小企业、签订分包意向协议的中小企业）的具体情况如下：</w:t>
      </w:r>
      <w:r>
        <w:rPr>
          <w:rFonts w:hint="eastAsia" w:ascii="宋体" w:hAnsi="宋体" w:eastAsia="宋体" w:cs="@仿宋_GB2312"/>
          <w:kern w:val="2"/>
          <w:sz w:val="24"/>
          <w:szCs w:val="24"/>
          <w:highlight w:val="none"/>
          <w:lang w:val="en-US" w:eastAsia="zh-CN" w:bidi="ar"/>
        </w:rPr>
        <w:t xml:space="preserve"> </w:t>
      </w:r>
    </w:p>
    <w:p w14:paraId="46C05B0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1.</w:t>
      </w:r>
      <w:r>
        <w:rPr>
          <w:rFonts w:hint="eastAsia" w:ascii="宋体" w:hAnsi="宋体" w:eastAsia="宋体" w:cs="@仿宋_GB2312"/>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（标的名称）</w:t>
      </w:r>
      <w:r>
        <w:rPr>
          <w:rFonts w:hint="eastAsia" w:ascii="宋体" w:hAnsi="宋体" w:eastAsia="宋体" w:cs="@仿宋_GB2312"/>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，属于</w:t>
      </w:r>
      <w:r>
        <w:rPr>
          <w:rFonts w:hint="eastAsia" w:ascii="宋体" w:hAnsi="宋体" w:eastAsia="宋体" w:cs="宋体"/>
          <w:kern w:val="2"/>
          <w:sz w:val="24"/>
          <w:szCs w:val="24"/>
          <w:highlight w:val="none"/>
          <w:u w:val="single"/>
          <w:lang w:val="en-US" w:eastAsia="zh-CN" w:bidi="ar"/>
        </w:rPr>
        <w:t>（采购文件中明确的所属行业）</w:t>
      </w:r>
      <w:r>
        <w:rPr>
          <w:rFonts w:hint="eastAsia" w:ascii="宋体" w:hAnsi="宋体" w:eastAsia="宋体" w:cs="宋体"/>
          <w:kern w:val="2"/>
          <w:sz w:val="24"/>
          <w:szCs w:val="24"/>
          <w:highlight w:val="none"/>
          <w:lang w:val="en-US" w:eastAsia="zh-CN" w:bidi="ar"/>
        </w:rPr>
        <w:t>行业；承建企业为</w:t>
      </w:r>
      <w:r>
        <w:rPr>
          <w:rFonts w:hint="eastAsia" w:ascii="宋体" w:hAnsi="宋体" w:eastAsia="宋体" w:cs="宋体"/>
          <w:kern w:val="2"/>
          <w:sz w:val="24"/>
          <w:szCs w:val="24"/>
          <w:highlight w:val="none"/>
          <w:u w:val="single"/>
          <w:lang w:val="en-US" w:eastAsia="zh-CN" w:bidi="ar"/>
        </w:rPr>
        <w:t>（企业名称）</w:t>
      </w:r>
      <w:r>
        <w:rPr>
          <w:rFonts w:hint="eastAsia" w:ascii="宋体" w:hAnsi="宋体" w:eastAsia="宋体" w:cs="宋体"/>
          <w:kern w:val="2"/>
          <w:sz w:val="24"/>
          <w:szCs w:val="24"/>
          <w:highlight w:val="none"/>
          <w:lang w:val="en-US" w:eastAsia="zh-CN" w:bidi="ar"/>
        </w:rPr>
        <w:t>，从业人员</w:t>
      </w:r>
      <w:r>
        <w:rPr>
          <w:rFonts w:hint="eastAsia" w:ascii="宋体" w:hAnsi="宋体" w:eastAsia="宋体" w:cs="@仿宋_GB2312"/>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人，营业收入为</w:t>
      </w:r>
      <w:r>
        <w:rPr>
          <w:rFonts w:hint="eastAsia" w:ascii="宋体" w:hAnsi="宋体" w:eastAsia="宋体" w:cs="@仿宋_GB2312"/>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万元，资产总额为</w:t>
      </w:r>
      <w:r>
        <w:rPr>
          <w:rFonts w:hint="eastAsia" w:ascii="宋体" w:hAnsi="宋体" w:eastAsia="宋体" w:cs="@仿宋_GB2312"/>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万元，属于</w:t>
      </w:r>
      <w:r>
        <w:rPr>
          <w:rFonts w:hint="eastAsia" w:ascii="宋体" w:hAnsi="宋体" w:eastAsia="宋体" w:cs="宋体"/>
          <w:kern w:val="2"/>
          <w:sz w:val="24"/>
          <w:szCs w:val="24"/>
          <w:highlight w:val="none"/>
          <w:u w:val="single"/>
          <w:lang w:val="en-US" w:eastAsia="zh-CN" w:bidi="ar"/>
        </w:rPr>
        <w:t>（中型企业、小型企业、微型企业）</w:t>
      </w:r>
      <w:r>
        <w:rPr>
          <w:rFonts w:hint="eastAsia" w:ascii="宋体" w:hAnsi="宋体" w:eastAsia="宋体" w:cs="宋体"/>
          <w:kern w:val="2"/>
          <w:sz w:val="24"/>
          <w:szCs w:val="24"/>
          <w:highlight w:val="none"/>
          <w:lang w:val="en-US" w:eastAsia="zh-CN" w:bidi="ar"/>
        </w:rPr>
        <w:t>；</w:t>
      </w:r>
      <w:r>
        <w:rPr>
          <w:rFonts w:hint="eastAsia" w:ascii="宋体" w:hAnsi="宋体" w:eastAsia="宋体" w:cs="@仿宋_GB2312"/>
          <w:kern w:val="2"/>
          <w:sz w:val="24"/>
          <w:szCs w:val="24"/>
          <w:highlight w:val="none"/>
          <w:lang w:val="en-US" w:eastAsia="zh-CN" w:bidi="ar"/>
        </w:rPr>
        <w:t xml:space="preserve"> </w:t>
      </w:r>
    </w:p>
    <w:p w14:paraId="206DF57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2.</w:t>
      </w:r>
      <w:r>
        <w:rPr>
          <w:rFonts w:hint="eastAsia" w:ascii="宋体" w:hAnsi="宋体" w:eastAsia="宋体" w:cs="@仿宋_GB2312"/>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（标的名称）</w:t>
      </w:r>
      <w:r>
        <w:rPr>
          <w:rFonts w:hint="eastAsia" w:ascii="宋体" w:hAnsi="宋体" w:eastAsia="宋体" w:cs="@仿宋_GB2312"/>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，属于</w:t>
      </w:r>
      <w:r>
        <w:rPr>
          <w:rFonts w:hint="eastAsia" w:ascii="宋体" w:hAnsi="宋体" w:eastAsia="宋体" w:cs="宋体"/>
          <w:kern w:val="2"/>
          <w:sz w:val="24"/>
          <w:szCs w:val="24"/>
          <w:highlight w:val="none"/>
          <w:u w:val="single"/>
          <w:lang w:val="en-US" w:eastAsia="zh-CN" w:bidi="ar"/>
        </w:rPr>
        <w:t>（采购文件中明确的所属行业）</w:t>
      </w:r>
      <w:r>
        <w:rPr>
          <w:rFonts w:hint="eastAsia" w:ascii="宋体" w:hAnsi="宋体" w:eastAsia="宋体" w:cs="宋体"/>
          <w:kern w:val="2"/>
          <w:sz w:val="24"/>
          <w:szCs w:val="24"/>
          <w:highlight w:val="none"/>
          <w:lang w:val="en-US" w:eastAsia="zh-CN" w:bidi="ar"/>
        </w:rPr>
        <w:t>行业；承建企业为</w:t>
      </w:r>
      <w:r>
        <w:rPr>
          <w:rFonts w:hint="eastAsia" w:ascii="宋体" w:hAnsi="宋体" w:eastAsia="宋体" w:cs="宋体"/>
          <w:kern w:val="2"/>
          <w:sz w:val="24"/>
          <w:szCs w:val="24"/>
          <w:highlight w:val="none"/>
          <w:u w:val="single"/>
          <w:lang w:val="en-US" w:eastAsia="zh-CN" w:bidi="ar"/>
        </w:rPr>
        <w:t>（企业名称）</w:t>
      </w:r>
      <w:r>
        <w:rPr>
          <w:rFonts w:hint="eastAsia" w:ascii="宋体" w:hAnsi="宋体" w:eastAsia="宋体" w:cs="宋体"/>
          <w:kern w:val="2"/>
          <w:sz w:val="24"/>
          <w:szCs w:val="24"/>
          <w:highlight w:val="none"/>
          <w:lang w:val="en-US" w:eastAsia="zh-CN" w:bidi="ar"/>
        </w:rPr>
        <w:t>，从业人员</w:t>
      </w:r>
      <w:r>
        <w:rPr>
          <w:rFonts w:hint="eastAsia" w:ascii="宋体" w:hAnsi="宋体" w:eastAsia="宋体" w:cs="@仿宋_GB2312"/>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人，营业收入为</w:t>
      </w:r>
      <w:r>
        <w:rPr>
          <w:rFonts w:hint="eastAsia" w:ascii="宋体" w:hAnsi="宋体" w:eastAsia="宋体" w:cs="@仿宋_GB2312"/>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万元，资产总额为</w:t>
      </w:r>
      <w:r>
        <w:rPr>
          <w:rFonts w:hint="eastAsia" w:ascii="宋体" w:hAnsi="宋体" w:eastAsia="宋体" w:cs="@仿宋_GB2312"/>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万元，属于</w:t>
      </w:r>
      <w:r>
        <w:rPr>
          <w:rFonts w:hint="eastAsia" w:ascii="宋体" w:hAnsi="宋体" w:eastAsia="宋体" w:cs="宋体"/>
          <w:kern w:val="2"/>
          <w:sz w:val="24"/>
          <w:szCs w:val="24"/>
          <w:highlight w:val="none"/>
          <w:u w:val="single"/>
          <w:lang w:val="en-US" w:eastAsia="zh-CN" w:bidi="ar"/>
        </w:rPr>
        <w:t>（中型企业、小型企业、微型企业）</w:t>
      </w:r>
      <w:r>
        <w:rPr>
          <w:rFonts w:hint="eastAsia" w:ascii="宋体" w:hAnsi="宋体" w:eastAsia="宋体" w:cs="宋体"/>
          <w:kern w:val="2"/>
          <w:sz w:val="24"/>
          <w:szCs w:val="24"/>
          <w:highlight w:val="none"/>
          <w:lang w:val="en-US" w:eastAsia="zh-CN" w:bidi="ar"/>
        </w:rPr>
        <w:t>；</w:t>
      </w:r>
      <w:r>
        <w:rPr>
          <w:rFonts w:hint="eastAsia" w:ascii="宋体" w:hAnsi="宋体" w:eastAsia="宋体" w:cs="@仿宋_GB2312"/>
          <w:kern w:val="2"/>
          <w:sz w:val="24"/>
          <w:szCs w:val="24"/>
          <w:highlight w:val="none"/>
          <w:lang w:val="en-US" w:eastAsia="zh-CN" w:bidi="ar"/>
        </w:rPr>
        <w:t xml:space="preserve"> </w:t>
      </w:r>
    </w:p>
    <w:p w14:paraId="24E0AAC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w:t>
      </w:r>
    </w:p>
    <w:p w14:paraId="28ED990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以上企业，不属于大企业的分支机构，不存在控股股东为大企业的情形，也不存在与大企业的负责人为同一人的情形。</w:t>
      </w:r>
    </w:p>
    <w:p w14:paraId="23A1DC2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 xml:space="preserve">本企业对上述声明内容的真实性负责。如有虚假，将依法承担相应责任。 </w:t>
      </w:r>
    </w:p>
    <w:p w14:paraId="5AB881F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A6AF57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31EE149B">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供应商电子签章：</w:t>
      </w:r>
      <w:r>
        <w:rPr>
          <w:rFonts w:hint="eastAsia" w:ascii="宋体" w:hAnsi="宋体" w:eastAsia="宋体" w:cs="@仿宋_GB2312"/>
          <w:color w:val="auto"/>
          <w:kern w:val="2"/>
          <w:sz w:val="24"/>
          <w:szCs w:val="24"/>
          <w:highlight w:val="none"/>
          <w:u w:val="single"/>
          <w:lang w:val="en-US" w:eastAsia="zh-CN" w:bidi="ar"/>
        </w:rPr>
        <w:t xml:space="preserve">             </w:t>
      </w:r>
    </w:p>
    <w:p w14:paraId="35616A35">
      <w:pPr>
        <w:keepNext w:val="0"/>
        <w:keepLines w:val="0"/>
        <w:widowControl w:val="0"/>
        <w:suppressLineNumbers w:val="0"/>
        <w:tabs>
          <w:tab w:val="left" w:pos="4620"/>
        </w:tabs>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41438C51">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4E01BE2C">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5133BE65">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6EC97E86">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7A27B611">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仿宋_GB2312"/>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注：</w:t>
      </w:r>
    </w:p>
    <w:p w14:paraId="7FE27246">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lang w:val="en-US" w:eastAsia="zh-CN" w:bidi="ar"/>
        </w:rPr>
        <w:t>1.从业人员、营业收入、资产总额填报上一年数据，无上一年数据的新成立企业可不填报。</w:t>
      </w:r>
    </w:p>
    <w:p w14:paraId="1B55C515">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eastAsia="宋体" w:cs="宋体"/>
          <w:b/>
          <w:bCs/>
          <w:color w:val="auto"/>
          <w:kern w:val="2"/>
          <w:sz w:val="21"/>
          <w:szCs w:val="21"/>
          <w:highlight w:val="none"/>
          <w:lang w:val="en-US" w:eastAsia="zh-CN" w:bidi="ar"/>
        </w:rPr>
        <w:t>供应商应根据《政府采购促进中小企业发展管理办法》（财库﹝2020﹞46号）和《关于印发中小企业划型标准规定的通知》(工信部联企业〔2011〕300号)相关规定，如实填写中小企业声明函。如有虚假，将依法承担相应责任。供应商自行登录工业和信息化部官网进行中小企业规模类型自测（查询网址https://www.miit.gov.cn/）。</w:t>
      </w:r>
    </w:p>
    <w:p w14:paraId="513C2AA1">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3.上述“</w:t>
      </w:r>
      <w:r>
        <w:rPr>
          <w:rFonts w:hint="eastAsia" w:ascii="宋体" w:hAnsi="宋体" w:eastAsia="宋体" w:cs="宋体"/>
          <w:b/>
          <w:bCs/>
          <w:color w:val="auto"/>
          <w:kern w:val="2"/>
          <w:sz w:val="21"/>
          <w:szCs w:val="21"/>
          <w:highlight w:val="none"/>
          <w:u w:val="single"/>
          <w:lang w:val="en-US" w:eastAsia="zh-CN" w:bidi="ar"/>
        </w:rPr>
        <w:t>标的名称</w:t>
      </w:r>
      <w:r>
        <w:rPr>
          <w:rFonts w:hint="eastAsia" w:ascii="宋体" w:hAnsi="宋体" w:eastAsia="宋体" w:cs="宋体"/>
          <w:b/>
          <w:bCs/>
          <w:color w:val="auto"/>
          <w:kern w:val="2"/>
          <w:sz w:val="21"/>
          <w:szCs w:val="21"/>
          <w:highlight w:val="none"/>
          <w:lang w:val="en-US" w:eastAsia="zh-CN" w:bidi="ar"/>
        </w:rPr>
        <w:t>”，详见第三章采购需求前附表中明确的“标的名称”。</w:t>
      </w:r>
    </w:p>
    <w:p w14:paraId="173B601A">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4.上述“</w:t>
      </w:r>
      <w:r>
        <w:rPr>
          <w:rFonts w:hint="eastAsia" w:ascii="宋体" w:hAnsi="宋体" w:eastAsia="宋体" w:cs="宋体"/>
          <w:b/>
          <w:bCs/>
          <w:color w:val="auto"/>
          <w:kern w:val="2"/>
          <w:sz w:val="21"/>
          <w:szCs w:val="21"/>
          <w:highlight w:val="none"/>
          <w:u w:val="single"/>
          <w:lang w:val="en-US" w:eastAsia="zh-CN" w:bidi="ar"/>
        </w:rPr>
        <w:t>采购文件中明确的所属行业</w:t>
      </w:r>
      <w:r>
        <w:rPr>
          <w:rFonts w:hint="eastAsia" w:ascii="宋体" w:hAnsi="宋体" w:eastAsia="宋体" w:cs="宋体"/>
          <w:b/>
          <w:bCs/>
          <w:color w:val="auto"/>
          <w:kern w:val="2"/>
          <w:sz w:val="21"/>
          <w:szCs w:val="21"/>
          <w:highlight w:val="none"/>
          <w:lang w:val="en-US" w:eastAsia="zh-CN" w:bidi="ar"/>
        </w:rPr>
        <w:t>”，详见第三章采购需求前附表中明确的“所属行业”。</w:t>
      </w:r>
    </w:p>
    <w:p w14:paraId="0D016540">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5．填写示例：</w:t>
      </w:r>
      <w:r>
        <w:rPr>
          <w:rFonts w:hint="eastAsia" w:ascii="宋体" w:hAnsi="宋体" w:eastAsia="宋体" w:cs="宋体"/>
          <w:b/>
          <w:bCs/>
          <w:color w:val="auto"/>
          <w:kern w:val="2"/>
          <w:sz w:val="21"/>
          <w:szCs w:val="21"/>
          <w:highlight w:val="none"/>
          <w:u w:val="single"/>
          <w:lang w:val="en-US" w:eastAsia="zh-CN" w:bidi="ar"/>
        </w:rPr>
        <w:t>某标的名称</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b/>
          <w:bCs/>
          <w:color w:val="auto"/>
          <w:kern w:val="2"/>
          <w:sz w:val="21"/>
          <w:szCs w:val="21"/>
          <w:highlight w:val="none"/>
          <w:u w:val="single"/>
          <w:lang w:val="en-US" w:eastAsia="zh-CN" w:bidi="ar"/>
        </w:rPr>
        <w:t>填写第三章采购需求前附表中明确的“标的名称”</w:t>
      </w:r>
      <w:r>
        <w:rPr>
          <w:rFonts w:hint="eastAsia" w:ascii="宋体" w:hAnsi="宋体" w:eastAsia="宋体" w:cs="宋体"/>
          <w:b/>
          <w:bCs/>
          <w:color w:val="auto"/>
          <w:kern w:val="2"/>
          <w:sz w:val="21"/>
          <w:szCs w:val="21"/>
          <w:highlight w:val="none"/>
          <w:lang w:val="en-US" w:eastAsia="zh-CN" w:bidi="ar"/>
        </w:rPr>
        <w:t>），属于</w:t>
      </w:r>
      <w:r>
        <w:rPr>
          <w:rFonts w:hint="eastAsia" w:ascii="宋体" w:hAnsi="宋体" w:eastAsia="宋体" w:cs="宋体"/>
          <w:b/>
          <w:bCs/>
          <w:color w:val="auto"/>
          <w:kern w:val="2"/>
          <w:sz w:val="21"/>
          <w:szCs w:val="21"/>
          <w:highlight w:val="none"/>
          <w:u w:val="single"/>
          <w:lang w:val="en-US" w:eastAsia="zh-CN" w:bidi="ar"/>
        </w:rPr>
        <w:t>（填写第三章采购需求前附表中明确的“所属行业”，如建筑业）</w:t>
      </w:r>
      <w:r>
        <w:rPr>
          <w:rFonts w:hint="eastAsia" w:ascii="宋体" w:hAnsi="宋体" w:eastAsia="宋体" w:cs="宋体"/>
          <w:b/>
          <w:bCs/>
          <w:color w:val="auto"/>
          <w:kern w:val="2"/>
          <w:sz w:val="21"/>
          <w:szCs w:val="21"/>
          <w:highlight w:val="none"/>
          <w:lang w:val="en-US" w:eastAsia="zh-CN" w:bidi="ar"/>
        </w:rPr>
        <w:t>行业；承接企业为</w:t>
      </w:r>
      <w:r>
        <w:rPr>
          <w:rFonts w:hint="eastAsia" w:ascii="宋体" w:hAnsi="宋体" w:eastAsia="宋体" w:cs="宋体"/>
          <w:b/>
          <w:bCs/>
          <w:color w:val="auto"/>
          <w:kern w:val="2"/>
          <w:sz w:val="21"/>
          <w:szCs w:val="21"/>
          <w:highlight w:val="none"/>
          <w:u w:val="single"/>
          <w:lang w:val="en-US" w:eastAsia="zh-CN" w:bidi="ar"/>
        </w:rPr>
        <w:t>某公司</w:t>
      </w:r>
      <w:r>
        <w:rPr>
          <w:rFonts w:hint="eastAsia" w:ascii="宋体" w:hAnsi="宋体" w:eastAsia="宋体" w:cs="宋体"/>
          <w:b/>
          <w:bCs/>
          <w:color w:val="auto"/>
          <w:kern w:val="2"/>
          <w:sz w:val="21"/>
          <w:szCs w:val="21"/>
          <w:highlight w:val="none"/>
          <w:lang w:val="en-US" w:eastAsia="zh-CN" w:bidi="ar"/>
        </w:rPr>
        <w:t>，从业人员</w:t>
      </w:r>
      <w:r>
        <w:rPr>
          <w:rFonts w:hint="eastAsia" w:ascii="宋体" w:hAnsi="宋体" w:eastAsia="宋体" w:cs="宋体"/>
          <w:b/>
          <w:bCs/>
          <w:color w:val="auto"/>
          <w:kern w:val="2"/>
          <w:sz w:val="21"/>
          <w:szCs w:val="21"/>
          <w:highlight w:val="none"/>
          <w:u w:val="single"/>
          <w:lang w:val="en-US" w:eastAsia="zh-CN" w:bidi="ar"/>
        </w:rPr>
        <w:t>100</w:t>
      </w:r>
      <w:r>
        <w:rPr>
          <w:rFonts w:hint="eastAsia" w:ascii="宋体" w:hAnsi="宋体" w:eastAsia="宋体" w:cs="宋体"/>
          <w:b/>
          <w:bCs/>
          <w:color w:val="auto"/>
          <w:kern w:val="2"/>
          <w:sz w:val="21"/>
          <w:szCs w:val="21"/>
          <w:highlight w:val="none"/>
          <w:lang w:val="en-US" w:eastAsia="zh-CN" w:bidi="ar"/>
        </w:rPr>
        <w:t>人，营业收入为</w:t>
      </w:r>
      <w:r>
        <w:rPr>
          <w:rFonts w:hint="eastAsia" w:ascii="宋体" w:hAnsi="宋体" w:eastAsia="宋体" w:cs="宋体"/>
          <w:b/>
          <w:bCs/>
          <w:color w:val="auto"/>
          <w:kern w:val="2"/>
          <w:sz w:val="21"/>
          <w:szCs w:val="21"/>
          <w:highlight w:val="none"/>
          <w:u w:val="single"/>
          <w:lang w:val="en-US" w:eastAsia="zh-CN" w:bidi="ar"/>
        </w:rPr>
        <w:t>10000</w:t>
      </w:r>
      <w:r>
        <w:rPr>
          <w:rFonts w:hint="eastAsia" w:ascii="宋体" w:hAnsi="宋体" w:eastAsia="宋体" w:cs="宋体"/>
          <w:b/>
          <w:bCs/>
          <w:color w:val="auto"/>
          <w:kern w:val="2"/>
          <w:sz w:val="21"/>
          <w:szCs w:val="21"/>
          <w:highlight w:val="none"/>
          <w:lang w:val="en-US" w:eastAsia="zh-CN" w:bidi="ar"/>
        </w:rPr>
        <w:t>万元，资产总额为</w:t>
      </w:r>
      <w:r>
        <w:rPr>
          <w:rFonts w:hint="eastAsia" w:ascii="宋体" w:hAnsi="宋体" w:eastAsia="宋体" w:cs="宋体"/>
          <w:b/>
          <w:bCs/>
          <w:color w:val="auto"/>
          <w:kern w:val="2"/>
          <w:sz w:val="21"/>
          <w:szCs w:val="21"/>
          <w:highlight w:val="none"/>
          <w:u w:val="single"/>
          <w:lang w:val="en-US" w:eastAsia="zh-CN" w:bidi="ar"/>
        </w:rPr>
        <w:t>5000</w:t>
      </w:r>
      <w:r>
        <w:rPr>
          <w:rFonts w:hint="eastAsia" w:ascii="宋体" w:hAnsi="宋体" w:eastAsia="宋体" w:cs="宋体"/>
          <w:b/>
          <w:bCs/>
          <w:color w:val="auto"/>
          <w:kern w:val="2"/>
          <w:sz w:val="21"/>
          <w:szCs w:val="21"/>
          <w:highlight w:val="none"/>
          <w:lang w:val="en-US" w:eastAsia="zh-CN" w:bidi="ar"/>
        </w:rPr>
        <w:t>万元，属于中</w:t>
      </w:r>
      <w:r>
        <w:rPr>
          <w:rFonts w:hint="eastAsia" w:ascii="宋体" w:hAnsi="宋体" w:eastAsia="宋体" w:cs="宋体"/>
          <w:b/>
          <w:bCs/>
          <w:color w:val="auto"/>
          <w:kern w:val="2"/>
          <w:sz w:val="21"/>
          <w:szCs w:val="21"/>
          <w:highlight w:val="none"/>
          <w:u w:val="single"/>
          <w:lang w:val="en-US" w:eastAsia="zh-CN" w:bidi="ar"/>
        </w:rPr>
        <w:t>型</w:t>
      </w:r>
      <w:r>
        <w:rPr>
          <w:rFonts w:hint="eastAsia" w:ascii="宋体" w:hAnsi="宋体" w:eastAsia="宋体" w:cs="宋体"/>
          <w:b/>
          <w:bCs/>
          <w:color w:val="auto"/>
          <w:kern w:val="2"/>
          <w:sz w:val="21"/>
          <w:szCs w:val="21"/>
          <w:highlight w:val="none"/>
          <w:lang w:val="en-US" w:eastAsia="zh-CN" w:bidi="ar"/>
        </w:rPr>
        <w:t>企业[供应商自行登录工业和信息化部官网进行中小企业规模类型自测（查询网址https://www.miit.gov.cn/）]。</w:t>
      </w:r>
    </w:p>
    <w:p w14:paraId="72495DD5">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lang w:val="en-US" w:eastAsia="zh-CN" w:bidi="ar"/>
        </w:rPr>
        <w:br w:type="page"/>
      </w:r>
    </w:p>
    <w:p w14:paraId="5F1A9A27">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Times New Roman"/>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十一、残疾人福利性单位声明函</w:t>
      </w:r>
    </w:p>
    <w:p w14:paraId="439B15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i/>
          <w:iCs/>
          <w:color w:val="auto"/>
          <w:spacing w:val="6"/>
          <w:kern w:val="2"/>
          <w:sz w:val="24"/>
          <w:szCs w:val="24"/>
          <w:highlight w:val="none"/>
        </w:rPr>
      </w:pPr>
      <w:r>
        <w:rPr>
          <w:rFonts w:hint="eastAsia" w:ascii="宋体" w:hAnsi="宋体" w:eastAsia="宋体" w:cs="Times New Roman"/>
          <w:i/>
          <w:iCs/>
          <w:color w:val="auto"/>
          <w:spacing w:val="6"/>
          <w:kern w:val="2"/>
          <w:sz w:val="24"/>
          <w:szCs w:val="24"/>
          <w:highlight w:val="none"/>
          <w:lang w:val="en-US" w:eastAsia="zh-CN" w:bidi="ar"/>
        </w:rPr>
        <w:t>（非残疾人福利性单位磋商，请删去“残疾人福利性单位声明函”）</w:t>
      </w:r>
    </w:p>
    <w:p w14:paraId="2FC745B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本单位</w:t>
      </w:r>
      <w:r>
        <w:rPr>
          <w:rFonts w:hint="eastAsia" w:ascii="宋体" w:hAnsi="宋体" w:eastAsia="宋体" w:cs="宋体"/>
          <w:color w:val="auto"/>
          <w:kern w:val="0"/>
          <w:sz w:val="24"/>
          <w:szCs w:val="24"/>
          <w:highlight w:val="none"/>
          <w:lang w:val="en-US" w:eastAsia="zh-CN" w:bidi="ar"/>
        </w:rPr>
        <w:t>郑重</w:t>
      </w:r>
      <w:r>
        <w:rPr>
          <w:rFonts w:hint="eastAsia" w:ascii="宋体" w:hAnsi="宋体" w:eastAsia="宋体" w:cs="宋体"/>
          <w:color w:val="auto"/>
          <w:spacing w:val="6"/>
          <w:kern w:val="0"/>
          <w:sz w:val="24"/>
          <w:szCs w:val="24"/>
          <w:highlight w:val="none"/>
          <w:lang w:val="en-US" w:eastAsia="zh-CN" w:bidi="ar"/>
        </w:rPr>
        <w:t>声明，根据《财政部</w:t>
      </w:r>
      <w:r>
        <w:rPr>
          <w:rFonts w:hint="eastAsia" w:ascii="宋体" w:hAnsi="宋体" w:eastAsia="宋体" w:cs="Times New Roman"/>
          <w:color w:val="auto"/>
          <w:spacing w:val="6"/>
          <w:kern w:val="0"/>
          <w:sz w:val="24"/>
          <w:szCs w:val="24"/>
          <w:highlight w:val="none"/>
          <w:lang w:val="en-US" w:eastAsia="zh-CN" w:bidi="ar"/>
        </w:rPr>
        <w:t xml:space="preserve"> </w:t>
      </w:r>
      <w:r>
        <w:rPr>
          <w:rFonts w:hint="eastAsia" w:ascii="宋体" w:hAnsi="宋体" w:eastAsia="宋体" w:cs="宋体"/>
          <w:color w:val="auto"/>
          <w:spacing w:val="6"/>
          <w:kern w:val="0"/>
          <w:sz w:val="24"/>
          <w:szCs w:val="24"/>
          <w:highlight w:val="none"/>
          <w:lang w:val="en-US" w:eastAsia="zh-CN" w:bidi="ar"/>
        </w:rPr>
        <w:t>民政部</w:t>
      </w:r>
      <w:r>
        <w:rPr>
          <w:rFonts w:hint="eastAsia" w:ascii="宋体" w:hAnsi="宋体" w:eastAsia="宋体" w:cs="Times New Roman"/>
          <w:color w:val="auto"/>
          <w:spacing w:val="6"/>
          <w:kern w:val="0"/>
          <w:sz w:val="24"/>
          <w:szCs w:val="24"/>
          <w:highlight w:val="none"/>
          <w:lang w:val="en-US" w:eastAsia="zh-CN" w:bidi="ar"/>
        </w:rPr>
        <w:t xml:space="preserve"> </w:t>
      </w:r>
      <w:r>
        <w:rPr>
          <w:rFonts w:hint="eastAsia" w:ascii="宋体" w:hAnsi="宋体" w:eastAsia="宋体" w:cs="宋体"/>
          <w:color w:val="auto"/>
          <w:spacing w:val="6"/>
          <w:kern w:val="0"/>
          <w:sz w:val="24"/>
          <w:szCs w:val="24"/>
          <w:highlight w:val="none"/>
          <w:lang w:val="en-US" w:eastAsia="zh-CN" w:bidi="ar"/>
        </w:rPr>
        <w:t>中国残疾人联合会关于促进残疾人就业政府采购政策的通知》（财库</w:t>
      </w:r>
      <w:r>
        <w:rPr>
          <w:rFonts w:hint="eastAsia" w:ascii="宋体" w:hAnsi="宋体" w:eastAsia="宋体" w:cs="宋体"/>
          <w:color w:val="auto"/>
          <w:kern w:val="0"/>
          <w:sz w:val="24"/>
          <w:szCs w:val="24"/>
          <w:highlight w:val="none"/>
          <w:lang w:val="en-US" w:eastAsia="zh-CN" w:bidi="ar"/>
        </w:rPr>
        <w:t>〔2017〕141</w:t>
      </w:r>
      <w:r>
        <w:rPr>
          <w:rFonts w:hint="eastAsia" w:ascii="宋体" w:hAnsi="宋体" w:eastAsia="宋体" w:cs="宋体"/>
          <w:color w:val="auto"/>
          <w:spacing w:val="6"/>
          <w:kern w:val="0"/>
          <w:sz w:val="24"/>
          <w:szCs w:val="24"/>
          <w:highlight w:val="none"/>
          <w:lang w:val="en-US" w:eastAsia="zh-CN" w:bidi="ar"/>
        </w:rPr>
        <w:t>号）的规定，本单位为</w:t>
      </w:r>
      <w:r>
        <w:rPr>
          <w:rFonts w:hint="eastAsia" w:ascii="宋体" w:hAnsi="宋体" w:eastAsia="宋体" w:cs="宋体"/>
          <w:bCs/>
          <w:color w:val="auto"/>
          <w:kern w:val="0"/>
          <w:sz w:val="24"/>
          <w:szCs w:val="24"/>
          <w:highlight w:val="none"/>
          <w:lang w:val="en-US" w:eastAsia="zh-CN" w:bidi="ar"/>
        </w:rPr>
        <w:t>符合</w:t>
      </w:r>
      <w:r>
        <w:rPr>
          <w:rFonts w:hint="eastAsia" w:ascii="宋体" w:hAnsi="宋体" w:eastAsia="宋体" w:cs="宋体"/>
          <w:color w:val="auto"/>
          <w:spacing w:val="6"/>
          <w:kern w:val="0"/>
          <w:sz w:val="24"/>
          <w:szCs w:val="24"/>
          <w:highlight w:val="none"/>
          <w:lang w:val="en-US" w:eastAsia="zh-CN" w:bidi="ar"/>
        </w:rPr>
        <w:t>条件的残疾人福利性单位，且本单位参加</w:t>
      </w:r>
      <w:r>
        <w:rPr>
          <w:rFonts w:hint="eastAsia" w:ascii="宋体" w:hAnsi="宋体" w:eastAsia="宋体" w:cs="Times New Roman"/>
          <w:color w:val="auto"/>
          <w:spacing w:val="6"/>
          <w:kern w:val="0"/>
          <w:sz w:val="24"/>
          <w:szCs w:val="24"/>
          <w:highlight w:val="none"/>
          <w:u w:val="single"/>
          <w:lang w:val="en-US" w:eastAsia="zh-CN" w:bidi="ar"/>
        </w:rPr>
        <w:t xml:space="preserve">      </w:t>
      </w:r>
      <w:r>
        <w:rPr>
          <w:rFonts w:hint="eastAsia" w:ascii="宋体" w:hAnsi="宋体" w:eastAsia="宋体" w:cs="宋体"/>
          <w:color w:val="auto"/>
          <w:spacing w:val="6"/>
          <w:kern w:val="0"/>
          <w:sz w:val="24"/>
          <w:szCs w:val="24"/>
          <w:highlight w:val="none"/>
          <w:lang w:val="en-US" w:eastAsia="zh-CN" w:bidi="ar"/>
        </w:rPr>
        <w:t>单位的</w:t>
      </w:r>
      <w:r>
        <w:rPr>
          <w:rFonts w:hint="eastAsia" w:ascii="宋体" w:hAnsi="宋体" w:eastAsia="宋体" w:cs="Times New Roman"/>
          <w:color w:val="auto"/>
          <w:spacing w:val="6"/>
          <w:kern w:val="0"/>
          <w:sz w:val="24"/>
          <w:szCs w:val="24"/>
          <w:highlight w:val="none"/>
          <w:u w:val="single"/>
          <w:lang w:val="en-US" w:eastAsia="zh-CN" w:bidi="ar"/>
        </w:rPr>
        <w:t xml:space="preserve">      </w:t>
      </w:r>
      <w:r>
        <w:rPr>
          <w:rFonts w:hint="eastAsia" w:ascii="宋体" w:hAnsi="宋体" w:eastAsia="宋体" w:cs="宋体"/>
          <w:color w:val="auto"/>
          <w:spacing w:val="6"/>
          <w:kern w:val="0"/>
          <w:sz w:val="24"/>
          <w:szCs w:val="24"/>
          <w:highlight w:val="none"/>
          <w:lang w:val="en-US" w:eastAsia="zh-CN" w:bidi="ar"/>
        </w:rPr>
        <w:t>项目采购活动提供本单位制造的货物（由本单位承担工程/提供服务），或者提供其他残疾人福利性单位制造的货物（不包括使用非残疾人福利性单位注册商标的货物）。</w:t>
      </w:r>
    </w:p>
    <w:p w14:paraId="0CDCADD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本单位对上述声明的真实性负责。如有虚假，将依法承担相应责任。</w:t>
      </w:r>
    </w:p>
    <w:p w14:paraId="0C1DEA86">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p>
    <w:p w14:paraId="247057C3">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p>
    <w:p w14:paraId="3B3CBF46">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供应商电子签章：</w:t>
      </w:r>
      <w:r>
        <w:rPr>
          <w:rFonts w:hint="eastAsia" w:ascii="宋体" w:hAnsi="宋体" w:eastAsia="宋体" w:cs="Times New Roman"/>
          <w:color w:val="auto"/>
          <w:kern w:val="2"/>
          <w:sz w:val="24"/>
          <w:szCs w:val="24"/>
          <w:highlight w:val="none"/>
          <w:u w:val="single"/>
          <w:lang w:val="en-US" w:eastAsia="zh-CN" w:bidi="ar"/>
        </w:rPr>
        <w:t xml:space="preserve">             </w:t>
      </w:r>
    </w:p>
    <w:p w14:paraId="0D7724AB">
      <w:pPr>
        <w:keepNext w:val="0"/>
        <w:keepLines w:val="0"/>
        <w:widowControl w:val="0"/>
        <w:suppressLineNumbers w:val="0"/>
        <w:tabs>
          <w:tab w:val="left" w:pos="4620"/>
        </w:tabs>
        <w:spacing w:before="0" w:beforeAutospacing="0" w:after="0" w:afterAutospacing="0" w:line="360" w:lineRule="auto"/>
        <w:ind w:left="0" w:right="0" w:firstLine="4252" w:firstLineChars="1772"/>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Times New Roman"/>
          <w:color w:val="auto"/>
          <w:kern w:val="2"/>
          <w:sz w:val="24"/>
          <w:szCs w:val="24"/>
          <w:highlight w:val="none"/>
          <w:u w:val="single"/>
          <w:lang w:val="en-US" w:eastAsia="zh-CN" w:bidi="ar"/>
        </w:rPr>
        <w:t xml:space="preserve">             </w:t>
      </w:r>
    </w:p>
    <w:p w14:paraId="1270AE98">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lang w:val="en-US" w:eastAsia="zh-CN" w:bidi="ar"/>
        </w:rPr>
        <w:br w:type="page"/>
      </w:r>
    </w:p>
    <w:p w14:paraId="1BAEDB90">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Times New Roman"/>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十二、诚信履约承诺函</w:t>
      </w:r>
    </w:p>
    <w:p w14:paraId="2B05FD4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bidi="ar"/>
        </w:rPr>
        <w:t xml:space="preserve"> </w:t>
      </w:r>
    </w:p>
    <w:p w14:paraId="29424CA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u w:val="single"/>
        </w:rPr>
      </w:pPr>
      <w:r>
        <w:rPr>
          <w:rFonts w:hint="eastAsia" w:ascii="宋体" w:hAnsi="宋体" w:eastAsia="宋体" w:cs="宋体"/>
          <w:b/>
          <w:bCs/>
          <w:color w:val="auto"/>
          <w:kern w:val="2"/>
          <w:sz w:val="24"/>
          <w:szCs w:val="24"/>
          <w:highlight w:val="none"/>
          <w:lang w:val="en-US" w:eastAsia="zh-CN" w:bidi="ar"/>
        </w:rPr>
        <w:t>致：采购人</w:t>
      </w:r>
    </w:p>
    <w:p w14:paraId="32922B6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7407A5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（1）中标或者成交后无正当理由拒不与采购人签订政府采购合同；</w:t>
      </w:r>
    </w:p>
    <w:p w14:paraId="7EF103A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（2）未按照采购文件确定的事项签订政府采购合同；</w:t>
      </w:r>
    </w:p>
    <w:p w14:paraId="5D2413D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（3）将政府采购合同转包；</w:t>
      </w:r>
    </w:p>
    <w:p w14:paraId="070BFC7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（4）提供假冒伪劣产品；</w:t>
      </w:r>
    </w:p>
    <w:p w14:paraId="1F391EF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（5）擅自变更、中止或者终止政府采购合同。</w:t>
      </w:r>
    </w:p>
    <w:p w14:paraId="63F18C7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F57962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p>
    <w:p w14:paraId="770877F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p>
    <w:p w14:paraId="0A8155F7">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bCs/>
          <w:color w:val="auto"/>
          <w:kern w:val="2"/>
          <w:sz w:val="24"/>
          <w:szCs w:val="24"/>
          <w:highlight w:val="none"/>
          <w:u w:val="single"/>
        </w:rPr>
      </w:pPr>
      <w:r>
        <w:rPr>
          <w:rFonts w:hint="eastAsia" w:ascii="宋体" w:hAnsi="宋体" w:eastAsia="宋体" w:cs="宋体"/>
          <w:bCs/>
          <w:color w:val="auto"/>
          <w:kern w:val="2"/>
          <w:sz w:val="24"/>
          <w:szCs w:val="24"/>
          <w:highlight w:val="none"/>
          <w:lang w:val="en-US" w:eastAsia="zh-CN" w:bidi="ar"/>
        </w:rPr>
        <w:t>供应商电子签章：</w:t>
      </w:r>
      <w:r>
        <w:rPr>
          <w:rFonts w:hint="eastAsia" w:ascii="宋体" w:hAnsi="宋体" w:eastAsia="宋体" w:cs="@仿宋_GB2312"/>
          <w:bCs/>
          <w:color w:val="auto"/>
          <w:kern w:val="2"/>
          <w:sz w:val="24"/>
          <w:szCs w:val="24"/>
          <w:highlight w:val="none"/>
          <w:u w:val="single"/>
          <w:lang w:val="en-US" w:eastAsia="zh-CN" w:bidi="ar"/>
        </w:rPr>
        <w:t xml:space="preserve">             </w:t>
      </w:r>
    </w:p>
    <w:p w14:paraId="335D8878">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Times New Roman"/>
          <w:b/>
          <w:bCs w:val="0"/>
          <w:color w:val="auto"/>
          <w:sz w:val="24"/>
          <w:szCs w:val="24"/>
          <w:highlight w:val="none"/>
        </w:rPr>
      </w:pP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期：</w:t>
      </w:r>
      <w:r>
        <w:rPr>
          <w:rFonts w:hint="eastAsia" w:ascii="宋体" w:hAnsi="宋体" w:eastAsia="宋体" w:cs="@仿宋_GB2312"/>
          <w:bCs/>
          <w:color w:val="auto"/>
          <w:kern w:val="2"/>
          <w:sz w:val="24"/>
          <w:szCs w:val="24"/>
          <w:highlight w:val="none"/>
          <w:u w:val="single"/>
          <w:lang w:val="en-US" w:eastAsia="zh-CN" w:bidi="ar"/>
        </w:rPr>
        <w:t xml:space="preserve">             </w:t>
      </w:r>
    </w:p>
    <w:p w14:paraId="05E30F07">
      <w:pPr>
        <w:keepNext w:val="0"/>
        <w:keepLines w:val="0"/>
        <w:widowControl/>
        <w:suppressLineNumbers w:val="0"/>
        <w:spacing w:before="0" w:beforeAutospacing="0" w:after="0" w:afterAutospacing="0"/>
        <w:ind w:left="0" w:right="0"/>
        <w:jc w:val="left"/>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kern w:val="0"/>
          <w:sz w:val="24"/>
          <w:szCs w:val="24"/>
          <w:highlight w:val="none"/>
          <w:lang w:val="en-US" w:eastAsia="zh-CN" w:bidi="ar"/>
        </w:rPr>
        <w:br w:type="page"/>
      </w:r>
    </w:p>
    <w:p w14:paraId="714FF521">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十三、</w:t>
      </w:r>
      <w:r>
        <w:rPr>
          <w:rFonts w:hint="eastAsia" w:asciiTheme="minorEastAsia" w:hAnsiTheme="minorEastAsia" w:eastAsiaTheme="minorEastAsia"/>
          <w:b/>
          <w:color w:val="auto"/>
          <w:sz w:val="24"/>
          <w:highlight w:val="none"/>
        </w:rPr>
        <w:t>其他相关证明材料</w:t>
      </w:r>
      <w:bookmarkEnd w:id="689"/>
      <w:bookmarkEnd w:id="690"/>
    </w:p>
    <w:p w14:paraId="28318C4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3D0B7241">
      <w:pPr>
        <w:spacing w:line="360" w:lineRule="auto"/>
        <w:ind w:firstLine="435"/>
        <w:rPr>
          <w:rFonts w:hint="eastAsia" w:asciiTheme="minorEastAsia" w:hAnsiTheme="minorEastAsia" w:eastAsiaTheme="minorEastAsia"/>
          <w:b/>
          <w:color w:val="auto"/>
          <w:sz w:val="24"/>
          <w:highlight w:val="none"/>
        </w:rPr>
      </w:pPr>
    </w:p>
    <w:p w14:paraId="6168096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7481CB6F">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供应商在响应文件制作时可在此栏内上传磋商文件要求上传的证明资料，如营业执照、证书等，应将上述证明材料制作成扫描件上传</w:t>
      </w:r>
      <w:r>
        <w:rPr>
          <w:rFonts w:hint="eastAsia" w:asciiTheme="minorEastAsia" w:hAnsiTheme="minorEastAsia" w:eastAsiaTheme="minorEastAsia"/>
          <w:color w:val="auto"/>
          <w:sz w:val="24"/>
          <w:highlight w:val="none"/>
          <w:lang w:eastAsia="zh-CN"/>
        </w:rPr>
        <w:t>。</w:t>
      </w:r>
    </w:p>
    <w:p w14:paraId="38B13430">
      <w:pPr>
        <w:spacing w:line="360" w:lineRule="auto"/>
        <w:ind w:firstLine="435"/>
        <w:rPr>
          <w:rFonts w:hint="eastAsia" w:asciiTheme="minorEastAsia" w:hAnsiTheme="minorEastAsia" w:eastAsiaTheme="minorEastAsia"/>
          <w:color w:val="auto"/>
          <w:sz w:val="24"/>
          <w:highlight w:val="none"/>
          <w:lang w:eastAsia="zh-CN"/>
        </w:rPr>
      </w:pPr>
    </w:p>
    <w:p w14:paraId="434ACBAE">
      <w:pPr>
        <w:spacing w:line="360" w:lineRule="auto"/>
        <w:ind w:firstLine="435"/>
        <w:rPr>
          <w:rFonts w:hint="eastAsia" w:asciiTheme="minorEastAsia" w:hAnsiTheme="minorEastAsia" w:eastAsiaTheme="minorEastAsia"/>
          <w:color w:val="auto"/>
          <w:sz w:val="24"/>
          <w:highlight w:val="none"/>
          <w:lang w:eastAsia="zh-CN"/>
        </w:rPr>
      </w:pPr>
    </w:p>
    <w:p w14:paraId="5132C4E6">
      <w:pPr>
        <w:rPr>
          <w:rFonts w:hint="eastAsia" w:ascii="宋体" w:hAnsi="宋体" w:eastAsia="宋体" w:cs="宋体"/>
          <w:b/>
          <w:bCs w:val="0"/>
          <w:kern w:val="0"/>
          <w:sz w:val="28"/>
          <w:szCs w:val="28"/>
          <w:highlight w:val="none"/>
          <w:lang w:val="en-US" w:eastAsia="zh-CN" w:bidi="ar"/>
        </w:rPr>
      </w:pPr>
      <w:r>
        <w:rPr>
          <w:rFonts w:hint="eastAsia" w:ascii="宋体" w:hAnsi="宋体" w:eastAsia="宋体" w:cs="宋体"/>
          <w:b/>
          <w:bCs w:val="0"/>
          <w:kern w:val="0"/>
          <w:sz w:val="28"/>
          <w:szCs w:val="28"/>
          <w:highlight w:val="none"/>
          <w:lang w:val="en-US" w:eastAsia="zh-CN" w:bidi="ar"/>
        </w:rPr>
        <w:br w:type="page"/>
      </w:r>
    </w:p>
    <w:p w14:paraId="73A68081">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highlight w:val="none"/>
        </w:rPr>
      </w:pPr>
      <w:r>
        <w:rPr>
          <w:rFonts w:hint="eastAsia" w:ascii="宋体" w:hAnsi="宋体" w:eastAsia="宋体" w:cs="宋体"/>
          <w:b/>
          <w:bCs w:val="0"/>
          <w:kern w:val="0"/>
          <w:sz w:val="28"/>
          <w:szCs w:val="28"/>
          <w:highlight w:val="none"/>
          <w:lang w:val="en-US" w:eastAsia="zh-CN" w:bidi="ar"/>
        </w:rPr>
        <w:t>附件</w:t>
      </w:r>
      <w:r>
        <w:rPr>
          <w:rFonts w:hint="default" w:ascii="Times New Roman" w:hAnsi="Times New Roman" w:eastAsia="宋体" w:cs="Times New Roman"/>
          <w:b/>
          <w:bCs w:val="0"/>
          <w:kern w:val="0"/>
          <w:sz w:val="28"/>
          <w:szCs w:val="28"/>
          <w:highlight w:val="none"/>
          <w:lang w:val="en-US" w:eastAsia="zh-CN" w:bidi="ar"/>
        </w:rPr>
        <w:t>1</w:t>
      </w:r>
    </w:p>
    <w:p w14:paraId="640D487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highlight w:val="none"/>
        </w:rPr>
      </w:pPr>
      <w:r>
        <w:rPr>
          <w:rFonts w:hint="eastAsia" w:ascii="宋体" w:hAnsi="宋体" w:eastAsia="宋体" w:cs="宋体"/>
          <w:b/>
          <w:bCs w:val="0"/>
          <w:kern w:val="0"/>
          <w:sz w:val="28"/>
          <w:szCs w:val="28"/>
          <w:highlight w:val="none"/>
          <w:lang w:val="en-US" w:eastAsia="zh-CN" w:bidi="ar"/>
        </w:rPr>
        <w:t>关于联合惩戒失信行为加强信用查询管理的通知</w:t>
      </w:r>
    </w:p>
    <w:p w14:paraId="50B9C452">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一、失信行为联合惩戒的范围和查询渠道</w:t>
      </w:r>
    </w:p>
    <w:p w14:paraId="5CDC287D">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在我市公共资源交易活动中对存在下列失信行为的投标人、法定代表人及其项目经理（建造师）实施联合惩戒，禁止参与我市公共资源交易活动。</w:t>
      </w:r>
    </w:p>
    <w:p w14:paraId="6347A048">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（一）工程建设项目</w:t>
      </w:r>
    </w:p>
    <w:p w14:paraId="785BE19E">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1、“信用中国”网站（www.creditchina.gov.cn）查询投标人、法定代表人及其项目经理(建造师)以下失信行为：</w:t>
      </w:r>
    </w:p>
    <w:p w14:paraId="080E099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①被列入“失信被执行人”的;</w:t>
      </w:r>
    </w:p>
    <w:p w14:paraId="207F5F5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②被列入“重大税收违法失信主体”的；</w:t>
      </w:r>
    </w:p>
    <w:p w14:paraId="2E112E1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③被列入“拖欠农民工工资失信联合惩戒对象名单”的；</w:t>
      </w:r>
    </w:p>
    <w:p w14:paraId="1A55B46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④被列入 “严重失信主体名单”的；</w:t>
      </w:r>
    </w:p>
    <w:p w14:paraId="157D16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lang w:val="en-US" w:eastAsia="zh-CN" w:bidi="ar"/>
        </w:rPr>
        <w:t>⑤在“信用中国”网站上披露的仍在公示期的严重失信行为(具体行为类别</w:t>
      </w:r>
      <w:r>
        <w:rPr>
          <w:rFonts w:hint="eastAsia" w:ascii="宋体" w:hAnsi="宋体" w:eastAsia="宋体" w:cs="宋体"/>
          <w:color w:val="auto"/>
          <w:kern w:val="0"/>
          <w:sz w:val="24"/>
          <w:szCs w:val="24"/>
          <w:highlight w:val="none"/>
          <w:lang w:val="en-US" w:eastAsia="zh-CN" w:bidi="ar"/>
        </w:rPr>
        <w:t>及判定依据见附件2)的。</w:t>
      </w:r>
    </w:p>
    <w:p w14:paraId="57EBD4A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Times New Roman"/>
          <w:color w:val="auto"/>
          <w:kern w:val="0"/>
          <w:sz w:val="24"/>
          <w:szCs w:val="24"/>
          <w:highlight w:val="none"/>
          <w:lang w:val="en-US" w:eastAsia="zh-CN" w:bidi="ar"/>
        </w:rPr>
        <w:fldChar w:fldCharType="begin"/>
      </w:r>
      <w:r>
        <w:rPr>
          <w:rFonts w:hint="eastAsia" w:ascii="宋体" w:hAnsi="宋体" w:eastAsia="宋体" w:cs="Times New Roman"/>
          <w:color w:val="auto"/>
          <w:kern w:val="0"/>
          <w:sz w:val="24"/>
          <w:szCs w:val="24"/>
          <w:highlight w:val="none"/>
          <w:lang w:val="en-US" w:eastAsia="zh-CN" w:bidi="ar"/>
        </w:rPr>
        <w:instrText xml:space="preserve"> HYPERLINK "http://www.gsxt.gov.cn）查询" </w:instrText>
      </w:r>
      <w:r>
        <w:rPr>
          <w:rFonts w:hint="eastAsia" w:ascii="宋体" w:hAnsi="宋体" w:eastAsia="宋体" w:cs="Times New Roman"/>
          <w:color w:val="auto"/>
          <w:kern w:val="0"/>
          <w:sz w:val="24"/>
          <w:szCs w:val="24"/>
          <w:highlight w:val="none"/>
          <w:lang w:val="en-US" w:eastAsia="zh-CN" w:bidi="ar"/>
        </w:rPr>
        <w:fldChar w:fldCharType="separate"/>
      </w:r>
      <w:r>
        <w:rPr>
          <w:rStyle w:val="63"/>
          <w:rFonts w:hint="eastAsia" w:ascii="宋体" w:hAnsi="宋体" w:eastAsia="宋体" w:cs="宋体"/>
          <w:color w:val="auto"/>
          <w:sz w:val="24"/>
          <w:szCs w:val="24"/>
          <w:highlight w:val="none"/>
          <w:u w:val="single"/>
        </w:rPr>
        <w:t>www.gsxt.gov.cn）</w:t>
      </w:r>
      <w:r>
        <w:rPr>
          <w:rFonts w:hint="eastAsia" w:ascii="宋体" w:hAnsi="宋体" w:eastAsia="宋体" w:cs="Times New Roman"/>
          <w:color w:val="auto"/>
          <w:kern w:val="0"/>
          <w:sz w:val="24"/>
          <w:szCs w:val="24"/>
          <w:highlight w:val="none"/>
          <w:lang w:val="en-US" w:eastAsia="zh-CN" w:bidi="ar"/>
        </w:rPr>
        <w:fldChar w:fldCharType="end"/>
      </w:r>
      <w:r>
        <w:rPr>
          <w:rFonts w:hint="eastAsia" w:ascii="宋体" w:hAnsi="宋体" w:eastAsia="宋体" w:cs="宋体"/>
          <w:color w:val="auto"/>
          <w:kern w:val="0"/>
          <w:sz w:val="24"/>
          <w:szCs w:val="24"/>
          <w:highlight w:val="none"/>
          <w:lang w:val="en-US" w:eastAsia="zh-CN" w:bidi="ar"/>
        </w:rPr>
        <w:t>查询投标人以下失信行为：</w:t>
      </w:r>
    </w:p>
    <w:p w14:paraId="27943D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0041DE06">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3、由投标人、法定代表人及其项目经理(建造师)进行承诺，不进行现场网上信用查询的失信行为：</w:t>
      </w:r>
    </w:p>
    <w:p w14:paraId="0AB5955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6156DFB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②被滁州市县两级公管部门取消在一定期限内的投标资格且在取消期限内的；</w:t>
      </w:r>
    </w:p>
    <w:p w14:paraId="68CE169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③被滁州市县两级各行业主管部门取消在一定期限内的投标资格且在取消期限内的；</w:t>
      </w:r>
    </w:p>
    <w:p w14:paraId="5B93E0C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④因拖欠农民工工资被县级及以上有关行政主管部门限制投标资格且在限制期限内的；</w:t>
      </w:r>
    </w:p>
    <w:p w14:paraId="45C5FB1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E623AEB">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（二）政府采购项目</w:t>
      </w:r>
    </w:p>
    <w:p w14:paraId="0912482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1、“信用中国”网站（</w:t>
      </w:r>
      <w:r>
        <w:rPr>
          <w:rStyle w:val="277"/>
          <w:rFonts w:hint="eastAsia" w:ascii="宋体" w:hAnsi="宋体" w:eastAsia="宋体" w:cs="宋体"/>
          <w:color w:val="auto"/>
          <w:sz w:val="24"/>
          <w:szCs w:val="24"/>
          <w:highlight w:val="none"/>
          <w:u w:val="single"/>
          <w:lang w:val="en-US" w:eastAsia="zh-CN" w:bidi="ar"/>
        </w:rPr>
        <w:t>www.creditchina.gov.cn</w:t>
      </w:r>
      <w:r>
        <w:rPr>
          <w:rFonts w:hint="eastAsia" w:ascii="宋体" w:hAnsi="宋体" w:eastAsia="宋体" w:cs="宋体"/>
          <w:color w:val="auto"/>
          <w:kern w:val="0"/>
          <w:sz w:val="24"/>
          <w:szCs w:val="24"/>
          <w:highlight w:val="none"/>
          <w:lang w:val="en-US" w:eastAsia="zh-CN" w:bidi="ar"/>
        </w:rPr>
        <w:t>）查询供应商、法定代表人及其项目负责人以下失信行为：</w:t>
      </w:r>
    </w:p>
    <w:p w14:paraId="5156FC1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①被列入“失信被执行人”的;</w:t>
      </w:r>
    </w:p>
    <w:p w14:paraId="3196CAD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②被列入“重大税收违法失信主体”的；</w:t>
      </w:r>
    </w:p>
    <w:p w14:paraId="36E2429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③被列入 “严重失信主体名单”的；</w:t>
      </w:r>
    </w:p>
    <w:p w14:paraId="577BFB0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④在“信用中国”网站上披露的仍在公示期的严重失信行为(具体行为类别及判定依据见附件2)的。</w:t>
      </w:r>
    </w:p>
    <w:p w14:paraId="2A07C5E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宋体"/>
          <w:color w:val="auto"/>
          <w:sz w:val="24"/>
          <w:szCs w:val="24"/>
          <w:highlight w:val="none"/>
          <w:u w:val="none"/>
        </w:rPr>
        <w:t>www.gsxt.gov.cn）</w:t>
      </w:r>
      <w:r>
        <w:rPr>
          <w:rFonts w:hint="eastAsia" w:ascii="宋体" w:hAnsi="宋体" w:eastAsia="宋体" w:cs="宋体"/>
          <w:color w:val="auto"/>
          <w:kern w:val="0"/>
          <w:sz w:val="24"/>
          <w:szCs w:val="24"/>
          <w:highlight w:val="none"/>
          <w:lang w:val="en-US" w:eastAsia="zh-CN" w:bidi="ar"/>
        </w:rPr>
        <w:t>查询供应商以下失信行为：</w:t>
      </w:r>
    </w:p>
    <w:p w14:paraId="2A2884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75F2F61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3、中国政府采购网站（</w:t>
      </w:r>
      <w:r>
        <w:rPr>
          <w:rFonts w:hint="eastAsia" w:ascii="宋体" w:hAnsi="宋体" w:eastAsia="宋体" w:cs="宋体"/>
          <w:color w:val="auto"/>
          <w:sz w:val="24"/>
          <w:szCs w:val="24"/>
          <w:highlight w:val="none"/>
          <w:u w:val="none"/>
        </w:rPr>
        <w:t>www.ccgp.gov.cn</w:t>
      </w:r>
      <w:r>
        <w:rPr>
          <w:rFonts w:hint="eastAsia" w:ascii="宋体" w:hAnsi="宋体" w:eastAsia="宋体" w:cs="宋体"/>
          <w:color w:val="auto"/>
          <w:kern w:val="0"/>
          <w:sz w:val="24"/>
          <w:szCs w:val="24"/>
          <w:highlight w:val="none"/>
          <w:lang w:val="en-US" w:eastAsia="zh-CN" w:bidi="ar"/>
        </w:rPr>
        <w:t>）查询以下失信行为：</w:t>
      </w:r>
    </w:p>
    <w:p w14:paraId="5BB5634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①被列入“政府采购严重违法失信行为信息记录”的。</w:t>
      </w:r>
    </w:p>
    <w:p w14:paraId="3BB7898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4、由竞争主体进行承诺，不进行现场网上信用查询的失信行为：</w:t>
      </w:r>
    </w:p>
    <w:p w14:paraId="55A15CC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2962BB91">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二、在开评标活动中的查询程序</w:t>
      </w:r>
    </w:p>
    <w:p w14:paraId="5B94D8E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CF8AC3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E74FDE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3、项目单位及其委托的代理机构应当做好信用查询结果截图和记录留存。</w:t>
      </w:r>
    </w:p>
    <w:p w14:paraId="311D0009">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三、相关要求</w:t>
      </w:r>
    </w:p>
    <w:p w14:paraId="5CBC33E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21229BF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9B1E5C3">
      <w:pPr>
        <w:keepNext w:val="0"/>
        <w:keepLines w:val="0"/>
        <w:widowControl w:val="0"/>
        <w:suppressLineNumbers w:val="0"/>
        <w:wordWrap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5F6EF2D">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2、“信用中国”查询的严重失信行为判定依据为各行业主管部门下发的联合惩戒文件中规定的行为（按附件2执行）。</w:t>
      </w:r>
    </w:p>
    <w:p w14:paraId="78DF927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3、资格预审的项目以递交资格预审申请文件截止时间查询为准；资格后审的项目以递交投标文件截止时间查询为准。 </w:t>
      </w:r>
    </w:p>
    <w:p w14:paraId="7CB93D1C">
      <w:pPr>
        <w:pStyle w:val="51"/>
        <w:keepNext w:val="0"/>
        <w:keepLines w:val="0"/>
        <w:widowControl w:val="0"/>
        <w:suppressLineNumbers w:val="0"/>
        <w:spacing w:before="0" w:beforeAutospacing="1" w:after="120" w:afterAutospacing="0" w:line="360" w:lineRule="auto"/>
        <w:ind w:left="400" w:leftChars="200" w:right="0" w:firstLine="420" w:firstLineChars="200"/>
        <w:jc w:val="both"/>
        <w:rPr>
          <w:rFonts w:hint="eastAsia" w:ascii="宋体" w:hAnsi="Calibri" w:eastAsia="宋体" w:cs="Times New Roman"/>
          <w:kern w:val="2"/>
          <w:sz w:val="21"/>
          <w:szCs w:val="21"/>
          <w:highlight w:val="none"/>
        </w:rPr>
      </w:pPr>
      <w:r>
        <w:rPr>
          <w:rFonts w:hint="eastAsia" w:ascii="宋体" w:hAnsi="Calibri" w:eastAsia="宋体" w:cs="Times New Roman"/>
          <w:color w:val="0066CC"/>
          <w:kern w:val="2"/>
          <w:sz w:val="21"/>
          <w:szCs w:val="21"/>
          <w:highlight w:val="none"/>
          <w:lang w:val="en-US" w:eastAsia="zh-CN" w:bidi="ar"/>
        </w:rPr>
        <w:t xml:space="preserve"> </w:t>
      </w:r>
    </w:p>
    <w:p w14:paraId="146D021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br w:type="page"/>
      </w:r>
      <w:r>
        <w:rPr>
          <w:rFonts w:hint="eastAsia" w:ascii="宋体" w:hAnsi="宋体" w:eastAsia="宋体" w:cs="宋体"/>
          <w:b/>
          <w:bCs w:val="0"/>
          <w:kern w:val="0"/>
          <w:sz w:val="24"/>
          <w:szCs w:val="24"/>
          <w:highlight w:val="none"/>
          <w:lang w:val="en-US" w:eastAsia="zh-CN" w:bidi="ar"/>
        </w:rPr>
        <w:t>附件</w:t>
      </w:r>
      <w:r>
        <w:rPr>
          <w:rFonts w:hint="default" w:ascii="Times New Roman" w:hAnsi="Times New Roman" w:eastAsia="宋体" w:cs="Times New Roman"/>
          <w:b/>
          <w:bCs w:val="0"/>
          <w:kern w:val="0"/>
          <w:sz w:val="24"/>
          <w:szCs w:val="24"/>
          <w:highlight w:val="none"/>
          <w:lang w:val="en-US" w:eastAsia="zh-CN" w:bidi="ar"/>
        </w:rPr>
        <w:t>2</w:t>
      </w:r>
    </w:p>
    <w:p w14:paraId="280CFCFF">
      <w:pPr>
        <w:keepNext w:val="0"/>
        <w:keepLines w:val="0"/>
        <w:widowControl w:val="0"/>
        <w:suppressLineNumbers w:val="0"/>
        <w:adjustRightInd w:val="0"/>
        <w:snapToGrid w:val="0"/>
        <w:spacing w:before="0" w:beforeAutospacing="0" w:after="0" w:afterAutospacing="0" w:line="560" w:lineRule="exact"/>
        <w:ind w:left="0" w:right="0" w:firstLine="645"/>
        <w:jc w:val="center"/>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“信用中国”查询的严重失信行为类别及判定依据</w:t>
      </w:r>
    </w:p>
    <w:p w14:paraId="70A35D3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3E0D612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一、安全生产领域严重失信行为：</w:t>
      </w:r>
    </w:p>
    <w:p w14:paraId="27C1C03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（一）下列发生生产安全事故的生产经营单位及其有关人员应当列入严重失信主体名单：</w:t>
      </w:r>
    </w:p>
    <w:p w14:paraId="085F408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1、发生特别重大、重大生产安全事故的生产经营单位及其主要负责人，以及经调查认定对该事故发生负有责任，应当列入名单的其他单位和人员；</w:t>
      </w:r>
    </w:p>
    <w:p w14:paraId="56ADC6E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2、12个月内累计发生2起以上较大生产安全事故的生产经营单位及其主要负责人；</w:t>
      </w:r>
    </w:p>
    <w:p w14:paraId="7442A94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7BEBE7E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4、瞒报、谎报生产安全事故的生产经营单位及其有关责任人员；</w:t>
      </w:r>
    </w:p>
    <w:p w14:paraId="04BD3CF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5、发生生产安全事故后，不立即组织抢救或者在事故调查处理期间擅离职守或者逃匿的生产经营单位主要负责人。</w:t>
      </w:r>
    </w:p>
    <w:p w14:paraId="43BF08E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（二）下列未发生生产安全事故，但因安全生产违法行为，受到行政处罚的生产经营单位或者机构及其有关人员，应当列入严重失信主体名单：</w:t>
      </w:r>
    </w:p>
    <w:p w14:paraId="5F22934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1、未依法取得安全生产相关许可或者许可被暂扣、吊销期间从事相关生产经营活动的生产经营单位及其主要负责人；</w:t>
      </w:r>
    </w:p>
    <w:p w14:paraId="01BF9FC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2、承担安全评价、认证、检测、检验职责的机构及其直接责任人员租借资质、挂靠、出具虚假报告或者证书的；</w:t>
      </w:r>
    </w:p>
    <w:p w14:paraId="7EAA834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3、在应急管理部门作出行政处罚后，有执行能力拒不执行或者逃避执行的生产经营单位及其主要负责人；</w:t>
      </w:r>
    </w:p>
    <w:p w14:paraId="6294D25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4、其他违反安全生产法律法规受到行政处罚，且性质恶劣、情节严重的。</w:t>
      </w:r>
    </w:p>
    <w:p w14:paraId="34A91D2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依据：《安全生产严重失信主体名单管理办法》（2023年8月8日应急管理部令第11号）</w:t>
      </w:r>
    </w:p>
    <w:p w14:paraId="3239FA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二、环境保护领域严重失信行为：</w:t>
      </w:r>
    </w:p>
    <w:p w14:paraId="39B7E88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（一）因为环境违法构成环境犯罪的；</w:t>
      </w:r>
    </w:p>
    <w:p w14:paraId="5816933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（二）建设项目环境影响评价文件未按规定通过审批，擅自开工建设的；</w:t>
      </w:r>
    </w:p>
    <w:p w14:paraId="43ADAB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（三）建设项目环保设施未建成、环保措施未落实、未通过竣工环保验收或者验收不合格，主体工程正式投入生产或者使用的；</w:t>
      </w:r>
    </w:p>
    <w:p w14:paraId="389D92D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3FF44D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（五）主要污染物排放总量超过控制指标的；</w:t>
      </w:r>
    </w:p>
    <w:p w14:paraId="7E74B62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（六）私设暗管或者利用渗井、渗坑、裂隙、溶洞等排放、倾倒、处置水污染物，或者通过私设旁路排放大气污染物的；</w:t>
      </w:r>
    </w:p>
    <w:p w14:paraId="4FB0452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（七）非法排放、倾倒、处置危险废物，或者向无经营许可证或者超出经营许可范围的单位或个人提供或者委托其收集、贮存、利用、处置危险废物的；</w:t>
      </w:r>
    </w:p>
    <w:p w14:paraId="6111380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（八）环境违法行为造成集中式生活饮用水水源取水中断的；</w:t>
      </w:r>
    </w:p>
    <w:p w14:paraId="1EB2492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（九）环境违法行为对生活饮用水水源保护区、自然保护区、国家重点生态功能区、风景名胜区、居住功能区、基本农田保护区等环境敏感区造成重大不利影响的；</w:t>
      </w:r>
    </w:p>
    <w:p w14:paraId="0BFCFBB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（十）违法从事自然资源开发、交通基础设施建设，以及其他开发建设活动，造成严重生态破坏的；</w:t>
      </w:r>
    </w:p>
    <w:p w14:paraId="0883F13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（十一）发生较大及以上突发环境事件的；</w:t>
      </w:r>
    </w:p>
    <w:p w14:paraId="288B9A0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（十二）被环保部门挂牌督办，整改逾期未完成的；</w:t>
      </w:r>
    </w:p>
    <w:p w14:paraId="6E0AA4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（十三）以暴力、威胁等方式拒绝、阻挠环保部门工作人员现场检查的；</w:t>
      </w:r>
    </w:p>
    <w:p w14:paraId="793ECE4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（十四）违反重污染天气应急预案有关规定，对重污染天气响应不力的。</w:t>
      </w:r>
    </w:p>
    <w:p w14:paraId="6671565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依据：《关于对环境保护领域失信生产经营单位及其有关人员开展联合惩戒的合作备忘录》、《企业环境信用评价办法（试行）》（环发〔2013〕150号）</w:t>
      </w:r>
    </w:p>
    <w:p w14:paraId="56789F0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三、</w:t>
      </w:r>
      <w:r>
        <w:rPr>
          <w:rFonts w:hint="eastAsia" w:ascii="宋体" w:hAnsi="宋体" w:eastAsia="宋体" w:cs="宋体"/>
          <w:b/>
          <w:bCs/>
          <w:kern w:val="0"/>
          <w:sz w:val="24"/>
          <w:szCs w:val="24"/>
          <w:highlight w:val="none"/>
          <w:lang w:val="en-US" w:eastAsia="zh-CN" w:bidi="ar"/>
        </w:rPr>
        <w:t>公共资源交易领域严重失信行为</w:t>
      </w:r>
    </w:p>
    <w:p w14:paraId="6A5F8A6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（一）违反法律规定，必须进行招标的项目而不招标的，将必须进行招标的项目化整为零或者以其他任何方式规避招标的； </w:t>
      </w:r>
    </w:p>
    <w:p w14:paraId="7C18F56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（二）招标代理机构违反法律规定，泄露应当保密的与招标投标活动有关的情况和资料的，或者与招标人、投标人串通损害 国家利益、社会公共利益或者他人合法权益的；</w:t>
      </w:r>
    </w:p>
    <w:p w14:paraId="6C8297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（三）招标人以不合理的条件限制或者排斥潜在投标人的，对潜在投标人实行歧视待遇的，强制要求投标人组成联合体共同 投标的，或者限制投标人之间竞争的；</w:t>
      </w:r>
    </w:p>
    <w:p w14:paraId="666102E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（四）依法必须进行招标的项目的招标人向他人透露已获取招标文件的潜在投标人的名称、数量或者可能影响公平竞争的有 关招标投标的其他情况的，或者泄露标底的；</w:t>
      </w:r>
    </w:p>
    <w:p w14:paraId="61B1D16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（五）投标人相互串通投标或者与招标人串通投标的，投标人以向招标人或者评标委员会成员行贿的手段谋取中标的； </w:t>
      </w:r>
    </w:p>
    <w:p w14:paraId="5619CAC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（六）投标人以他人名义投标或者以其他方式弄虚作假，骗取中标的；</w:t>
      </w:r>
    </w:p>
    <w:p w14:paraId="40EA2E4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（七）依法必须进行招标的项目，招标人违反法律规定，与投标人就投标价格、投标方案等实质性内容进行谈判的；</w:t>
      </w:r>
    </w:p>
    <w:p w14:paraId="3C6BEA2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EFD865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（九）招标人在评标委员会依法推荐的中标候选人以外确定中标人的，依法必须进行招标的项目在所有投标被评标委员会否 决后自行确定中标人的； </w:t>
      </w:r>
    </w:p>
    <w:p w14:paraId="1650C41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70A5AB0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（十一）招标人与中标人不按照招标文件和中标人的投标文件订立合同的，或者招标人、中标人订立背离合同实质性内容的 协议的； </w:t>
      </w:r>
    </w:p>
    <w:p w14:paraId="335B38A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（十二）中标人不按照与招标人订立的合同履行义务，情节严重的； </w:t>
      </w:r>
    </w:p>
    <w:p w14:paraId="2E28FDC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7891F8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4AC6C60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（十五）采购人对应当实行集中采购的政府采购项目，不委托集中采购机构实行集中采购的； </w:t>
      </w:r>
    </w:p>
    <w:p w14:paraId="2367F80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（十六）采购人、采购代理机构违反法律规定隐匿、销毁应当保存的采购文件或者伪造、变造采购文件的； </w:t>
      </w:r>
    </w:p>
    <w:p w14:paraId="5FD85B0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30E446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（十八）疫苗生产企业向县级疾病预防控制机构以外的单位或者个人销售第二类疫苗的； </w:t>
      </w:r>
    </w:p>
    <w:p w14:paraId="4426A62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（十九）存在其他违反公共资源交易法律法规行为的。</w:t>
      </w:r>
    </w:p>
    <w:p w14:paraId="1DEE097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sz w:val="24"/>
          <w:szCs w:val="24"/>
          <w:highlight w:val="none"/>
        </w:rPr>
      </w:pPr>
      <w:r>
        <w:rPr>
          <w:rFonts w:hint="eastAsia" w:ascii="宋体" w:hAnsi="宋体" w:eastAsia="宋体" w:cs="宋体"/>
          <w:b/>
          <w:bCs w:val="0"/>
          <w:kern w:val="0"/>
          <w:sz w:val="24"/>
          <w:szCs w:val="24"/>
          <w:highlight w:val="none"/>
          <w:lang w:val="en-US" w:eastAsia="zh-CN" w:bidi="ar"/>
        </w:rPr>
        <w:t>依据：《关于对公共资源交易领域严重失信主体开展联合惩戒的备忘录》（发改法规〔2018〕457号）</w:t>
      </w:r>
    </w:p>
    <w:p w14:paraId="1E899A3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val="0"/>
          <w:kern w:val="0"/>
          <w:sz w:val="24"/>
          <w:szCs w:val="24"/>
          <w:highlight w:val="none"/>
          <w:lang w:val="en-US" w:eastAsia="zh-CN" w:bidi="ar"/>
        </w:rPr>
        <w:t>四、</w:t>
      </w:r>
      <w:r>
        <w:rPr>
          <w:rFonts w:hint="eastAsia" w:ascii="宋体" w:hAnsi="宋体" w:eastAsia="宋体" w:cs="宋体"/>
          <w:b/>
          <w:bCs/>
          <w:kern w:val="0"/>
          <w:sz w:val="24"/>
          <w:szCs w:val="24"/>
          <w:highlight w:val="none"/>
          <w:lang w:val="en-US" w:eastAsia="zh-CN" w:bidi="ar"/>
        </w:rPr>
        <w:t>社会保险领域严重失信行为</w:t>
      </w:r>
    </w:p>
    <w:p w14:paraId="5C2FD77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（一）用人单位未按相关规定参加社会保险且拒不整改的； </w:t>
      </w:r>
    </w:p>
    <w:p w14:paraId="67E458E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（二）用人单位未如实申报社会保险缴费基数且拒不整改的； </w:t>
      </w:r>
    </w:p>
    <w:p w14:paraId="5910A5F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（三）应缴纳社会保险费却拒不缴纳的； </w:t>
      </w:r>
    </w:p>
    <w:p w14:paraId="0B0DC46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（四）隐匿、转移、侵占、挪用社会保险费款、基金或者违规投资运营的；</w:t>
      </w:r>
    </w:p>
    <w:p w14:paraId="025DD8F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（五）以欺诈、伪造证明材料或者其他手段参加、申报社会保险和骗取社会保险基金支出或社会保险待遇的； </w:t>
      </w:r>
    </w:p>
    <w:p w14:paraId="2E714C2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（六）非法获取、出售或变相交易社会保险个人权益数据的； </w:t>
      </w:r>
    </w:p>
    <w:p w14:paraId="44D3794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（七）社会保险服务机构违反服务协议或相关规定的； </w:t>
      </w:r>
    </w:p>
    <w:p w14:paraId="2377077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165CE1D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（九）其他违反法律法规规定的。</w:t>
      </w:r>
    </w:p>
    <w:p w14:paraId="56743DC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sz w:val="24"/>
          <w:szCs w:val="24"/>
          <w:highlight w:val="none"/>
        </w:rPr>
      </w:pPr>
      <w:r>
        <w:rPr>
          <w:rFonts w:hint="eastAsia" w:ascii="宋体" w:hAnsi="宋体" w:eastAsia="宋体" w:cs="宋体"/>
          <w:b/>
          <w:bCs w:val="0"/>
          <w:kern w:val="0"/>
          <w:sz w:val="24"/>
          <w:szCs w:val="24"/>
          <w:highlight w:val="none"/>
          <w:lang w:val="en-US" w:eastAsia="zh-CN" w:bidi="ar"/>
        </w:rPr>
        <w:t>依据：《关于对社会保险领域严重失信企业及其有关人员实施联合惩戒的合作备忘录》（发改财金〔2018〕1704号）</w:t>
      </w:r>
    </w:p>
    <w:p w14:paraId="7411912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val="0"/>
          <w:kern w:val="0"/>
          <w:sz w:val="24"/>
          <w:szCs w:val="24"/>
          <w:highlight w:val="none"/>
          <w:lang w:val="en-US" w:eastAsia="zh-CN" w:bidi="ar"/>
        </w:rPr>
        <w:t>五、建筑市场领域</w:t>
      </w:r>
      <w:r>
        <w:rPr>
          <w:rFonts w:hint="eastAsia" w:ascii="宋体" w:hAnsi="宋体" w:eastAsia="宋体" w:cs="宋体"/>
          <w:b/>
          <w:bCs/>
          <w:kern w:val="0"/>
          <w:sz w:val="24"/>
          <w:szCs w:val="24"/>
          <w:highlight w:val="none"/>
          <w:lang w:val="en-US" w:eastAsia="zh-CN" w:bidi="ar"/>
        </w:rPr>
        <w:t>严重失信行为</w:t>
      </w:r>
    </w:p>
    <w:p w14:paraId="5ED88CB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（一）利用虚假材料、以欺骗手段取得企业资质的；</w:t>
      </w:r>
    </w:p>
    <w:p w14:paraId="7B148F8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（二）发生转包、出借资质，受到行政处罚的；</w:t>
      </w:r>
    </w:p>
    <w:p w14:paraId="600EFF1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590B7D1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（四）经法院判决或仲裁机构裁决，认定为拖欠工程款,且拒不履行生效法律文书确定的义务的。</w:t>
      </w:r>
    </w:p>
    <w:p w14:paraId="67A3008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各级住房城乡建设主管部门应当参照建筑市场主体“黑名单”，对被人力资源社会保障行政部门列入拖欠农民工工资“黑名单”的建筑市场各方主体加强监管。</w:t>
      </w:r>
    </w:p>
    <w:p w14:paraId="51F61AF5">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依据：《建筑市场信用管理暂行办法》（建市〔2017〕241号）</w:t>
      </w:r>
    </w:p>
    <w:p w14:paraId="3C7282D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六、政府采购严重失信行为</w:t>
      </w:r>
    </w:p>
    <w:p w14:paraId="46AE347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供应商、采购代理机构在三年内受到财政部门作出下列情形之一的行政处罚，列入政府采购严重违法失信行为记录名单。</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（一）三万元以上罚款；</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（二）在一至三年内禁止参加政府采购活动（处罚期限届满的除外）；</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（三）在一至三年内禁止代理政府采购业务（处罚期限届满的除外）；</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（四）撤销政府采购代理机构资格（仅针对《政府采购法》第78条修改前作出的处罚决定）。</w:t>
      </w:r>
    </w:p>
    <w:p w14:paraId="1E1D272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依据：《关于报送政府采购严重违法失信行为信息记录的通知》（财办库〔2014〕526号）</w:t>
      </w:r>
    </w:p>
    <w:p w14:paraId="2CCD086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未列出的其他类别严重失信行为，由招标人（代理机构）根据各类别行业主管部门下发的联合惩戒文件进行判断。</w:t>
      </w:r>
    </w:p>
    <w:p w14:paraId="6F99A95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kern w:val="0"/>
          <w:sz w:val="24"/>
          <w:szCs w:val="24"/>
          <w:highlight w:val="none"/>
        </w:rPr>
      </w:pPr>
    </w:p>
    <w:p w14:paraId="130E6F60">
      <w:pPr>
        <w:spacing w:line="360" w:lineRule="auto"/>
        <w:ind w:firstLine="435"/>
        <w:rPr>
          <w:rFonts w:asciiTheme="minorEastAsia" w:hAnsiTheme="minorEastAsia" w:eastAsiaTheme="minorEastAsia"/>
          <w:color w:val="auto"/>
          <w:sz w:val="24"/>
          <w:highlight w:val="none"/>
        </w:rPr>
      </w:pPr>
    </w:p>
    <w:p w14:paraId="1672707E">
      <w:pPr>
        <w:pStyle w:val="51"/>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62CC5D5E">
      <w:pPr>
        <w:widowControl/>
        <w:jc w:val="center"/>
        <w:outlineLvl w:val="0"/>
        <w:rPr>
          <w:b/>
          <w:bCs/>
          <w:color w:val="auto"/>
          <w:sz w:val="28"/>
          <w:highlight w:val="none"/>
        </w:rPr>
      </w:pPr>
      <w:bookmarkStart w:id="691" w:name="_Toc24879"/>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691"/>
    </w:p>
    <w:p w14:paraId="046CB418">
      <w:pPr>
        <w:spacing w:line="360" w:lineRule="auto"/>
        <w:jc w:val="center"/>
        <w:outlineLvl w:val="1"/>
        <w:rPr>
          <w:rFonts w:ascii="仿宋" w:hAnsi="仿宋" w:eastAsia="仿宋" w:cs="仿宋"/>
          <w:b/>
          <w:bCs/>
          <w:color w:val="auto"/>
          <w:sz w:val="32"/>
          <w:szCs w:val="44"/>
          <w:highlight w:val="none"/>
        </w:rPr>
      </w:pPr>
      <w:bookmarkStart w:id="692" w:name="_Toc2290"/>
      <w:bookmarkStart w:id="693" w:name="_Toc26448"/>
      <w:r>
        <w:rPr>
          <w:rFonts w:hint="eastAsia" w:ascii="仿宋" w:hAnsi="仿宋" w:eastAsia="仿宋" w:cs="仿宋"/>
          <w:b/>
          <w:bCs/>
          <w:color w:val="auto"/>
          <w:sz w:val="32"/>
          <w:szCs w:val="44"/>
          <w:highlight w:val="none"/>
        </w:rPr>
        <w:t>询问函范本</w:t>
      </w:r>
      <w:bookmarkEnd w:id="692"/>
      <w:bookmarkEnd w:id="693"/>
    </w:p>
    <w:p w14:paraId="6EFBEFAB">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498F468B">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06BE216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7BDE4D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94" w:name="_Toc32070"/>
      <w:bookmarkStart w:id="695" w:name="_Toc14234"/>
      <w:r>
        <w:rPr>
          <w:rFonts w:hint="eastAsia" w:cs="仿宋" w:asciiTheme="minorEastAsia" w:hAnsiTheme="minorEastAsia" w:eastAsiaTheme="minorEastAsia"/>
          <w:color w:val="auto"/>
          <w:sz w:val="24"/>
          <w:szCs w:val="24"/>
          <w:highlight w:val="none"/>
        </w:rPr>
        <w:t>一、(事项一)</w:t>
      </w:r>
      <w:bookmarkEnd w:id="694"/>
      <w:bookmarkEnd w:id="695"/>
    </w:p>
    <w:p w14:paraId="4D04504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7A022C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DFDC20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6B485B6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96" w:name="_Toc16507"/>
      <w:bookmarkStart w:id="697" w:name="_Toc6489"/>
      <w:r>
        <w:rPr>
          <w:rFonts w:hint="eastAsia" w:cs="仿宋" w:asciiTheme="minorEastAsia" w:hAnsiTheme="minorEastAsia" w:eastAsiaTheme="minorEastAsia"/>
          <w:color w:val="auto"/>
          <w:sz w:val="24"/>
          <w:szCs w:val="24"/>
          <w:highlight w:val="none"/>
        </w:rPr>
        <w:t>二、(事项二)</w:t>
      </w:r>
      <w:bookmarkEnd w:id="696"/>
      <w:bookmarkEnd w:id="697"/>
    </w:p>
    <w:p w14:paraId="28B9B29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E968A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8DE3A3E">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A1BF77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7343C3E">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727C7C2">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523FCE22">
      <w:pPr>
        <w:jc w:val="center"/>
        <w:outlineLvl w:val="1"/>
        <w:rPr>
          <w:rFonts w:ascii="仿宋" w:hAnsi="仿宋" w:eastAsia="仿宋" w:cs="仿宋"/>
          <w:b/>
          <w:bCs/>
          <w:color w:val="auto"/>
          <w:sz w:val="32"/>
          <w:szCs w:val="44"/>
          <w:highlight w:val="none"/>
        </w:rPr>
      </w:pPr>
      <w:bookmarkStart w:id="698" w:name="_Toc4923"/>
      <w:bookmarkStart w:id="699" w:name="_Toc26224"/>
      <w:r>
        <w:rPr>
          <w:rFonts w:hint="eastAsia" w:ascii="仿宋" w:hAnsi="仿宋" w:eastAsia="仿宋" w:cs="仿宋"/>
          <w:b/>
          <w:bCs/>
          <w:color w:val="auto"/>
          <w:sz w:val="32"/>
          <w:szCs w:val="44"/>
          <w:highlight w:val="none"/>
        </w:rPr>
        <w:t>质疑函范本</w:t>
      </w:r>
      <w:bookmarkEnd w:id="698"/>
      <w:bookmarkEnd w:id="699"/>
    </w:p>
    <w:p w14:paraId="5FC58644">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700" w:name="_Toc3847"/>
      <w:bookmarkStart w:id="701" w:name="_Toc10663"/>
      <w:r>
        <w:rPr>
          <w:rFonts w:hint="eastAsia" w:cs="仿宋" w:asciiTheme="minorEastAsia" w:hAnsiTheme="minorEastAsia" w:eastAsiaTheme="minorEastAsia"/>
          <w:b/>
          <w:bCs/>
          <w:color w:val="auto"/>
          <w:sz w:val="24"/>
          <w:szCs w:val="24"/>
          <w:highlight w:val="none"/>
        </w:rPr>
        <w:t>一、质疑供应商基本信息</w:t>
      </w:r>
      <w:bookmarkEnd w:id="700"/>
      <w:bookmarkEnd w:id="701"/>
    </w:p>
    <w:p w14:paraId="1195405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9377DB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C37BF3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9855DC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6B61B7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B208C4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7CAAF9B">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02" w:name="_Toc30012"/>
      <w:bookmarkStart w:id="703" w:name="_Toc19182"/>
      <w:r>
        <w:rPr>
          <w:rFonts w:hint="eastAsia" w:cs="仿宋" w:asciiTheme="minorEastAsia" w:hAnsiTheme="minorEastAsia" w:eastAsiaTheme="minorEastAsia"/>
          <w:b/>
          <w:bCs/>
          <w:color w:val="auto"/>
          <w:sz w:val="24"/>
          <w:szCs w:val="24"/>
          <w:highlight w:val="none"/>
        </w:rPr>
        <w:t>二、质疑项目基本情况</w:t>
      </w:r>
      <w:bookmarkEnd w:id="702"/>
      <w:bookmarkEnd w:id="703"/>
    </w:p>
    <w:p w14:paraId="68AF81D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042C15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C00F21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9E33CB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075B303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04" w:name="_Toc21700"/>
      <w:bookmarkStart w:id="705" w:name="_Toc9989"/>
      <w:r>
        <w:rPr>
          <w:rFonts w:hint="eastAsia" w:cs="仿宋" w:asciiTheme="minorEastAsia" w:hAnsiTheme="minorEastAsia" w:eastAsiaTheme="minorEastAsia"/>
          <w:b/>
          <w:bCs/>
          <w:color w:val="auto"/>
          <w:sz w:val="24"/>
          <w:szCs w:val="24"/>
          <w:highlight w:val="none"/>
        </w:rPr>
        <w:t>三、质疑事项具体内容</w:t>
      </w:r>
      <w:bookmarkEnd w:id="704"/>
      <w:bookmarkEnd w:id="705"/>
    </w:p>
    <w:p w14:paraId="6D72613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8AF79A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20F32D4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FFF6E6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71D55E4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755EFC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20E1ED5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A91FA49">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06" w:name="_Toc10625"/>
      <w:bookmarkStart w:id="707" w:name="_Toc19016"/>
      <w:r>
        <w:rPr>
          <w:rFonts w:hint="eastAsia" w:cs="仿宋" w:asciiTheme="minorEastAsia" w:hAnsiTheme="minorEastAsia" w:eastAsiaTheme="minorEastAsia"/>
          <w:b/>
          <w:bCs/>
          <w:color w:val="auto"/>
          <w:sz w:val="24"/>
          <w:szCs w:val="24"/>
          <w:highlight w:val="none"/>
        </w:rPr>
        <w:t>四、与质疑事项相关的质疑请求</w:t>
      </w:r>
      <w:bookmarkEnd w:id="706"/>
      <w:bookmarkEnd w:id="707"/>
    </w:p>
    <w:p w14:paraId="02B0B1E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1F714B3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7CEB179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FC0B9D9">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AA26721">
      <w:pPr>
        <w:outlineLvl w:val="0"/>
        <w:rPr>
          <w:rFonts w:asciiTheme="minorEastAsia" w:hAnsiTheme="minorEastAsia" w:eastAsiaTheme="minorEastAsia"/>
          <w:b/>
          <w:color w:val="auto"/>
          <w:sz w:val="28"/>
          <w:szCs w:val="32"/>
          <w:highlight w:val="none"/>
        </w:rPr>
      </w:pPr>
      <w:bookmarkStart w:id="708" w:name="_Toc25274"/>
      <w:bookmarkStart w:id="709" w:name="_Toc17684"/>
      <w:r>
        <w:rPr>
          <w:rFonts w:hint="eastAsia" w:asciiTheme="minorEastAsia" w:hAnsiTheme="minorEastAsia" w:eastAsiaTheme="minorEastAsia"/>
          <w:b/>
          <w:color w:val="auto"/>
          <w:sz w:val="28"/>
          <w:szCs w:val="32"/>
          <w:highlight w:val="none"/>
        </w:rPr>
        <w:t>质疑函制作说明：</w:t>
      </w:r>
      <w:bookmarkEnd w:id="708"/>
      <w:bookmarkEnd w:id="709"/>
    </w:p>
    <w:p w14:paraId="4DC1DF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00F5B8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A3756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F6B78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F18E8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68BAA84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44215DB8">
      <w:pPr>
        <w:adjustRightInd w:val="0"/>
        <w:snapToGrid w:val="0"/>
        <w:spacing w:line="240" w:lineRule="auto"/>
        <w:ind w:firstLine="615"/>
        <w:rPr>
          <w:rFonts w:hint="eastAsia" w:ascii="FangSong_GB2312" w:hAnsi="宋体" w:eastAsia="FangSong_GB2312"/>
          <w:b/>
          <w:color w:val="auto"/>
          <w:sz w:val="28"/>
          <w:szCs w:val="28"/>
          <w:highlight w:val="none"/>
        </w:rPr>
      </w:pPr>
    </w:p>
    <w:p w14:paraId="7F183756">
      <w:pPr>
        <w:adjustRightInd w:val="0"/>
        <w:snapToGrid w:val="0"/>
        <w:spacing w:line="240" w:lineRule="auto"/>
        <w:ind w:firstLine="615"/>
        <w:rPr>
          <w:rFonts w:hint="eastAsia" w:ascii="FangSong_GB2312" w:eastAsia="FangSong_GB2312"/>
          <w:b/>
          <w:color w:val="auto"/>
          <w:sz w:val="32"/>
          <w:szCs w:val="32"/>
          <w:highlight w:val="none"/>
        </w:rPr>
      </w:pPr>
    </w:p>
    <w:p w14:paraId="19F7FE6C">
      <w:pPr>
        <w:rPr>
          <w:color w:val="auto"/>
          <w:highlight w:val="none"/>
        </w:rPr>
      </w:pPr>
    </w:p>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FangSong_GB2312">
    <w:altName w:val="仿宋_GB2312"/>
    <w:panose1 w:val="0201060906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18842">
    <w:pPr>
      <w:pStyle w:val="3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7A118">
    <w:pPr>
      <w:pStyle w:val="3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7A50B">
    <w:pPr>
      <w:pStyle w:val="34"/>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92FD7">
                          <w:pPr>
                            <w:pStyle w:val="34"/>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C92FD7">
                    <w:pPr>
                      <w:pStyle w:val="34"/>
                    </w:pPr>
                    <w:r>
                      <w:fldChar w:fldCharType="begin"/>
                    </w:r>
                    <w:r>
                      <w:instrText xml:space="preserve"> PAGE  \* MERGEFORMAT </w:instrText>
                    </w:r>
                    <w:r>
                      <w:fldChar w:fldCharType="separate"/>
                    </w:r>
                    <w:r>
                      <w:t>97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92297">
    <w:pPr>
      <w:pStyle w:val="35"/>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3FD47">
    <w:pPr>
      <w:pStyle w:val="35"/>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竞争性磋商文件</w:t>
    </w:r>
    <w:r>
      <w:rPr>
        <w:rFonts w:hint="eastAsia" w:ascii="宋体" w:hAnsi="宋体" w:eastAsia="宋体"/>
        <w:lang w:eastAsia="zh-CN"/>
      </w:rPr>
      <w:t>示范文本（</w:t>
    </w:r>
    <w:r>
      <w:rPr>
        <w:rFonts w:hint="eastAsia" w:ascii="宋体" w:hAnsi="宋体" w:eastAsia="宋体"/>
      </w:rPr>
      <w:t>工程类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ED3DC">
    <w:pPr>
      <w:pStyle w:val="35"/>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3A644CBA"/>
    <w:multiLevelType w:val="singleLevel"/>
    <w:tmpl w:val="3A644CBA"/>
    <w:lvl w:ilvl="0" w:tentative="0">
      <w:start w:val="6"/>
      <w:numFmt w:val="decimal"/>
      <w:lvlText w:val="%1."/>
      <w:lvlJc w:val="left"/>
      <w:pPr>
        <w:tabs>
          <w:tab w:val="left" w:pos="312"/>
        </w:tabs>
      </w:pPr>
    </w:lvl>
  </w:abstractNum>
  <w:abstractNum w:abstractNumId="3">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ZTM1OThkNDRiNzM2OWNjMmFkYWEzNjc1MWViMTg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1D23"/>
    <w:rsid w:val="007328C6"/>
    <w:rsid w:val="00733730"/>
    <w:rsid w:val="00734E5D"/>
    <w:rsid w:val="0073514E"/>
    <w:rsid w:val="00736013"/>
    <w:rsid w:val="00737BF8"/>
    <w:rsid w:val="0074339B"/>
    <w:rsid w:val="007469DD"/>
    <w:rsid w:val="00750B60"/>
    <w:rsid w:val="0075194C"/>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12F5F9F"/>
    <w:rsid w:val="02987B74"/>
    <w:rsid w:val="02E84657"/>
    <w:rsid w:val="039E740C"/>
    <w:rsid w:val="04A86794"/>
    <w:rsid w:val="060D5ED0"/>
    <w:rsid w:val="06EE74DB"/>
    <w:rsid w:val="06FF6413"/>
    <w:rsid w:val="072015CC"/>
    <w:rsid w:val="076B3AA9"/>
    <w:rsid w:val="07C445F3"/>
    <w:rsid w:val="07EE2F85"/>
    <w:rsid w:val="080F6471"/>
    <w:rsid w:val="085F360E"/>
    <w:rsid w:val="08617CF0"/>
    <w:rsid w:val="093E5132"/>
    <w:rsid w:val="09475E50"/>
    <w:rsid w:val="09652EA6"/>
    <w:rsid w:val="099C3247"/>
    <w:rsid w:val="0B34273F"/>
    <w:rsid w:val="0B462329"/>
    <w:rsid w:val="0B5759D8"/>
    <w:rsid w:val="0B584B6B"/>
    <w:rsid w:val="0B9A6428"/>
    <w:rsid w:val="0BC76A6E"/>
    <w:rsid w:val="0BCA25A9"/>
    <w:rsid w:val="0BD069A1"/>
    <w:rsid w:val="0BEB3295"/>
    <w:rsid w:val="0C0B76AE"/>
    <w:rsid w:val="0C3F055B"/>
    <w:rsid w:val="0C695EBF"/>
    <w:rsid w:val="0C764D16"/>
    <w:rsid w:val="0D3E7892"/>
    <w:rsid w:val="0DB72352"/>
    <w:rsid w:val="0DCD726B"/>
    <w:rsid w:val="0DFC12FE"/>
    <w:rsid w:val="0DFC36AD"/>
    <w:rsid w:val="0DFF1A91"/>
    <w:rsid w:val="0E30091C"/>
    <w:rsid w:val="0E822DA3"/>
    <w:rsid w:val="0E9E2C56"/>
    <w:rsid w:val="0EA7526D"/>
    <w:rsid w:val="0EB116DF"/>
    <w:rsid w:val="0EB9796D"/>
    <w:rsid w:val="0ED93BBF"/>
    <w:rsid w:val="0EE859DF"/>
    <w:rsid w:val="0FC76BB7"/>
    <w:rsid w:val="10C12E37"/>
    <w:rsid w:val="10EA4999"/>
    <w:rsid w:val="10F935A7"/>
    <w:rsid w:val="1218482D"/>
    <w:rsid w:val="12E83133"/>
    <w:rsid w:val="13607801"/>
    <w:rsid w:val="1375778E"/>
    <w:rsid w:val="138E050C"/>
    <w:rsid w:val="14551D69"/>
    <w:rsid w:val="148F527B"/>
    <w:rsid w:val="14AA20B4"/>
    <w:rsid w:val="14E43199"/>
    <w:rsid w:val="15437E13"/>
    <w:rsid w:val="16F15C51"/>
    <w:rsid w:val="17146EEB"/>
    <w:rsid w:val="186B3909"/>
    <w:rsid w:val="18860743"/>
    <w:rsid w:val="18A85F98"/>
    <w:rsid w:val="18AE1366"/>
    <w:rsid w:val="18BA6448"/>
    <w:rsid w:val="18C461FA"/>
    <w:rsid w:val="1912647A"/>
    <w:rsid w:val="1A5B5BFF"/>
    <w:rsid w:val="1A907657"/>
    <w:rsid w:val="1AEB2ADF"/>
    <w:rsid w:val="1B0105E7"/>
    <w:rsid w:val="1B210BF7"/>
    <w:rsid w:val="1B723200"/>
    <w:rsid w:val="1B950C9D"/>
    <w:rsid w:val="1BBB4BA7"/>
    <w:rsid w:val="1BFB1448"/>
    <w:rsid w:val="1C8925AF"/>
    <w:rsid w:val="1D015171"/>
    <w:rsid w:val="1D191BE5"/>
    <w:rsid w:val="1D3B78BE"/>
    <w:rsid w:val="1D5E2F26"/>
    <w:rsid w:val="1D6F3E9B"/>
    <w:rsid w:val="1D7D6F4B"/>
    <w:rsid w:val="1DA376A1"/>
    <w:rsid w:val="1DEC70E9"/>
    <w:rsid w:val="1E0B00F8"/>
    <w:rsid w:val="1E112FC8"/>
    <w:rsid w:val="1E4C7D38"/>
    <w:rsid w:val="1F212F73"/>
    <w:rsid w:val="1F2E6A6D"/>
    <w:rsid w:val="1F5E5F75"/>
    <w:rsid w:val="1FC41B50"/>
    <w:rsid w:val="208512E0"/>
    <w:rsid w:val="208F6602"/>
    <w:rsid w:val="20AE1417"/>
    <w:rsid w:val="21326E5F"/>
    <w:rsid w:val="21A12912"/>
    <w:rsid w:val="223F155D"/>
    <w:rsid w:val="22F4274D"/>
    <w:rsid w:val="237C1D35"/>
    <w:rsid w:val="241D3932"/>
    <w:rsid w:val="247E2DFD"/>
    <w:rsid w:val="263E440B"/>
    <w:rsid w:val="265B0373"/>
    <w:rsid w:val="26F70A5D"/>
    <w:rsid w:val="274D5052"/>
    <w:rsid w:val="27A73E40"/>
    <w:rsid w:val="27E85AF1"/>
    <w:rsid w:val="283830DC"/>
    <w:rsid w:val="288E11CC"/>
    <w:rsid w:val="28A96E2F"/>
    <w:rsid w:val="28CA01D8"/>
    <w:rsid w:val="291458F7"/>
    <w:rsid w:val="29FD45DD"/>
    <w:rsid w:val="2A1534D2"/>
    <w:rsid w:val="2A3A1CF9"/>
    <w:rsid w:val="2A73664D"/>
    <w:rsid w:val="2A7725E1"/>
    <w:rsid w:val="2ACF41CB"/>
    <w:rsid w:val="2B084FE7"/>
    <w:rsid w:val="2B217ABE"/>
    <w:rsid w:val="2B5044AE"/>
    <w:rsid w:val="2B89414F"/>
    <w:rsid w:val="2B9F3B9D"/>
    <w:rsid w:val="2BEE0681"/>
    <w:rsid w:val="2D1633EB"/>
    <w:rsid w:val="2D611D48"/>
    <w:rsid w:val="2D964B2C"/>
    <w:rsid w:val="2E39767E"/>
    <w:rsid w:val="2E992065"/>
    <w:rsid w:val="2EB60132"/>
    <w:rsid w:val="2F850E2A"/>
    <w:rsid w:val="2F8779B7"/>
    <w:rsid w:val="2FB15C4D"/>
    <w:rsid w:val="2FCF2577"/>
    <w:rsid w:val="30C51EE4"/>
    <w:rsid w:val="30EB1633"/>
    <w:rsid w:val="30F93D50"/>
    <w:rsid w:val="311163BD"/>
    <w:rsid w:val="316B2774"/>
    <w:rsid w:val="3215051D"/>
    <w:rsid w:val="32FF3174"/>
    <w:rsid w:val="33B45BC8"/>
    <w:rsid w:val="34152599"/>
    <w:rsid w:val="345E3ECA"/>
    <w:rsid w:val="3544508A"/>
    <w:rsid w:val="35845BB2"/>
    <w:rsid w:val="35CD7559"/>
    <w:rsid w:val="360946F7"/>
    <w:rsid w:val="36AD04C3"/>
    <w:rsid w:val="36E71BB0"/>
    <w:rsid w:val="37427AD3"/>
    <w:rsid w:val="37712166"/>
    <w:rsid w:val="385414FE"/>
    <w:rsid w:val="387E1491"/>
    <w:rsid w:val="38CD4FE1"/>
    <w:rsid w:val="3A2F2590"/>
    <w:rsid w:val="3AF53BD1"/>
    <w:rsid w:val="3B5006E0"/>
    <w:rsid w:val="3C195B1F"/>
    <w:rsid w:val="3C2546B9"/>
    <w:rsid w:val="3C5F6A31"/>
    <w:rsid w:val="3C9227B9"/>
    <w:rsid w:val="3E350391"/>
    <w:rsid w:val="3E5C76CC"/>
    <w:rsid w:val="3FE1257F"/>
    <w:rsid w:val="40784565"/>
    <w:rsid w:val="408D59ED"/>
    <w:rsid w:val="40B54BA9"/>
    <w:rsid w:val="40C31C84"/>
    <w:rsid w:val="40F17C7F"/>
    <w:rsid w:val="415D577B"/>
    <w:rsid w:val="41744BE2"/>
    <w:rsid w:val="41C23CEA"/>
    <w:rsid w:val="41FF0A9A"/>
    <w:rsid w:val="42442B72"/>
    <w:rsid w:val="427C6331"/>
    <w:rsid w:val="42A653BA"/>
    <w:rsid w:val="43346CE3"/>
    <w:rsid w:val="43406525"/>
    <w:rsid w:val="43EC32A0"/>
    <w:rsid w:val="44184095"/>
    <w:rsid w:val="44CC5046"/>
    <w:rsid w:val="44F243AD"/>
    <w:rsid w:val="45595692"/>
    <w:rsid w:val="45B649C6"/>
    <w:rsid w:val="45CF4C28"/>
    <w:rsid w:val="46040D75"/>
    <w:rsid w:val="465A0995"/>
    <w:rsid w:val="46D629D1"/>
    <w:rsid w:val="47412E3C"/>
    <w:rsid w:val="47C27D6C"/>
    <w:rsid w:val="4838270D"/>
    <w:rsid w:val="48EC3373"/>
    <w:rsid w:val="48F007C1"/>
    <w:rsid w:val="493B64BB"/>
    <w:rsid w:val="495E0E6D"/>
    <w:rsid w:val="49CD7090"/>
    <w:rsid w:val="49D55251"/>
    <w:rsid w:val="49F27137"/>
    <w:rsid w:val="4AD4683C"/>
    <w:rsid w:val="4AE7656F"/>
    <w:rsid w:val="4BA52DFA"/>
    <w:rsid w:val="4BE87A98"/>
    <w:rsid w:val="4C1743E7"/>
    <w:rsid w:val="4C2E43AC"/>
    <w:rsid w:val="4C5E6D05"/>
    <w:rsid w:val="4C8D3147"/>
    <w:rsid w:val="4DBF5582"/>
    <w:rsid w:val="4E616C92"/>
    <w:rsid w:val="4E6F2E5D"/>
    <w:rsid w:val="4EC01701"/>
    <w:rsid w:val="4F9273F2"/>
    <w:rsid w:val="4F9B25B3"/>
    <w:rsid w:val="50760AC1"/>
    <w:rsid w:val="508A00C9"/>
    <w:rsid w:val="508A5A0C"/>
    <w:rsid w:val="509C7DFC"/>
    <w:rsid w:val="50B13DEA"/>
    <w:rsid w:val="51F003FF"/>
    <w:rsid w:val="52631405"/>
    <w:rsid w:val="52AE0622"/>
    <w:rsid w:val="52B70592"/>
    <w:rsid w:val="53A476F3"/>
    <w:rsid w:val="5407371F"/>
    <w:rsid w:val="544312D3"/>
    <w:rsid w:val="54482775"/>
    <w:rsid w:val="55076EDB"/>
    <w:rsid w:val="55540CA5"/>
    <w:rsid w:val="557F62EE"/>
    <w:rsid w:val="55E97640"/>
    <w:rsid w:val="562261FC"/>
    <w:rsid w:val="565019E7"/>
    <w:rsid w:val="568162FE"/>
    <w:rsid w:val="56861129"/>
    <w:rsid w:val="569861B6"/>
    <w:rsid w:val="56A77EC4"/>
    <w:rsid w:val="56B6493F"/>
    <w:rsid w:val="56D26221"/>
    <w:rsid w:val="57082C61"/>
    <w:rsid w:val="57601B83"/>
    <w:rsid w:val="57B8376D"/>
    <w:rsid w:val="5809250B"/>
    <w:rsid w:val="587D0513"/>
    <w:rsid w:val="58946959"/>
    <w:rsid w:val="589E1721"/>
    <w:rsid w:val="58DA3BB7"/>
    <w:rsid w:val="594518F8"/>
    <w:rsid w:val="59D86349"/>
    <w:rsid w:val="59E56370"/>
    <w:rsid w:val="5A5103C4"/>
    <w:rsid w:val="5A5113C2"/>
    <w:rsid w:val="5B4B48F9"/>
    <w:rsid w:val="5B6B0AF7"/>
    <w:rsid w:val="5BFE2A26"/>
    <w:rsid w:val="5C8F7148"/>
    <w:rsid w:val="5C983B6D"/>
    <w:rsid w:val="5D5B355A"/>
    <w:rsid w:val="5D8C4430"/>
    <w:rsid w:val="5E084FAF"/>
    <w:rsid w:val="5E7E6D93"/>
    <w:rsid w:val="5EAE07E6"/>
    <w:rsid w:val="5F5024DD"/>
    <w:rsid w:val="5F6103C2"/>
    <w:rsid w:val="5FBC7B73"/>
    <w:rsid w:val="5FCD130C"/>
    <w:rsid w:val="5FD07FE9"/>
    <w:rsid w:val="60261490"/>
    <w:rsid w:val="60327E35"/>
    <w:rsid w:val="60613CC2"/>
    <w:rsid w:val="60974CCE"/>
    <w:rsid w:val="60DF1D6B"/>
    <w:rsid w:val="61600AC3"/>
    <w:rsid w:val="61737CE0"/>
    <w:rsid w:val="617A62BB"/>
    <w:rsid w:val="61C64CD9"/>
    <w:rsid w:val="61E41603"/>
    <w:rsid w:val="61E64138"/>
    <w:rsid w:val="62450E0A"/>
    <w:rsid w:val="6270505E"/>
    <w:rsid w:val="62A2790D"/>
    <w:rsid w:val="62EB49FC"/>
    <w:rsid w:val="632B05B6"/>
    <w:rsid w:val="63D905AD"/>
    <w:rsid w:val="63F75A4B"/>
    <w:rsid w:val="645F3309"/>
    <w:rsid w:val="647A03AB"/>
    <w:rsid w:val="652674EA"/>
    <w:rsid w:val="653D52B2"/>
    <w:rsid w:val="6558033E"/>
    <w:rsid w:val="65B46500"/>
    <w:rsid w:val="66E2747D"/>
    <w:rsid w:val="66F7550A"/>
    <w:rsid w:val="672416C9"/>
    <w:rsid w:val="673047EC"/>
    <w:rsid w:val="67787B9A"/>
    <w:rsid w:val="6833421D"/>
    <w:rsid w:val="683B31A6"/>
    <w:rsid w:val="68B41D2F"/>
    <w:rsid w:val="68F16ADF"/>
    <w:rsid w:val="6A400097"/>
    <w:rsid w:val="6A4B69A3"/>
    <w:rsid w:val="6A9874AE"/>
    <w:rsid w:val="6AAB0F10"/>
    <w:rsid w:val="6AAD1A41"/>
    <w:rsid w:val="6B2A03FB"/>
    <w:rsid w:val="6B2A452A"/>
    <w:rsid w:val="6B9C347D"/>
    <w:rsid w:val="6BA0659B"/>
    <w:rsid w:val="6BAC13E3"/>
    <w:rsid w:val="6BAC18E9"/>
    <w:rsid w:val="6BF608B1"/>
    <w:rsid w:val="6C847C6A"/>
    <w:rsid w:val="6C8E6D3B"/>
    <w:rsid w:val="6D2F1B21"/>
    <w:rsid w:val="6D5842BF"/>
    <w:rsid w:val="6D592EA5"/>
    <w:rsid w:val="6E5F172B"/>
    <w:rsid w:val="6E8B52E0"/>
    <w:rsid w:val="6F3232B4"/>
    <w:rsid w:val="6F5D0B2F"/>
    <w:rsid w:val="6F6117F5"/>
    <w:rsid w:val="6F84274A"/>
    <w:rsid w:val="6FBE314B"/>
    <w:rsid w:val="6FDC216E"/>
    <w:rsid w:val="70217AAF"/>
    <w:rsid w:val="7089584F"/>
    <w:rsid w:val="70A0444C"/>
    <w:rsid w:val="71777D9E"/>
    <w:rsid w:val="71B40FF2"/>
    <w:rsid w:val="71E7396A"/>
    <w:rsid w:val="72BA35A9"/>
    <w:rsid w:val="73840550"/>
    <w:rsid w:val="74FC2405"/>
    <w:rsid w:val="75D26E7B"/>
    <w:rsid w:val="76375D4D"/>
    <w:rsid w:val="768F7938"/>
    <w:rsid w:val="76C07028"/>
    <w:rsid w:val="77457F51"/>
    <w:rsid w:val="78373BAC"/>
    <w:rsid w:val="78D4376C"/>
    <w:rsid w:val="78E33F6B"/>
    <w:rsid w:val="795814B0"/>
    <w:rsid w:val="79775D93"/>
    <w:rsid w:val="799B26EC"/>
    <w:rsid w:val="79AC2896"/>
    <w:rsid w:val="79BD47BC"/>
    <w:rsid w:val="79DA107C"/>
    <w:rsid w:val="7AD44824"/>
    <w:rsid w:val="7AE069B4"/>
    <w:rsid w:val="7B853EC3"/>
    <w:rsid w:val="7BE75B20"/>
    <w:rsid w:val="7C1103AD"/>
    <w:rsid w:val="7C120399"/>
    <w:rsid w:val="7C2B1EB0"/>
    <w:rsid w:val="7C482A62"/>
    <w:rsid w:val="7CAE2B9E"/>
    <w:rsid w:val="7D18299B"/>
    <w:rsid w:val="7D5E1E12"/>
    <w:rsid w:val="7DE20782"/>
    <w:rsid w:val="7DEE13E8"/>
    <w:rsid w:val="7E2F5732"/>
    <w:rsid w:val="7EE03426"/>
    <w:rsid w:val="7EFC2E7C"/>
    <w:rsid w:val="7F505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6">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8">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9">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10">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11">
    <w:name w:val="heading 6"/>
    <w:basedOn w:val="10"/>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2">
    <w:name w:val="heading 7"/>
    <w:basedOn w:val="11"/>
    <w:next w:val="1"/>
    <w:link w:val="101"/>
    <w:autoRedefine/>
    <w:qFormat/>
    <w:uiPriority w:val="0"/>
    <w:pPr>
      <w:tabs>
        <w:tab w:val="left" w:pos="1800"/>
        <w:tab w:val="clear" w:pos="1440"/>
      </w:tabs>
      <w:ind w:left="1276" w:hanging="1276"/>
      <w:outlineLvl w:val="6"/>
    </w:pPr>
  </w:style>
  <w:style w:type="paragraph" w:styleId="13">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4">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pPr>
    <w:rPr>
      <w:sz w:val="21"/>
    </w:rPr>
  </w:style>
  <w:style w:type="paragraph" w:styleId="3">
    <w:name w:val="Body Text Indent"/>
    <w:basedOn w:val="1"/>
    <w:next w:val="4"/>
    <w:link w:val="108"/>
    <w:autoRedefine/>
    <w:unhideWhenUsed/>
    <w:qFormat/>
    <w:uiPriority w:val="0"/>
    <w:pPr>
      <w:spacing w:after="120"/>
      <w:ind w:left="420" w:leftChars="200"/>
    </w:pPr>
    <w:rPr>
      <w:rFonts w:asciiTheme="minorHAnsi" w:hAnsiTheme="minorHAnsi"/>
      <w:kern w:val="2"/>
      <w:sz w:val="21"/>
      <w:szCs w:val="22"/>
    </w:rPr>
  </w:style>
  <w:style w:type="paragraph" w:styleId="4">
    <w:name w:val="envelope return"/>
    <w:basedOn w:val="1"/>
    <w:next w:val="5"/>
    <w:qFormat/>
    <w:uiPriority w:val="0"/>
    <w:pPr>
      <w:snapToGrid w:val="0"/>
    </w:pPr>
    <w:rPr>
      <w:rFonts w:ascii="Arial" w:hAnsi="Arial"/>
    </w:rPr>
  </w:style>
  <w:style w:type="paragraph" w:styleId="5">
    <w:name w:val="toc 7"/>
    <w:basedOn w:val="1"/>
    <w:next w:val="1"/>
    <w:autoRedefine/>
    <w:unhideWhenUsed/>
    <w:qFormat/>
    <w:uiPriority w:val="39"/>
    <w:pPr>
      <w:ind w:left="1260"/>
      <w:jc w:val="left"/>
    </w:pPr>
    <w:rPr>
      <w:rFonts w:ascii="Calibri" w:hAnsi="Calibri" w:cs="Calibri"/>
      <w:kern w:val="2"/>
      <w:sz w:val="18"/>
      <w:szCs w:val="18"/>
    </w:rPr>
  </w:style>
  <w:style w:type="paragraph" w:styleId="15">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6">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7">
    <w:name w:val="caption"/>
    <w:basedOn w:val="1"/>
    <w:next w:val="1"/>
    <w:autoRedefine/>
    <w:qFormat/>
    <w:uiPriority w:val="0"/>
    <w:pPr>
      <w:spacing w:before="152" w:after="160"/>
    </w:pPr>
    <w:rPr>
      <w:rFonts w:ascii="Arial" w:hAnsi="Arial" w:eastAsia="黑体" w:cs="Arial"/>
      <w:kern w:val="2"/>
    </w:rPr>
  </w:style>
  <w:style w:type="paragraph" w:styleId="18">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9">
    <w:name w:val="annotation text"/>
    <w:basedOn w:val="1"/>
    <w:link w:val="84"/>
    <w:autoRedefine/>
    <w:qFormat/>
    <w:uiPriority w:val="0"/>
    <w:pPr>
      <w:jc w:val="left"/>
    </w:pPr>
    <w:rPr>
      <w:rFonts w:ascii="Arial" w:hAnsi="Arial" w:eastAsia="黑体" w:cs="Arial"/>
    </w:rPr>
  </w:style>
  <w:style w:type="paragraph" w:styleId="20">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21">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2">
    <w:name w:val="Body Text"/>
    <w:basedOn w:val="1"/>
    <w:link w:val="93"/>
    <w:autoRedefine/>
    <w:qFormat/>
    <w:uiPriority w:val="0"/>
    <w:pPr>
      <w:spacing w:after="120"/>
    </w:pPr>
    <w:rPr>
      <w:rFonts w:ascii="@微软简标宋" w:hAnsi="@微软简标宋" w:eastAsia="@微软简标宋" w:cs="@微软简标宋"/>
      <w:szCs w:val="24"/>
      <w:lang w:val="zh-CN"/>
    </w:rPr>
  </w:style>
  <w:style w:type="paragraph" w:styleId="23">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4">
    <w:name w:val="List Continue"/>
    <w:basedOn w:val="1"/>
    <w:autoRedefine/>
    <w:qFormat/>
    <w:uiPriority w:val="0"/>
    <w:pPr>
      <w:spacing w:after="120"/>
      <w:ind w:left="420" w:leftChars="200"/>
    </w:pPr>
    <w:rPr>
      <w:rFonts w:ascii="Calibri" w:hAnsi="Calibri" w:cs="Times New Roman"/>
      <w:kern w:val="2"/>
      <w:sz w:val="21"/>
      <w:szCs w:val="22"/>
    </w:rPr>
  </w:style>
  <w:style w:type="paragraph" w:styleId="25">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6">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7">
    <w:name w:val="toc 5"/>
    <w:basedOn w:val="1"/>
    <w:next w:val="1"/>
    <w:autoRedefine/>
    <w:unhideWhenUsed/>
    <w:qFormat/>
    <w:uiPriority w:val="39"/>
    <w:pPr>
      <w:ind w:left="840"/>
      <w:jc w:val="left"/>
    </w:pPr>
    <w:rPr>
      <w:rFonts w:ascii="Calibri" w:hAnsi="Calibri" w:cs="Calibri"/>
      <w:kern w:val="2"/>
      <w:sz w:val="18"/>
      <w:szCs w:val="18"/>
    </w:rPr>
  </w:style>
  <w:style w:type="paragraph" w:styleId="28">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9">
    <w:name w:val="Plain Text"/>
    <w:basedOn w:val="1"/>
    <w:next w:val="1"/>
    <w:link w:val="73"/>
    <w:autoRedefine/>
    <w:qFormat/>
    <w:uiPriority w:val="0"/>
    <w:rPr>
      <w:rFonts w:hAnsi="Courier New" w:eastAsiaTheme="minorEastAsia"/>
      <w:szCs w:val="22"/>
    </w:rPr>
  </w:style>
  <w:style w:type="paragraph" w:styleId="30">
    <w:name w:val="toc 8"/>
    <w:basedOn w:val="1"/>
    <w:next w:val="1"/>
    <w:autoRedefine/>
    <w:unhideWhenUsed/>
    <w:qFormat/>
    <w:uiPriority w:val="39"/>
    <w:pPr>
      <w:ind w:left="1470"/>
      <w:jc w:val="left"/>
    </w:pPr>
    <w:rPr>
      <w:rFonts w:ascii="Calibri" w:hAnsi="Calibri" w:cs="Calibri"/>
      <w:kern w:val="2"/>
      <w:sz w:val="18"/>
      <w:szCs w:val="18"/>
    </w:rPr>
  </w:style>
  <w:style w:type="paragraph" w:styleId="31">
    <w:name w:val="Date"/>
    <w:basedOn w:val="1"/>
    <w:next w:val="1"/>
    <w:link w:val="80"/>
    <w:autoRedefine/>
    <w:qFormat/>
    <w:uiPriority w:val="0"/>
    <w:rPr>
      <w:rFonts w:ascii="Arial" w:hAnsi="Arial" w:cs="Arial"/>
      <w:b/>
      <w:sz w:val="28"/>
    </w:rPr>
  </w:style>
  <w:style w:type="paragraph" w:styleId="32">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3">
    <w:name w:val="Balloon Text"/>
    <w:basedOn w:val="1"/>
    <w:link w:val="67"/>
    <w:autoRedefine/>
    <w:unhideWhenUsed/>
    <w:qFormat/>
    <w:uiPriority w:val="0"/>
    <w:rPr>
      <w:sz w:val="18"/>
      <w:szCs w:val="18"/>
    </w:rPr>
  </w:style>
  <w:style w:type="paragraph" w:styleId="34">
    <w:name w:val="footer"/>
    <w:basedOn w:val="1"/>
    <w:link w:val="72"/>
    <w:autoRedefine/>
    <w:unhideWhenUsed/>
    <w:qFormat/>
    <w:uiPriority w:val="99"/>
    <w:pPr>
      <w:tabs>
        <w:tab w:val="center" w:pos="4153"/>
        <w:tab w:val="right" w:pos="8306"/>
      </w:tabs>
      <w:snapToGrid w:val="0"/>
      <w:jc w:val="left"/>
    </w:pPr>
    <w:rPr>
      <w:sz w:val="18"/>
      <w:szCs w:val="18"/>
    </w:rPr>
  </w:style>
  <w:style w:type="paragraph" w:styleId="35">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7">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8">
    <w:name w:val="toc 4"/>
    <w:basedOn w:val="1"/>
    <w:next w:val="1"/>
    <w:autoRedefine/>
    <w:unhideWhenUsed/>
    <w:qFormat/>
    <w:uiPriority w:val="39"/>
    <w:pPr>
      <w:ind w:left="630"/>
      <w:jc w:val="left"/>
    </w:pPr>
    <w:rPr>
      <w:rFonts w:ascii="Calibri" w:hAnsi="Calibri" w:cs="Calibri"/>
      <w:kern w:val="2"/>
      <w:sz w:val="18"/>
      <w:szCs w:val="18"/>
    </w:rPr>
  </w:style>
  <w:style w:type="paragraph" w:styleId="39">
    <w:name w:val="index heading"/>
    <w:basedOn w:val="1"/>
    <w:next w:val="40"/>
    <w:autoRedefine/>
    <w:semiHidden/>
    <w:qFormat/>
    <w:uiPriority w:val="0"/>
    <w:rPr>
      <w:rFonts w:ascii="Times New Roman" w:hAnsi="Times New Roman" w:cs="Times New Roman"/>
      <w:kern w:val="2"/>
      <w:sz w:val="21"/>
      <w:szCs w:val="24"/>
    </w:rPr>
  </w:style>
  <w:style w:type="paragraph" w:styleId="40">
    <w:name w:val="index 1"/>
    <w:basedOn w:val="1"/>
    <w:next w:val="1"/>
    <w:autoRedefine/>
    <w:qFormat/>
    <w:uiPriority w:val="0"/>
    <w:pPr>
      <w:jc w:val="center"/>
    </w:pPr>
    <w:rPr>
      <w:rFonts w:ascii="Arial" w:hAnsi="Arial" w:eastAsia="Arial" w:cs="Arial"/>
      <w:b/>
      <w:bCs/>
      <w:sz w:val="28"/>
    </w:rPr>
  </w:style>
  <w:style w:type="paragraph" w:styleId="41">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2">
    <w:name w:val="List"/>
    <w:basedOn w:val="1"/>
    <w:autoRedefine/>
    <w:qFormat/>
    <w:uiPriority w:val="0"/>
    <w:pPr>
      <w:ind w:left="200" w:hanging="200" w:hangingChars="200"/>
    </w:pPr>
    <w:rPr>
      <w:rFonts w:ascii="Calibri" w:hAnsi="Calibri" w:cs="Times New Roman"/>
      <w:kern w:val="2"/>
      <w:sz w:val="21"/>
      <w:szCs w:val="22"/>
    </w:rPr>
  </w:style>
  <w:style w:type="paragraph" w:styleId="43">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4">
    <w:name w:val="toc 6"/>
    <w:basedOn w:val="1"/>
    <w:next w:val="1"/>
    <w:autoRedefine/>
    <w:unhideWhenUsed/>
    <w:qFormat/>
    <w:uiPriority w:val="39"/>
    <w:pPr>
      <w:ind w:left="1050"/>
      <w:jc w:val="left"/>
    </w:pPr>
    <w:rPr>
      <w:rFonts w:ascii="Calibri" w:hAnsi="Calibri" w:cs="Calibri"/>
      <w:kern w:val="2"/>
      <w:sz w:val="18"/>
      <w:szCs w:val="18"/>
    </w:rPr>
  </w:style>
  <w:style w:type="paragraph" w:styleId="45">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7">
    <w:name w:val="toc 9"/>
    <w:basedOn w:val="1"/>
    <w:next w:val="1"/>
    <w:autoRedefine/>
    <w:unhideWhenUsed/>
    <w:qFormat/>
    <w:uiPriority w:val="39"/>
    <w:pPr>
      <w:ind w:left="1680"/>
      <w:jc w:val="left"/>
    </w:pPr>
    <w:rPr>
      <w:rFonts w:ascii="Calibri" w:hAnsi="Calibri" w:cs="Calibri"/>
      <w:kern w:val="2"/>
      <w:sz w:val="18"/>
      <w:szCs w:val="18"/>
    </w:rPr>
  </w:style>
  <w:style w:type="paragraph" w:styleId="48">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9">
    <w:name w:val="List 4"/>
    <w:basedOn w:val="1"/>
    <w:autoRedefine/>
    <w:qFormat/>
    <w:uiPriority w:val="0"/>
    <w:pPr>
      <w:ind w:left="100" w:leftChars="600" w:hanging="200" w:hangingChars="200"/>
    </w:pPr>
    <w:rPr>
      <w:rFonts w:ascii="Calibri" w:hAnsi="Calibri" w:cs="Times New Roman"/>
      <w:kern w:val="2"/>
      <w:sz w:val="21"/>
      <w:szCs w:val="22"/>
    </w:rPr>
  </w:style>
  <w:style w:type="paragraph" w:styleId="50">
    <w:name w:val="List Continue 2"/>
    <w:basedOn w:val="1"/>
    <w:autoRedefine/>
    <w:qFormat/>
    <w:uiPriority w:val="0"/>
    <w:pPr>
      <w:spacing w:after="120"/>
      <w:ind w:left="840" w:leftChars="400"/>
    </w:pPr>
    <w:rPr>
      <w:rFonts w:ascii="Calibri" w:hAnsi="Calibri" w:cs="Times New Roman"/>
      <w:kern w:val="2"/>
      <w:sz w:val="21"/>
      <w:szCs w:val="22"/>
    </w:rPr>
  </w:style>
  <w:style w:type="paragraph" w:styleId="51">
    <w:name w:val="Normal (Web)"/>
    <w:basedOn w:val="1"/>
    <w:next w:val="52"/>
    <w:autoRedefine/>
    <w:qFormat/>
    <w:uiPriority w:val="0"/>
    <w:pPr>
      <w:widowControl/>
      <w:spacing w:before="100" w:beforeAutospacing="1" w:after="100" w:afterAutospacing="1"/>
      <w:jc w:val="left"/>
    </w:pPr>
    <w:rPr>
      <w:rFonts w:cs="宋体"/>
      <w:color w:val="0066CC"/>
      <w:sz w:val="24"/>
      <w:szCs w:val="24"/>
    </w:rPr>
  </w:style>
  <w:style w:type="paragraph" w:customStyle="1" w:styleId="52">
    <w:name w:val="正文文字 8"/>
    <w:basedOn w:val="1"/>
    <w:next w:val="1"/>
    <w:qFormat/>
    <w:uiPriority w:val="0"/>
    <w:pPr>
      <w:ind w:left="240"/>
    </w:pPr>
    <w:rPr>
      <w:sz w:val="16"/>
    </w:rPr>
  </w:style>
  <w:style w:type="paragraph" w:styleId="53">
    <w:name w:val="Title"/>
    <w:basedOn w:val="7"/>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4">
    <w:name w:val="annotation subject"/>
    <w:basedOn w:val="19"/>
    <w:next w:val="19"/>
    <w:link w:val="95"/>
    <w:autoRedefine/>
    <w:unhideWhenUsed/>
    <w:qFormat/>
    <w:uiPriority w:val="0"/>
    <w:rPr>
      <w:rFonts w:ascii="宋体" w:hAnsi="宋体" w:eastAsia="宋体" w:cstheme="minorBidi"/>
      <w:b/>
      <w:bCs/>
    </w:rPr>
  </w:style>
  <w:style w:type="paragraph" w:styleId="55">
    <w:name w:val="Body Text First Indent"/>
    <w:basedOn w:val="22"/>
    <w:autoRedefine/>
    <w:semiHidden/>
    <w:unhideWhenUsed/>
    <w:qFormat/>
    <w:uiPriority w:val="99"/>
    <w:pPr>
      <w:ind w:firstLine="420" w:firstLineChars="100"/>
    </w:p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Char"/>
    <w:basedOn w:val="58"/>
    <w:link w:val="33"/>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5"/>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Char"/>
    <w:basedOn w:val="58"/>
    <w:link w:val="35"/>
    <w:autoRedefine/>
    <w:qFormat/>
    <w:uiPriority w:val="99"/>
    <w:rPr>
      <w:rFonts w:ascii="@仿宋_GB2312" w:hAnsi="@仿宋_GB2312" w:eastAsia="@仿宋_GB2312" w:cs="@仿宋_GB2312"/>
      <w:sz w:val="18"/>
      <w:szCs w:val="18"/>
    </w:rPr>
  </w:style>
  <w:style w:type="character" w:customStyle="1" w:styleId="72">
    <w:name w:val="页脚 Char"/>
    <w:basedOn w:val="58"/>
    <w:link w:val="34"/>
    <w:autoRedefine/>
    <w:qFormat/>
    <w:uiPriority w:val="99"/>
    <w:rPr>
      <w:rFonts w:ascii="@仿宋_GB2312" w:hAnsi="@仿宋_GB2312" w:eastAsia="@仿宋_GB2312" w:cs="@仿宋_GB2312"/>
      <w:sz w:val="18"/>
      <w:szCs w:val="18"/>
    </w:rPr>
  </w:style>
  <w:style w:type="character" w:customStyle="1" w:styleId="73">
    <w:name w:val="纯文本 Char"/>
    <w:link w:val="29"/>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Char"/>
    <w:link w:val="31"/>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Char1"/>
    <w:link w:val="19"/>
    <w:autoRedefine/>
    <w:qFormat/>
    <w:uiPriority w:val="99"/>
    <w:rPr>
      <w:rFonts w:ascii="Arial" w:hAnsi="Arial" w:eastAsia="黑体" w:cs="Arial"/>
      <w:szCs w:val="20"/>
    </w:rPr>
  </w:style>
  <w:style w:type="character" w:customStyle="1" w:styleId="85">
    <w:name w:val="标题 1 Char"/>
    <w:basedOn w:val="58"/>
    <w:link w:val="6"/>
    <w:autoRedefine/>
    <w:qFormat/>
    <w:uiPriority w:val="0"/>
    <w:rPr>
      <w:rFonts w:ascii="@仿宋_GB2312" w:hAnsi="@仿宋_GB2312" w:eastAsia="@仿宋_GB2312" w:cs="@仿宋_GB2312"/>
      <w:b/>
      <w:bCs/>
      <w:kern w:val="44"/>
      <w:sz w:val="44"/>
      <w:szCs w:val="44"/>
    </w:rPr>
  </w:style>
  <w:style w:type="paragraph" w:customStyle="1" w:styleId="86">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Char"/>
    <w:basedOn w:val="58"/>
    <w:link w:val="8"/>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Char"/>
    <w:link w:val="9"/>
    <w:autoRedefine/>
    <w:qFormat/>
    <w:uiPriority w:val="0"/>
    <w:rPr>
      <w:rFonts w:ascii="@仿宋_GB2312" w:hAnsi="@仿宋_GB2312" w:eastAsia="@仿宋_GB2312" w:cs="@仿宋_GB2312"/>
      <w:b/>
      <w:bCs/>
      <w:sz w:val="28"/>
      <w:szCs w:val="28"/>
    </w:rPr>
  </w:style>
  <w:style w:type="character" w:customStyle="1" w:styleId="93">
    <w:name w:val="正文文本 Char"/>
    <w:basedOn w:val="58"/>
    <w:link w:val="22"/>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5">
    <w:name w:val="批注主题 Char"/>
    <w:basedOn w:val="84"/>
    <w:link w:val="54"/>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8">
    <w:name w:val="标题 2 Char"/>
    <w:basedOn w:val="58"/>
    <w:link w:val="7"/>
    <w:autoRedefine/>
    <w:qFormat/>
    <w:uiPriority w:val="0"/>
    <w:rPr>
      <w:rFonts w:ascii="Cambria" w:hAnsi="Cambria" w:cs="Times New Roman"/>
      <w:b/>
      <w:bCs/>
      <w:kern w:val="2"/>
      <w:sz w:val="32"/>
      <w:szCs w:val="32"/>
      <w:lang w:val="zh-CN" w:eastAsia="zh-CN"/>
    </w:rPr>
  </w:style>
  <w:style w:type="character" w:customStyle="1" w:styleId="99">
    <w:name w:val="标题 5 Char"/>
    <w:basedOn w:val="58"/>
    <w:link w:val="10"/>
    <w:autoRedefine/>
    <w:qFormat/>
    <w:uiPriority w:val="0"/>
    <w:rPr>
      <w:rFonts w:ascii="Calibri" w:hAnsi="Calibri" w:cs="Times New Roman"/>
      <w:b/>
      <w:bCs/>
      <w:kern w:val="2"/>
      <w:sz w:val="28"/>
      <w:szCs w:val="28"/>
      <w:lang w:val="zh-CN" w:eastAsia="zh-CN"/>
    </w:rPr>
  </w:style>
  <w:style w:type="character" w:customStyle="1" w:styleId="100">
    <w:name w:val="标题 6 Char"/>
    <w:basedOn w:val="58"/>
    <w:link w:val="11"/>
    <w:autoRedefine/>
    <w:qFormat/>
    <w:uiPriority w:val="0"/>
    <w:rPr>
      <w:rFonts w:ascii="Times New Roman" w:hAnsi="Times New Roman" w:cs="Times New Roman"/>
      <w:b/>
      <w:bCs/>
      <w:kern w:val="2"/>
      <w:sz w:val="30"/>
      <w:szCs w:val="18"/>
      <w:lang w:val="zh-CN" w:eastAsia="zh-CN"/>
    </w:rPr>
  </w:style>
  <w:style w:type="character" w:customStyle="1" w:styleId="101">
    <w:name w:val="标题 7 Char"/>
    <w:basedOn w:val="58"/>
    <w:link w:val="12"/>
    <w:autoRedefine/>
    <w:qFormat/>
    <w:uiPriority w:val="0"/>
    <w:rPr>
      <w:rFonts w:ascii="Times New Roman" w:hAnsi="Times New Roman" w:cs="Times New Roman"/>
      <w:b/>
      <w:bCs/>
      <w:kern w:val="2"/>
      <w:sz w:val="30"/>
      <w:szCs w:val="18"/>
      <w:lang w:val="zh-CN" w:eastAsia="zh-CN"/>
    </w:rPr>
  </w:style>
  <w:style w:type="character" w:customStyle="1" w:styleId="102">
    <w:name w:val="标题 8 Char"/>
    <w:basedOn w:val="58"/>
    <w:link w:val="13"/>
    <w:autoRedefine/>
    <w:qFormat/>
    <w:uiPriority w:val="0"/>
    <w:rPr>
      <w:rFonts w:eastAsia="黑体" w:cs="Times New Roman"/>
      <w:kern w:val="2"/>
      <w:sz w:val="32"/>
      <w:szCs w:val="32"/>
      <w:lang w:val="zh-CN" w:eastAsia="zh-CN"/>
    </w:rPr>
  </w:style>
  <w:style w:type="character" w:customStyle="1" w:styleId="103">
    <w:name w:val="标题 9 Char"/>
    <w:basedOn w:val="58"/>
    <w:link w:val="14"/>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6"/>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Char"/>
    <w:basedOn w:val="58"/>
    <w:link w:val="3"/>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Char"/>
    <w:basedOn w:val="58"/>
    <w:link w:val="43"/>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8"/>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7"/>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Char"/>
    <w:basedOn w:val="58"/>
    <w:link w:val="20"/>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9"/>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Char"/>
    <w:basedOn w:val="58"/>
    <w:link w:val="45"/>
    <w:autoRedefine/>
    <w:qFormat/>
    <w:uiPriority w:val="0"/>
    <w:rPr>
      <w:rFonts w:hAnsi="MS Sans Serif" w:cs="Times New Roman"/>
      <w:bCs/>
      <w:color w:val="000000"/>
      <w:sz w:val="24"/>
      <w:lang w:val="zh-CN" w:eastAsia="zh-CN"/>
    </w:rPr>
  </w:style>
  <w:style w:type="character" w:customStyle="1" w:styleId="130">
    <w:name w:val="正文文本缩进 2 Char"/>
    <w:basedOn w:val="58"/>
    <w:link w:val="32"/>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Char"/>
    <w:basedOn w:val="58"/>
    <w:link w:val="48"/>
    <w:autoRedefine/>
    <w:qFormat/>
    <w:uiPriority w:val="0"/>
    <w:rPr>
      <w:rFonts w:hAnsi="Times New Roman" w:cs="Times New Roman"/>
      <w:spacing w:val="-20"/>
      <w:kern w:val="2"/>
      <w:sz w:val="28"/>
      <w:lang w:val="zh-CN" w:eastAsia="zh-CN"/>
    </w:rPr>
  </w:style>
  <w:style w:type="character" w:customStyle="1" w:styleId="134">
    <w:name w:val="正文文本 3 Char"/>
    <w:basedOn w:val="58"/>
    <w:link w:val="21"/>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Char"/>
    <w:basedOn w:val="58"/>
    <w:link w:val="53"/>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9"/>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Char"/>
    <w:basedOn w:val="58"/>
    <w:link w:val="18"/>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Char"/>
    <w:basedOn w:val="58"/>
    <w:link w:val="41"/>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7"/>
    <w:next w:val="26"/>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Char"/>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8"/>
    <w:link w:val="230"/>
    <w:autoRedefine/>
    <w:qFormat/>
    <w:uiPriority w:val="0"/>
    <w:pPr>
      <w:spacing w:line="413" w:lineRule="auto"/>
      <w:jc w:val="left"/>
    </w:pPr>
    <w:rPr>
      <w:rFonts w:ascii="Arial" w:hAnsi="Arial"/>
      <w:sz w:val="24"/>
    </w:rPr>
  </w:style>
  <w:style w:type="character" w:customStyle="1" w:styleId="232">
    <w:name w:val="引用 Char"/>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0">
    <w:name w:val="Table Normal"/>
    <w:autoRedefine/>
    <w:semiHidden/>
    <w:unhideWhenUsed/>
    <w:qFormat/>
    <w:uiPriority w:val="0"/>
    <w:tblPr>
      <w:tblCellMar>
        <w:top w:w="0" w:type="dxa"/>
        <w:left w:w="0" w:type="dxa"/>
        <w:bottom w:w="0" w:type="dxa"/>
        <w:right w:w="0" w:type="dxa"/>
      </w:tblCellMar>
    </w:tblPr>
  </w:style>
  <w:style w:type="paragraph" w:customStyle="1" w:styleId="271">
    <w:name w:val="Table Text"/>
    <w:basedOn w:val="1"/>
    <w:autoRedefine/>
    <w:semiHidden/>
    <w:qFormat/>
    <w:uiPriority w:val="0"/>
    <w:rPr>
      <w:rFonts w:ascii="Arial" w:hAnsi="Arial" w:eastAsia="Arial" w:cs="Arial"/>
      <w:sz w:val="21"/>
      <w:szCs w:val="21"/>
      <w:lang w:val="en-US" w:eastAsia="en-US" w:bidi="ar-SA"/>
    </w:rPr>
  </w:style>
  <w:style w:type="character" w:customStyle="1" w:styleId="272">
    <w:name w:val="fontstyle11"/>
    <w:qFormat/>
    <w:uiPriority w:val="0"/>
    <w:rPr>
      <w:rFonts w:ascii="Calibri" w:hAnsi="Calibri" w:cs="Calibri"/>
      <w:color w:val="000000"/>
      <w:sz w:val="22"/>
      <w:szCs w:val="22"/>
    </w:rPr>
  </w:style>
  <w:style w:type="paragraph" w:customStyle="1" w:styleId="273">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274">
    <w:name w:val="Table Paragraph"/>
    <w:basedOn w:val="1"/>
    <w:qFormat/>
    <w:uiPriority w:val="1"/>
    <w:rPr>
      <w:rFonts w:ascii="宋体" w:hAnsi="宋体" w:cs="宋体"/>
      <w:lang w:val="zh-CN" w:bidi="zh-CN"/>
    </w:rPr>
  </w:style>
  <w:style w:type="character" w:customStyle="1" w:styleId="275">
    <w:name w:val="10"/>
    <w:basedOn w:val="58"/>
    <w:qFormat/>
    <w:uiPriority w:val="0"/>
    <w:rPr>
      <w:rFonts w:hint="default" w:ascii="Times New Roman" w:hAnsi="Times New Roman" w:cs="Times New Roman"/>
    </w:rPr>
  </w:style>
  <w:style w:type="character" w:customStyle="1" w:styleId="276">
    <w:name w:val="15"/>
    <w:basedOn w:val="58"/>
    <w:qFormat/>
    <w:uiPriority w:val="0"/>
    <w:rPr>
      <w:rFonts w:hint="default" w:ascii="Times New Roman" w:hAnsi="Times New Roman" w:cs="Times New Roman"/>
      <w:color w:val="0000FF"/>
      <w:u w:val="single"/>
    </w:rPr>
  </w:style>
  <w:style w:type="character" w:customStyle="1" w:styleId="277">
    <w:name w:val="16"/>
    <w:basedOn w:val="58"/>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128</Pages>
  <Words>2719</Words>
  <Characters>3067</Characters>
  <Lines>1</Lines>
  <Paragraphs>1</Paragraphs>
  <TotalTime>66</TotalTime>
  <ScaleCrop>false</ScaleCrop>
  <LinksUpToDate>false</LinksUpToDate>
  <CharactersWithSpaces>3203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这不科学</cp:lastModifiedBy>
  <cp:lastPrinted>2024-06-04T09:20:00Z</cp:lastPrinted>
  <dcterms:modified xsi:type="dcterms:W3CDTF">2025-10-15T07:52:23Z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456A8E0987814F0689620C34DD97C5FE_12</vt:lpwstr>
  </property>
  <property fmtid="{D5CDD505-2E9C-101B-9397-08002B2CF9AE}" pid="4" name="KSOTemplateDocerSaveRecord">
    <vt:lpwstr>eyJoZGlkIjoiZmI5ZDY5ZDNjMmE2ZDcxYTFkMDY0Zjg5Mjg3YTE0YTgiLCJ1c2VySWQiOiI1MDM3MjkwOTMifQ==</vt:lpwstr>
  </property>
</Properties>
</file>