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171CD">
      <w:pPr>
        <w:tabs>
          <w:tab w:val="left" w:pos="315"/>
          <w:tab w:val="left" w:pos="8820"/>
        </w:tabs>
        <w:spacing w:before="240" w:beforeLines="100" w:after="120" w:afterLines="50" w:line="500" w:lineRule="exact"/>
        <w:ind w:right="267" w:rightChars="127"/>
        <w:jc w:val="center"/>
        <w:rPr>
          <w:rFonts w:hint="eastAsia" w:asciiTheme="minorEastAsia" w:hAnsiTheme="minorEastAsia" w:eastAsiaTheme="minorEastAsia"/>
          <w:b/>
          <w:bCs/>
          <w:color w:val="auto"/>
          <w:sz w:val="52"/>
          <w:szCs w:val="52"/>
          <w:highlight w:val="none"/>
          <w:lang w:val="en-US" w:eastAsia="zh-CN"/>
        </w:rPr>
      </w:pPr>
      <w:bookmarkStart w:id="0" w:name="_Hlk9544796"/>
    </w:p>
    <w:p w14:paraId="641AD5A7">
      <w:pPr>
        <w:tabs>
          <w:tab w:val="left" w:pos="315"/>
          <w:tab w:val="left" w:pos="8820"/>
        </w:tabs>
        <w:spacing w:before="240" w:beforeLines="100" w:after="120" w:afterLines="50" w:line="500" w:lineRule="exact"/>
        <w:ind w:right="267" w:rightChars="127"/>
        <w:jc w:val="center"/>
        <w:rPr>
          <w:rFonts w:hint="eastAsia" w:asciiTheme="minorEastAsia" w:hAnsiTheme="minorEastAsia" w:eastAsiaTheme="minorEastAsia"/>
          <w:b/>
          <w:bCs/>
          <w:color w:val="auto"/>
          <w:sz w:val="52"/>
          <w:szCs w:val="52"/>
          <w:highlight w:val="none"/>
          <w:lang w:val="en-US" w:eastAsia="zh-CN"/>
        </w:rPr>
      </w:pPr>
      <w:bookmarkStart w:id="94" w:name="_GoBack"/>
      <w:bookmarkEnd w:id="94"/>
    </w:p>
    <w:p w14:paraId="5EF59064">
      <w:pPr>
        <w:tabs>
          <w:tab w:val="left" w:pos="315"/>
          <w:tab w:val="left" w:pos="8820"/>
        </w:tabs>
        <w:spacing w:before="240" w:beforeLines="100" w:after="120" w:afterLines="50" w:line="480" w:lineRule="auto"/>
        <w:ind w:right="267" w:rightChars="127"/>
        <w:jc w:val="center"/>
        <w:rPr>
          <w:rFonts w:hint="eastAsia" w:asciiTheme="minorEastAsia" w:hAnsiTheme="minorEastAsia" w:eastAsiaTheme="minorEastAsia"/>
          <w:b/>
          <w:bCs/>
          <w:color w:val="auto"/>
          <w:sz w:val="48"/>
          <w:szCs w:val="48"/>
          <w:highlight w:val="none"/>
          <w:lang w:val="en-US" w:eastAsia="zh-CN"/>
        </w:rPr>
      </w:pPr>
      <w:r>
        <w:rPr>
          <w:rFonts w:hint="eastAsia" w:asciiTheme="minorEastAsia" w:hAnsiTheme="minorEastAsia" w:eastAsiaTheme="minorEastAsia"/>
          <w:b/>
          <w:bCs/>
          <w:color w:val="auto"/>
          <w:sz w:val="48"/>
          <w:szCs w:val="48"/>
          <w:highlight w:val="none"/>
          <w:lang w:val="en-US" w:eastAsia="zh-CN"/>
        </w:rPr>
        <w:t>施官服务区消控室设备采购及安装项目</w:t>
      </w:r>
    </w:p>
    <w:p w14:paraId="60E30A83">
      <w:pPr>
        <w:tabs>
          <w:tab w:val="left" w:pos="315"/>
          <w:tab w:val="left" w:pos="8820"/>
        </w:tabs>
        <w:spacing w:before="240" w:beforeLines="100" w:after="120" w:afterLines="50" w:line="500" w:lineRule="exact"/>
        <w:ind w:right="267" w:rightChars="127"/>
        <w:jc w:val="center"/>
        <w:rPr>
          <w:rFonts w:hint="eastAsia" w:asciiTheme="minorEastAsia" w:hAnsiTheme="minorEastAsia" w:eastAsiaTheme="minorEastAsia"/>
          <w:b/>
          <w:bCs/>
          <w:color w:val="auto"/>
          <w:sz w:val="52"/>
          <w:szCs w:val="52"/>
          <w:highlight w:val="none"/>
        </w:rPr>
      </w:pPr>
    </w:p>
    <w:p w14:paraId="2BA3405C">
      <w:pPr>
        <w:tabs>
          <w:tab w:val="left" w:pos="315"/>
          <w:tab w:val="left" w:pos="8820"/>
        </w:tabs>
        <w:spacing w:before="240" w:beforeLines="100" w:after="120" w:afterLines="50" w:line="500" w:lineRule="exact"/>
        <w:ind w:right="267" w:rightChars="127"/>
        <w:jc w:val="center"/>
        <w:rPr>
          <w:rFonts w:hint="default" w:asciiTheme="minorEastAsia" w:hAnsiTheme="minorEastAsia" w:eastAsiaTheme="minorEastAsia"/>
          <w:b/>
          <w:bCs/>
          <w:color w:val="auto"/>
          <w:sz w:val="52"/>
          <w:szCs w:val="52"/>
          <w:highlight w:val="none"/>
          <w:lang w:val="en-US" w:eastAsia="zh-CN"/>
        </w:rPr>
      </w:pPr>
      <w:r>
        <w:rPr>
          <w:rFonts w:hint="eastAsia" w:asciiTheme="minorEastAsia" w:hAnsiTheme="minorEastAsia" w:eastAsiaTheme="minorEastAsia"/>
          <w:b/>
          <w:bCs/>
          <w:color w:val="auto"/>
          <w:sz w:val="52"/>
          <w:szCs w:val="52"/>
          <w:highlight w:val="none"/>
        </w:rPr>
        <w:t>询价</w:t>
      </w:r>
      <w:bookmarkEnd w:id="0"/>
      <w:r>
        <w:rPr>
          <w:rFonts w:hint="eastAsia" w:asciiTheme="minorEastAsia" w:hAnsiTheme="minorEastAsia" w:eastAsiaTheme="minorEastAsia"/>
          <w:b/>
          <w:bCs/>
          <w:color w:val="auto"/>
          <w:sz w:val="52"/>
          <w:szCs w:val="52"/>
          <w:highlight w:val="none"/>
          <w:lang w:val="en-US" w:eastAsia="zh-CN"/>
        </w:rPr>
        <w:t>采购文件</w:t>
      </w:r>
    </w:p>
    <w:p w14:paraId="71277AFA">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05C1BEA3">
      <w:pPr>
        <w:tabs>
          <w:tab w:val="left" w:pos="315"/>
          <w:tab w:val="left" w:pos="8820"/>
        </w:tabs>
        <w:spacing w:before="240" w:beforeLines="100" w:after="120" w:afterLines="50" w:line="500" w:lineRule="exact"/>
        <w:ind w:right="267" w:rightChars="127"/>
        <w:jc w:val="center"/>
        <w:rPr>
          <w:rFonts w:hint="eastAsia" w:asciiTheme="minorEastAsia" w:hAnsiTheme="minorEastAsia" w:eastAsiaTheme="minorEastAsia"/>
          <w:b/>
          <w:bCs/>
          <w:color w:val="auto"/>
          <w:sz w:val="28"/>
          <w:szCs w:val="28"/>
          <w:highlight w:val="none"/>
          <w:lang w:val="en-US" w:eastAsia="zh-CN"/>
        </w:rPr>
      </w:pPr>
      <w:r>
        <w:rPr>
          <w:rFonts w:hint="eastAsia" w:asciiTheme="minorEastAsia" w:hAnsiTheme="minorEastAsia" w:eastAsiaTheme="minorEastAsia"/>
          <w:b/>
          <w:bCs/>
          <w:color w:val="auto"/>
          <w:sz w:val="28"/>
          <w:szCs w:val="28"/>
          <w:highlight w:val="none"/>
          <w:lang w:val="en-US" w:eastAsia="zh-CN"/>
        </w:rPr>
        <w:t>项目编号：HXJY1110001040215001001</w:t>
      </w:r>
    </w:p>
    <w:p w14:paraId="78ABBD46">
      <w:pPr>
        <w:tabs>
          <w:tab w:val="left" w:pos="315"/>
          <w:tab w:val="left" w:pos="8820"/>
        </w:tabs>
        <w:spacing w:before="240" w:beforeLines="100" w:after="120" w:afterLines="50" w:line="500" w:lineRule="exact"/>
        <w:ind w:right="267" w:rightChars="127"/>
        <w:jc w:val="center"/>
        <w:rPr>
          <w:rFonts w:hint="default" w:asciiTheme="minorEastAsia" w:hAnsiTheme="minorEastAsia" w:eastAsiaTheme="minorEastAsia"/>
          <w:b/>
          <w:bCs/>
          <w:color w:val="auto"/>
          <w:sz w:val="28"/>
          <w:szCs w:val="28"/>
          <w:highlight w:val="none"/>
          <w:lang w:val="en-US" w:eastAsia="zh-CN"/>
        </w:rPr>
      </w:pPr>
      <w:r>
        <w:rPr>
          <w:rFonts w:hint="eastAsia" w:asciiTheme="minorEastAsia" w:hAnsiTheme="minorEastAsia" w:eastAsiaTheme="minorEastAsia"/>
          <w:b/>
          <w:bCs/>
          <w:color w:val="auto"/>
          <w:sz w:val="28"/>
          <w:szCs w:val="28"/>
          <w:highlight w:val="none"/>
          <w:lang w:val="en-US" w:eastAsia="zh-CN"/>
        </w:rPr>
        <w:t xml:space="preserve"> </w:t>
      </w:r>
    </w:p>
    <w:p w14:paraId="269AA10A">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0BFFF10E">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2D9A790D">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4B3C6167">
      <w:pPr>
        <w:tabs>
          <w:tab w:val="left" w:pos="2410"/>
        </w:tabs>
        <w:autoSpaceDE w:val="0"/>
        <w:autoSpaceDN w:val="0"/>
        <w:adjustRightInd w:val="0"/>
        <w:snapToGrid w:val="0"/>
        <w:spacing w:line="360" w:lineRule="auto"/>
        <w:ind w:firstLine="723" w:firstLineChars="200"/>
        <w:rPr>
          <w:rFonts w:hint="eastAsia" w:asciiTheme="minorEastAsia" w:hAnsiTheme="minorEastAsia" w:eastAsiaTheme="minorEastAsia"/>
          <w:b/>
          <w:color w:val="auto"/>
          <w:spacing w:val="20"/>
          <w:kern w:val="0"/>
          <w:sz w:val="32"/>
          <w:szCs w:val="32"/>
          <w:highlight w:val="none"/>
        </w:rPr>
      </w:pPr>
      <w:r>
        <w:rPr>
          <w:rFonts w:hint="eastAsia" w:asciiTheme="minorEastAsia" w:hAnsiTheme="minorEastAsia" w:eastAsiaTheme="minorEastAsia"/>
          <w:b/>
          <w:color w:val="auto"/>
          <w:spacing w:val="20"/>
          <w:kern w:val="0"/>
          <w:sz w:val="32"/>
          <w:szCs w:val="32"/>
          <w:highlight w:val="none"/>
        </w:rPr>
        <w:t>采</w:t>
      </w:r>
      <w:r>
        <w:rPr>
          <w:rFonts w:hint="eastAsia" w:asciiTheme="minorEastAsia" w:hAnsiTheme="minorEastAsia" w:eastAsiaTheme="minorEastAsia"/>
          <w:b/>
          <w:color w:val="auto"/>
          <w:spacing w:val="20"/>
          <w:kern w:val="0"/>
          <w:sz w:val="32"/>
          <w:szCs w:val="32"/>
          <w:highlight w:val="none"/>
          <w:lang w:val="en-US" w:eastAsia="zh-CN"/>
        </w:rPr>
        <w:t xml:space="preserve"> </w:t>
      </w:r>
      <w:r>
        <w:rPr>
          <w:rFonts w:hint="eastAsia" w:asciiTheme="minorEastAsia" w:hAnsiTheme="minorEastAsia" w:eastAsiaTheme="minorEastAsia"/>
          <w:b/>
          <w:color w:val="auto"/>
          <w:spacing w:val="20"/>
          <w:kern w:val="0"/>
          <w:sz w:val="32"/>
          <w:szCs w:val="32"/>
          <w:highlight w:val="none"/>
        </w:rPr>
        <w:t>购</w:t>
      </w:r>
      <w:r>
        <w:rPr>
          <w:rFonts w:hint="eastAsia" w:asciiTheme="minorEastAsia" w:hAnsiTheme="minorEastAsia" w:eastAsiaTheme="minorEastAsia"/>
          <w:b/>
          <w:color w:val="auto"/>
          <w:spacing w:val="20"/>
          <w:kern w:val="0"/>
          <w:sz w:val="32"/>
          <w:szCs w:val="32"/>
          <w:highlight w:val="none"/>
          <w:lang w:val="en-US" w:eastAsia="zh-CN"/>
        </w:rPr>
        <w:t xml:space="preserve"> </w:t>
      </w:r>
      <w:r>
        <w:rPr>
          <w:rFonts w:hint="eastAsia" w:asciiTheme="minorEastAsia" w:hAnsiTheme="minorEastAsia" w:eastAsiaTheme="minorEastAsia"/>
          <w:b/>
          <w:color w:val="auto"/>
          <w:spacing w:val="20"/>
          <w:kern w:val="0"/>
          <w:sz w:val="32"/>
          <w:szCs w:val="32"/>
          <w:highlight w:val="none"/>
        </w:rPr>
        <w:t>人：</w:t>
      </w:r>
      <w:r>
        <w:rPr>
          <w:rFonts w:hint="eastAsia" w:asciiTheme="minorEastAsia" w:hAnsiTheme="minorEastAsia" w:eastAsiaTheme="minorEastAsia"/>
          <w:b/>
          <w:color w:val="auto"/>
          <w:spacing w:val="20"/>
          <w:kern w:val="0"/>
          <w:sz w:val="32"/>
          <w:szCs w:val="32"/>
          <w:highlight w:val="none"/>
          <w:u w:val="single"/>
          <w:lang w:val="en-US" w:eastAsia="zh-CN"/>
        </w:rPr>
        <w:t>滁州市城投交通控股有限公司</w:t>
      </w:r>
    </w:p>
    <w:p w14:paraId="56C6924D">
      <w:pPr>
        <w:tabs>
          <w:tab w:val="left" w:pos="2410"/>
        </w:tabs>
        <w:autoSpaceDE w:val="0"/>
        <w:autoSpaceDN w:val="0"/>
        <w:adjustRightInd w:val="0"/>
        <w:snapToGrid w:val="0"/>
        <w:spacing w:line="360" w:lineRule="auto"/>
        <w:ind w:firstLine="723" w:firstLineChars="200"/>
        <w:rPr>
          <w:rFonts w:asciiTheme="minorEastAsia" w:hAnsiTheme="minorEastAsia" w:eastAsiaTheme="minorEastAsia"/>
          <w:b/>
          <w:color w:val="auto"/>
          <w:spacing w:val="20"/>
          <w:kern w:val="0"/>
          <w:sz w:val="32"/>
          <w:szCs w:val="32"/>
          <w:highlight w:val="none"/>
        </w:rPr>
      </w:pPr>
    </w:p>
    <w:p w14:paraId="690E158C">
      <w:pPr>
        <w:tabs>
          <w:tab w:val="left" w:pos="2410"/>
        </w:tabs>
        <w:autoSpaceDE w:val="0"/>
        <w:autoSpaceDN w:val="0"/>
        <w:adjustRightInd w:val="0"/>
        <w:snapToGrid w:val="0"/>
        <w:spacing w:line="360" w:lineRule="auto"/>
        <w:ind w:firstLine="723" w:firstLineChars="200"/>
        <w:rPr>
          <w:rFonts w:asciiTheme="minorEastAsia" w:hAnsiTheme="minorEastAsia" w:eastAsiaTheme="minorEastAsia"/>
          <w:b/>
          <w:color w:val="auto"/>
          <w:spacing w:val="20"/>
          <w:kern w:val="0"/>
          <w:sz w:val="32"/>
          <w:szCs w:val="32"/>
          <w:highlight w:val="none"/>
        </w:rPr>
      </w:pPr>
      <w:r>
        <w:rPr>
          <w:rFonts w:hint="eastAsia" w:asciiTheme="minorEastAsia" w:hAnsiTheme="minorEastAsia" w:eastAsiaTheme="minorEastAsia"/>
          <w:b/>
          <w:color w:val="auto"/>
          <w:spacing w:val="20"/>
          <w:kern w:val="0"/>
          <w:sz w:val="32"/>
          <w:szCs w:val="32"/>
          <w:highlight w:val="none"/>
        </w:rPr>
        <w:t>代理机构：</w:t>
      </w:r>
      <w:r>
        <w:rPr>
          <w:rFonts w:hint="eastAsia" w:asciiTheme="minorEastAsia" w:hAnsiTheme="minorEastAsia" w:eastAsiaTheme="minorEastAsia"/>
          <w:b/>
          <w:color w:val="auto"/>
          <w:spacing w:val="20"/>
          <w:kern w:val="0"/>
          <w:sz w:val="32"/>
          <w:szCs w:val="32"/>
          <w:highlight w:val="none"/>
          <w:u w:val="single"/>
          <w:lang w:val="en-US" w:eastAsia="zh-CN"/>
        </w:rPr>
        <w:t>滁州市城投工程咨询管理有限公司</w:t>
      </w:r>
    </w:p>
    <w:p w14:paraId="0C38F9BF">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199E3F2F">
      <w:pPr>
        <w:tabs>
          <w:tab w:val="left" w:pos="2410"/>
        </w:tabs>
        <w:autoSpaceDE w:val="0"/>
        <w:autoSpaceDN w:val="0"/>
        <w:adjustRightInd w:val="0"/>
        <w:snapToGrid w:val="0"/>
        <w:spacing w:line="360" w:lineRule="auto"/>
        <w:ind w:firstLine="722"/>
        <w:jc w:val="center"/>
        <w:rPr>
          <w:rFonts w:asciiTheme="minorEastAsia" w:hAnsiTheme="minorEastAsia" w:eastAsiaTheme="minorEastAsia"/>
          <w:b/>
          <w:color w:val="auto"/>
          <w:sz w:val="36"/>
          <w:highlight w:val="none"/>
        </w:rPr>
      </w:pPr>
      <w:r>
        <w:rPr>
          <w:rFonts w:hint="eastAsia" w:asciiTheme="minorEastAsia" w:hAnsiTheme="minorEastAsia" w:eastAsiaTheme="minorEastAsia"/>
          <w:b/>
          <w:color w:val="auto"/>
          <w:sz w:val="36"/>
          <w:highlight w:val="none"/>
          <w:u w:val="single"/>
        </w:rPr>
        <w:t xml:space="preserve">2025 </w:t>
      </w:r>
      <w:r>
        <w:rPr>
          <w:rFonts w:hint="eastAsia" w:asciiTheme="minorEastAsia" w:hAnsiTheme="minorEastAsia" w:eastAsiaTheme="minorEastAsia"/>
          <w:b/>
          <w:color w:val="auto"/>
          <w:sz w:val="36"/>
          <w:highlight w:val="none"/>
        </w:rPr>
        <w:t>年</w:t>
      </w:r>
      <w:r>
        <w:rPr>
          <w:rFonts w:hint="eastAsia" w:asciiTheme="minorEastAsia" w:hAnsiTheme="minorEastAsia" w:eastAsiaTheme="minorEastAsia"/>
          <w:b/>
          <w:color w:val="auto"/>
          <w:sz w:val="36"/>
          <w:highlight w:val="none"/>
          <w:u w:val="single"/>
        </w:rPr>
        <w:t xml:space="preserve"> </w:t>
      </w:r>
      <w:r>
        <w:rPr>
          <w:rFonts w:hint="eastAsia" w:asciiTheme="minorEastAsia" w:hAnsiTheme="minorEastAsia" w:eastAsiaTheme="minorEastAsia"/>
          <w:b/>
          <w:color w:val="auto"/>
          <w:sz w:val="36"/>
          <w:highlight w:val="none"/>
          <w:u w:val="single"/>
          <w:lang w:val="en-US" w:eastAsia="zh-CN"/>
        </w:rPr>
        <w:t>7</w:t>
      </w:r>
      <w:r>
        <w:rPr>
          <w:rFonts w:hint="eastAsia" w:asciiTheme="minorEastAsia" w:hAnsiTheme="minorEastAsia" w:eastAsiaTheme="minorEastAsia"/>
          <w:b/>
          <w:color w:val="auto"/>
          <w:sz w:val="36"/>
          <w:highlight w:val="none"/>
          <w:u w:val="single"/>
        </w:rPr>
        <w:t xml:space="preserve"> </w:t>
      </w:r>
      <w:r>
        <w:rPr>
          <w:rFonts w:hint="eastAsia" w:asciiTheme="minorEastAsia" w:hAnsiTheme="minorEastAsia" w:eastAsiaTheme="minorEastAsia"/>
          <w:b/>
          <w:color w:val="auto"/>
          <w:sz w:val="36"/>
          <w:highlight w:val="none"/>
        </w:rPr>
        <w:t>月</w:t>
      </w:r>
      <w:r>
        <w:rPr>
          <w:rFonts w:asciiTheme="minorEastAsia" w:hAnsiTheme="minorEastAsia" w:eastAsiaTheme="minorEastAsia"/>
          <w:b/>
          <w:color w:val="auto"/>
          <w:sz w:val="36"/>
          <w:highlight w:val="none"/>
        </w:rPr>
        <w:br w:type="page"/>
      </w:r>
    </w:p>
    <w:p w14:paraId="1E061AE7">
      <w:pPr>
        <w:tabs>
          <w:tab w:val="left" w:pos="2410"/>
        </w:tabs>
        <w:autoSpaceDE w:val="0"/>
        <w:autoSpaceDN w:val="0"/>
        <w:adjustRightInd w:val="0"/>
        <w:snapToGrid w:val="0"/>
        <w:spacing w:line="360" w:lineRule="auto"/>
        <w:jc w:val="center"/>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目  录</w:t>
      </w:r>
    </w:p>
    <w:p w14:paraId="3D660BC1">
      <w:pPr>
        <w:pStyle w:val="19"/>
        <w:tabs>
          <w:tab w:val="right" w:leader="dot" w:pos="8279"/>
        </w:tabs>
        <w:rPr>
          <w:color w:val="auto"/>
          <w:highlight w:val="none"/>
        </w:rPr>
      </w:pPr>
      <w:r>
        <w:rPr>
          <w:rFonts w:asciiTheme="minorEastAsia" w:hAnsiTheme="minorEastAsia"/>
          <w:b/>
          <w:bCs/>
          <w:color w:val="auto"/>
          <w:sz w:val="24"/>
          <w:szCs w:val="24"/>
          <w:highlight w:val="none"/>
        </w:rPr>
        <w:fldChar w:fldCharType="begin"/>
      </w:r>
      <w:r>
        <w:rPr>
          <w:rFonts w:asciiTheme="minorEastAsia" w:hAnsiTheme="minorEastAsia"/>
          <w:b/>
          <w:bCs/>
          <w:color w:val="auto"/>
          <w:sz w:val="24"/>
          <w:szCs w:val="24"/>
          <w:highlight w:val="none"/>
        </w:rPr>
        <w:instrText xml:space="preserve"> </w:instrText>
      </w:r>
      <w:r>
        <w:rPr>
          <w:rFonts w:hint="eastAsia" w:asciiTheme="minorEastAsia" w:hAnsiTheme="minorEastAsia"/>
          <w:b/>
          <w:bCs/>
          <w:color w:val="auto"/>
          <w:sz w:val="24"/>
          <w:szCs w:val="24"/>
          <w:highlight w:val="none"/>
        </w:rPr>
        <w:instrText xml:space="preserve">TOC \o "1-2" \h \z \u</w:instrText>
      </w:r>
      <w:r>
        <w:rPr>
          <w:rFonts w:asciiTheme="minorEastAsia" w:hAnsiTheme="minorEastAsia"/>
          <w:b/>
          <w:bCs/>
          <w:color w:val="auto"/>
          <w:sz w:val="24"/>
          <w:szCs w:val="24"/>
          <w:highlight w:val="none"/>
        </w:rPr>
        <w:instrText xml:space="preserve"> </w:instrText>
      </w:r>
      <w:r>
        <w:rPr>
          <w:rFonts w:asciiTheme="minorEastAsia" w:hAnsiTheme="minorEastAsia"/>
          <w:b/>
          <w:bCs/>
          <w:color w:val="auto"/>
          <w:sz w:val="24"/>
          <w:szCs w:val="24"/>
          <w:highlight w:val="none"/>
        </w:rPr>
        <w:fldChar w:fldCharType="separate"/>
      </w:r>
      <w:r>
        <w:rPr>
          <w:color w:val="auto"/>
          <w:highlight w:val="none"/>
        </w:rPr>
        <w:fldChar w:fldCharType="begin"/>
      </w:r>
      <w:r>
        <w:rPr>
          <w:color w:val="auto"/>
          <w:highlight w:val="none"/>
        </w:rPr>
        <w:instrText xml:space="preserve"> HYPERLINK \l "_Toc17729" </w:instrText>
      </w:r>
      <w:r>
        <w:rPr>
          <w:color w:val="auto"/>
          <w:highlight w:val="none"/>
        </w:rPr>
        <w:fldChar w:fldCharType="separate"/>
      </w:r>
      <w:r>
        <w:rPr>
          <w:rFonts w:hint="eastAsia" w:asciiTheme="minorEastAsia" w:hAnsiTheme="minorEastAsia"/>
          <w:color w:val="auto"/>
          <w:highlight w:val="none"/>
        </w:rPr>
        <w:t xml:space="preserve">第一章 </w:t>
      </w:r>
      <w:r>
        <w:rPr>
          <w:rFonts w:asciiTheme="minorEastAsia" w:hAnsiTheme="minorEastAsia"/>
          <w:color w:val="auto"/>
          <w:highlight w:val="none"/>
        </w:rPr>
        <w:t xml:space="preserve"> </w:t>
      </w:r>
      <w:r>
        <w:rPr>
          <w:rFonts w:hint="eastAsia" w:asciiTheme="minorEastAsia" w:hAnsiTheme="minorEastAsia"/>
          <w:color w:val="auto"/>
          <w:highlight w:val="none"/>
        </w:rPr>
        <w:t>询价邀请</w:t>
      </w:r>
      <w:r>
        <w:rPr>
          <w:color w:val="auto"/>
          <w:highlight w:val="none"/>
        </w:rPr>
        <w:tab/>
      </w:r>
      <w:r>
        <w:rPr>
          <w:rFonts w:hint="eastAsia"/>
          <w:color w:val="auto"/>
          <w:highlight w:val="none"/>
        </w:rPr>
        <w:t>1</w:t>
      </w:r>
      <w:r>
        <w:rPr>
          <w:rFonts w:hint="eastAsia"/>
          <w:color w:val="auto"/>
          <w:highlight w:val="none"/>
        </w:rPr>
        <w:fldChar w:fldCharType="end"/>
      </w:r>
    </w:p>
    <w:p w14:paraId="39FCA9D7">
      <w:pPr>
        <w:pStyle w:val="19"/>
        <w:tabs>
          <w:tab w:val="right" w:leader="dot" w:pos="8279"/>
        </w:tabs>
        <w:rPr>
          <w:color w:val="auto"/>
          <w:highlight w:val="none"/>
        </w:rPr>
      </w:pPr>
      <w:r>
        <w:rPr>
          <w:color w:val="auto"/>
          <w:highlight w:val="none"/>
        </w:rPr>
        <w:fldChar w:fldCharType="begin"/>
      </w:r>
      <w:r>
        <w:rPr>
          <w:color w:val="auto"/>
          <w:highlight w:val="none"/>
        </w:rPr>
        <w:instrText xml:space="preserve"> HYPERLINK \l "_Toc3199" </w:instrText>
      </w:r>
      <w:r>
        <w:rPr>
          <w:color w:val="auto"/>
          <w:highlight w:val="none"/>
        </w:rPr>
        <w:fldChar w:fldCharType="separate"/>
      </w:r>
      <w:r>
        <w:rPr>
          <w:rFonts w:hint="eastAsia" w:asciiTheme="minorEastAsia" w:hAnsiTheme="minorEastAsia"/>
          <w:color w:val="auto"/>
          <w:highlight w:val="none"/>
        </w:rPr>
        <w:t>第二章</w:t>
      </w:r>
      <w:r>
        <w:rPr>
          <w:rFonts w:asciiTheme="minorEastAsia" w:hAnsiTheme="minorEastAsia"/>
          <w:color w:val="auto"/>
          <w:highlight w:val="none"/>
        </w:rPr>
        <w:t xml:space="preserve"> </w:t>
      </w:r>
      <w:r>
        <w:rPr>
          <w:rFonts w:hint="eastAsia" w:asciiTheme="minorEastAsia" w:hAnsiTheme="minorEastAsia"/>
          <w:color w:val="auto"/>
          <w:highlight w:val="none"/>
        </w:rPr>
        <w:t xml:space="preserve"> 供应商</w:t>
      </w:r>
      <w:r>
        <w:rPr>
          <w:rFonts w:asciiTheme="minorEastAsia" w:hAnsiTheme="minorEastAsia"/>
          <w:color w:val="auto"/>
          <w:highlight w:val="none"/>
        </w:rPr>
        <w:t>须知</w:t>
      </w:r>
      <w:r>
        <w:rPr>
          <w:color w:val="auto"/>
          <w:highlight w:val="none"/>
        </w:rPr>
        <w:tab/>
      </w:r>
      <w:r>
        <w:rPr>
          <w:rFonts w:hint="eastAsia"/>
          <w:color w:val="auto"/>
          <w:highlight w:val="none"/>
          <w:lang w:val="en-US" w:eastAsia="zh-CN"/>
        </w:rPr>
        <w:t>5</w:t>
      </w:r>
      <w:r>
        <w:rPr>
          <w:rFonts w:hint="eastAsia"/>
          <w:color w:val="auto"/>
          <w:highlight w:val="none"/>
        </w:rPr>
        <w:fldChar w:fldCharType="end"/>
      </w:r>
    </w:p>
    <w:p w14:paraId="6AA34812">
      <w:pPr>
        <w:pStyle w:val="19"/>
        <w:tabs>
          <w:tab w:val="right" w:leader="dot" w:pos="8279"/>
        </w:tabs>
        <w:rPr>
          <w:rFonts w:asciiTheme="minorEastAsia" w:hAnsiTheme="minorEastAsia"/>
          <w:bCs/>
          <w:color w:val="auto"/>
          <w:szCs w:val="24"/>
          <w:highlight w:val="none"/>
        </w:rPr>
      </w:pPr>
      <w:r>
        <w:rPr>
          <w:color w:val="auto"/>
          <w:highlight w:val="none"/>
        </w:rPr>
        <w:fldChar w:fldCharType="begin"/>
      </w:r>
      <w:r>
        <w:rPr>
          <w:color w:val="auto"/>
          <w:highlight w:val="none"/>
        </w:rPr>
        <w:instrText xml:space="preserve"> HYPERLINK \l "_Toc1471" </w:instrText>
      </w:r>
      <w:r>
        <w:rPr>
          <w:color w:val="auto"/>
          <w:highlight w:val="none"/>
        </w:rPr>
        <w:fldChar w:fldCharType="separate"/>
      </w:r>
      <w:r>
        <w:rPr>
          <w:rFonts w:hint="eastAsia" w:asciiTheme="minorEastAsia" w:hAnsiTheme="minorEastAsia"/>
          <w:color w:val="auto"/>
          <w:highlight w:val="none"/>
        </w:rPr>
        <w:t>第三章  采购需求</w:t>
      </w:r>
      <w:r>
        <w:rPr>
          <w:color w:val="auto"/>
          <w:highlight w:val="none"/>
        </w:rPr>
        <w:tab/>
      </w:r>
      <w:r>
        <w:rPr>
          <w:rFonts w:hint="eastAsia"/>
          <w:color w:val="auto"/>
          <w:highlight w:val="none"/>
          <w:lang w:val="en-US" w:eastAsia="zh-CN"/>
        </w:rPr>
        <w:t>1</w:t>
      </w:r>
      <w:r>
        <w:rPr>
          <w:rFonts w:hint="eastAsia"/>
          <w:color w:val="auto"/>
          <w:highlight w:val="none"/>
        </w:rPr>
        <w:fldChar w:fldCharType="end"/>
      </w:r>
      <w:r>
        <w:rPr>
          <w:rFonts w:hint="eastAsia"/>
          <w:color w:val="auto"/>
          <w:highlight w:val="none"/>
          <w:lang w:val="en-US" w:eastAsia="zh-CN"/>
        </w:rPr>
        <w:t>4</w:t>
      </w:r>
    </w:p>
    <w:p w14:paraId="22BCF0E2">
      <w:pPr>
        <w:pStyle w:val="19"/>
        <w:tabs>
          <w:tab w:val="right" w:leader="dot" w:pos="8279"/>
        </w:tabs>
        <w:rPr>
          <w:rFonts w:hint="default" w:eastAsiaTheme="minorEastAsia"/>
          <w:color w:val="auto"/>
          <w:highlight w:val="none"/>
          <w:lang w:val="en-US" w:eastAsia="zh-CN"/>
        </w:rPr>
      </w:pPr>
      <w:r>
        <w:rPr>
          <w:color w:val="auto"/>
          <w:highlight w:val="none"/>
        </w:rPr>
        <w:fldChar w:fldCharType="begin"/>
      </w:r>
      <w:r>
        <w:rPr>
          <w:color w:val="auto"/>
          <w:highlight w:val="none"/>
        </w:rPr>
        <w:instrText xml:space="preserve"> HYPERLINK \l "_Toc15765" </w:instrText>
      </w:r>
      <w:r>
        <w:rPr>
          <w:color w:val="auto"/>
          <w:highlight w:val="none"/>
        </w:rPr>
        <w:fldChar w:fldCharType="separate"/>
      </w:r>
      <w:r>
        <w:rPr>
          <w:rFonts w:hint="eastAsia" w:asciiTheme="minorEastAsia" w:hAnsiTheme="minorEastAsia"/>
          <w:color w:val="auto"/>
          <w:highlight w:val="none"/>
        </w:rPr>
        <w:t>第四章  评审方法和标准</w:t>
      </w:r>
      <w:r>
        <w:rPr>
          <w:color w:val="auto"/>
          <w:highlight w:val="none"/>
        </w:rPr>
        <w:tab/>
      </w:r>
      <w:r>
        <w:rPr>
          <w:rFonts w:hint="eastAsia"/>
          <w:color w:val="auto"/>
          <w:highlight w:val="none"/>
        </w:rPr>
        <w:fldChar w:fldCharType="end"/>
      </w:r>
      <w:r>
        <w:rPr>
          <w:rFonts w:hint="eastAsia"/>
          <w:color w:val="auto"/>
          <w:highlight w:val="none"/>
          <w:lang w:val="en-US" w:eastAsia="zh-CN"/>
        </w:rPr>
        <w:t>18</w:t>
      </w:r>
    </w:p>
    <w:p w14:paraId="1E6C7626">
      <w:pPr>
        <w:pStyle w:val="19"/>
        <w:tabs>
          <w:tab w:val="right" w:leader="dot" w:pos="8279"/>
        </w:tabs>
        <w:rPr>
          <w:rFonts w:hint="default"/>
          <w:color w:val="auto"/>
          <w:highlight w:val="none"/>
          <w:lang w:val="en-US"/>
        </w:rPr>
      </w:pPr>
      <w:r>
        <w:rPr>
          <w:color w:val="auto"/>
          <w:highlight w:val="none"/>
        </w:rPr>
        <w:fldChar w:fldCharType="begin"/>
      </w:r>
      <w:r>
        <w:rPr>
          <w:color w:val="auto"/>
          <w:highlight w:val="none"/>
        </w:rPr>
        <w:instrText xml:space="preserve"> HYPERLINK \l "_Toc5156" </w:instrText>
      </w:r>
      <w:r>
        <w:rPr>
          <w:color w:val="auto"/>
          <w:highlight w:val="none"/>
        </w:rPr>
        <w:fldChar w:fldCharType="separate"/>
      </w:r>
      <w:r>
        <w:rPr>
          <w:rFonts w:hint="eastAsia" w:asciiTheme="minorEastAsia" w:hAnsiTheme="minorEastAsia"/>
          <w:color w:val="auto"/>
          <w:highlight w:val="none"/>
        </w:rPr>
        <w:t xml:space="preserve">第五章  </w:t>
      </w:r>
      <w:r>
        <w:rPr>
          <w:rFonts w:asciiTheme="minorEastAsia" w:hAnsiTheme="minorEastAsia"/>
          <w:color w:val="auto"/>
          <w:highlight w:val="none"/>
        </w:rPr>
        <w:t>政府采购合同</w:t>
      </w:r>
      <w:r>
        <w:rPr>
          <w:color w:val="auto"/>
          <w:highlight w:val="none"/>
        </w:rPr>
        <w:tab/>
      </w:r>
      <w:r>
        <w:rPr>
          <w:rFonts w:hint="eastAsia"/>
          <w:color w:val="auto"/>
          <w:highlight w:val="none"/>
        </w:rPr>
        <w:fldChar w:fldCharType="end"/>
      </w:r>
      <w:r>
        <w:rPr>
          <w:rFonts w:hint="eastAsia"/>
          <w:color w:val="auto"/>
          <w:highlight w:val="none"/>
          <w:lang w:val="en-US" w:eastAsia="zh-CN"/>
        </w:rPr>
        <w:t>21</w:t>
      </w:r>
    </w:p>
    <w:p w14:paraId="2A8FBFCB">
      <w:pPr>
        <w:pStyle w:val="19"/>
        <w:tabs>
          <w:tab w:val="right" w:leader="dot" w:pos="8279"/>
        </w:tabs>
        <w:rPr>
          <w:rFonts w:hint="default" w:eastAsiaTheme="minorEastAsia"/>
          <w:color w:val="auto"/>
          <w:highlight w:val="none"/>
          <w:lang w:val="en-US" w:eastAsia="zh-CN"/>
        </w:rPr>
      </w:pPr>
      <w:r>
        <w:rPr>
          <w:color w:val="auto"/>
          <w:highlight w:val="none"/>
        </w:rPr>
        <w:fldChar w:fldCharType="begin"/>
      </w:r>
      <w:r>
        <w:rPr>
          <w:color w:val="auto"/>
          <w:highlight w:val="none"/>
        </w:rPr>
        <w:instrText xml:space="preserve"> HYPERLINK \l "_Toc29013" </w:instrText>
      </w:r>
      <w:r>
        <w:rPr>
          <w:color w:val="auto"/>
          <w:highlight w:val="none"/>
        </w:rPr>
        <w:fldChar w:fldCharType="separate"/>
      </w:r>
      <w:r>
        <w:rPr>
          <w:rFonts w:hint="eastAsia" w:asciiTheme="minorEastAsia" w:hAnsiTheme="minorEastAsia"/>
          <w:color w:val="auto"/>
          <w:highlight w:val="none"/>
        </w:rPr>
        <w:t>第六章  响应文件格式</w:t>
      </w:r>
      <w:r>
        <w:rPr>
          <w:color w:val="auto"/>
          <w:highlight w:val="none"/>
        </w:rPr>
        <w:tab/>
      </w:r>
      <w:r>
        <w:rPr>
          <w:rFonts w:hint="eastAsia"/>
          <w:color w:val="auto"/>
          <w:highlight w:val="none"/>
        </w:rPr>
        <w:fldChar w:fldCharType="end"/>
      </w:r>
      <w:r>
        <w:rPr>
          <w:rFonts w:hint="eastAsia"/>
          <w:color w:val="auto"/>
          <w:highlight w:val="none"/>
          <w:lang w:val="en-US" w:eastAsia="zh-CN"/>
        </w:rPr>
        <w:t>29</w:t>
      </w:r>
    </w:p>
    <w:p w14:paraId="57637F0D">
      <w:pPr>
        <w:pStyle w:val="19"/>
        <w:tabs>
          <w:tab w:val="right" w:leader="dot" w:pos="8279"/>
        </w:tabs>
        <w:rPr>
          <w:rFonts w:hint="default"/>
          <w:color w:val="auto"/>
          <w:highlight w:val="none"/>
          <w:lang w:val="en-US"/>
        </w:rPr>
      </w:pPr>
      <w:r>
        <w:rPr>
          <w:color w:val="auto"/>
          <w:highlight w:val="none"/>
        </w:rPr>
        <w:fldChar w:fldCharType="begin"/>
      </w:r>
      <w:r>
        <w:rPr>
          <w:color w:val="auto"/>
          <w:highlight w:val="none"/>
        </w:rPr>
        <w:instrText xml:space="preserve"> HYPERLINK \l "_Toc1141" </w:instrText>
      </w:r>
      <w:r>
        <w:rPr>
          <w:color w:val="auto"/>
          <w:highlight w:val="none"/>
        </w:rPr>
        <w:fldChar w:fldCharType="separate"/>
      </w:r>
      <w:r>
        <w:rPr>
          <w:rFonts w:hint="eastAsia"/>
          <w:color w:val="auto"/>
          <w:highlight w:val="none"/>
        </w:rPr>
        <w:t>第七章  政府采购供应商询问函和质疑函范本</w:t>
      </w:r>
      <w:r>
        <w:rPr>
          <w:color w:val="auto"/>
          <w:highlight w:val="none"/>
        </w:rPr>
        <w:tab/>
      </w:r>
      <w:r>
        <w:rPr>
          <w:rFonts w:hint="eastAsia"/>
          <w:color w:val="auto"/>
          <w:highlight w:val="none"/>
        </w:rPr>
        <w:fldChar w:fldCharType="end"/>
      </w:r>
      <w:r>
        <w:rPr>
          <w:rFonts w:hint="eastAsia"/>
          <w:color w:val="auto"/>
          <w:highlight w:val="none"/>
          <w:lang w:val="en-US" w:eastAsia="zh-CN"/>
        </w:rPr>
        <w:t>41</w:t>
      </w:r>
    </w:p>
    <w:p w14:paraId="6E6DF015">
      <w:pPr>
        <w:spacing w:line="360" w:lineRule="auto"/>
        <w:rPr>
          <w:rFonts w:asciiTheme="minorEastAsia" w:hAnsiTheme="minorEastAsia" w:eastAsiaTheme="minorEastAsia"/>
          <w:b/>
          <w:color w:val="auto"/>
          <w:sz w:val="32"/>
          <w:highlight w:val="none"/>
        </w:rPr>
      </w:pPr>
      <w:r>
        <w:rPr>
          <w:rFonts w:asciiTheme="minorEastAsia" w:hAnsiTheme="minorEastAsia" w:eastAsiaTheme="minorEastAsia"/>
          <w:bCs/>
          <w:color w:val="auto"/>
          <w:szCs w:val="24"/>
          <w:highlight w:val="none"/>
        </w:rPr>
        <w:fldChar w:fldCharType="end"/>
      </w:r>
    </w:p>
    <w:p w14:paraId="2359EDF4">
      <w:pPr>
        <w:pStyle w:val="19"/>
        <w:tabs>
          <w:tab w:val="right" w:leader="dot" w:pos="8279"/>
        </w:tabs>
        <w:rPr>
          <w:rFonts w:asciiTheme="minorEastAsia" w:hAnsiTheme="minorEastAsia"/>
          <w:b/>
          <w:color w:val="auto"/>
          <w:sz w:val="28"/>
          <w:highlight w:val="none"/>
        </w:rPr>
        <w:sectPr>
          <w:headerReference r:id="rId3" w:type="default"/>
          <w:footerReference r:id="rId4" w:type="default"/>
          <w:pgSz w:w="11905" w:h="16838"/>
          <w:pgMar w:top="1417" w:right="1417" w:bottom="1417" w:left="1417" w:header="851" w:footer="992" w:gutter="0"/>
          <w:cols w:space="0" w:num="1"/>
          <w:rtlGutter w:val="0"/>
          <w:docGrid w:type="lines" w:linePitch="313" w:charSpace="0"/>
        </w:sectPr>
      </w:pPr>
    </w:p>
    <w:p w14:paraId="07112A33">
      <w:pPr>
        <w:spacing w:line="360" w:lineRule="auto"/>
        <w:jc w:val="center"/>
        <w:outlineLvl w:val="0"/>
        <w:rPr>
          <w:rFonts w:asciiTheme="minorEastAsia" w:hAnsiTheme="minorEastAsia" w:eastAsiaTheme="minorEastAsia"/>
          <w:b/>
          <w:color w:val="auto"/>
          <w:sz w:val="28"/>
          <w:highlight w:val="none"/>
        </w:rPr>
      </w:pPr>
      <w:bookmarkStart w:id="1" w:name="_Toc17729"/>
      <w:r>
        <w:rPr>
          <w:rFonts w:hint="eastAsia" w:asciiTheme="minorEastAsia" w:hAnsiTheme="minorEastAsia" w:eastAsiaTheme="minorEastAsia"/>
          <w:b/>
          <w:color w:val="auto"/>
          <w:sz w:val="28"/>
          <w:highlight w:val="none"/>
        </w:rPr>
        <w:t>第一章 询价邀请</w:t>
      </w:r>
      <w:bookmarkEnd w:id="1"/>
    </w:p>
    <w:p w14:paraId="7E59153C">
      <w:pPr>
        <w:keepNext/>
        <w:keepLines/>
        <w:spacing w:before="260" w:after="260"/>
        <w:rPr>
          <w:rFonts w:ascii="黑体" w:hAnsi="黑体" w:eastAsia="黑体" w:cs="黑体"/>
          <w:color w:val="auto"/>
          <w:kern w:val="0"/>
          <w:sz w:val="28"/>
          <w:szCs w:val="28"/>
          <w:highlight w:val="none"/>
          <w:u w:color="000000"/>
        </w:rPr>
      </w:pPr>
      <w:bookmarkStart w:id="2" w:name="_Toc28359090"/>
      <w:bookmarkStart w:id="3" w:name="_Toc35393799"/>
      <w:bookmarkStart w:id="4" w:name="_Toc35393630"/>
      <w:bookmarkStart w:id="5" w:name="_Toc28359013"/>
      <w:r>
        <w:rPr>
          <w:rFonts w:hint="eastAsia" w:ascii="黑体" w:hAnsi="黑体" w:eastAsia="黑体" w:cs="黑体"/>
          <w:color w:val="auto"/>
          <w:kern w:val="0"/>
          <w:sz w:val="28"/>
          <w:szCs w:val="28"/>
          <w:highlight w:val="none"/>
          <w:u w:color="000000"/>
        </w:rPr>
        <w:t>一、项目基本情况</w:t>
      </w:r>
    </w:p>
    <w:p w14:paraId="585AD88B">
      <w:pPr>
        <w:widowControl/>
        <w:ind w:firstLine="560" w:firstLineChars="200"/>
        <w:textAlignment w:val="baseline"/>
        <w:rPr>
          <w:rFonts w:hint="eastAsia" w:ascii="仿宋" w:hAnsi="仿宋" w:eastAsia="仿宋" w:cs="Times New Roman"/>
          <w:color w:val="auto"/>
          <w:kern w:val="0"/>
          <w:sz w:val="28"/>
          <w:szCs w:val="28"/>
          <w:highlight w:val="none"/>
          <w:u w:color="000000"/>
          <w:lang w:val="en-US" w:eastAsia="zh-CN"/>
        </w:rPr>
      </w:pPr>
      <w:r>
        <w:rPr>
          <w:rFonts w:hint="eastAsia" w:ascii="仿宋" w:hAnsi="仿宋" w:eastAsia="仿宋" w:cs="Times New Roman"/>
          <w:color w:val="auto"/>
          <w:kern w:val="0"/>
          <w:sz w:val="28"/>
          <w:szCs w:val="28"/>
          <w:highlight w:val="none"/>
          <w:u w:color="000000"/>
        </w:rPr>
        <w:t>项目编号：</w:t>
      </w:r>
      <w:r>
        <w:rPr>
          <w:rFonts w:hint="eastAsia" w:ascii="仿宋" w:hAnsi="仿宋" w:eastAsia="仿宋" w:cs="Times New Roman"/>
          <w:color w:val="auto"/>
          <w:kern w:val="0"/>
          <w:sz w:val="28"/>
          <w:szCs w:val="28"/>
          <w:highlight w:val="none"/>
          <w:u w:color="000000"/>
          <w:lang w:val="en-US" w:eastAsia="zh-CN"/>
        </w:rPr>
        <w:t xml:space="preserve">HXJY1110001040215001001 </w:t>
      </w:r>
    </w:p>
    <w:p w14:paraId="2B92CD3B">
      <w:pPr>
        <w:widowControl/>
        <w:ind w:firstLine="560" w:firstLineChars="200"/>
        <w:textAlignment w:val="baseline"/>
        <w:rPr>
          <w:rFonts w:hint="eastAsia" w:ascii="仿宋" w:hAnsi="仿宋" w:eastAsia="仿宋" w:cs="Times New Roman"/>
          <w:color w:val="auto"/>
          <w:kern w:val="0"/>
          <w:sz w:val="28"/>
          <w:szCs w:val="28"/>
          <w:highlight w:val="none"/>
          <w:u w:color="000000"/>
          <w:lang w:eastAsia="zh-CN"/>
        </w:rPr>
      </w:pPr>
      <w:r>
        <w:rPr>
          <w:rFonts w:hint="eastAsia" w:ascii="仿宋" w:hAnsi="仿宋" w:eastAsia="仿宋" w:cs="Times New Roman"/>
          <w:color w:val="auto"/>
          <w:kern w:val="0"/>
          <w:sz w:val="28"/>
          <w:szCs w:val="28"/>
          <w:highlight w:val="none"/>
          <w:u w:color="000000"/>
        </w:rPr>
        <w:t>项目名称：</w:t>
      </w:r>
      <w:r>
        <w:rPr>
          <w:rFonts w:hint="eastAsia" w:ascii="仿宋" w:hAnsi="仿宋" w:eastAsia="仿宋" w:cs="Times New Roman"/>
          <w:color w:val="auto"/>
          <w:kern w:val="0"/>
          <w:sz w:val="28"/>
          <w:szCs w:val="28"/>
          <w:highlight w:val="none"/>
          <w:u w:color="000000"/>
          <w:lang w:val="en-US" w:eastAsia="zh-CN"/>
        </w:rPr>
        <w:t>施官服务区消控室设备采购及安装项目</w:t>
      </w:r>
    </w:p>
    <w:p w14:paraId="12535DE7">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预算金额：</w:t>
      </w:r>
      <w:r>
        <w:rPr>
          <w:rFonts w:hint="eastAsia" w:ascii="仿宋" w:hAnsi="仿宋" w:eastAsia="仿宋" w:cs="Times New Roman"/>
          <w:color w:val="auto"/>
          <w:kern w:val="0"/>
          <w:sz w:val="28"/>
          <w:szCs w:val="28"/>
          <w:highlight w:val="none"/>
          <w:u w:color="000000"/>
          <w:lang w:val="en-US" w:eastAsia="zh-CN"/>
        </w:rPr>
        <w:t>14</w:t>
      </w:r>
      <w:r>
        <w:rPr>
          <w:rFonts w:hint="eastAsia" w:ascii="仿宋" w:hAnsi="仿宋" w:eastAsia="仿宋" w:cs="Times New Roman"/>
          <w:color w:val="auto"/>
          <w:kern w:val="0"/>
          <w:sz w:val="28"/>
          <w:szCs w:val="28"/>
          <w:highlight w:val="none"/>
          <w:u w:color="000000"/>
        </w:rPr>
        <w:t>万元</w:t>
      </w:r>
    </w:p>
    <w:p w14:paraId="108E59D8">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最高限价：</w:t>
      </w:r>
      <w:r>
        <w:rPr>
          <w:rFonts w:hint="eastAsia" w:ascii="仿宋" w:hAnsi="仿宋" w:eastAsia="仿宋" w:cs="Times New Roman"/>
          <w:color w:val="auto"/>
          <w:kern w:val="0"/>
          <w:sz w:val="28"/>
          <w:szCs w:val="28"/>
          <w:highlight w:val="none"/>
          <w:u w:color="000000"/>
          <w:lang w:val="en-US" w:eastAsia="zh-CN"/>
        </w:rPr>
        <w:t>140000</w:t>
      </w:r>
      <w:r>
        <w:rPr>
          <w:rFonts w:hint="eastAsia" w:ascii="仿宋" w:hAnsi="仿宋" w:eastAsia="仿宋" w:cs="Times New Roman"/>
          <w:color w:val="auto"/>
          <w:kern w:val="0"/>
          <w:sz w:val="28"/>
          <w:szCs w:val="28"/>
          <w:highlight w:val="none"/>
          <w:u w:color="000000"/>
        </w:rPr>
        <w:t>元，响应报价不得高于最高限价，否则按无效响应处理。</w:t>
      </w:r>
    </w:p>
    <w:p w14:paraId="00A6A24C">
      <w:pPr>
        <w:widowControl/>
        <w:ind w:firstLine="560" w:firstLineChars="200"/>
        <w:textAlignment w:val="baseline"/>
        <w:rPr>
          <w:rFonts w:hint="default" w:ascii="仿宋" w:hAnsi="仿宋" w:eastAsia="仿宋" w:cs="Times New Roman"/>
          <w:color w:val="auto"/>
          <w:kern w:val="0"/>
          <w:sz w:val="28"/>
          <w:szCs w:val="28"/>
          <w:highlight w:val="none"/>
          <w:u w:color="000000"/>
          <w:lang w:val="en-US" w:eastAsia="zh-CN"/>
        </w:rPr>
      </w:pPr>
      <w:r>
        <w:rPr>
          <w:rFonts w:hint="eastAsia" w:ascii="仿宋" w:hAnsi="仿宋" w:eastAsia="仿宋" w:cs="Times New Roman"/>
          <w:color w:val="auto"/>
          <w:kern w:val="0"/>
          <w:sz w:val="28"/>
          <w:szCs w:val="28"/>
          <w:highlight w:val="none"/>
          <w:u w:color="000000"/>
        </w:rPr>
        <w:t>采购需求：</w:t>
      </w:r>
      <w:r>
        <w:rPr>
          <w:rFonts w:hint="eastAsia" w:ascii="仿宋" w:hAnsi="仿宋" w:eastAsia="仿宋" w:cs="Times New Roman"/>
          <w:color w:val="auto"/>
          <w:kern w:val="0"/>
          <w:sz w:val="28"/>
          <w:szCs w:val="28"/>
          <w:highlight w:val="none"/>
          <w:u w:color="000000"/>
          <w:lang w:val="en-US" w:eastAsia="zh-CN"/>
        </w:rPr>
        <w:t>消控室设备采购及安装</w:t>
      </w:r>
    </w:p>
    <w:p w14:paraId="13E3FEC9">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合同履行期限：</w:t>
      </w:r>
      <w:r>
        <w:rPr>
          <w:rFonts w:hint="eastAsia" w:ascii="仿宋" w:hAnsi="仿宋" w:eastAsia="仿宋" w:cs="Times New Roman"/>
          <w:color w:val="auto"/>
          <w:kern w:val="0"/>
          <w:sz w:val="28"/>
          <w:szCs w:val="28"/>
          <w:highlight w:val="none"/>
          <w:u w:color="000000"/>
          <w:lang w:val="en-US" w:eastAsia="zh-CN"/>
        </w:rPr>
        <w:t>自接到采购人通知之日起30个日历天内完成供货、安装</w:t>
      </w:r>
      <w:r>
        <w:rPr>
          <w:rFonts w:hint="eastAsia" w:ascii="仿宋" w:hAnsi="仿宋" w:eastAsia="仿宋" w:cs="Times New Roman"/>
          <w:color w:val="auto"/>
          <w:kern w:val="0"/>
          <w:sz w:val="28"/>
          <w:szCs w:val="28"/>
          <w:highlight w:val="none"/>
          <w:u w:color="000000"/>
        </w:rPr>
        <w:t>并通过相关部门验收合格。</w:t>
      </w:r>
    </w:p>
    <w:p w14:paraId="674F2E6C">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本项目不接受联合体。</w:t>
      </w:r>
    </w:p>
    <w:bookmarkEnd w:id="2"/>
    <w:bookmarkEnd w:id="3"/>
    <w:bookmarkEnd w:id="4"/>
    <w:bookmarkEnd w:id="5"/>
    <w:p w14:paraId="4E6BAE3A">
      <w:pPr>
        <w:keepNext/>
        <w:keepLines/>
        <w:spacing w:before="260" w:after="260"/>
        <w:rPr>
          <w:rFonts w:ascii="黑体" w:hAnsi="黑体" w:eastAsia="黑体" w:cs="黑体"/>
          <w:color w:val="auto"/>
          <w:kern w:val="0"/>
          <w:sz w:val="28"/>
          <w:szCs w:val="28"/>
          <w:highlight w:val="none"/>
          <w:u w:color="000000"/>
        </w:rPr>
      </w:pPr>
      <w:bookmarkStart w:id="6" w:name="_Toc35393800"/>
      <w:bookmarkStart w:id="7" w:name="_Toc28359091"/>
      <w:bookmarkStart w:id="8" w:name="_Toc28359014"/>
      <w:bookmarkStart w:id="9" w:name="_Toc35393631"/>
      <w:r>
        <w:rPr>
          <w:rFonts w:hint="eastAsia" w:ascii="黑体" w:hAnsi="黑体" w:eastAsia="黑体" w:cs="黑体"/>
          <w:color w:val="auto"/>
          <w:kern w:val="0"/>
          <w:sz w:val="28"/>
          <w:szCs w:val="28"/>
          <w:highlight w:val="none"/>
          <w:u w:color="000000"/>
        </w:rPr>
        <w:t>二、申请人的资格要求</w:t>
      </w:r>
    </w:p>
    <w:p w14:paraId="2F5BCE37">
      <w:pPr>
        <w:widowControl/>
        <w:ind w:firstLine="560" w:firstLineChars="200"/>
        <w:textAlignment w:val="baseline"/>
        <w:rPr>
          <w:rFonts w:hint="eastAsia" w:ascii="仿宋" w:hAnsi="仿宋" w:eastAsia="仿宋" w:cs="Times New Roman"/>
          <w:color w:val="auto"/>
          <w:kern w:val="0"/>
          <w:sz w:val="28"/>
          <w:szCs w:val="28"/>
          <w:highlight w:val="none"/>
          <w:u w:color="000000"/>
          <w:lang w:eastAsia="zh-CN"/>
        </w:rPr>
      </w:pPr>
      <w:r>
        <w:rPr>
          <w:rFonts w:hint="eastAsia" w:ascii="仿宋" w:hAnsi="仿宋" w:eastAsia="仿宋" w:cs="Times New Roman"/>
          <w:color w:val="auto"/>
          <w:kern w:val="0"/>
          <w:sz w:val="28"/>
          <w:szCs w:val="28"/>
          <w:highlight w:val="none"/>
          <w:u w:color="000000"/>
        </w:rPr>
        <w:t>1</w:t>
      </w:r>
      <w:r>
        <w:rPr>
          <w:rFonts w:hint="eastAsia" w:ascii="仿宋" w:hAnsi="仿宋" w:eastAsia="仿宋" w:cs="Times New Roman"/>
          <w:color w:val="auto"/>
          <w:kern w:val="0"/>
          <w:sz w:val="28"/>
          <w:szCs w:val="28"/>
          <w:highlight w:val="none"/>
          <w:u w:color="000000"/>
          <w:lang w:eastAsia="zh-CN"/>
        </w:rPr>
        <w:t>、</w:t>
      </w:r>
      <w:r>
        <w:rPr>
          <w:rFonts w:hint="eastAsia" w:ascii="仿宋" w:hAnsi="仿宋" w:eastAsia="仿宋" w:cs="Times New Roman"/>
          <w:color w:val="auto"/>
          <w:kern w:val="0"/>
          <w:sz w:val="28"/>
          <w:szCs w:val="28"/>
          <w:highlight w:val="none"/>
          <w:u w:color="000000"/>
          <w:lang w:val="en-US" w:eastAsia="zh-CN"/>
        </w:rPr>
        <w:t>供应商须具有</w:t>
      </w:r>
      <w:r>
        <w:rPr>
          <w:rFonts w:hint="eastAsia" w:ascii="仿宋" w:hAnsi="仿宋" w:eastAsia="仿宋" w:cs="Times New Roman"/>
          <w:color w:val="auto"/>
          <w:kern w:val="0"/>
          <w:sz w:val="28"/>
          <w:szCs w:val="28"/>
          <w:highlight w:val="none"/>
          <w:u w:color="000000"/>
        </w:rPr>
        <w:t>建设行政主管部门颁发的消防设施工程专业承包二级及以上资质，且具有有效的安全生产许可证</w:t>
      </w:r>
      <w:r>
        <w:rPr>
          <w:rFonts w:hint="eastAsia" w:ascii="仿宋" w:hAnsi="仿宋" w:eastAsia="仿宋" w:cs="Times New Roman"/>
          <w:color w:val="auto"/>
          <w:kern w:val="0"/>
          <w:sz w:val="28"/>
          <w:szCs w:val="28"/>
          <w:highlight w:val="none"/>
          <w:u w:color="000000"/>
          <w:lang w:eastAsia="zh-CN"/>
        </w:rPr>
        <w:t>。</w:t>
      </w:r>
    </w:p>
    <w:bookmarkEnd w:id="6"/>
    <w:bookmarkEnd w:id="7"/>
    <w:bookmarkEnd w:id="8"/>
    <w:bookmarkEnd w:id="9"/>
    <w:p w14:paraId="45A007AD">
      <w:pPr>
        <w:keepNext/>
        <w:keepLines/>
        <w:spacing w:before="260" w:after="260"/>
        <w:rPr>
          <w:rFonts w:ascii="黑体" w:hAnsi="黑体" w:eastAsia="黑体" w:cs="黑体"/>
          <w:color w:val="auto"/>
          <w:kern w:val="0"/>
          <w:sz w:val="28"/>
          <w:szCs w:val="28"/>
          <w:highlight w:val="none"/>
          <w:u w:color="000000"/>
        </w:rPr>
      </w:pPr>
      <w:bookmarkStart w:id="10" w:name="_Toc28359092"/>
      <w:bookmarkStart w:id="11" w:name="_Toc35393632"/>
      <w:bookmarkStart w:id="12" w:name="_Toc28359015"/>
      <w:bookmarkStart w:id="13" w:name="_Toc35393801"/>
      <w:r>
        <w:rPr>
          <w:rFonts w:hint="eastAsia" w:ascii="黑体" w:hAnsi="黑体" w:eastAsia="黑体" w:cs="黑体"/>
          <w:color w:val="auto"/>
          <w:kern w:val="0"/>
          <w:sz w:val="28"/>
          <w:szCs w:val="28"/>
          <w:highlight w:val="none"/>
          <w:u w:color="000000"/>
        </w:rPr>
        <w:t>三、获取采购文件</w:t>
      </w:r>
    </w:p>
    <w:p w14:paraId="01759034">
      <w:pPr>
        <w:pageBreakBefore w:val="0"/>
        <w:kinsoku/>
        <w:overflowPunct/>
        <w:topLinePunct w:val="0"/>
        <w:autoSpaceDE/>
        <w:autoSpaceDN/>
        <w:bidi w:val="0"/>
        <w:spacing w:line="240" w:lineRule="auto"/>
        <w:ind w:firstLine="5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1、采购文件获取方式：</w:t>
      </w:r>
    </w:p>
    <w:p w14:paraId="2FA3B477">
      <w:pPr>
        <w:widowControl/>
        <w:ind w:firstLine="560" w:firstLineChars="200"/>
        <w:textAlignment w:val="baseline"/>
        <w:rPr>
          <w:rFonts w:hint="eastAsia" w:ascii="仿宋" w:hAnsi="仿宋" w:eastAsia="仿宋" w:cs="Times New Roman"/>
          <w:color w:val="auto"/>
          <w:kern w:val="0"/>
          <w:sz w:val="28"/>
          <w:szCs w:val="28"/>
          <w:highlight w:val="none"/>
          <w:u w:color="000000"/>
          <w:lang w:eastAsia="zh-CN"/>
        </w:rPr>
      </w:pPr>
      <w:r>
        <w:rPr>
          <w:rFonts w:hint="eastAsia" w:ascii="仿宋" w:hAnsi="仿宋" w:eastAsia="仿宋" w:cs="Times New Roman"/>
          <w:color w:val="auto"/>
          <w:kern w:val="0"/>
          <w:sz w:val="28"/>
          <w:szCs w:val="28"/>
          <w:highlight w:val="none"/>
          <w:u w:color="000000"/>
        </w:rPr>
        <w:t>时间：2025年</w:t>
      </w:r>
      <w:r>
        <w:rPr>
          <w:rFonts w:hint="eastAsia" w:ascii="仿宋" w:hAnsi="仿宋" w:eastAsia="仿宋" w:cs="Times New Roman"/>
          <w:color w:val="auto"/>
          <w:kern w:val="0"/>
          <w:sz w:val="28"/>
          <w:szCs w:val="28"/>
          <w:highlight w:val="none"/>
          <w:u w:color="000000"/>
          <w:lang w:val="en-US" w:eastAsia="zh-CN"/>
        </w:rPr>
        <w:t>7</w:t>
      </w:r>
      <w:r>
        <w:rPr>
          <w:rFonts w:hint="eastAsia" w:ascii="仿宋" w:hAnsi="仿宋" w:eastAsia="仿宋" w:cs="Times New Roman"/>
          <w:color w:val="auto"/>
          <w:kern w:val="0"/>
          <w:sz w:val="28"/>
          <w:szCs w:val="28"/>
          <w:highlight w:val="none"/>
          <w:u w:color="000000"/>
        </w:rPr>
        <w:t>月</w:t>
      </w:r>
      <w:r>
        <w:rPr>
          <w:rFonts w:hint="eastAsia" w:ascii="仿宋" w:hAnsi="仿宋" w:eastAsia="仿宋" w:cs="Times New Roman"/>
          <w:color w:val="auto"/>
          <w:kern w:val="0"/>
          <w:sz w:val="28"/>
          <w:szCs w:val="28"/>
          <w:highlight w:val="none"/>
          <w:u w:color="000000"/>
          <w:lang w:val="en-US" w:eastAsia="zh-CN"/>
        </w:rPr>
        <w:t>29</w:t>
      </w:r>
      <w:r>
        <w:rPr>
          <w:rFonts w:hint="eastAsia" w:ascii="仿宋" w:hAnsi="仿宋" w:eastAsia="仿宋" w:cs="Times New Roman"/>
          <w:color w:val="auto"/>
          <w:kern w:val="0"/>
          <w:sz w:val="28"/>
          <w:szCs w:val="28"/>
          <w:highlight w:val="none"/>
          <w:u w:color="000000"/>
        </w:rPr>
        <w:t>日至2025年</w:t>
      </w:r>
      <w:r>
        <w:rPr>
          <w:rFonts w:hint="eastAsia" w:ascii="仿宋" w:hAnsi="仿宋" w:eastAsia="仿宋" w:cs="Times New Roman"/>
          <w:color w:val="auto"/>
          <w:kern w:val="0"/>
          <w:sz w:val="28"/>
          <w:szCs w:val="28"/>
          <w:highlight w:val="none"/>
          <w:u w:color="000000"/>
          <w:lang w:val="en-US" w:eastAsia="zh-CN"/>
        </w:rPr>
        <w:t>8</w:t>
      </w:r>
      <w:r>
        <w:rPr>
          <w:rFonts w:hint="eastAsia" w:ascii="仿宋" w:hAnsi="仿宋" w:eastAsia="仿宋" w:cs="Times New Roman"/>
          <w:color w:val="auto"/>
          <w:kern w:val="0"/>
          <w:sz w:val="28"/>
          <w:szCs w:val="28"/>
          <w:highlight w:val="none"/>
          <w:u w:color="000000"/>
          <w:lang w:eastAsia="zh-CN"/>
        </w:rPr>
        <w:t>月</w:t>
      </w:r>
      <w:r>
        <w:rPr>
          <w:rFonts w:hint="eastAsia" w:ascii="仿宋" w:hAnsi="仿宋" w:eastAsia="仿宋" w:cs="Times New Roman"/>
          <w:color w:val="auto"/>
          <w:kern w:val="0"/>
          <w:sz w:val="28"/>
          <w:szCs w:val="28"/>
          <w:highlight w:val="none"/>
          <w:u w:color="000000"/>
          <w:lang w:val="en-US" w:eastAsia="zh-CN"/>
        </w:rPr>
        <w:t>1</w:t>
      </w:r>
      <w:r>
        <w:rPr>
          <w:rFonts w:hint="eastAsia" w:ascii="仿宋" w:hAnsi="仿宋" w:eastAsia="仿宋" w:cs="Times New Roman"/>
          <w:color w:val="auto"/>
          <w:kern w:val="0"/>
          <w:sz w:val="28"/>
          <w:szCs w:val="28"/>
          <w:highlight w:val="none"/>
          <w:u w:color="000000"/>
          <w:lang w:eastAsia="zh-CN"/>
        </w:rPr>
        <w:t>日</w:t>
      </w:r>
    </w:p>
    <w:p w14:paraId="4DAE67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atLeast"/>
        <w:ind w:left="0" w:right="0" w:firstLine="567"/>
        <w:jc w:val="left"/>
        <w:textAlignment w:val="auto"/>
        <w:rPr>
          <w:rFonts w:ascii="微软雅黑" w:hAnsi="微软雅黑" w:eastAsia="微软雅黑" w:cs="微软雅黑"/>
          <w:i w:val="0"/>
          <w:iCs w:val="0"/>
          <w:caps w:val="0"/>
          <w:color w:val="auto"/>
          <w:spacing w:val="0"/>
          <w:sz w:val="21"/>
          <w:szCs w:val="21"/>
          <w:highlight w:val="none"/>
        </w:rPr>
      </w:pPr>
      <w:r>
        <w:rPr>
          <w:rFonts w:ascii="仿宋" w:hAnsi="仿宋" w:eastAsia="仿宋" w:cs="仿宋"/>
          <w:i w:val="0"/>
          <w:iCs w:val="0"/>
          <w:caps w:val="0"/>
          <w:color w:val="auto"/>
          <w:spacing w:val="0"/>
          <w:kern w:val="0"/>
          <w:sz w:val="28"/>
          <w:szCs w:val="28"/>
          <w:highlight w:val="none"/>
          <w:shd w:val="clear" w:color="auto" w:fill="FFFFFF"/>
          <w:lang w:val="en-US" w:eastAsia="zh-CN" w:bidi="ar"/>
        </w:rPr>
        <w:t>地点：</w:t>
      </w: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请于公告发布之日起从滁州市城投工程咨询管理有限公司官网（https://www.czctgczx.com/）下载。供应商自行承担因未按要求获取采购文件导致无法上传电子响应文件的风险。</w:t>
      </w:r>
    </w:p>
    <w:p w14:paraId="2ABF1F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atLeast"/>
        <w:ind w:left="0" w:right="0" w:firstLine="565"/>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方式：（1）供应商须登录新点电子交易平台【滁州专区】查询、获取采购文件。首次登录办理入库手续，办理入库不收取任何费用。新点电子招投标统一认证平台使用相关问题（如系统登录、信息登记、录入及提交、数字证书关联等）请拨打服务电话：4009280095-5（工作日）。  </w:t>
      </w:r>
    </w:p>
    <w:p w14:paraId="151F23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atLeast"/>
        <w:ind w:left="0" w:right="0" w:firstLine="565"/>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（2）供应商登录新点电子交易平台【滁州专区】获取采购文件及其它资料（含澄清和补充说明等）。如在采购文件获取过程中遇到系统问题，请拨打技术支持服务热线 4009280095或者网站首页在线客服。</w:t>
      </w:r>
    </w:p>
    <w:p w14:paraId="392FAA75">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2、询价采购文件及相关资料售价：人民币0元/套（含清单控制价、图纸及澄清答疑文件）</w:t>
      </w:r>
    </w:p>
    <w:bookmarkEnd w:id="10"/>
    <w:bookmarkEnd w:id="11"/>
    <w:bookmarkEnd w:id="12"/>
    <w:bookmarkEnd w:id="13"/>
    <w:p w14:paraId="512A2CFF">
      <w:pPr>
        <w:keepNext/>
        <w:keepLines/>
        <w:spacing w:before="260" w:after="260"/>
        <w:rPr>
          <w:rFonts w:ascii="黑体" w:hAnsi="黑体" w:eastAsia="黑体" w:cs="黑体"/>
          <w:color w:val="auto"/>
          <w:kern w:val="0"/>
          <w:sz w:val="28"/>
          <w:szCs w:val="28"/>
          <w:highlight w:val="none"/>
          <w:u w:color="000000"/>
        </w:rPr>
      </w:pPr>
      <w:bookmarkStart w:id="14" w:name="_Toc28359093"/>
      <w:bookmarkStart w:id="15" w:name="_Toc35393633"/>
      <w:bookmarkStart w:id="16" w:name="_Toc35393802"/>
      <w:bookmarkStart w:id="17" w:name="_Toc28359016"/>
      <w:r>
        <w:rPr>
          <w:rFonts w:hint="eastAsia" w:ascii="黑体" w:hAnsi="黑体" w:eastAsia="黑体" w:cs="黑体"/>
          <w:color w:val="auto"/>
          <w:kern w:val="0"/>
          <w:sz w:val="28"/>
          <w:szCs w:val="28"/>
          <w:highlight w:val="none"/>
          <w:u w:color="000000"/>
        </w:rPr>
        <w:t>四、响应文件提交</w:t>
      </w:r>
    </w:p>
    <w:p w14:paraId="72BC9FDF">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截止时间：2025年</w:t>
      </w:r>
      <w:r>
        <w:rPr>
          <w:rFonts w:hint="eastAsia" w:ascii="仿宋" w:hAnsi="仿宋" w:eastAsia="仿宋" w:cs="Times New Roman"/>
          <w:color w:val="auto"/>
          <w:kern w:val="0"/>
          <w:sz w:val="28"/>
          <w:szCs w:val="28"/>
          <w:highlight w:val="none"/>
          <w:u w:color="000000"/>
          <w:lang w:val="en-US" w:eastAsia="zh-CN"/>
        </w:rPr>
        <w:t>8</w:t>
      </w:r>
      <w:r>
        <w:rPr>
          <w:rFonts w:hint="eastAsia" w:ascii="仿宋" w:hAnsi="仿宋" w:eastAsia="仿宋" w:cs="Times New Roman"/>
          <w:color w:val="auto"/>
          <w:kern w:val="0"/>
          <w:sz w:val="28"/>
          <w:szCs w:val="28"/>
          <w:highlight w:val="none"/>
          <w:u w:color="000000"/>
          <w:lang w:eastAsia="zh-CN"/>
        </w:rPr>
        <w:t>月</w:t>
      </w:r>
      <w:r>
        <w:rPr>
          <w:rFonts w:hint="eastAsia" w:ascii="仿宋" w:hAnsi="仿宋" w:eastAsia="仿宋" w:cs="Times New Roman"/>
          <w:color w:val="auto"/>
          <w:kern w:val="0"/>
          <w:sz w:val="28"/>
          <w:szCs w:val="28"/>
          <w:highlight w:val="none"/>
          <w:u w:color="000000"/>
          <w:lang w:val="en-US" w:eastAsia="zh-CN"/>
        </w:rPr>
        <w:t>1</w:t>
      </w:r>
      <w:r>
        <w:rPr>
          <w:rFonts w:hint="eastAsia" w:ascii="仿宋" w:hAnsi="仿宋" w:eastAsia="仿宋" w:cs="Times New Roman"/>
          <w:color w:val="auto"/>
          <w:kern w:val="0"/>
          <w:sz w:val="28"/>
          <w:szCs w:val="28"/>
          <w:highlight w:val="none"/>
          <w:u w:color="000000"/>
          <w:lang w:eastAsia="zh-CN"/>
        </w:rPr>
        <w:t>日</w:t>
      </w:r>
      <w:r>
        <w:rPr>
          <w:rFonts w:hint="eastAsia" w:ascii="仿宋" w:hAnsi="仿宋" w:eastAsia="仿宋" w:cs="Times New Roman"/>
          <w:color w:val="auto"/>
          <w:kern w:val="0"/>
          <w:sz w:val="28"/>
          <w:szCs w:val="28"/>
          <w:highlight w:val="none"/>
          <w:u w:color="000000"/>
          <w:lang w:val="en-US" w:eastAsia="zh-CN"/>
        </w:rPr>
        <w:t>15</w:t>
      </w:r>
      <w:r>
        <w:rPr>
          <w:rFonts w:hint="eastAsia" w:ascii="仿宋" w:hAnsi="仿宋" w:eastAsia="仿宋" w:cs="Times New Roman"/>
          <w:color w:val="auto"/>
          <w:kern w:val="0"/>
          <w:sz w:val="28"/>
          <w:szCs w:val="28"/>
          <w:highlight w:val="none"/>
          <w:u w:color="000000"/>
        </w:rPr>
        <w:t>点00分（北京时间）（从</w:t>
      </w:r>
      <w:r>
        <w:rPr>
          <w:rFonts w:hint="eastAsia" w:ascii="仿宋" w:hAnsi="仿宋" w:eastAsia="仿宋" w:cs="Times New Roman"/>
          <w:color w:val="auto"/>
          <w:kern w:val="0"/>
          <w:sz w:val="28"/>
          <w:szCs w:val="28"/>
          <w:highlight w:val="none"/>
          <w:u w:color="000000"/>
          <w:lang w:eastAsia="zh-CN"/>
        </w:rPr>
        <w:t>询价采购文件</w:t>
      </w:r>
      <w:r>
        <w:rPr>
          <w:rFonts w:hint="eastAsia" w:ascii="仿宋" w:hAnsi="仿宋" w:eastAsia="仿宋" w:cs="Times New Roman"/>
          <w:color w:val="auto"/>
          <w:kern w:val="0"/>
          <w:sz w:val="28"/>
          <w:szCs w:val="28"/>
          <w:highlight w:val="none"/>
          <w:u w:color="000000"/>
        </w:rPr>
        <w:t>开始发出之日起至供应商提交响应文件截止之日止不得少于3个工作日）</w:t>
      </w:r>
    </w:p>
    <w:p w14:paraId="27C86F5E">
      <w:pPr>
        <w:widowControl/>
        <w:ind w:firstLine="560" w:firstLineChars="200"/>
        <w:textAlignment w:val="baseline"/>
        <w:rPr>
          <w:rFonts w:hint="eastAsia" w:ascii="仿宋" w:hAnsi="仿宋" w:eastAsia="仿宋" w:cs="Times New Roman"/>
          <w:color w:val="auto"/>
          <w:kern w:val="0"/>
          <w:sz w:val="28"/>
          <w:szCs w:val="28"/>
          <w:highlight w:val="none"/>
          <w:u w:color="000000"/>
          <w:lang w:val="en-US" w:eastAsia="zh-CN"/>
        </w:rPr>
      </w:pPr>
      <w:r>
        <w:rPr>
          <w:rFonts w:hint="eastAsia" w:ascii="仿宋" w:hAnsi="仿宋" w:eastAsia="仿宋" w:cs="Times New Roman"/>
          <w:color w:val="auto"/>
          <w:kern w:val="0"/>
          <w:sz w:val="28"/>
          <w:szCs w:val="28"/>
          <w:highlight w:val="none"/>
          <w:u w:color="000000"/>
          <w:lang w:val="en-US" w:eastAsia="zh-CN"/>
        </w:rPr>
        <w:t>方式：网上递交加密响应文件</w:t>
      </w:r>
    </w:p>
    <w:bookmarkEnd w:id="14"/>
    <w:bookmarkEnd w:id="15"/>
    <w:bookmarkEnd w:id="16"/>
    <w:bookmarkEnd w:id="17"/>
    <w:p w14:paraId="2EB338CE">
      <w:pPr>
        <w:keepNext/>
        <w:keepLines/>
        <w:spacing w:before="260" w:after="260"/>
        <w:rPr>
          <w:rFonts w:ascii="黑体" w:hAnsi="黑体" w:eastAsia="黑体" w:cs="黑体"/>
          <w:color w:val="auto"/>
          <w:kern w:val="0"/>
          <w:sz w:val="28"/>
          <w:szCs w:val="28"/>
          <w:highlight w:val="none"/>
          <w:u w:color="000000"/>
        </w:rPr>
      </w:pPr>
      <w:bookmarkStart w:id="18" w:name="_Toc2396"/>
      <w:bookmarkStart w:id="19" w:name="_Toc14529"/>
      <w:r>
        <w:rPr>
          <w:rFonts w:hint="eastAsia" w:ascii="黑体" w:hAnsi="黑体" w:eastAsia="黑体" w:cs="黑体"/>
          <w:color w:val="auto"/>
          <w:kern w:val="0"/>
          <w:sz w:val="28"/>
          <w:szCs w:val="28"/>
          <w:highlight w:val="none"/>
          <w:u w:color="000000"/>
        </w:rPr>
        <w:t>五、开启</w:t>
      </w:r>
    </w:p>
    <w:p w14:paraId="11543109">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时间：2025年</w:t>
      </w:r>
      <w:r>
        <w:rPr>
          <w:rFonts w:hint="eastAsia" w:ascii="仿宋" w:hAnsi="仿宋" w:eastAsia="仿宋" w:cs="Times New Roman"/>
          <w:color w:val="auto"/>
          <w:kern w:val="0"/>
          <w:sz w:val="28"/>
          <w:szCs w:val="28"/>
          <w:highlight w:val="none"/>
          <w:u w:color="000000"/>
          <w:lang w:val="en-US" w:eastAsia="zh-CN"/>
        </w:rPr>
        <w:t>8</w:t>
      </w:r>
      <w:r>
        <w:rPr>
          <w:rFonts w:hint="eastAsia" w:ascii="仿宋" w:hAnsi="仿宋" w:eastAsia="仿宋" w:cs="Times New Roman"/>
          <w:color w:val="auto"/>
          <w:kern w:val="0"/>
          <w:sz w:val="28"/>
          <w:szCs w:val="28"/>
          <w:highlight w:val="none"/>
          <w:u w:color="000000"/>
          <w:lang w:eastAsia="zh-CN"/>
        </w:rPr>
        <w:t>月</w:t>
      </w:r>
      <w:r>
        <w:rPr>
          <w:rFonts w:hint="eastAsia" w:ascii="仿宋" w:hAnsi="仿宋" w:eastAsia="仿宋" w:cs="Times New Roman"/>
          <w:color w:val="auto"/>
          <w:kern w:val="0"/>
          <w:sz w:val="28"/>
          <w:szCs w:val="28"/>
          <w:highlight w:val="none"/>
          <w:u w:color="000000"/>
          <w:lang w:val="en-US" w:eastAsia="zh-CN"/>
        </w:rPr>
        <w:t>1</w:t>
      </w:r>
      <w:r>
        <w:rPr>
          <w:rFonts w:hint="eastAsia" w:ascii="仿宋" w:hAnsi="仿宋" w:eastAsia="仿宋" w:cs="Times New Roman"/>
          <w:color w:val="auto"/>
          <w:kern w:val="0"/>
          <w:sz w:val="28"/>
          <w:szCs w:val="28"/>
          <w:highlight w:val="none"/>
          <w:u w:color="000000"/>
          <w:lang w:eastAsia="zh-CN"/>
        </w:rPr>
        <w:t>日</w:t>
      </w:r>
      <w:r>
        <w:rPr>
          <w:rFonts w:hint="eastAsia" w:ascii="仿宋" w:hAnsi="仿宋" w:eastAsia="仿宋" w:cs="Times New Roman"/>
          <w:color w:val="auto"/>
          <w:kern w:val="0"/>
          <w:sz w:val="28"/>
          <w:szCs w:val="28"/>
          <w:highlight w:val="none"/>
          <w:u w:color="000000"/>
          <w:lang w:val="en-US" w:eastAsia="zh-CN"/>
        </w:rPr>
        <w:t>15</w:t>
      </w:r>
      <w:r>
        <w:rPr>
          <w:rFonts w:hint="eastAsia" w:ascii="仿宋" w:hAnsi="仿宋" w:eastAsia="仿宋" w:cs="Times New Roman"/>
          <w:color w:val="auto"/>
          <w:kern w:val="0"/>
          <w:sz w:val="28"/>
          <w:szCs w:val="28"/>
          <w:highlight w:val="none"/>
          <w:u w:color="000000"/>
        </w:rPr>
        <w:t>点00分（北京时间）</w:t>
      </w:r>
    </w:p>
    <w:p w14:paraId="15776A90">
      <w:pPr>
        <w:keepNext w:val="0"/>
        <w:keepLines w:val="0"/>
        <w:pageBreakBefore w:val="0"/>
        <w:widowControl/>
        <w:kinsoku/>
        <w:wordWrap w:val="0"/>
        <w:overflowPunct/>
        <w:topLinePunct w:val="0"/>
        <w:autoSpaceDE/>
        <w:autoSpaceDN/>
        <w:bidi w:val="0"/>
        <w:adjustRightInd/>
        <w:snapToGrid/>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地点：</w:t>
      </w: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网上开标，供应商登录滁州市城投工程咨询有限公司不见面开标系统参与网上开标（网址：http://js.etrading.cn/EpointBidOpening/bidopeninghallaction/hall/login）。</w:t>
      </w:r>
    </w:p>
    <w:p w14:paraId="3194547C">
      <w:pPr>
        <w:keepNext/>
        <w:keepLines/>
        <w:spacing w:before="260" w:after="260"/>
        <w:rPr>
          <w:rFonts w:ascii="黑体" w:hAnsi="黑体" w:eastAsia="黑体" w:cs="黑体"/>
          <w:color w:val="auto"/>
          <w:kern w:val="0"/>
          <w:sz w:val="28"/>
          <w:szCs w:val="28"/>
          <w:highlight w:val="none"/>
          <w:u w:color="000000"/>
        </w:rPr>
      </w:pPr>
      <w:r>
        <w:rPr>
          <w:rFonts w:hint="eastAsia" w:ascii="黑体" w:hAnsi="黑体" w:eastAsia="黑体" w:cs="黑体"/>
          <w:color w:val="auto"/>
          <w:kern w:val="0"/>
          <w:sz w:val="28"/>
          <w:szCs w:val="28"/>
          <w:highlight w:val="none"/>
          <w:u w:color="000000"/>
        </w:rPr>
        <w:t>六、公告期限</w:t>
      </w:r>
    </w:p>
    <w:p w14:paraId="17DD1C71">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自本公告发布之日起3个工作日。</w:t>
      </w:r>
    </w:p>
    <w:bookmarkEnd w:id="18"/>
    <w:bookmarkEnd w:id="19"/>
    <w:p w14:paraId="41FD9EC3">
      <w:pPr>
        <w:keepNext/>
        <w:keepLines/>
        <w:spacing w:before="260" w:after="260"/>
        <w:rPr>
          <w:rFonts w:ascii="黑体" w:hAnsi="黑体" w:eastAsia="黑体" w:cs="黑体"/>
          <w:color w:val="auto"/>
          <w:kern w:val="0"/>
          <w:sz w:val="28"/>
          <w:szCs w:val="28"/>
          <w:highlight w:val="none"/>
          <w:u w:color="000000"/>
        </w:rPr>
      </w:pPr>
      <w:r>
        <w:rPr>
          <w:rFonts w:hint="eastAsia" w:ascii="黑体" w:hAnsi="黑体" w:eastAsia="黑体" w:cs="黑体"/>
          <w:color w:val="auto"/>
          <w:kern w:val="0"/>
          <w:sz w:val="28"/>
          <w:szCs w:val="28"/>
          <w:highlight w:val="none"/>
          <w:u w:color="000000"/>
        </w:rPr>
        <w:t>七、其他补充事宜</w:t>
      </w:r>
    </w:p>
    <w:p w14:paraId="010B033D">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请于公告发布之日起从滁州市城投工程咨询管理有限公司官网（https://www.czctgczx.com/），点击项目招标公告下方【我要投标】，登录新点电子交易平台后在【滁州专区】（https://www.etrading.cn/BREpointSSO/login/oauth2login?regioncode=DQ_ChuZhou）下载本项目采购文件。供应商自行承担因未按要求获取采购文件导致无法上传电子响应文件的风险。</w:t>
      </w:r>
    </w:p>
    <w:p w14:paraId="26B4962A">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供应商须登录新点电子交易平台【滁州专区】查询、获取采购文件。首次登录办理入库手续，办理入库不收取任何费用。新点电子招投标统一认证平台使用相关问题（如系统登录、信息登记、录入及提交、数字证书关联等）请拨打服务电话：4009280095-5（工作日）。  </w:t>
      </w:r>
    </w:p>
    <w:p w14:paraId="08832032">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3.供应商登录新点电子交易平台【滁州专区】获取采购文件及其它资料（含澄清和补充说明等）。如在采购文件获取过程中遇到系统问题，请拨打技术支持服务热线4009280095或者网站首页在线客服。</w:t>
      </w:r>
    </w:p>
    <w:p w14:paraId="65B7BDEB">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4.本项目采用不见面开标，供应商登录滁州市城投工程咨询有限公司不见面开标系统参与网上开标（网址：http://js.etrading.cn/EpointBidOpening/bidopeninghallaction/hall/login）。</w:t>
      </w:r>
    </w:p>
    <w:p w14:paraId="52D041D8">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5.供应商应在投标截止时间之前，登录新点电子交易平台【滁州专区】上传响应文件。逾期上传响应文件的，电子系统不予受理。</w:t>
      </w:r>
    </w:p>
    <w:p w14:paraId="12F14C91">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6.供应商的联系人电话(手机)、电子邮箱等通讯方式在开启过程中必须保持畅通，否则因上述原因造成的后果，责任自负。</w:t>
      </w:r>
    </w:p>
    <w:p w14:paraId="328D5344">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本项目采用电子招投标方式，请供应商在“新点电子交易平台”常用下载专区下载“新点电子交易平台专用投标文件制作软件”，仔细阅读采购文件要求和相关操作手册，以免影响响应文件编制，因供应商未及时关注相关信息对响应造成的不利后果由其自行承担。投标软件制作工具下载：https://download.bqpoint.com/download/downloaddetail.html?SourceFrom=Ztb&amp;ZtbSoftXiaQuCode=0128&amp;ZtbSoftType=tballinclusive。</w:t>
      </w:r>
    </w:p>
    <w:p w14:paraId="2451E14B">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仿宋"/>
          <w:b w:val="0"/>
          <w:bCs w:val="0"/>
          <w:color w:val="auto"/>
          <w:sz w:val="28"/>
          <w:szCs w:val="28"/>
          <w:highlight w:val="none"/>
          <w:lang w:val="en-US" w:eastAsia="zh-CN"/>
        </w:rPr>
        <w:t>8.本项目开评标实行全流程电子化，在线完成开评标活动。开标时供应商无需到达开标现场，不接受现场解密，实行远程解密和在线询标。各供应商认真学习《新点电子交易平台投标人操作手册》，务必掌握远程解密方法和在线回复询标方法</w:t>
      </w:r>
      <w:r>
        <w:rPr>
          <w:rFonts w:hint="eastAsia" w:ascii="仿宋" w:hAnsi="仿宋" w:eastAsia="仿宋" w:cs="Times New Roman"/>
          <w:color w:val="auto"/>
          <w:kern w:val="0"/>
          <w:sz w:val="28"/>
          <w:szCs w:val="28"/>
          <w:highlight w:val="none"/>
          <w:u w:color="000000"/>
        </w:rPr>
        <w:t>。</w:t>
      </w:r>
    </w:p>
    <w:p w14:paraId="07DAF5B2">
      <w:pPr>
        <w:keepNext/>
        <w:keepLines/>
        <w:spacing w:before="260" w:after="260"/>
        <w:rPr>
          <w:rFonts w:ascii="黑体" w:hAnsi="黑体" w:eastAsia="黑体" w:cs="黑体"/>
          <w:color w:val="auto"/>
          <w:kern w:val="0"/>
          <w:sz w:val="28"/>
          <w:szCs w:val="28"/>
          <w:highlight w:val="none"/>
          <w:u w:color="000000"/>
        </w:rPr>
      </w:pPr>
      <w:r>
        <w:rPr>
          <w:rFonts w:hint="eastAsia" w:ascii="黑体" w:hAnsi="黑体" w:eastAsia="黑体" w:cs="黑体"/>
          <w:color w:val="auto"/>
          <w:kern w:val="0"/>
          <w:sz w:val="28"/>
          <w:szCs w:val="28"/>
          <w:highlight w:val="none"/>
          <w:u w:color="000000"/>
        </w:rPr>
        <w:t>八、凡对本次采购提出询问，请按以下方式联系</w:t>
      </w:r>
    </w:p>
    <w:p w14:paraId="6CC7F6FD">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1.采购人信息</w:t>
      </w:r>
    </w:p>
    <w:p w14:paraId="43537465">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名  称：</w:t>
      </w:r>
      <w:r>
        <w:rPr>
          <w:rFonts w:hint="eastAsia" w:ascii="仿宋" w:hAnsi="仿宋" w:eastAsia="仿宋" w:cs="Times New Roman"/>
          <w:color w:val="auto"/>
          <w:kern w:val="0"/>
          <w:sz w:val="28"/>
          <w:szCs w:val="28"/>
          <w:highlight w:val="none"/>
          <w:u w:color="000000"/>
          <w:lang w:val="en-US" w:eastAsia="zh-CN"/>
        </w:rPr>
        <w:t>滁州市城投交通控股有限公司</w:t>
      </w:r>
    </w:p>
    <w:p w14:paraId="6CB67518">
      <w:pPr>
        <w:widowControl/>
        <w:ind w:firstLine="560" w:firstLineChars="200"/>
        <w:textAlignment w:val="baseline"/>
        <w:rPr>
          <w:rFonts w:hint="eastAsia"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地  址：</w:t>
      </w:r>
      <w:r>
        <w:rPr>
          <w:rFonts w:hint="eastAsia" w:ascii="仿宋" w:hAnsi="仿宋" w:eastAsia="仿宋" w:cs="Times New Roman"/>
          <w:color w:val="auto"/>
          <w:kern w:val="0"/>
          <w:sz w:val="28"/>
          <w:szCs w:val="28"/>
          <w:highlight w:val="none"/>
          <w:u w:color="000000"/>
          <w:lang w:val="en-US" w:eastAsia="zh-CN"/>
        </w:rPr>
        <w:t>滁州市中都大道1598号15层</w:t>
      </w:r>
    </w:p>
    <w:p w14:paraId="5698FE93">
      <w:pPr>
        <w:widowControl/>
        <w:ind w:firstLine="560" w:firstLineChars="200"/>
        <w:textAlignment w:val="baseline"/>
        <w:rPr>
          <w:rFonts w:hint="eastAsia" w:ascii="仿宋" w:hAnsi="仿宋" w:eastAsia="仿宋" w:cs="Times New Roman"/>
          <w:color w:val="auto"/>
          <w:kern w:val="0"/>
          <w:sz w:val="28"/>
          <w:szCs w:val="28"/>
          <w:highlight w:val="none"/>
          <w:u w:color="000000"/>
          <w:lang w:val="en-US" w:eastAsia="zh-CN"/>
        </w:rPr>
      </w:pPr>
      <w:r>
        <w:rPr>
          <w:rFonts w:hint="eastAsia" w:ascii="仿宋" w:hAnsi="仿宋" w:eastAsia="仿宋" w:cs="Times New Roman"/>
          <w:color w:val="auto"/>
          <w:kern w:val="0"/>
          <w:sz w:val="28"/>
          <w:szCs w:val="28"/>
          <w:highlight w:val="none"/>
          <w:u w:color="000000"/>
        </w:rPr>
        <w:t>联系人：</w:t>
      </w:r>
      <w:r>
        <w:rPr>
          <w:rFonts w:hint="eastAsia" w:ascii="仿宋" w:hAnsi="仿宋" w:eastAsia="仿宋" w:cs="Times New Roman"/>
          <w:color w:val="auto"/>
          <w:kern w:val="0"/>
          <w:sz w:val="28"/>
          <w:szCs w:val="28"/>
          <w:highlight w:val="none"/>
          <w:u w:color="000000"/>
          <w:lang w:val="en-US" w:eastAsia="zh-CN"/>
        </w:rPr>
        <w:t xml:space="preserve">孙工 </w:t>
      </w:r>
    </w:p>
    <w:p w14:paraId="61011135">
      <w:pPr>
        <w:widowControl/>
        <w:ind w:firstLine="560" w:firstLineChars="200"/>
        <w:textAlignment w:val="baseline"/>
        <w:rPr>
          <w:rFonts w:hint="eastAsia" w:ascii="仿宋" w:hAnsi="仿宋" w:eastAsia="仿宋" w:cs="Times New Roman"/>
          <w:color w:val="auto"/>
          <w:kern w:val="0"/>
          <w:sz w:val="28"/>
          <w:szCs w:val="28"/>
          <w:highlight w:val="none"/>
          <w:u w:color="000000"/>
          <w:lang w:eastAsia="zh-CN"/>
        </w:rPr>
      </w:pPr>
      <w:r>
        <w:rPr>
          <w:rFonts w:hint="eastAsia" w:ascii="仿宋" w:hAnsi="仿宋" w:eastAsia="仿宋" w:cs="Times New Roman"/>
          <w:color w:val="auto"/>
          <w:kern w:val="0"/>
          <w:sz w:val="28"/>
          <w:szCs w:val="28"/>
          <w:highlight w:val="none"/>
          <w:u w:color="000000"/>
        </w:rPr>
        <w:t>联系方式：</w:t>
      </w:r>
      <w:r>
        <w:rPr>
          <w:rFonts w:hint="eastAsia" w:ascii="仿宋" w:hAnsi="仿宋" w:eastAsia="仿宋" w:cs="Times New Roman"/>
          <w:color w:val="auto"/>
          <w:kern w:val="0"/>
          <w:sz w:val="28"/>
          <w:szCs w:val="28"/>
          <w:highlight w:val="none"/>
          <w:u w:color="000000"/>
          <w:lang w:val="en-US" w:eastAsia="zh-CN"/>
        </w:rPr>
        <w:t xml:space="preserve">0550-3500336 </w:t>
      </w:r>
    </w:p>
    <w:p w14:paraId="151402DE">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2.代理机构信息</w:t>
      </w:r>
    </w:p>
    <w:p w14:paraId="0EAF1B5C">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名称：</w:t>
      </w:r>
      <w:r>
        <w:rPr>
          <w:rFonts w:hint="eastAsia" w:ascii="仿宋" w:hAnsi="仿宋" w:eastAsia="仿宋" w:cs="Times New Roman"/>
          <w:color w:val="auto"/>
          <w:kern w:val="0"/>
          <w:sz w:val="28"/>
          <w:szCs w:val="28"/>
          <w:highlight w:val="none"/>
          <w:u w:color="000000"/>
          <w:lang w:val="en-US" w:eastAsia="zh-CN"/>
        </w:rPr>
        <w:t>滁州市城投工程咨询管理有限公司</w:t>
      </w:r>
    </w:p>
    <w:p w14:paraId="70DC87BC">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地址：滁州市龙蟠大道109号房产大厦</w:t>
      </w:r>
      <w:r>
        <w:rPr>
          <w:rFonts w:hint="eastAsia" w:ascii="仿宋" w:hAnsi="仿宋" w:eastAsia="仿宋" w:cs="Times New Roman"/>
          <w:color w:val="auto"/>
          <w:kern w:val="0"/>
          <w:sz w:val="28"/>
          <w:szCs w:val="28"/>
          <w:highlight w:val="none"/>
          <w:u w:color="000000"/>
          <w:lang w:val="en-US" w:eastAsia="zh-CN"/>
        </w:rPr>
        <w:t>6</w:t>
      </w:r>
      <w:r>
        <w:rPr>
          <w:rFonts w:hint="eastAsia" w:ascii="仿宋" w:hAnsi="仿宋" w:eastAsia="仿宋" w:cs="Times New Roman"/>
          <w:color w:val="auto"/>
          <w:kern w:val="0"/>
          <w:sz w:val="28"/>
          <w:szCs w:val="28"/>
          <w:highlight w:val="none"/>
          <w:u w:color="000000"/>
        </w:rPr>
        <w:t>楼</w:t>
      </w:r>
    </w:p>
    <w:p w14:paraId="3EE40834">
      <w:pPr>
        <w:widowControl/>
        <w:ind w:firstLine="560" w:firstLineChars="200"/>
        <w:textAlignment w:val="baseline"/>
        <w:rPr>
          <w:rFonts w:hint="eastAsia" w:ascii="仿宋" w:hAnsi="仿宋" w:eastAsia="仿宋" w:cs="Times New Roman"/>
          <w:color w:val="auto"/>
          <w:kern w:val="0"/>
          <w:sz w:val="28"/>
          <w:szCs w:val="28"/>
          <w:highlight w:val="none"/>
          <w:u w:color="000000"/>
          <w:lang w:eastAsia="zh-CN"/>
        </w:rPr>
      </w:pPr>
      <w:r>
        <w:rPr>
          <w:rFonts w:hint="eastAsia" w:ascii="仿宋" w:hAnsi="仿宋" w:eastAsia="仿宋" w:cs="Times New Roman"/>
          <w:color w:val="auto"/>
          <w:kern w:val="0"/>
          <w:sz w:val="28"/>
          <w:szCs w:val="28"/>
          <w:highlight w:val="none"/>
          <w:u w:color="000000"/>
        </w:rPr>
        <w:t>联系人：</w:t>
      </w:r>
      <w:r>
        <w:rPr>
          <w:rFonts w:hint="eastAsia" w:ascii="仿宋" w:hAnsi="仿宋" w:eastAsia="仿宋" w:cs="Times New Roman"/>
          <w:color w:val="auto"/>
          <w:kern w:val="0"/>
          <w:sz w:val="28"/>
          <w:szCs w:val="28"/>
          <w:highlight w:val="none"/>
          <w:u w:color="000000"/>
          <w:lang w:val="en-US" w:eastAsia="zh-CN"/>
        </w:rPr>
        <w:t>关勤勤</w:t>
      </w:r>
    </w:p>
    <w:p w14:paraId="1EF38CB8">
      <w:pPr>
        <w:widowControl/>
        <w:ind w:firstLine="560" w:firstLineChars="200"/>
        <w:textAlignment w:val="baseline"/>
        <w:rPr>
          <w:rFonts w:hint="default" w:ascii="仿宋" w:hAnsi="仿宋" w:eastAsia="仿宋" w:cs="Times New Roman"/>
          <w:color w:val="auto"/>
          <w:kern w:val="0"/>
          <w:sz w:val="28"/>
          <w:szCs w:val="28"/>
          <w:highlight w:val="none"/>
          <w:u w:color="000000"/>
          <w:lang w:val="en-US" w:eastAsia="zh-CN"/>
        </w:rPr>
      </w:pPr>
      <w:r>
        <w:rPr>
          <w:rFonts w:hint="eastAsia" w:ascii="仿宋" w:hAnsi="仿宋" w:eastAsia="仿宋" w:cs="Times New Roman"/>
          <w:color w:val="auto"/>
          <w:kern w:val="0"/>
          <w:sz w:val="28"/>
          <w:szCs w:val="28"/>
          <w:highlight w:val="none"/>
          <w:u w:color="000000"/>
        </w:rPr>
        <w:t>联系方式：</w:t>
      </w:r>
      <w:r>
        <w:rPr>
          <w:rFonts w:hint="eastAsia" w:ascii="仿宋" w:hAnsi="仿宋" w:eastAsia="仿宋" w:cs="Times New Roman"/>
          <w:color w:val="auto"/>
          <w:kern w:val="0"/>
          <w:sz w:val="28"/>
          <w:szCs w:val="28"/>
          <w:highlight w:val="none"/>
          <w:u w:color="000000"/>
          <w:lang w:val="en-US" w:eastAsia="zh-CN"/>
        </w:rPr>
        <w:t>18909605753</w:t>
      </w:r>
    </w:p>
    <w:p w14:paraId="4063AE3C">
      <w:pPr>
        <w:spacing w:line="360" w:lineRule="auto"/>
        <w:ind w:firstLine="435"/>
        <w:rPr>
          <w:rFonts w:asciiTheme="minorEastAsia" w:hAnsiTheme="minorEastAsia" w:eastAsiaTheme="minorEastAsia"/>
          <w:color w:val="auto"/>
          <w:sz w:val="24"/>
          <w:szCs w:val="18"/>
          <w:highlight w:val="none"/>
        </w:rPr>
      </w:pPr>
      <w:r>
        <w:rPr>
          <w:rFonts w:asciiTheme="minorEastAsia" w:hAnsiTheme="minorEastAsia" w:eastAsiaTheme="minorEastAsia"/>
          <w:color w:val="auto"/>
          <w:sz w:val="24"/>
          <w:szCs w:val="18"/>
          <w:highlight w:val="none"/>
        </w:rPr>
        <w:br w:type="page"/>
      </w:r>
    </w:p>
    <w:p w14:paraId="21B18EFB">
      <w:pPr>
        <w:spacing w:line="360" w:lineRule="auto"/>
        <w:jc w:val="center"/>
        <w:outlineLvl w:val="0"/>
        <w:rPr>
          <w:rFonts w:asciiTheme="minorEastAsia" w:hAnsiTheme="minorEastAsia" w:eastAsiaTheme="minorEastAsia"/>
          <w:b/>
          <w:color w:val="auto"/>
          <w:sz w:val="28"/>
          <w:highlight w:val="none"/>
        </w:rPr>
      </w:pPr>
      <w:bookmarkStart w:id="20" w:name="_Toc3199"/>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20"/>
    </w:p>
    <w:p w14:paraId="68D88FAC">
      <w:pPr>
        <w:spacing w:line="360" w:lineRule="auto"/>
        <w:jc w:val="center"/>
        <w:outlineLvl w:val="1"/>
        <w:rPr>
          <w:rFonts w:asciiTheme="minorEastAsia" w:hAnsiTheme="minorEastAsia" w:eastAsiaTheme="minorEastAsia"/>
          <w:b/>
          <w:color w:val="auto"/>
          <w:sz w:val="24"/>
          <w:highlight w:val="none"/>
        </w:rPr>
      </w:pPr>
      <w:bookmarkStart w:id="21" w:name="_Toc5571"/>
      <w:bookmarkStart w:id="22" w:name="_Toc12172"/>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21"/>
      <w:bookmarkEnd w:id="22"/>
    </w:p>
    <w:p w14:paraId="173E936C">
      <w:pPr>
        <w:spacing w:line="360" w:lineRule="auto"/>
        <w:ind w:firstLine="435"/>
        <w:rPr>
          <w:rFonts w:asciiTheme="minorEastAsia" w:hAnsiTheme="minorEastAsia" w:eastAsiaTheme="minorEastAsia"/>
          <w:color w:val="auto"/>
          <w:sz w:val="24"/>
          <w:szCs w:val="18"/>
          <w:highlight w:val="none"/>
        </w:rPr>
      </w:pPr>
      <w:r>
        <w:rPr>
          <w:rFonts w:hint="eastAsia" w:asciiTheme="minorEastAsia" w:hAnsiTheme="minorEastAsia" w:eastAsiaTheme="minorEastAsia"/>
          <w:b/>
          <w:bCs/>
          <w:color w:val="auto"/>
          <w:sz w:val="24"/>
          <w:szCs w:val="18"/>
          <w:highlight w:val="none"/>
        </w:rPr>
        <w:t>注：</w:t>
      </w:r>
      <w:r>
        <w:rPr>
          <w:rFonts w:hint="eastAsia" w:asciiTheme="minorEastAsia" w:hAnsiTheme="minorEastAsia" w:eastAsiaTheme="minorEastAsia"/>
          <w:color w:val="auto"/>
          <w:sz w:val="24"/>
          <w:szCs w:val="18"/>
          <w:highlight w:val="none"/>
        </w:rPr>
        <w:t>本表是本项目的具体要求，是对供应商须知的具体补充和修改，如有不一致，以本表为准。</w:t>
      </w:r>
    </w:p>
    <w:tbl>
      <w:tblPr>
        <w:tblStyle w:val="26"/>
        <w:tblW w:w="50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2028"/>
        <w:gridCol w:w="6333"/>
      </w:tblGrid>
      <w:tr w14:paraId="1463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6CA9C574">
            <w:pPr>
              <w:pStyle w:val="45"/>
              <w:widowControl w:val="0"/>
              <w:spacing w:before="0" w:beforeAutospacing="0" w:after="0" w:afterAutospacing="0"/>
              <w:rPr>
                <w:rFonts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条款号</w:t>
            </w:r>
          </w:p>
        </w:tc>
        <w:tc>
          <w:tcPr>
            <w:tcW w:w="1072" w:type="pct"/>
            <w:vAlign w:val="center"/>
          </w:tcPr>
          <w:p w14:paraId="4235DF59">
            <w:pPr>
              <w:pStyle w:val="45"/>
              <w:widowControl w:val="0"/>
              <w:spacing w:before="0" w:beforeAutospacing="0" w:after="0" w:afterAutospacing="0"/>
              <w:rPr>
                <w:rFonts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条款名称</w:t>
            </w:r>
          </w:p>
        </w:tc>
        <w:tc>
          <w:tcPr>
            <w:tcW w:w="3347" w:type="pct"/>
            <w:vAlign w:val="center"/>
          </w:tcPr>
          <w:p w14:paraId="4254168E">
            <w:pPr>
              <w:pStyle w:val="45"/>
              <w:widowControl w:val="0"/>
              <w:spacing w:before="0" w:beforeAutospacing="0" w:after="0" w:afterAutospacing="0"/>
              <w:rPr>
                <w:rFonts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内容、说明与要求</w:t>
            </w:r>
          </w:p>
        </w:tc>
      </w:tr>
      <w:tr w14:paraId="7111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580" w:type="pct"/>
            <w:vAlign w:val="center"/>
          </w:tcPr>
          <w:p w14:paraId="2A9A9F98">
            <w:pPr>
              <w:pStyle w:val="46"/>
              <w:pBdr>
                <w:bottom w:val="none" w:color="auto" w:sz="0" w:space="0"/>
              </w:pBdr>
              <w:tabs>
                <w:tab w:val="clear" w:pos="4153"/>
                <w:tab w:val="clear" w:pos="8306"/>
              </w:tabs>
              <w:adjustRightInd/>
              <w:spacing w:line="360" w:lineRule="auto"/>
              <w:textAlignment w:val="auto"/>
              <w:rPr>
                <w:rFonts w:asciiTheme="minorEastAsia" w:hAnsiTheme="minorEastAsia" w:eastAsiaTheme="minorEastAsia"/>
                <w:bCs/>
                <w:color w:val="auto"/>
                <w:kern w:val="2"/>
                <w:highlight w:val="none"/>
              </w:rPr>
            </w:pPr>
            <w:r>
              <w:rPr>
                <w:rFonts w:hint="eastAsia" w:ascii="宋体" w:hAnsi="宋体" w:eastAsia="宋体"/>
                <w:bCs/>
                <w:color w:val="auto"/>
                <w:kern w:val="2"/>
                <w:highlight w:val="none"/>
              </w:rPr>
              <w:t>5</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072" w:type="pct"/>
            <w:vAlign w:val="center"/>
          </w:tcPr>
          <w:p w14:paraId="117AF8F6">
            <w:pPr>
              <w:pStyle w:val="45"/>
              <w:widowControl w:val="0"/>
              <w:spacing w:before="0" w:beforeAutospacing="0" w:after="0" w:afterAutospacing="0" w:line="360" w:lineRule="auto"/>
              <w:jc w:val="left"/>
              <w:rPr>
                <w:rFonts w:asciiTheme="minorEastAsia" w:hAnsiTheme="minorEastAsia" w:eastAsiaTheme="minorEastAsia"/>
                <w:b w:val="0"/>
                <w:color w:val="auto"/>
                <w:sz w:val="24"/>
                <w:highlight w:val="none"/>
              </w:rPr>
            </w:pPr>
            <w:r>
              <w:rPr>
                <w:rFonts w:hint="eastAsia" w:ascii="宋体" w:hAnsi="宋体" w:eastAsia="宋体"/>
                <w:b w:val="0"/>
                <w:color w:val="auto"/>
                <w:sz w:val="24"/>
                <w:highlight w:val="none"/>
              </w:rPr>
              <w:t>现场考察或标前答疑会</w:t>
            </w:r>
          </w:p>
        </w:tc>
        <w:tc>
          <w:tcPr>
            <w:tcW w:w="3347" w:type="pct"/>
            <w:vAlign w:val="center"/>
          </w:tcPr>
          <w:p w14:paraId="607E78CC">
            <w:pPr>
              <w:spacing w:line="360" w:lineRule="auto"/>
              <w:rPr>
                <w:rFonts w:asciiTheme="minorEastAsia" w:hAnsiTheme="minorEastAsia" w:eastAsiaTheme="minorEastAsia"/>
                <w:b w:val="0"/>
                <w:color w:val="auto"/>
                <w:sz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highlight w:val="none"/>
              </w:rPr>
              <w:t>不组织或不召开</w:t>
            </w:r>
          </w:p>
        </w:tc>
      </w:tr>
      <w:tr w14:paraId="2F57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5CDFE6D8">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6</w:t>
            </w:r>
            <w:r>
              <w:rPr>
                <w:rFonts w:asciiTheme="minorEastAsia" w:hAnsiTheme="minorEastAsia" w:eastAsiaTheme="minorEastAsia"/>
                <w:bCs/>
                <w:color w:val="auto"/>
                <w:kern w:val="2"/>
                <w:highlight w:val="none"/>
              </w:rPr>
              <w:t>.1</w:t>
            </w:r>
          </w:p>
        </w:tc>
        <w:tc>
          <w:tcPr>
            <w:tcW w:w="1072" w:type="pct"/>
            <w:vAlign w:val="center"/>
          </w:tcPr>
          <w:p w14:paraId="4B079295">
            <w:pPr>
              <w:pStyle w:val="45"/>
              <w:widowControl w:val="0"/>
              <w:spacing w:before="0" w:beforeAutospacing="0" w:after="0" w:afterAutospacing="0"/>
              <w:jc w:val="left"/>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网上询问截止时间</w:t>
            </w:r>
          </w:p>
        </w:tc>
        <w:tc>
          <w:tcPr>
            <w:tcW w:w="3347" w:type="pct"/>
            <w:vAlign w:val="center"/>
          </w:tcPr>
          <w:p w14:paraId="2E825BEE">
            <w:pPr>
              <w:pStyle w:val="45"/>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rPr>
              <w:t>2025</w:t>
            </w:r>
            <w:r>
              <w:rPr>
                <w:rFonts w:asciiTheme="minorEastAsia" w:hAnsiTheme="minorEastAsia" w:eastAsiaTheme="minorEastAsia"/>
                <w:b w:val="0"/>
                <w:color w:val="auto"/>
                <w:sz w:val="24"/>
                <w:highlight w:val="none"/>
                <w:u w:val="single"/>
              </w:rPr>
              <w:t xml:space="preserve"> </w:t>
            </w:r>
            <w:r>
              <w:rPr>
                <w:rFonts w:asciiTheme="minorEastAsia" w:hAnsiTheme="minorEastAsia" w:eastAsiaTheme="minorEastAsia"/>
                <w:b w:val="0"/>
                <w:color w:val="auto"/>
                <w:sz w:val="24"/>
                <w:highlight w:val="none"/>
              </w:rPr>
              <w:t>年</w:t>
            </w:r>
            <w:r>
              <w:rPr>
                <w:rFonts w:hint="eastAsia"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7</w:t>
            </w:r>
            <w:r>
              <w:rPr>
                <w:rFonts w:hint="eastAsia" w:asciiTheme="minorEastAsia" w:hAnsiTheme="minorEastAsia" w:eastAsiaTheme="minorEastAsia"/>
                <w:b w:val="0"/>
                <w:color w:val="auto"/>
                <w:sz w:val="24"/>
                <w:highlight w:val="none"/>
                <w:u w:val="single"/>
              </w:rPr>
              <w:t xml:space="preserve"> </w:t>
            </w:r>
            <w:r>
              <w:rPr>
                <w:rFonts w:asciiTheme="minorEastAsia" w:hAnsiTheme="minorEastAsia" w:eastAsiaTheme="minorEastAsia"/>
                <w:b w:val="0"/>
                <w:color w:val="auto"/>
                <w:sz w:val="24"/>
                <w:highlight w:val="none"/>
              </w:rPr>
              <w:t>月</w:t>
            </w:r>
            <w:r>
              <w:rPr>
                <w:rFonts w:hint="eastAsia" w:asciiTheme="minorEastAsia" w:hAnsiTheme="minorEastAsia" w:eastAsiaTheme="minorEastAsia"/>
                <w:b w:val="0"/>
                <w:color w:val="auto"/>
                <w:sz w:val="24"/>
                <w:highlight w:val="none"/>
                <w:u w:val="single"/>
                <w:lang w:val="en-US" w:eastAsia="zh-CN"/>
              </w:rPr>
              <w:t xml:space="preserve"> 30</w:t>
            </w:r>
            <w:r>
              <w:rPr>
                <w:rFonts w:asciiTheme="minorEastAsia" w:hAnsiTheme="minorEastAsia" w:eastAsiaTheme="minorEastAsia"/>
                <w:b w:val="0"/>
                <w:color w:val="auto"/>
                <w:sz w:val="24"/>
                <w:highlight w:val="none"/>
              </w:rPr>
              <w:t>日</w:t>
            </w:r>
            <w:r>
              <w:rPr>
                <w:rFonts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rPr>
              <w:t>17</w:t>
            </w:r>
            <w:r>
              <w:rPr>
                <w:rFonts w:asciiTheme="minorEastAsia" w:hAnsiTheme="minorEastAsia" w:eastAsiaTheme="minorEastAsia"/>
                <w:b w:val="0"/>
                <w:color w:val="auto"/>
                <w:sz w:val="24"/>
                <w:highlight w:val="none"/>
                <w:u w:val="single"/>
              </w:rPr>
              <w:t xml:space="preserve"> </w:t>
            </w:r>
            <w:r>
              <w:rPr>
                <w:rFonts w:asciiTheme="minorEastAsia" w:hAnsiTheme="minorEastAsia" w:eastAsiaTheme="minorEastAsia"/>
                <w:b w:val="0"/>
                <w:color w:val="auto"/>
                <w:sz w:val="24"/>
                <w:highlight w:val="none"/>
              </w:rPr>
              <w:t>时</w:t>
            </w:r>
            <w:r>
              <w:rPr>
                <w:rFonts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rPr>
              <w:t>30</w:t>
            </w:r>
            <w:r>
              <w:rPr>
                <w:rFonts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rPr>
              <w:t>分</w:t>
            </w:r>
          </w:p>
        </w:tc>
      </w:tr>
      <w:tr w14:paraId="225D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Merge w:val="restart"/>
            <w:vAlign w:val="center"/>
          </w:tcPr>
          <w:p w14:paraId="097A89BC">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7</w:t>
            </w:r>
            <w:r>
              <w:rPr>
                <w:rFonts w:asciiTheme="minorEastAsia" w:hAnsiTheme="minorEastAsia" w:eastAsiaTheme="minorEastAsia"/>
                <w:bCs/>
                <w:color w:val="auto"/>
                <w:kern w:val="2"/>
                <w:highlight w:val="none"/>
              </w:rPr>
              <w:t>.1</w:t>
            </w:r>
          </w:p>
        </w:tc>
        <w:tc>
          <w:tcPr>
            <w:tcW w:w="1072" w:type="pct"/>
            <w:vMerge w:val="restart"/>
            <w:vAlign w:val="center"/>
          </w:tcPr>
          <w:p w14:paraId="2E91C83D">
            <w:pPr>
              <w:pStyle w:val="45"/>
              <w:widowControl w:val="0"/>
              <w:spacing w:before="0" w:beforeAutospacing="0" w:after="0" w:afterAutospacing="0" w:line="360" w:lineRule="auto"/>
              <w:jc w:val="left"/>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包别划分</w:t>
            </w:r>
          </w:p>
        </w:tc>
        <w:tc>
          <w:tcPr>
            <w:tcW w:w="3347" w:type="pct"/>
            <w:vAlign w:val="center"/>
          </w:tcPr>
          <w:p w14:paraId="4FA4CE04">
            <w:pPr>
              <w:pStyle w:val="45"/>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bCs w:val="0"/>
                <w:color w:val="auto"/>
                <w:sz w:val="24"/>
                <w:szCs w:val="24"/>
                <w:highlight w:val="none"/>
              </w:rPr>
              <w:t>☑</w:t>
            </w:r>
            <w:r>
              <w:rPr>
                <w:rFonts w:asciiTheme="minorEastAsia" w:hAnsiTheme="minorEastAsia" w:eastAsiaTheme="minorEastAsia"/>
                <w:b w:val="0"/>
                <w:color w:val="auto"/>
                <w:sz w:val="24"/>
                <w:highlight w:val="none"/>
              </w:rPr>
              <w:t>不分包     □分为</w:t>
            </w:r>
            <w:r>
              <w:rPr>
                <w:rFonts w:hint="eastAsia" w:asciiTheme="minorEastAsia" w:hAnsiTheme="minorEastAsia" w:eastAsiaTheme="minorEastAsia"/>
                <w:b w:val="0"/>
                <w:color w:val="auto"/>
                <w:sz w:val="24"/>
                <w:highlight w:val="none"/>
              </w:rPr>
              <w:t>/</w:t>
            </w:r>
            <w:r>
              <w:rPr>
                <w:rFonts w:asciiTheme="minorEastAsia" w:hAnsiTheme="minorEastAsia" w:eastAsiaTheme="minorEastAsia"/>
                <w:b w:val="0"/>
                <w:color w:val="auto"/>
                <w:sz w:val="24"/>
                <w:highlight w:val="none"/>
              </w:rPr>
              <w:t>个包</w:t>
            </w:r>
          </w:p>
        </w:tc>
      </w:tr>
      <w:tr w14:paraId="5555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Merge w:val="continue"/>
            <w:vAlign w:val="center"/>
          </w:tcPr>
          <w:p w14:paraId="114719C7">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p>
        </w:tc>
        <w:tc>
          <w:tcPr>
            <w:tcW w:w="1072" w:type="pct"/>
            <w:vMerge w:val="continue"/>
            <w:vAlign w:val="center"/>
          </w:tcPr>
          <w:p w14:paraId="259AFAA1">
            <w:pPr>
              <w:pStyle w:val="45"/>
              <w:widowControl w:val="0"/>
              <w:spacing w:before="0" w:beforeAutospacing="0" w:after="0" w:afterAutospacing="0" w:line="360" w:lineRule="auto"/>
              <w:rPr>
                <w:rFonts w:asciiTheme="minorEastAsia" w:hAnsiTheme="minorEastAsia" w:eastAsiaTheme="minorEastAsia"/>
                <w:b w:val="0"/>
                <w:color w:val="auto"/>
                <w:sz w:val="24"/>
                <w:highlight w:val="none"/>
              </w:rPr>
            </w:pPr>
          </w:p>
        </w:tc>
        <w:tc>
          <w:tcPr>
            <w:tcW w:w="3347" w:type="pct"/>
            <w:vAlign w:val="center"/>
          </w:tcPr>
          <w:p w14:paraId="1CECC8B7">
            <w:pPr>
              <w:pStyle w:val="45"/>
              <w:widowControl w:val="0"/>
              <w:spacing w:before="0" w:beforeAutospacing="0" w:after="0" w:afterAutospacing="0" w:line="360" w:lineRule="auto"/>
              <w:jc w:val="both"/>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color w:val="auto"/>
                <w:sz w:val="24"/>
                <w:highlight w:val="none"/>
              </w:rPr>
              <w:t>供应商对多个包进行报价的成交</w:t>
            </w:r>
            <w:r>
              <w:rPr>
                <w:rFonts w:asciiTheme="minorEastAsia" w:hAnsiTheme="minorEastAsia" w:eastAsiaTheme="minorEastAsia"/>
                <w:b w:val="0"/>
                <w:color w:val="auto"/>
                <w:sz w:val="24"/>
                <w:highlight w:val="none"/>
              </w:rPr>
              <w:t>包</w:t>
            </w:r>
            <w:r>
              <w:rPr>
                <w:rFonts w:hint="eastAsia" w:asciiTheme="minorEastAsia" w:hAnsiTheme="minorEastAsia" w:eastAsiaTheme="minorEastAsia"/>
                <w:b w:val="0"/>
                <w:color w:val="auto"/>
                <w:sz w:val="24"/>
                <w:highlight w:val="none"/>
              </w:rPr>
              <w:t>数规定：</w:t>
            </w:r>
            <w:r>
              <w:rPr>
                <w:rFonts w:hint="eastAsia" w:asciiTheme="minorEastAsia" w:hAnsiTheme="minorEastAsia" w:eastAsiaTheme="minorEastAsia"/>
                <w:b w:val="0"/>
                <w:bCs w:val="0"/>
                <w:color w:val="auto"/>
                <w:sz w:val="24"/>
                <w:szCs w:val="18"/>
                <w:highlight w:val="none"/>
                <w:u w:val="single"/>
              </w:rPr>
              <w:t xml:space="preserve"> </w:t>
            </w:r>
            <w:r>
              <w:rPr>
                <w:rFonts w:asciiTheme="minorEastAsia" w:hAnsiTheme="minorEastAsia" w:eastAsiaTheme="minorEastAsia"/>
                <w:b w:val="0"/>
                <w:bCs w:val="0"/>
                <w:color w:val="auto"/>
                <w:sz w:val="24"/>
                <w:szCs w:val="18"/>
                <w:highlight w:val="none"/>
                <w:u w:val="single"/>
              </w:rPr>
              <w:t xml:space="preserve"> </w:t>
            </w:r>
            <w:r>
              <w:rPr>
                <w:rFonts w:hint="eastAsia" w:asciiTheme="minorEastAsia" w:hAnsiTheme="minorEastAsia" w:eastAsiaTheme="minorEastAsia"/>
                <w:b w:val="0"/>
                <w:bCs w:val="0"/>
                <w:color w:val="auto"/>
                <w:sz w:val="24"/>
                <w:szCs w:val="18"/>
                <w:highlight w:val="none"/>
                <w:u w:val="single"/>
              </w:rPr>
              <w:t>/</w:t>
            </w:r>
            <w:r>
              <w:rPr>
                <w:rFonts w:asciiTheme="minorEastAsia" w:hAnsiTheme="minorEastAsia" w:eastAsiaTheme="minorEastAsia"/>
                <w:b w:val="0"/>
                <w:bCs w:val="0"/>
                <w:color w:val="auto"/>
                <w:sz w:val="24"/>
                <w:szCs w:val="18"/>
                <w:highlight w:val="none"/>
                <w:u w:val="single"/>
              </w:rPr>
              <w:t xml:space="preserve">        </w:t>
            </w:r>
          </w:p>
        </w:tc>
      </w:tr>
      <w:tr w14:paraId="713D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3DD5C897">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10</w:t>
            </w:r>
            <w:r>
              <w:rPr>
                <w:rFonts w:asciiTheme="minorEastAsia" w:hAnsiTheme="minorEastAsia" w:eastAsiaTheme="minorEastAsia"/>
                <w:bCs/>
                <w:color w:val="auto"/>
                <w:kern w:val="2"/>
                <w:highlight w:val="none"/>
              </w:rPr>
              <w:t>.1</w:t>
            </w:r>
          </w:p>
        </w:tc>
        <w:tc>
          <w:tcPr>
            <w:tcW w:w="1072" w:type="pct"/>
            <w:vAlign w:val="center"/>
          </w:tcPr>
          <w:p w14:paraId="75402279">
            <w:pPr>
              <w:pStyle w:val="45"/>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询价有效期</w:t>
            </w:r>
          </w:p>
        </w:tc>
        <w:tc>
          <w:tcPr>
            <w:tcW w:w="3347" w:type="pct"/>
            <w:vAlign w:val="center"/>
          </w:tcPr>
          <w:p w14:paraId="1BC62FEE">
            <w:pPr>
              <w:pStyle w:val="45"/>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u w:val="single"/>
              </w:rPr>
              <w:t xml:space="preserve"> 90</w:t>
            </w:r>
            <w:r>
              <w:rPr>
                <w:rFonts w:hint="eastAsia" w:asciiTheme="minorEastAsia" w:hAnsiTheme="minorEastAsia" w:eastAsiaTheme="minorEastAsia"/>
                <w:b w:val="0"/>
                <w:color w:val="auto"/>
                <w:sz w:val="24"/>
                <w:highlight w:val="none"/>
              </w:rPr>
              <w:t>日历日</w:t>
            </w:r>
          </w:p>
        </w:tc>
      </w:tr>
      <w:tr w14:paraId="21C0C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18857901">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11.2</w:t>
            </w:r>
          </w:p>
        </w:tc>
        <w:tc>
          <w:tcPr>
            <w:tcW w:w="1072" w:type="pct"/>
            <w:vAlign w:val="center"/>
          </w:tcPr>
          <w:p w14:paraId="0E1F50B9">
            <w:pPr>
              <w:pStyle w:val="45"/>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宋体" w:hAnsi="宋体" w:eastAsia="宋体"/>
                <w:b w:val="0"/>
                <w:color w:val="auto"/>
                <w:sz w:val="24"/>
                <w:highlight w:val="none"/>
              </w:rPr>
              <w:t>响应文件解密时间</w:t>
            </w:r>
          </w:p>
        </w:tc>
        <w:tc>
          <w:tcPr>
            <w:tcW w:w="3347" w:type="pct"/>
            <w:vAlign w:val="center"/>
          </w:tcPr>
          <w:p w14:paraId="3988ADF5">
            <w:pPr>
              <w:pStyle w:val="45"/>
              <w:widowControl w:val="0"/>
              <w:spacing w:before="0" w:beforeAutospacing="0" w:after="0" w:afterAutospacing="0" w:line="360" w:lineRule="auto"/>
              <w:jc w:val="both"/>
              <w:rPr>
                <w:rFonts w:asciiTheme="minorEastAsia" w:hAnsiTheme="minorEastAsia" w:eastAsiaTheme="minorEastAsia"/>
                <w:b w:val="0"/>
                <w:color w:val="auto"/>
                <w:sz w:val="24"/>
                <w:highlight w:val="none"/>
                <w:u w:val="single"/>
              </w:rPr>
            </w:pPr>
            <w:r>
              <w:rPr>
                <w:rFonts w:hint="eastAsia" w:asciiTheme="minorEastAsia" w:hAnsiTheme="minorEastAsia" w:eastAsiaTheme="minorEastAsia"/>
                <w:b w:val="0"/>
                <w:color w:val="auto"/>
                <w:sz w:val="24"/>
                <w:highlight w:val="none"/>
              </w:rPr>
              <w:t>响应文件提交截止时间后</w:t>
            </w:r>
            <w:r>
              <w:rPr>
                <w:rFonts w:hint="eastAsia" w:asciiTheme="minorEastAsia" w:hAnsiTheme="minorEastAsia" w:eastAsiaTheme="minorEastAsia"/>
                <w:b/>
                <w:bCs w:val="0"/>
                <w:color w:val="auto"/>
                <w:sz w:val="28"/>
                <w:szCs w:val="28"/>
                <w:highlight w:val="none"/>
                <w:u w:val="single"/>
              </w:rPr>
              <w:t xml:space="preserve"> </w:t>
            </w:r>
            <w:r>
              <w:rPr>
                <w:rFonts w:hint="eastAsia" w:asciiTheme="minorEastAsia" w:hAnsiTheme="minorEastAsia" w:eastAsiaTheme="minorEastAsia"/>
                <w:b/>
                <w:bCs w:val="0"/>
                <w:color w:val="auto"/>
                <w:sz w:val="28"/>
                <w:szCs w:val="28"/>
                <w:highlight w:val="none"/>
                <w:u w:val="single"/>
                <w:lang w:val="en-US" w:eastAsia="zh-CN"/>
              </w:rPr>
              <w:t xml:space="preserve">60 </w:t>
            </w:r>
            <w:r>
              <w:rPr>
                <w:rFonts w:hint="eastAsia" w:asciiTheme="minorEastAsia" w:hAnsiTheme="minorEastAsia" w:eastAsiaTheme="minorEastAsia"/>
                <w:b w:val="0"/>
                <w:color w:val="auto"/>
                <w:sz w:val="24"/>
                <w:highlight w:val="none"/>
              </w:rPr>
              <w:t>分钟内</w:t>
            </w:r>
            <w:r>
              <w:rPr>
                <w:rFonts w:hint="eastAsia" w:ascii="宋体" w:hAnsi="宋体" w:eastAsia="宋体" w:cs="宋体"/>
                <w:b w:val="0"/>
                <w:color w:val="auto"/>
                <w:sz w:val="24"/>
                <w:szCs w:val="24"/>
                <w:highlight w:val="none"/>
              </w:rPr>
              <w:t>（以本项目网上招投标系统解密倒计时为准）</w:t>
            </w:r>
          </w:p>
        </w:tc>
      </w:tr>
      <w:tr w14:paraId="5A90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173B990B">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17</w:t>
            </w:r>
            <w:r>
              <w:rPr>
                <w:rFonts w:asciiTheme="minorEastAsia" w:hAnsiTheme="minorEastAsia" w:eastAsiaTheme="minorEastAsia"/>
                <w:bCs/>
                <w:color w:val="auto"/>
                <w:kern w:val="2"/>
                <w:highlight w:val="none"/>
              </w:rPr>
              <w:t>.</w:t>
            </w:r>
            <w:r>
              <w:rPr>
                <w:rFonts w:hint="eastAsia" w:asciiTheme="minorEastAsia" w:hAnsiTheme="minorEastAsia" w:eastAsiaTheme="minorEastAsia"/>
                <w:bCs/>
                <w:color w:val="auto"/>
                <w:kern w:val="2"/>
                <w:highlight w:val="none"/>
              </w:rPr>
              <w:t>2</w:t>
            </w:r>
          </w:p>
        </w:tc>
        <w:tc>
          <w:tcPr>
            <w:tcW w:w="1072" w:type="pct"/>
            <w:vAlign w:val="center"/>
          </w:tcPr>
          <w:p w14:paraId="75CCB672">
            <w:pPr>
              <w:pStyle w:val="45"/>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确定成交供应商</w:t>
            </w:r>
          </w:p>
        </w:tc>
        <w:tc>
          <w:tcPr>
            <w:tcW w:w="3347" w:type="pct"/>
            <w:vAlign w:val="center"/>
          </w:tcPr>
          <w:p w14:paraId="47000502">
            <w:pPr>
              <w:pStyle w:val="45"/>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bCs w:val="0"/>
                <w:color w:val="auto"/>
                <w:sz w:val="24"/>
                <w:szCs w:val="24"/>
                <w:highlight w:val="none"/>
              </w:rPr>
              <w:sym w:font="Wingdings" w:char="00A8"/>
            </w:r>
            <w:r>
              <w:rPr>
                <w:rFonts w:hint="eastAsia" w:asciiTheme="minorEastAsia" w:hAnsiTheme="minorEastAsia" w:eastAsiaTheme="minorEastAsia"/>
                <w:b w:val="0"/>
                <w:color w:val="auto"/>
                <w:sz w:val="24"/>
                <w:highlight w:val="none"/>
              </w:rPr>
              <w:t xml:space="preserve">采购人委托询价小组确定 </w:t>
            </w:r>
          </w:p>
          <w:p w14:paraId="115EDAD5">
            <w:pPr>
              <w:pStyle w:val="45"/>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☑采购人确定</w:t>
            </w:r>
          </w:p>
        </w:tc>
      </w:tr>
      <w:tr w14:paraId="363B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77FF847D">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21</w:t>
            </w:r>
            <w:r>
              <w:rPr>
                <w:rFonts w:asciiTheme="minorEastAsia" w:hAnsiTheme="minorEastAsia" w:eastAsiaTheme="minorEastAsia"/>
                <w:bCs/>
                <w:color w:val="auto"/>
                <w:kern w:val="2"/>
                <w:highlight w:val="none"/>
              </w:rPr>
              <w:t>.1</w:t>
            </w:r>
          </w:p>
        </w:tc>
        <w:tc>
          <w:tcPr>
            <w:tcW w:w="1072" w:type="pct"/>
            <w:vAlign w:val="center"/>
          </w:tcPr>
          <w:p w14:paraId="3E00E773">
            <w:pPr>
              <w:pStyle w:val="45"/>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成交通知书发出的形式</w:t>
            </w:r>
          </w:p>
        </w:tc>
        <w:tc>
          <w:tcPr>
            <w:tcW w:w="3347" w:type="pct"/>
            <w:vAlign w:val="center"/>
          </w:tcPr>
          <w:p w14:paraId="2950DD18">
            <w:pPr>
              <w:pStyle w:val="45"/>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 xml:space="preserve">□书面 </w:t>
            </w:r>
            <w:r>
              <w:rPr>
                <w:rFonts w:asciiTheme="minorEastAsia" w:hAnsiTheme="minorEastAsia" w:eastAsiaTheme="minorEastAsia"/>
                <w:b w:val="0"/>
                <w:color w:val="auto"/>
                <w:sz w:val="24"/>
                <w:highlight w:val="none"/>
              </w:rPr>
              <w:t xml:space="preserve">    </w:t>
            </w:r>
            <w:r>
              <w:rPr>
                <w:rFonts w:hint="eastAsia" w:asciiTheme="minorEastAsia" w:hAnsiTheme="minorEastAsia" w:eastAsiaTheme="minorEastAsia"/>
                <w:b w:val="0"/>
                <w:bCs w:val="0"/>
                <w:color w:val="auto"/>
                <w:sz w:val="24"/>
                <w:szCs w:val="24"/>
                <w:highlight w:val="none"/>
              </w:rPr>
              <w:sym w:font="Wingdings" w:char="00FE"/>
            </w:r>
            <w:r>
              <w:rPr>
                <w:rFonts w:hint="eastAsia" w:asciiTheme="minorEastAsia" w:hAnsiTheme="minorEastAsia" w:eastAsiaTheme="minorEastAsia"/>
                <w:b w:val="0"/>
                <w:color w:val="auto"/>
                <w:sz w:val="24"/>
                <w:highlight w:val="none"/>
              </w:rPr>
              <w:t>数据电文</w:t>
            </w:r>
          </w:p>
        </w:tc>
      </w:tr>
      <w:tr w14:paraId="128A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5AFF454D">
            <w:pPr>
              <w:pStyle w:val="46"/>
              <w:pBdr>
                <w:bottom w:val="none" w:color="auto" w:sz="0" w:space="0"/>
              </w:pBdr>
              <w:tabs>
                <w:tab w:val="clear" w:pos="4153"/>
                <w:tab w:val="clear" w:pos="8306"/>
              </w:tabs>
              <w:adjustRightInd/>
              <w:spacing w:line="240" w:lineRule="auto"/>
              <w:textAlignment w:val="auto"/>
              <w:rPr>
                <w:rFonts w:ascii="宋体" w:hAnsi="宋体" w:eastAsia="宋体" w:cstheme="minorBidi"/>
                <w:bCs/>
                <w:color w:val="auto"/>
                <w:kern w:val="2"/>
                <w:highlight w:val="none"/>
              </w:rPr>
            </w:pPr>
            <w:r>
              <w:rPr>
                <w:rFonts w:hint="eastAsia" w:ascii="宋体" w:hAnsi="宋体" w:eastAsia="宋体" w:cs="宋体"/>
                <w:bCs/>
                <w:color w:val="auto"/>
                <w:szCs w:val="24"/>
                <w:highlight w:val="none"/>
              </w:rPr>
              <w:t>22.1</w:t>
            </w:r>
          </w:p>
        </w:tc>
        <w:tc>
          <w:tcPr>
            <w:tcW w:w="1072" w:type="pct"/>
            <w:vAlign w:val="center"/>
          </w:tcPr>
          <w:p w14:paraId="45F30629">
            <w:pPr>
              <w:pStyle w:val="45"/>
              <w:widowControl w:val="0"/>
              <w:spacing w:before="0" w:beforeAutospacing="0" w:after="0" w:afterAutospacing="0" w:line="360" w:lineRule="auto"/>
              <w:jc w:val="both"/>
              <w:rPr>
                <w:rFonts w:ascii="宋体" w:hAnsi="宋体" w:eastAsia="宋体" w:cstheme="minorBidi"/>
                <w:b w:val="0"/>
                <w:color w:val="auto"/>
                <w:sz w:val="24"/>
                <w:highlight w:val="none"/>
              </w:rPr>
            </w:pPr>
            <w:r>
              <w:rPr>
                <w:rFonts w:hint="eastAsia" w:ascii="宋体" w:hAnsi="宋体" w:eastAsia="宋体" w:cs="宋体"/>
                <w:b w:val="0"/>
                <w:color w:val="auto"/>
                <w:sz w:val="24"/>
                <w:szCs w:val="24"/>
                <w:highlight w:val="none"/>
              </w:rPr>
              <w:t>告知询价结果的形式</w:t>
            </w:r>
          </w:p>
        </w:tc>
        <w:tc>
          <w:tcPr>
            <w:tcW w:w="3347" w:type="pct"/>
            <w:vAlign w:val="center"/>
          </w:tcPr>
          <w:p w14:paraId="783AC166">
            <w:pPr>
              <w:pStyle w:val="45"/>
              <w:widowControl w:val="0"/>
              <w:spacing w:before="0" w:beforeAutospacing="0" w:after="0" w:afterAutospacing="0" w:line="360" w:lineRule="auto"/>
              <w:jc w:val="both"/>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sym w:font="Wingdings" w:char="00FE"/>
            </w:r>
            <w:r>
              <w:rPr>
                <w:rFonts w:hint="eastAsia" w:ascii="宋体" w:hAnsi="宋体" w:eastAsia="宋体" w:cs="宋体"/>
                <w:b w:val="0"/>
                <w:color w:val="auto"/>
                <w:sz w:val="24"/>
                <w:szCs w:val="24"/>
                <w:highlight w:val="none"/>
              </w:rPr>
              <w:t>供应商自行登录电子</w:t>
            </w:r>
            <w:r>
              <w:rPr>
                <w:rFonts w:hint="eastAsia" w:ascii="宋体" w:hAnsi="宋体" w:eastAsia="宋体" w:cs="宋体"/>
                <w:b w:val="0"/>
                <w:bCs w:val="0"/>
                <w:color w:val="auto"/>
                <w:sz w:val="24"/>
                <w:szCs w:val="24"/>
                <w:highlight w:val="none"/>
              </w:rPr>
              <w:t>交易</w:t>
            </w:r>
            <w:r>
              <w:rPr>
                <w:rFonts w:hint="eastAsia" w:ascii="宋体" w:hAnsi="宋体" w:eastAsia="宋体" w:cs="宋体"/>
                <w:b w:val="0"/>
                <w:color w:val="auto"/>
                <w:sz w:val="24"/>
                <w:szCs w:val="24"/>
                <w:highlight w:val="none"/>
              </w:rPr>
              <w:t>系统查看</w:t>
            </w:r>
          </w:p>
          <w:p w14:paraId="79CAE0A5">
            <w:pPr>
              <w:pStyle w:val="45"/>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cs="宋体"/>
                <w:b w:val="0"/>
                <w:color w:val="auto"/>
                <w:sz w:val="24"/>
                <w:szCs w:val="24"/>
                <w:highlight w:val="none"/>
              </w:rPr>
              <w:t>□</w:t>
            </w:r>
            <w:r>
              <w:rPr>
                <w:rFonts w:hint="eastAsia" w:ascii="宋体" w:hAnsi="宋体" w:eastAsia="宋体"/>
                <w:b w:val="0"/>
                <w:color w:val="auto"/>
                <w:sz w:val="24"/>
                <w:highlight w:val="none"/>
              </w:rPr>
              <w:t>询价现场告知</w:t>
            </w:r>
          </w:p>
        </w:tc>
      </w:tr>
      <w:tr w14:paraId="5CAD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7CF261F1">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asciiTheme="minorEastAsia" w:hAnsiTheme="minorEastAsia" w:eastAsiaTheme="minorEastAsia"/>
                <w:bCs/>
                <w:color w:val="auto"/>
                <w:kern w:val="2"/>
                <w:highlight w:val="none"/>
              </w:rPr>
              <w:t>2</w:t>
            </w:r>
            <w:r>
              <w:rPr>
                <w:rFonts w:hint="eastAsia" w:asciiTheme="minorEastAsia" w:hAnsiTheme="minorEastAsia" w:eastAsiaTheme="minorEastAsia"/>
                <w:bCs/>
                <w:color w:val="auto"/>
                <w:kern w:val="2"/>
                <w:highlight w:val="none"/>
              </w:rPr>
              <w:t>3</w:t>
            </w:r>
            <w:r>
              <w:rPr>
                <w:rFonts w:asciiTheme="minorEastAsia" w:hAnsiTheme="minorEastAsia" w:eastAsiaTheme="minorEastAsia"/>
                <w:bCs/>
                <w:color w:val="auto"/>
                <w:kern w:val="2"/>
                <w:highlight w:val="none"/>
              </w:rPr>
              <w:t>.1</w:t>
            </w:r>
          </w:p>
        </w:tc>
        <w:tc>
          <w:tcPr>
            <w:tcW w:w="1072" w:type="pct"/>
            <w:vAlign w:val="center"/>
          </w:tcPr>
          <w:p w14:paraId="3A86F0CF">
            <w:pPr>
              <w:pStyle w:val="45"/>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履约保证金</w:t>
            </w:r>
          </w:p>
        </w:tc>
        <w:tc>
          <w:tcPr>
            <w:tcW w:w="3347" w:type="pct"/>
          </w:tcPr>
          <w:p w14:paraId="7DD73B7D">
            <w:pPr>
              <w:spacing w:line="360" w:lineRule="auto"/>
              <w:rPr>
                <w:rFonts w:asciiTheme="minorEastAsia" w:hAnsiTheme="minorEastAsia" w:eastAsiaTheme="minorEastAsia"/>
                <w:color w:val="auto"/>
                <w:sz w:val="24"/>
                <w:highlight w:val="none"/>
              </w:rPr>
            </w:pPr>
            <w:r>
              <w:rPr>
                <w:rFonts w:hint="eastAsia" w:ascii="宋体" w:hAnsi="宋体" w:eastAsia="宋体"/>
                <w:bCs/>
                <w:color w:val="auto"/>
                <w:kern w:val="0"/>
                <w:sz w:val="24"/>
                <w:szCs w:val="28"/>
                <w:highlight w:val="none"/>
              </w:rPr>
              <w:t>☑免收</w:t>
            </w:r>
          </w:p>
        </w:tc>
      </w:tr>
      <w:tr w14:paraId="5A90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34B931AE">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asciiTheme="minorEastAsia" w:hAnsiTheme="minorEastAsia" w:eastAsiaTheme="minorEastAsia"/>
                <w:bCs/>
                <w:color w:val="auto"/>
                <w:kern w:val="2"/>
                <w:highlight w:val="none"/>
              </w:rPr>
              <w:t>2</w:t>
            </w:r>
            <w:r>
              <w:rPr>
                <w:rFonts w:hint="eastAsia" w:asciiTheme="minorEastAsia" w:hAnsiTheme="minorEastAsia" w:eastAsiaTheme="minorEastAsia"/>
                <w:bCs/>
                <w:color w:val="auto"/>
                <w:kern w:val="2"/>
                <w:highlight w:val="none"/>
              </w:rPr>
              <w:t>4</w:t>
            </w:r>
            <w:r>
              <w:rPr>
                <w:rFonts w:asciiTheme="minorEastAsia" w:hAnsiTheme="minorEastAsia" w:eastAsiaTheme="minorEastAsia"/>
                <w:bCs/>
                <w:color w:val="auto"/>
                <w:kern w:val="2"/>
                <w:highlight w:val="none"/>
              </w:rPr>
              <w:t>.1</w:t>
            </w:r>
          </w:p>
        </w:tc>
        <w:tc>
          <w:tcPr>
            <w:tcW w:w="1072" w:type="pct"/>
            <w:vAlign w:val="center"/>
          </w:tcPr>
          <w:p w14:paraId="55CD743D">
            <w:pPr>
              <w:pStyle w:val="45"/>
              <w:widowControl w:val="0"/>
              <w:spacing w:before="0" w:beforeAutospacing="0" w:after="0" w:afterAutospacing="0" w:line="360" w:lineRule="auto"/>
              <w:jc w:val="both"/>
              <w:rPr>
                <w:rFonts w:hint="default" w:asciiTheme="minorEastAsia" w:hAnsiTheme="minorEastAsia" w:eastAsiaTheme="minorEastAsia"/>
                <w:b w:val="0"/>
                <w:color w:val="auto"/>
                <w:sz w:val="24"/>
                <w:highlight w:val="none"/>
                <w:lang w:val="en-US" w:eastAsia="zh-CN"/>
              </w:rPr>
            </w:pPr>
            <w:r>
              <w:rPr>
                <w:rFonts w:hint="eastAsia" w:asciiTheme="minorEastAsia" w:hAnsiTheme="minorEastAsia" w:eastAsiaTheme="minorEastAsia"/>
                <w:b w:val="0"/>
                <w:color w:val="auto"/>
                <w:sz w:val="24"/>
                <w:highlight w:val="none"/>
              </w:rPr>
              <w:t>代理费用</w:t>
            </w:r>
            <w:r>
              <w:rPr>
                <w:rFonts w:hint="eastAsia" w:asciiTheme="minorEastAsia" w:hAnsiTheme="minorEastAsia" w:eastAsiaTheme="minorEastAsia"/>
                <w:b w:val="0"/>
                <w:color w:val="auto"/>
                <w:sz w:val="24"/>
                <w:highlight w:val="none"/>
                <w:lang w:val="en-US" w:eastAsia="zh-CN"/>
              </w:rPr>
              <w:t>及专家评审费</w:t>
            </w:r>
          </w:p>
        </w:tc>
        <w:tc>
          <w:tcPr>
            <w:tcW w:w="3347" w:type="pct"/>
            <w:vAlign w:val="center"/>
          </w:tcPr>
          <w:p w14:paraId="3D576332">
            <w:pPr>
              <w:spacing w:before="39" w:line="360" w:lineRule="auto"/>
              <w:rPr>
                <w:rFonts w:ascii="宋体" w:hAnsi="宋体" w:eastAsia="宋体" w:cs="宋体"/>
                <w:color w:val="auto"/>
                <w:sz w:val="24"/>
                <w:szCs w:val="24"/>
                <w:highlight w:val="none"/>
              </w:rPr>
            </w:pPr>
            <w:r>
              <w:rPr>
                <w:rFonts w:hint="eastAsia" w:ascii="宋体" w:hAnsi="宋体" w:eastAsia="宋体"/>
                <w:bCs/>
                <w:color w:val="auto"/>
                <w:kern w:val="0"/>
                <w:sz w:val="24"/>
                <w:szCs w:val="28"/>
                <w:highlight w:val="none"/>
              </w:rPr>
              <w:t>（1）</w:t>
            </w:r>
            <w:r>
              <w:rPr>
                <w:rFonts w:ascii="宋体" w:hAnsi="宋体" w:eastAsia="宋体"/>
                <w:bCs/>
                <w:color w:val="auto"/>
                <w:kern w:val="0"/>
                <w:sz w:val="24"/>
                <w:szCs w:val="28"/>
                <w:highlight w:val="none"/>
              </w:rPr>
              <w:t>收费对象</w:t>
            </w:r>
            <w:r>
              <w:rPr>
                <w:rFonts w:ascii="宋体" w:hAnsi="宋体" w:eastAsia="宋体" w:cs="宋体"/>
                <w:color w:val="auto"/>
                <w:spacing w:val="-12"/>
                <w:sz w:val="24"/>
                <w:szCs w:val="24"/>
                <w:highlight w:val="none"/>
              </w:rPr>
              <w:t>：</w:t>
            </w:r>
            <w:r>
              <w:rPr>
                <w:rFonts w:hint="eastAsia" w:ascii="宋体" w:hAnsi="宋体" w:eastAsia="宋体" w:cs="宋体"/>
                <w:color w:val="auto"/>
                <w:spacing w:val="14"/>
                <w:sz w:val="24"/>
                <w:szCs w:val="24"/>
                <w:highlight w:val="none"/>
              </w:rPr>
              <w:t>成交供应商</w:t>
            </w:r>
          </w:p>
          <w:p w14:paraId="1E5B7AC7">
            <w:pPr>
              <w:spacing w:before="24"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ascii="宋体" w:hAnsi="宋体" w:eastAsia="宋体"/>
                <w:bCs/>
                <w:color w:val="auto"/>
                <w:kern w:val="0"/>
                <w:sz w:val="24"/>
                <w:szCs w:val="28"/>
                <w:highlight w:val="none"/>
              </w:rPr>
              <w:t>收取方式</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银行转账</w:t>
            </w:r>
            <w:r>
              <w:rPr>
                <w:rFonts w:ascii="宋体" w:hAnsi="宋体" w:eastAsia="宋体" w:cs="宋体"/>
                <w:color w:val="auto"/>
                <w:sz w:val="24"/>
                <w:szCs w:val="24"/>
                <w:highlight w:val="none"/>
                <w:u w:val="single"/>
              </w:rPr>
              <w:t xml:space="preserve">  </w:t>
            </w:r>
          </w:p>
          <w:p w14:paraId="20C3D46B">
            <w:pPr>
              <w:pStyle w:val="45"/>
              <w:widowControl w:val="0"/>
              <w:spacing w:before="0" w:beforeAutospacing="0" w:after="0" w:afterAutospacing="0" w:line="360" w:lineRule="auto"/>
              <w:jc w:val="both"/>
              <w:rPr>
                <w:rFonts w:hint="default" w:eastAsia="宋体" w:asciiTheme="minorEastAsia" w:hAnsiTheme="minorEastAsia"/>
                <w:b w:val="0"/>
                <w:color w:val="auto"/>
                <w:sz w:val="24"/>
                <w:highlight w:val="none"/>
                <w:lang w:val="en-US" w:eastAsia="zh-CN"/>
              </w:rPr>
            </w:pPr>
            <w:r>
              <w:rPr>
                <w:rFonts w:hint="eastAsia" w:ascii="宋体" w:hAnsi="宋体" w:eastAsia="宋体"/>
                <w:b w:val="0"/>
                <w:bCs w:val="0"/>
                <w:color w:val="auto"/>
                <w:sz w:val="24"/>
                <w:highlight w:val="none"/>
              </w:rPr>
              <w:t>（3）</w:t>
            </w:r>
            <w:r>
              <w:rPr>
                <w:rFonts w:ascii="宋体" w:hAnsi="宋体" w:eastAsia="宋体"/>
                <w:b w:val="0"/>
                <w:color w:val="auto"/>
                <w:sz w:val="24"/>
                <w:highlight w:val="none"/>
              </w:rPr>
              <w:t>收费标准：</w:t>
            </w:r>
            <w:r>
              <w:rPr>
                <w:rFonts w:hint="eastAsia" w:ascii="宋体" w:hAnsi="宋体" w:eastAsia="宋体"/>
                <w:b w:val="0"/>
                <w:color w:val="auto"/>
                <w:sz w:val="24"/>
                <w:highlight w:val="none"/>
                <w:u w:val="none"/>
                <w:lang w:val="en-US" w:eastAsia="zh-CN"/>
              </w:rPr>
              <w:t>代理费2000</w:t>
            </w:r>
            <w:r>
              <w:rPr>
                <w:rFonts w:hint="eastAsia" w:ascii="宋体" w:hAnsi="宋体" w:eastAsia="宋体" w:cs="宋体"/>
                <w:b w:val="0"/>
                <w:bCs w:val="0"/>
                <w:color w:val="auto"/>
                <w:sz w:val="24"/>
                <w:szCs w:val="24"/>
                <w:highlight w:val="none"/>
                <w:u w:val="none"/>
                <w:lang w:val="en-US" w:eastAsia="zh-CN"/>
              </w:rPr>
              <w:t>元。专家评审费约1240元</w:t>
            </w:r>
            <w:r>
              <w:rPr>
                <w:rFonts w:hint="eastAsia" w:ascii="宋体" w:hAnsi="宋体" w:eastAsia="宋体"/>
                <w:b w:val="0"/>
                <w:color w:val="auto"/>
                <w:sz w:val="24"/>
                <w:highlight w:val="none"/>
                <w:u w:val="none"/>
                <w:lang w:val="en-US" w:eastAsia="zh-CN"/>
              </w:rPr>
              <w:t>（最终以实际发生为准，按实计收），成交供应商在领取成交通知书前一次性支付给代理公司；</w:t>
            </w:r>
          </w:p>
        </w:tc>
      </w:tr>
      <w:tr w14:paraId="7FAF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00669541">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27</w:t>
            </w:r>
            <w:r>
              <w:rPr>
                <w:rFonts w:asciiTheme="minorEastAsia" w:hAnsiTheme="minorEastAsia" w:eastAsiaTheme="minorEastAsia"/>
                <w:bCs/>
                <w:color w:val="auto"/>
                <w:kern w:val="2"/>
                <w:highlight w:val="none"/>
              </w:rPr>
              <w:t>.</w:t>
            </w:r>
            <w:r>
              <w:rPr>
                <w:rFonts w:hint="eastAsia" w:asciiTheme="minorEastAsia" w:hAnsiTheme="minorEastAsia" w:eastAsiaTheme="minorEastAsia"/>
                <w:bCs/>
                <w:color w:val="auto"/>
                <w:kern w:val="2"/>
                <w:highlight w:val="none"/>
              </w:rPr>
              <w:t>3</w:t>
            </w:r>
          </w:p>
        </w:tc>
        <w:tc>
          <w:tcPr>
            <w:tcW w:w="1072" w:type="pct"/>
            <w:vAlign w:val="center"/>
          </w:tcPr>
          <w:p w14:paraId="5EE1F34A">
            <w:pPr>
              <w:pStyle w:val="45"/>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347" w:type="pct"/>
            <w:vAlign w:val="center"/>
          </w:tcPr>
          <w:p w14:paraId="646E8691">
            <w:pPr>
              <w:pStyle w:val="45"/>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highlight w:val="none"/>
              </w:rPr>
            </w:pPr>
            <w:r>
              <w:rPr>
                <w:rFonts w:hint="eastAsia" w:ascii="宋体" w:hAnsi="宋体" w:eastAsia="宋体" w:cs="宋体"/>
                <w:b w:val="0"/>
                <w:color w:val="auto"/>
                <w:sz w:val="24"/>
                <w:szCs w:val="24"/>
                <w:highlight w:val="none"/>
              </w:rPr>
              <w:t>如</w:t>
            </w:r>
            <w:r>
              <w:rPr>
                <w:rFonts w:hint="eastAsia" w:ascii="宋体" w:hAnsi="宋体" w:eastAsia="宋体" w:cs="宋体"/>
                <w:b w:val="0"/>
                <w:color w:val="auto"/>
                <w:sz w:val="24"/>
                <w:szCs w:val="24"/>
                <w:highlight w:val="none"/>
                <w:lang w:val="en-US" w:eastAsia="zh-CN"/>
              </w:rPr>
              <w:t>供应商</w:t>
            </w:r>
            <w:r>
              <w:rPr>
                <w:rFonts w:hint="eastAsia" w:ascii="宋体" w:hAnsi="宋体" w:eastAsia="宋体" w:cs="宋体"/>
                <w:b w:val="0"/>
                <w:color w:val="auto"/>
                <w:sz w:val="24"/>
                <w:szCs w:val="24"/>
                <w:highlight w:val="none"/>
              </w:rPr>
              <w:t>对</w:t>
            </w:r>
            <w:r>
              <w:rPr>
                <w:rFonts w:hint="eastAsia" w:ascii="宋体" w:hAnsi="宋体" w:eastAsia="宋体" w:cs="宋体"/>
                <w:b w:val="0"/>
                <w:color w:val="auto"/>
                <w:sz w:val="24"/>
                <w:szCs w:val="24"/>
                <w:highlight w:val="none"/>
                <w:lang w:val="en-US" w:eastAsia="zh-CN"/>
              </w:rPr>
              <w:t>采购</w:t>
            </w:r>
            <w:r>
              <w:rPr>
                <w:rFonts w:hint="eastAsia" w:ascii="宋体" w:hAnsi="宋体" w:eastAsia="宋体" w:cs="宋体"/>
                <w:b w:val="0"/>
                <w:color w:val="auto"/>
                <w:sz w:val="24"/>
                <w:szCs w:val="24"/>
                <w:highlight w:val="none"/>
              </w:rPr>
              <w:t>文件有疑问，请于202</w:t>
            </w:r>
            <w:r>
              <w:rPr>
                <w:rFonts w:hint="eastAsia" w:ascii="宋体" w:hAnsi="宋体" w:eastAsia="宋体" w:cs="宋体"/>
                <w:b w:val="0"/>
                <w:color w:val="auto"/>
                <w:sz w:val="24"/>
                <w:szCs w:val="24"/>
                <w:highlight w:val="none"/>
                <w:lang w:val="en-US" w:eastAsia="zh-CN"/>
              </w:rPr>
              <w:t>5</w:t>
            </w:r>
            <w:r>
              <w:rPr>
                <w:rFonts w:hint="eastAsia" w:ascii="宋体" w:hAnsi="宋体" w:eastAsia="宋体" w:cs="宋体"/>
                <w:b w:val="0"/>
                <w:color w:val="auto"/>
                <w:sz w:val="24"/>
                <w:szCs w:val="24"/>
                <w:highlight w:val="none"/>
              </w:rPr>
              <w:t>年</w:t>
            </w:r>
            <w:r>
              <w:rPr>
                <w:rFonts w:hint="eastAsia" w:ascii="宋体" w:hAnsi="宋体" w:eastAsia="宋体" w:cs="宋体"/>
                <w:b w:val="0"/>
                <w:color w:val="auto"/>
                <w:sz w:val="24"/>
                <w:szCs w:val="24"/>
                <w:highlight w:val="none"/>
                <w:lang w:val="en-US" w:eastAsia="zh-CN"/>
              </w:rPr>
              <w:t>7</w:t>
            </w:r>
            <w:r>
              <w:rPr>
                <w:rFonts w:hint="eastAsia" w:ascii="宋体" w:hAnsi="宋体" w:eastAsia="宋体" w:cs="宋体"/>
                <w:b w:val="0"/>
                <w:color w:val="auto"/>
                <w:sz w:val="24"/>
                <w:szCs w:val="24"/>
                <w:highlight w:val="none"/>
              </w:rPr>
              <w:t>月</w:t>
            </w:r>
            <w:r>
              <w:rPr>
                <w:rFonts w:hint="eastAsia" w:ascii="宋体" w:hAnsi="宋体" w:eastAsia="宋体" w:cs="宋体"/>
                <w:b w:val="0"/>
                <w:color w:val="auto"/>
                <w:sz w:val="24"/>
                <w:szCs w:val="24"/>
                <w:highlight w:val="none"/>
                <w:lang w:val="en-US" w:eastAsia="zh-CN"/>
              </w:rPr>
              <w:t>30</w:t>
            </w:r>
            <w:r>
              <w:rPr>
                <w:rFonts w:hint="eastAsia" w:ascii="宋体" w:hAnsi="宋体" w:eastAsia="宋体" w:cs="宋体"/>
                <w:b w:val="0"/>
                <w:color w:val="auto"/>
                <w:sz w:val="24"/>
                <w:szCs w:val="24"/>
                <w:highlight w:val="none"/>
              </w:rPr>
              <w:fldChar w:fldCharType="begin"/>
            </w:r>
            <w:r>
              <w:rPr>
                <w:rFonts w:hint="eastAsia" w:ascii="宋体" w:hAnsi="宋体" w:eastAsia="宋体" w:cs="宋体"/>
                <w:b w:val="0"/>
                <w:color w:val="auto"/>
                <w:sz w:val="24"/>
                <w:szCs w:val="24"/>
                <w:highlight w:val="none"/>
              </w:rPr>
              <w:instrText xml:space="preserve"> HYPERLINK "mailto:日12时前将疑问内容以电子邮件形式发送至czsctgczx@163.com（滁州市城投工程咨询管理有限公司邮箱），招标人将在2024年4月" </w:instrText>
            </w:r>
            <w:r>
              <w:rPr>
                <w:rFonts w:hint="eastAsia" w:ascii="宋体" w:hAnsi="宋体" w:eastAsia="宋体" w:cs="宋体"/>
                <w:b w:val="0"/>
                <w:color w:val="auto"/>
                <w:sz w:val="24"/>
                <w:szCs w:val="24"/>
                <w:highlight w:val="none"/>
              </w:rPr>
              <w:fldChar w:fldCharType="separate"/>
            </w:r>
            <w:r>
              <w:rPr>
                <w:rFonts w:hint="eastAsia" w:ascii="宋体" w:hAnsi="宋体" w:eastAsia="宋体" w:cs="宋体"/>
                <w:b w:val="0"/>
                <w:color w:val="auto"/>
                <w:sz w:val="24"/>
                <w:szCs w:val="24"/>
                <w:highlight w:val="none"/>
              </w:rPr>
              <w:t>日1</w:t>
            </w:r>
            <w:r>
              <w:rPr>
                <w:rFonts w:hint="eastAsia" w:ascii="宋体" w:hAnsi="宋体" w:eastAsia="宋体" w:cs="宋体"/>
                <w:b w:val="0"/>
                <w:color w:val="auto"/>
                <w:sz w:val="24"/>
                <w:szCs w:val="24"/>
                <w:highlight w:val="none"/>
                <w:lang w:val="en-US" w:eastAsia="zh-CN"/>
              </w:rPr>
              <w:t>7</w:t>
            </w:r>
            <w:r>
              <w:rPr>
                <w:rFonts w:hint="eastAsia" w:ascii="宋体" w:hAnsi="宋体" w:eastAsia="宋体" w:cs="宋体"/>
                <w:b w:val="0"/>
                <w:color w:val="auto"/>
                <w:sz w:val="24"/>
                <w:szCs w:val="24"/>
                <w:highlight w:val="none"/>
              </w:rPr>
              <w:t>时前</w:t>
            </w:r>
            <w:r>
              <w:rPr>
                <w:rFonts w:hint="eastAsia" w:ascii="宋体" w:hAnsi="宋体" w:eastAsia="宋体" w:cs="宋体"/>
                <w:b w:val="0"/>
                <w:color w:val="auto"/>
                <w:sz w:val="24"/>
                <w:szCs w:val="24"/>
                <w:highlight w:val="none"/>
                <w:lang w:val="en-US" w:eastAsia="zh-CN"/>
              </w:rPr>
              <w:t>通过新点电子交易平台【滁州专区】对采购文件提出澄清（质疑）</w:t>
            </w:r>
            <w:r>
              <w:rPr>
                <w:rFonts w:hint="eastAsia" w:ascii="宋体" w:hAnsi="宋体" w:eastAsia="宋体" w:cs="宋体"/>
                <w:b w:val="0"/>
                <w:color w:val="auto"/>
                <w:sz w:val="24"/>
                <w:szCs w:val="24"/>
                <w:highlight w:val="none"/>
              </w:rPr>
              <w:t>，</w:t>
            </w:r>
            <w:r>
              <w:rPr>
                <w:rFonts w:hint="eastAsia" w:ascii="宋体" w:hAnsi="宋体" w:eastAsia="宋体" w:cs="宋体"/>
                <w:b w:val="0"/>
                <w:color w:val="auto"/>
                <w:sz w:val="24"/>
                <w:szCs w:val="24"/>
                <w:highlight w:val="none"/>
                <w:lang w:val="en-US" w:eastAsia="zh-CN"/>
              </w:rPr>
              <w:t>采购人</w:t>
            </w:r>
            <w:r>
              <w:rPr>
                <w:rFonts w:hint="eastAsia" w:ascii="宋体" w:hAnsi="宋体" w:eastAsia="宋体" w:cs="宋体"/>
                <w:b w:val="0"/>
                <w:color w:val="auto"/>
                <w:sz w:val="24"/>
                <w:szCs w:val="24"/>
                <w:highlight w:val="none"/>
              </w:rPr>
              <w:t>将在202</w:t>
            </w:r>
            <w:r>
              <w:rPr>
                <w:rFonts w:hint="eastAsia" w:ascii="宋体" w:hAnsi="宋体" w:eastAsia="宋体" w:cs="宋体"/>
                <w:b w:val="0"/>
                <w:color w:val="auto"/>
                <w:sz w:val="24"/>
                <w:szCs w:val="24"/>
                <w:highlight w:val="none"/>
                <w:lang w:val="en-US" w:eastAsia="zh-CN"/>
              </w:rPr>
              <w:t>5</w:t>
            </w:r>
            <w:r>
              <w:rPr>
                <w:rFonts w:hint="eastAsia" w:ascii="宋体" w:hAnsi="宋体" w:eastAsia="宋体" w:cs="宋体"/>
                <w:b w:val="0"/>
                <w:color w:val="auto"/>
                <w:sz w:val="24"/>
                <w:szCs w:val="24"/>
                <w:highlight w:val="none"/>
              </w:rPr>
              <w:t>年</w:t>
            </w:r>
            <w:r>
              <w:rPr>
                <w:rFonts w:hint="eastAsia" w:ascii="宋体" w:hAnsi="宋体" w:eastAsia="宋体" w:cs="宋体"/>
                <w:b w:val="0"/>
                <w:color w:val="auto"/>
                <w:sz w:val="24"/>
                <w:szCs w:val="24"/>
                <w:highlight w:val="none"/>
                <w:lang w:val="en-US" w:eastAsia="zh-CN"/>
              </w:rPr>
              <w:t>7</w:t>
            </w:r>
            <w:r>
              <w:rPr>
                <w:rFonts w:hint="eastAsia" w:ascii="宋体" w:hAnsi="宋体" w:eastAsia="宋体" w:cs="宋体"/>
                <w:b w:val="0"/>
                <w:color w:val="auto"/>
                <w:sz w:val="24"/>
                <w:szCs w:val="24"/>
                <w:highlight w:val="none"/>
              </w:rPr>
              <w:t>月</w:t>
            </w:r>
            <w:r>
              <w:rPr>
                <w:rFonts w:hint="eastAsia" w:ascii="宋体" w:hAnsi="宋体" w:eastAsia="宋体" w:cs="宋体"/>
                <w:b w:val="0"/>
                <w:color w:val="auto"/>
                <w:sz w:val="24"/>
                <w:szCs w:val="24"/>
                <w:highlight w:val="none"/>
              </w:rPr>
              <w:fldChar w:fldCharType="end"/>
            </w:r>
            <w:r>
              <w:rPr>
                <w:rFonts w:hint="eastAsia" w:ascii="宋体" w:hAnsi="宋体" w:eastAsia="宋体" w:cs="宋体"/>
                <w:b w:val="0"/>
                <w:color w:val="auto"/>
                <w:sz w:val="24"/>
                <w:szCs w:val="24"/>
                <w:highlight w:val="none"/>
                <w:lang w:val="en-US" w:eastAsia="zh-CN"/>
              </w:rPr>
              <w:t>31</w:t>
            </w:r>
            <w:r>
              <w:rPr>
                <w:rFonts w:hint="eastAsia" w:ascii="宋体" w:hAnsi="宋体" w:eastAsia="宋体" w:cs="宋体"/>
                <w:b w:val="0"/>
                <w:color w:val="auto"/>
                <w:sz w:val="24"/>
                <w:szCs w:val="24"/>
                <w:highlight w:val="none"/>
              </w:rPr>
              <w:t>日1</w:t>
            </w:r>
            <w:r>
              <w:rPr>
                <w:rFonts w:hint="eastAsia" w:ascii="宋体" w:hAnsi="宋体" w:eastAsia="宋体" w:cs="宋体"/>
                <w:b w:val="0"/>
                <w:color w:val="auto"/>
                <w:sz w:val="24"/>
                <w:szCs w:val="24"/>
                <w:highlight w:val="none"/>
                <w:lang w:val="en-US" w:eastAsia="zh-CN"/>
              </w:rPr>
              <w:t>7</w:t>
            </w:r>
            <w:r>
              <w:rPr>
                <w:rFonts w:hint="eastAsia" w:ascii="宋体" w:hAnsi="宋体" w:eastAsia="宋体" w:cs="宋体"/>
                <w:b w:val="0"/>
                <w:color w:val="auto"/>
                <w:sz w:val="24"/>
                <w:szCs w:val="24"/>
                <w:highlight w:val="none"/>
              </w:rPr>
              <w:t>时后</w:t>
            </w:r>
            <w:r>
              <w:rPr>
                <w:rFonts w:hint="eastAsia" w:ascii="宋体" w:hAnsi="宋体" w:eastAsia="宋体" w:cs="宋体"/>
                <w:b w:val="0"/>
                <w:color w:val="auto"/>
                <w:sz w:val="24"/>
                <w:szCs w:val="24"/>
                <w:highlight w:val="none"/>
                <w:lang w:eastAsia="zh-CN"/>
              </w:rPr>
              <w:t>在</w:t>
            </w:r>
            <w:r>
              <w:rPr>
                <w:rFonts w:hint="eastAsia" w:ascii="宋体" w:hAnsi="宋体" w:eastAsia="宋体" w:cs="宋体"/>
                <w:b w:val="0"/>
                <w:color w:val="auto"/>
                <w:sz w:val="24"/>
                <w:szCs w:val="24"/>
                <w:highlight w:val="none"/>
              </w:rPr>
              <w:t>滁州市城投工程咨询管理有限公司（https://www.czctgczx.com/）</w:t>
            </w:r>
            <w:r>
              <w:rPr>
                <w:rFonts w:hint="eastAsia" w:ascii="宋体" w:hAnsi="宋体" w:eastAsia="宋体" w:cs="宋体"/>
                <w:b w:val="0"/>
                <w:color w:val="auto"/>
                <w:sz w:val="24"/>
                <w:szCs w:val="24"/>
                <w:highlight w:val="none"/>
                <w:lang w:val="en-US" w:eastAsia="zh-CN"/>
              </w:rPr>
              <w:t>网站发布</w:t>
            </w:r>
            <w:r>
              <w:rPr>
                <w:rFonts w:hint="eastAsia" w:ascii="宋体" w:hAnsi="宋体" w:eastAsia="宋体" w:cs="宋体"/>
                <w:b w:val="0"/>
                <w:color w:val="auto"/>
                <w:sz w:val="24"/>
                <w:szCs w:val="24"/>
                <w:highlight w:val="none"/>
              </w:rPr>
              <w:t>，请各位</w:t>
            </w:r>
            <w:r>
              <w:rPr>
                <w:rFonts w:hint="eastAsia" w:ascii="宋体" w:hAnsi="宋体" w:eastAsia="宋体" w:cs="宋体"/>
                <w:b w:val="0"/>
                <w:color w:val="auto"/>
                <w:sz w:val="24"/>
                <w:szCs w:val="24"/>
                <w:highlight w:val="none"/>
                <w:lang w:val="en-US" w:eastAsia="zh-CN"/>
              </w:rPr>
              <w:t>供应商</w:t>
            </w:r>
            <w:r>
              <w:rPr>
                <w:rFonts w:hint="eastAsia" w:ascii="宋体" w:hAnsi="宋体" w:eastAsia="宋体" w:cs="宋体"/>
                <w:b w:val="0"/>
                <w:color w:val="auto"/>
                <w:sz w:val="24"/>
                <w:szCs w:val="24"/>
                <w:highlight w:val="none"/>
              </w:rPr>
              <w:t>注意查看有关澄清内容，如不及时查看造成后果由</w:t>
            </w:r>
            <w:r>
              <w:rPr>
                <w:rFonts w:hint="eastAsia" w:ascii="宋体" w:hAnsi="宋体" w:eastAsia="宋体" w:cs="宋体"/>
                <w:b w:val="0"/>
                <w:color w:val="auto"/>
                <w:sz w:val="24"/>
                <w:szCs w:val="24"/>
                <w:highlight w:val="none"/>
                <w:lang w:val="en-US" w:eastAsia="zh-CN"/>
              </w:rPr>
              <w:t>供应商</w:t>
            </w:r>
            <w:r>
              <w:rPr>
                <w:rFonts w:hint="eastAsia" w:ascii="宋体" w:hAnsi="宋体" w:eastAsia="宋体" w:cs="宋体"/>
                <w:b w:val="0"/>
                <w:color w:val="auto"/>
                <w:sz w:val="24"/>
                <w:szCs w:val="24"/>
                <w:highlight w:val="none"/>
              </w:rPr>
              <w:t>自负。</w:t>
            </w:r>
          </w:p>
        </w:tc>
      </w:tr>
      <w:tr w14:paraId="0F47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3"/>
            <w:vAlign w:val="center"/>
          </w:tcPr>
          <w:p w14:paraId="3A2A1FF8">
            <w:pPr>
              <w:pStyle w:val="45"/>
              <w:widowControl w:val="0"/>
              <w:spacing w:before="0" w:beforeAutospacing="0" w:after="0" w:afterAutospacing="0" w:line="360" w:lineRule="auto"/>
              <w:jc w:val="center"/>
              <w:rPr>
                <w:rFonts w:ascii="宋体" w:hAnsi="宋体" w:eastAsia="宋体" w:cs="宋体"/>
                <w:b w:val="0"/>
                <w:color w:val="auto"/>
                <w:kern w:val="2"/>
                <w:sz w:val="24"/>
                <w:szCs w:val="24"/>
                <w:highlight w:val="none"/>
                <w:lang w:bidi="ar"/>
              </w:rPr>
            </w:pPr>
            <w:r>
              <w:rPr>
                <w:rFonts w:hint="eastAsia" w:ascii="宋体" w:hAnsi="宋体" w:eastAsia="宋体" w:cs="宋体"/>
                <w:b/>
                <w:bCs/>
                <w:color w:val="auto"/>
                <w:sz w:val="21"/>
                <w:szCs w:val="21"/>
                <w:highlight w:val="none"/>
              </w:rPr>
              <w:t>需要补充的其他内容</w:t>
            </w:r>
          </w:p>
        </w:tc>
      </w:tr>
      <w:tr w14:paraId="5D92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66A8FCAB">
            <w:pPr>
              <w:pStyle w:val="46"/>
              <w:pBdr>
                <w:bottom w:val="none" w:color="auto" w:sz="0" w:space="0"/>
              </w:pBdr>
              <w:tabs>
                <w:tab w:val="clear" w:pos="4153"/>
                <w:tab w:val="clear" w:pos="8306"/>
              </w:tabs>
              <w:adjustRightInd/>
              <w:spacing w:line="240" w:lineRule="auto"/>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1</w:t>
            </w:r>
          </w:p>
        </w:tc>
        <w:tc>
          <w:tcPr>
            <w:tcW w:w="1861" w:type="dxa"/>
            <w:vAlign w:val="center"/>
          </w:tcPr>
          <w:p w14:paraId="2FFE3CEA">
            <w:pPr>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电子招标投标</w:t>
            </w:r>
          </w:p>
        </w:tc>
        <w:tc>
          <w:tcPr>
            <w:tcW w:w="5811" w:type="dxa"/>
            <w:vAlign w:val="center"/>
          </w:tcPr>
          <w:p w14:paraId="01678FB7">
            <w:pPr>
              <w:keepNext w:val="0"/>
              <w:keepLines w:val="0"/>
              <w:pageBreakBefore w:val="0"/>
              <w:kinsoku/>
              <w:overflowPunct/>
              <w:topLinePunct w:val="0"/>
              <w:autoSpaceDE/>
              <w:autoSpaceDN/>
              <w:bidi w:val="0"/>
              <w:spacing w:line="440" w:lineRule="exact"/>
              <w:jc w:val="left"/>
              <w:textAlignment w:val="auto"/>
              <w:rPr>
                <w:rFonts w:ascii="宋体" w:hAnsi="宋体" w:eastAsia="宋体" w:cs="宋体"/>
                <w:b w:val="0"/>
                <w:color w:val="auto"/>
                <w:kern w:val="2"/>
                <w:sz w:val="24"/>
                <w:szCs w:val="24"/>
                <w:highlight w:val="none"/>
                <w:lang w:bidi="ar"/>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否；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是，具体要求：按</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w:t>
            </w:r>
          </w:p>
        </w:tc>
      </w:tr>
      <w:tr w14:paraId="1191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62C69D64">
            <w:pPr>
              <w:pStyle w:val="46"/>
              <w:pBdr>
                <w:bottom w:val="none" w:color="auto" w:sz="0" w:space="0"/>
              </w:pBdr>
              <w:tabs>
                <w:tab w:val="clear" w:pos="4153"/>
                <w:tab w:val="clear" w:pos="8306"/>
              </w:tabs>
              <w:adjustRightInd/>
              <w:spacing w:line="240" w:lineRule="auto"/>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2</w:t>
            </w:r>
          </w:p>
        </w:tc>
        <w:tc>
          <w:tcPr>
            <w:tcW w:w="1861" w:type="dxa"/>
            <w:vAlign w:val="center"/>
          </w:tcPr>
          <w:p w14:paraId="65817853">
            <w:pPr>
              <w:pStyle w:val="46"/>
              <w:pBdr>
                <w:bottom w:val="none" w:color="auto" w:sz="0" w:space="0"/>
              </w:pBdr>
              <w:tabs>
                <w:tab w:val="clear" w:pos="4153"/>
                <w:tab w:val="clear" w:pos="8306"/>
              </w:tabs>
              <w:adjustRightInd/>
              <w:spacing w:line="240" w:lineRule="auto"/>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付款方式</w:t>
            </w:r>
          </w:p>
        </w:tc>
        <w:tc>
          <w:tcPr>
            <w:tcW w:w="5811" w:type="dxa"/>
            <w:vAlign w:val="center"/>
          </w:tcPr>
          <w:p w14:paraId="16A6DE05">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left"/>
              <w:textAlignment w:val="auto"/>
              <w:rPr>
                <w:rFonts w:hint="eastAsia" w:ascii="宋体" w:hAnsi="宋体" w:eastAsia="宋体" w:cs="@仿宋_GB2312"/>
                <w:b/>
                <w:bCs w:val="0"/>
                <w:color w:val="auto"/>
                <w:kern w:val="0"/>
                <w:sz w:val="24"/>
                <w:szCs w:val="28"/>
                <w:highlight w:val="none"/>
                <w:lang w:val="en-US" w:eastAsia="zh-CN" w:bidi="ar-SA"/>
              </w:rPr>
            </w:pPr>
            <w:r>
              <w:rPr>
                <w:rFonts w:hint="eastAsia" w:ascii="宋体" w:hAnsi="宋体" w:eastAsia="宋体" w:cs="@仿宋_GB2312"/>
                <w:b/>
                <w:bCs w:val="0"/>
                <w:color w:val="auto"/>
                <w:kern w:val="0"/>
                <w:sz w:val="24"/>
                <w:szCs w:val="28"/>
                <w:highlight w:val="none"/>
                <w:lang w:val="en-US" w:eastAsia="zh-CN" w:bidi="ar-SA"/>
              </w:rPr>
              <w:t>所有货物供货、安装完成并</w:t>
            </w:r>
            <w:r>
              <w:rPr>
                <w:rFonts w:hint="eastAsia" w:ascii="宋体" w:hAnsi="宋体" w:eastAsia="宋体" w:cs="@仿宋_GB2312"/>
                <w:b/>
                <w:bCs w:val="0"/>
                <w:color w:val="auto"/>
                <w:kern w:val="0"/>
                <w:sz w:val="24"/>
                <w:szCs w:val="28"/>
                <w:highlight w:val="none"/>
                <w:lang w:val="en-US" w:eastAsia="zh-CN" w:bidi="ar-SA"/>
              </w:rPr>
              <w:t>联机调试合格</w:t>
            </w:r>
            <w:r>
              <w:rPr>
                <w:rFonts w:hint="eastAsia" w:ascii="宋体" w:hAnsi="宋体" w:eastAsia="宋体" w:cs="@仿宋_GB2312"/>
                <w:b/>
                <w:bCs w:val="0"/>
                <w:color w:val="auto"/>
                <w:kern w:val="0"/>
                <w:sz w:val="24"/>
                <w:szCs w:val="28"/>
                <w:highlight w:val="none"/>
                <w:lang w:val="en-US" w:eastAsia="zh-CN" w:bidi="ar-SA"/>
              </w:rPr>
              <w:t>后支付已完成合格供货量价款的70%，本项目通过消防验收后付至结算价款的98%，剩余2%作为质量保证金，质保期（2年）满经核验无质量问题后30天内无息付清余款。采购数量为暂定量，结算时按实际供货数量进行结算。支付前成交供应商须提供等额增值税专用发票。</w:t>
            </w:r>
          </w:p>
          <w:p w14:paraId="4DEC01F9">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left"/>
              <w:textAlignment w:val="auto"/>
              <w:rPr>
                <w:rFonts w:hint="eastAsia" w:ascii="宋体" w:hAnsi="宋体" w:eastAsia="宋体" w:cs="@仿宋_GB2312"/>
                <w:b/>
                <w:bCs w:val="0"/>
                <w:color w:val="auto"/>
                <w:kern w:val="0"/>
                <w:sz w:val="24"/>
                <w:szCs w:val="28"/>
                <w:highlight w:val="none"/>
                <w:lang w:val="en-US" w:eastAsia="zh-CN" w:bidi="ar-SA"/>
              </w:rPr>
            </w:pPr>
            <w:r>
              <w:rPr>
                <w:rFonts w:hint="eastAsia" w:ascii="宋体" w:hAnsi="宋体" w:eastAsia="宋体" w:cs="@仿宋_GB2312"/>
                <w:b/>
                <w:bCs w:val="0"/>
                <w:color w:val="auto"/>
                <w:kern w:val="0"/>
                <w:sz w:val="24"/>
                <w:szCs w:val="28"/>
                <w:highlight w:val="none"/>
                <w:lang w:val="en-US" w:eastAsia="zh-CN" w:bidi="ar-SA"/>
              </w:rPr>
              <w:t>本项目由滁州市城投交通控股有限公司统一招标、统一签订合同，合同费用由安徽来六高速公路开发有限公司根据实际供货数量进行支付。</w:t>
            </w:r>
          </w:p>
        </w:tc>
      </w:tr>
      <w:tr w14:paraId="731BD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77B59C5B">
            <w:pPr>
              <w:pStyle w:val="46"/>
              <w:pBdr>
                <w:bottom w:val="none" w:color="auto" w:sz="0" w:space="0"/>
              </w:pBdr>
              <w:tabs>
                <w:tab w:val="clear" w:pos="4153"/>
                <w:tab w:val="clear" w:pos="8306"/>
              </w:tabs>
              <w:adjustRightInd/>
              <w:spacing w:line="240" w:lineRule="auto"/>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3</w:t>
            </w:r>
          </w:p>
        </w:tc>
        <w:tc>
          <w:tcPr>
            <w:tcW w:w="1861" w:type="dxa"/>
            <w:vAlign w:val="center"/>
          </w:tcPr>
          <w:p w14:paraId="71DDFC3C">
            <w:pPr>
              <w:pStyle w:val="46"/>
              <w:pBdr>
                <w:bottom w:val="none" w:color="auto" w:sz="0" w:space="0"/>
              </w:pBdr>
              <w:tabs>
                <w:tab w:val="clear" w:pos="4153"/>
                <w:tab w:val="clear" w:pos="8306"/>
              </w:tabs>
              <w:adjustRightInd/>
              <w:spacing w:line="240" w:lineRule="auto"/>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评标过程中的澄清、说明或补正</w:t>
            </w:r>
          </w:p>
        </w:tc>
        <w:tc>
          <w:tcPr>
            <w:tcW w:w="5811" w:type="dxa"/>
            <w:vAlign w:val="center"/>
          </w:tcPr>
          <w:p w14:paraId="73437A23">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left"/>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（1）评审小组通过网上招投标系统将需要澄清、说明或补正的内容以询标函的形式发送给供应商，供应商应安排专人登录网上招投标系统并保持在线状态，以便及时接收评审小组可能发出的询标函。</w:t>
            </w:r>
          </w:p>
          <w:p w14:paraId="4F8D3A89">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left"/>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2）因供应商未登录网上招投标系统导致无法及时接收询标函（远程网上询标）或未在规定时间内按评审小组要求进行澄清、说明或补正内容的视同供应商放弃澄清、说明或补正内容的权利，评审小组可按对供应商不利的解释进行判定。</w:t>
            </w:r>
          </w:p>
        </w:tc>
      </w:tr>
    </w:tbl>
    <w:p w14:paraId="2D465309">
      <w:pPr>
        <w:spacing w:line="360" w:lineRule="auto"/>
        <w:ind w:firstLine="437"/>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23" w:name="_Toc29229"/>
      <w:bookmarkStart w:id="24" w:name="_Toc14682"/>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供应商须知</w:t>
      </w:r>
      <w:r>
        <w:rPr>
          <w:rFonts w:hint="eastAsia" w:asciiTheme="minorEastAsia" w:hAnsiTheme="minorEastAsia" w:eastAsiaTheme="minorEastAsia"/>
          <w:b/>
          <w:color w:val="auto"/>
          <w:sz w:val="24"/>
          <w:highlight w:val="none"/>
        </w:rPr>
        <w:t>正文</w:t>
      </w:r>
      <w:bookmarkEnd w:id="23"/>
      <w:bookmarkEnd w:id="24"/>
    </w:p>
    <w:p w14:paraId="321F8C7B">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w:t>
      </w:r>
      <w:r>
        <w:rPr>
          <w:rFonts w:hint="eastAsia" w:asciiTheme="minorEastAsia" w:hAnsiTheme="minorEastAsia" w:eastAsiaTheme="minorEastAsia"/>
          <w:b/>
          <w:color w:val="auto"/>
          <w:sz w:val="24"/>
          <w:highlight w:val="none"/>
          <w:lang w:eastAsia="zh-CN"/>
        </w:rPr>
        <w:t>代理机构</w:t>
      </w:r>
      <w:r>
        <w:rPr>
          <w:rFonts w:hint="eastAsia" w:asciiTheme="minorEastAsia" w:hAnsiTheme="minorEastAsia" w:eastAsiaTheme="minorEastAsia"/>
          <w:b/>
          <w:color w:val="auto"/>
          <w:sz w:val="24"/>
          <w:highlight w:val="none"/>
        </w:rPr>
        <w:t>及供应商</w:t>
      </w:r>
    </w:p>
    <w:p w14:paraId="52903227">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.1采购人：</w:t>
      </w:r>
      <w:r>
        <w:rPr>
          <w:rFonts w:hint="eastAsia" w:asciiTheme="minorEastAsia" w:hAnsiTheme="minorEastAsia" w:eastAsiaTheme="minorEastAsia"/>
          <w:color w:val="auto"/>
          <w:sz w:val="24"/>
          <w:highlight w:val="none"/>
          <w:lang w:val="en-US" w:eastAsia="zh-CN"/>
        </w:rPr>
        <w:t>滁州市城投交通控股有限公司</w:t>
      </w:r>
      <w:r>
        <w:rPr>
          <w:rFonts w:asciiTheme="minorEastAsia" w:hAnsiTheme="minorEastAsia" w:eastAsiaTheme="minorEastAsia"/>
          <w:color w:val="auto"/>
          <w:sz w:val="24"/>
          <w:highlight w:val="none"/>
        </w:rPr>
        <w:t>。</w:t>
      </w:r>
    </w:p>
    <w:p w14:paraId="2A5ABE1F">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滁州市城投工程咨询管理有限公司</w:t>
      </w:r>
      <w:r>
        <w:rPr>
          <w:rFonts w:asciiTheme="minorEastAsia" w:hAnsiTheme="minorEastAsia" w:eastAsiaTheme="minorEastAsia"/>
          <w:color w:val="auto"/>
          <w:sz w:val="24"/>
          <w:highlight w:val="none"/>
        </w:rPr>
        <w:t>。</w:t>
      </w:r>
    </w:p>
    <w:p w14:paraId="0535F59E">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.3政府采购监督管理部门：</w:t>
      </w:r>
      <w:r>
        <w:rPr>
          <w:rFonts w:hint="eastAsia" w:asciiTheme="minorEastAsia" w:hAnsiTheme="minorEastAsia" w:eastAsiaTheme="minorEastAsia"/>
          <w:color w:val="auto"/>
          <w:sz w:val="24"/>
          <w:highlight w:val="none"/>
          <w:lang w:val="en-US" w:eastAsia="zh-CN"/>
        </w:rPr>
        <w:t>滁州市城投交通控股有限公司或上级单位的纪检或监察部门</w:t>
      </w:r>
      <w:r>
        <w:rPr>
          <w:rFonts w:hint="eastAsia" w:asciiTheme="minorEastAsia" w:hAnsiTheme="minorEastAsia" w:eastAsiaTheme="minorEastAsia"/>
          <w:color w:val="auto"/>
          <w:sz w:val="24"/>
          <w:highlight w:val="none"/>
        </w:rPr>
        <w:t>。</w:t>
      </w:r>
    </w:p>
    <w:p w14:paraId="74D08213">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.4供应商：是指</w:t>
      </w:r>
      <w:r>
        <w:rPr>
          <w:rFonts w:hint="eastAsia" w:asciiTheme="minorEastAsia" w:hAnsiTheme="minorEastAsia" w:eastAsiaTheme="minorEastAsia"/>
          <w:color w:val="auto"/>
          <w:sz w:val="24"/>
          <w:highlight w:val="none"/>
          <w:lang w:val="en-US" w:eastAsia="zh-CN"/>
        </w:rPr>
        <w:t>满足本项目参与条件的单位</w:t>
      </w:r>
      <w:r>
        <w:rPr>
          <w:rFonts w:hint="eastAsia" w:asciiTheme="minorEastAsia" w:hAnsiTheme="minorEastAsia" w:eastAsiaTheme="minorEastAsia"/>
          <w:color w:val="auto"/>
          <w:sz w:val="24"/>
          <w:highlight w:val="none"/>
        </w:rPr>
        <w:t>。</w:t>
      </w:r>
    </w:p>
    <w:p w14:paraId="46B640D2">
      <w:pPr>
        <w:spacing w:line="460" w:lineRule="exact"/>
        <w:ind w:firstLine="435"/>
        <w:rPr>
          <w:rFonts w:asciiTheme="minorEastAsia" w:hAnsiTheme="minorEastAsia" w:eastAsiaTheme="minorEastAsia"/>
          <w:color w:val="auto"/>
          <w:sz w:val="24"/>
          <w:highlight w:val="none"/>
        </w:rPr>
      </w:pPr>
      <w:bookmarkStart w:id="25" w:name="_Hlk60605411"/>
      <w:r>
        <w:rPr>
          <w:rFonts w:hint="eastAsia" w:ascii="宋体" w:hAnsi="宋体" w:eastAsia="宋体"/>
          <w:bCs/>
          <w:color w:val="auto"/>
          <w:kern w:val="0"/>
          <w:sz w:val="24"/>
          <w:szCs w:val="28"/>
          <w:highlight w:val="none"/>
        </w:rPr>
        <w:t>1.</w:t>
      </w:r>
      <w:r>
        <w:rPr>
          <w:rFonts w:ascii="宋体" w:hAnsi="宋体" w:eastAsia="宋体"/>
          <w:bCs/>
          <w:color w:val="auto"/>
          <w:kern w:val="0"/>
          <w:sz w:val="24"/>
          <w:szCs w:val="28"/>
          <w:highlight w:val="none"/>
        </w:rPr>
        <w:t>5</w:t>
      </w:r>
      <w:bookmarkEnd w:id="25"/>
      <w:r>
        <w:rPr>
          <w:rFonts w:hint="eastAsia" w:ascii="宋体" w:hAnsi="宋体" w:eastAsia="宋体"/>
          <w:bCs/>
          <w:color w:val="auto"/>
          <w:kern w:val="0"/>
          <w:sz w:val="24"/>
          <w:szCs w:val="28"/>
          <w:highlight w:val="none"/>
          <w:lang w:val="en-US" w:eastAsia="zh-CN"/>
        </w:rPr>
        <w:t>本项目不接受联合体</w:t>
      </w:r>
      <w:r>
        <w:rPr>
          <w:rFonts w:asciiTheme="minorEastAsia" w:hAnsiTheme="minorEastAsia" w:eastAsiaTheme="minorEastAsia"/>
          <w:color w:val="auto"/>
          <w:sz w:val="24"/>
          <w:highlight w:val="none"/>
        </w:rPr>
        <w:t>。</w:t>
      </w:r>
    </w:p>
    <w:p w14:paraId="0B8D59BB">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资金落实情况</w:t>
      </w:r>
    </w:p>
    <w:p w14:paraId="734852E6">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本项目的采购人已获得足以支付本次采购后所签订的合同项下的资金。</w:t>
      </w:r>
    </w:p>
    <w:p w14:paraId="1E7B9227">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费用</w:t>
      </w:r>
    </w:p>
    <w:p w14:paraId="72D3428C">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不论询价的结果如何，供应商应承担所有与准备和参加询价有关的费用。</w:t>
      </w:r>
    </w:p>
    <w:p w14:paraId="72FB563F">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适用法律</w:t>
      </w:r>
    </w:p>
    <w:p w14:paraId="7AE3A632">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参照</w:t>
      </w:r>
      <w:r>
        <w:rPr>
          <w:rFonts w:hint="eastAsia" w:asciiTheme="minorEastAsia" w:hAnsiTheme="minorEastAsia" w:eastAsiaTheme="minorEastAsia"/>
          <w:color w:val="auto"/>
          <w:sz w:val="24"/>
          <w:highlight w:val="none"/>
        </w:rPr>
        <w:t>《中华人民共和国政府采购法》、《中华人民共和国政府采购法实施条例》及本项目本级和上级财政部门、政府采购监督管理部门的政府采购有关规定的约束，其权利受到上述法律法规的保护。</w:t>
      </w:r>
    </w:p>
    <w:p w14:paraId="555F4559">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eastAsia="zh-CN"/>
        </w:rPr>
        <w:t>询价采购文件</w:t>
      </w:r>
      <w:r>
        <w:rPr>
          <w:rFonts w:hint="eastAsia" w:asciiTheme="minorEastAsia" w:hAnsiTheme="minorEastAsia" w:eastAsiaTheme="minorEastAsia"/>
          <w:b/>
          <w:color w:val="auto"/>
          <w:sz w:val="24"/>
          <w:highlight w:val="none"/>
        </w:rPr>
        <w:t>构成</w:t>
      </w:r>
    </w:p>
    <w:p w14:paraId="7F7B3831">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5.1</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包括下列内容：</w:t>
      </w:r>
    </w:p>
    <w:p w14:paraId="3597D84A">
      <w:pPr>
        <w:spacing w:line="460" w:lineRule="exact"/>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询价邀请</w:t>
      </w:r>
    </w:p>
    <w:p w14:paraId="5F83DC89">
      <w:pPr>
        <w:spacing w:line="460" w:lineRule="exact"/>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供应商须知</w:t>
      </w:r>
    </w:p>
    <w:p w14:paraId="67FC12A3">
      <w:pPr>
        <w:spacing w:line="460" w:lineRule="exact"/>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354BB1BC">
      <w:pPr>
        <w:spacing w:line="460" w:lineRule="exact"/>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评</w:t>
      </w:r>
      <w:r>
        <w:rPr>
          <w:rFonts w:hint="eastAsia" w:asciiTheme="minorEastAsia" w:hAnsiTheme="minorEastAsia" w:eastAsiaTheme="minorEastAsia"/>
          <w:color w:val="auto"/>
          <w:sz w:val="24"/>
          <w:highlight w:val="none"/>
        </w:rPr>
        <w:t>审方法</w:t>
      </w:r>
      <w:r>
        <w:rPr>
          <w:rFonts w:asciiTheme="minorEastAsia" w:hAnsiTheme="minorEastAsia" w:eastAsiaTheme="minorEastAsia"/>
          <w:color w:val="auto"/>
          <w:sz w:val="24"/>
          <w:highlight w:val="none"/>
        </w:rPr>
        <w:t>和标准</w:t>
      </w:r>
    </w:p>
    <w:p w14:paraId="4532EFDA">
      <w:pPr>
        <w:spacing w:line="460" w:lineRule="exact"/>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0E5945F4">
      <w:pPr>
        <w:spacing w:line="460" w:lineRule="exact"/>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响应文件格式</w:t>
      </w:r>
    </w:p>
    <w:p w14:paraId="07BC3A00">
      <w:pPr>
        <w:spacing w:line="460" w:lineRule="exact"/>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第七章</w:t>
      </w:r>
      <w:r>
        <w:rPr>
          <w:rFonts w:asciiTheme="minorEastAsia" w:hAnsiTheme="minorEastAsia" w:eastAsiaTheme="minorEastAsia"/>
          <w:color w:val="auto"/>
          <w:sz w:val="24"/>
          <w:highlight w:val="none"/>
        </w:rPr>
        <w:t xml:space="preserve">  政府采购供应商</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09DF5F88">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本项目不组织</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考察（标前答疑会）</w:t>
      </w:r>
      <w:r>
        <w:rPr>
          <w:rFonts w:asciiTheme="minorEastAsia" w:hAnsiTheme="minorEastAsia" w:eastAsiaTheme="minorEastAsia"/>
          <w:color w:val="auto"/>
          <w:sz w:val="24"/>
          <w:highlight w:val="none"/>
        </w:rPr>
        <w:t>。</w:t>
      </w:r>
    </w:p>
    <w:p w14:paraId="4A2518B8">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原则上采购人、</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不要求供应商提供样品。除仅凭书面方式不能准确描述采购需求，或者需要对样品进行主观判断以确认是否满足采购需求等特殊情况除外。</w:t>
      </w:r>
    </w:p>
    <w:p w14:paraId="7D31390A">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如需提供样品，对样品相关要求见</w:t>
      </w:r>
      <w:r>
        <w:rPr>
          <w:rFonts w:hint="eastAsia" w:asciiTheme="minorEastAsia" w:hAnsiTheme="minorEastAsia" w:eastAsiaTheme="minorEastAsia"/>
          <w:color w:val="auto"/>
          <w:sz w:val="24"/>
          <w:highlight w:val="none"/>
        </w:rPr>
        <w:t>采购需求</w:t>
      </w:r>
      <w:r>
        <w:rPr>
          <w:rFonts w:asciiTheme="minorEastAsia" w:hAnsiTheme="minorEastAsia" w:eastAsiaTheme="minorEastAsia"/>
          <w:color w:val="auto"/>
          <w:sz w:val="24"/>
          <w:highlight w:val="none"/>
        </w:rPr>
        <w:t>，对样品的评审方法及评审标准见</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章。</w:t>
      </w:r>
    </w:p>
    <w:p w14:paraId="54BC5B08">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供应商应认真阅读</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所有的事项、格式、条款和技术规范等。</w:t>
      </w:r>
    </w:p>
    <w:p w14:paraId="3F10FC55">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eastAsia="zh-CN"/>
        </w:rPr>
        <w:t>询价采购文件</w:t>
      </w:r>
      <w:r>
        <w:rPr>
          <w:rFonts w:hint="eastAsia" w:asciiTheme="minorEastAsia" w:hAnsiTheme="minorEastAsia" w:eastAsiaTheme="minorEastAsia"/>
          <w:b/>
          <w:color w:val="auto"/>
          <w:sz w:val="24"/>
          <w:highlight w:val="none"/>
        </w:rPr>
        <w:t>的澄清与修改</w:t>
      </w:r>
    </w:p>
    <w:p w14:paraId="4EE7F521">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供应商如对</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内容有疑问，</w:t>
      </w:r>
      <w:r>
        <w:rPr>
          <w:rFonts w:hint="eastAsia" w:asciiTheme="minorEastAsia" w:hAnsiTheme="minorEastAsia" w:eastAsiaTheme="minorEastAsia"/>
          <w:color w:val="auto"/>
          <w:sz w:val="24"/>
          <w:highlight w:val="none"/>
        </w:rPr>
        <w:t>可</w:t>
      </w:r>
      <w:r>
        <w:rPr>
          <w:rFonts w:asciiTheme="minorEastAsia" w:hAnsiTheme="minorEastAsia" w:eastAsiaTheme="minorEastAsia"/>
          <w:color w:val="auto"/>
          <w:sz w:val="24"/>
          <w:highlight w:val="none"/>
        </w:rPr>
        <w:t>在</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提交给代理机构。</w:t>
      </w:r>
    </w:p>
    <w:p w14:paraId="5D1C2A6B">
      <w:pPr>
        <w:keepNext w:val="0"/>
        <w:keepLines w:val="0"/>
        <w:pageBreakBefore w:val="0"/>
        <w:widowControl w:val="0"/>
        <w:kinsoku/>
        <w:wordWrap w:val="0"/>
        <w:overflowPunct/>
        <w:topLinePunct w:val="0"/>
        <w:autoSpaceDE/>
        <w:autoSpaceDN/>
        <w:bidi w:val="0"/>
        <w:adjustRightInd/>
        <w:snapToGrid/>
        <w:spacing w:line="46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2采购人可主动地或在答复供应商提出的询问时对</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进行澄清与修改。</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将</w:t>
      </w:r>
      <w:r>
        <w:rPr>
          <w:rFonts w:hint="eastAsia" w:asciiTheme="minorEastAsia" w:hAnsiTheme="minorEastAsia" w:eastAsiaTheme="minorEastAsia"/>
          <w:color w:val="auto"/>
          <w:sz w:val="24"/>
          <w:highlight w:val="none"/>
        </w:rPr>
        <w:t>在</w:t>
      </w:r>
      <w:r>
        <w:rPr>
          <w:rFonts w:hint="eastAsia" w:asciiTheme="minorEastAsia" w:hAnsiTheme="minorEastAsia" w:eastAsiaTheme="minorEastAsia"/>
          <w:b/>
          <w:bCs/>
          <w:color w:val="auto"/>
          <w:sz w:val="24"/>
          <w:highlight w:val="none"/>
          <w:lang w:val="en-US" w:eastAsia="zh-CN"/>
        </w:rPr>
        <w:t>滁州市城投工程咨询管理有限公司（https://www.czctgczx.com/）</w:t>
      </w:r>
      <w:r>
        <w:rPr>
          <w:rFonts w:hint="eastAsia" w:asciiTheme="minorEastAsia" w:hAnsiTheme="minorEastAsia" w:eastAsiaTheme="minorEastAsia"/>
          <w:color w:val="auto"/>
          <w:sz w:val="24"/>
          <w:highlight w:val="none"/>
        </w:rPr>
        <w:t>网以发布更正公告的方式</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澄清或修改</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组成部分，对供应商起约束作用</w:t>
      </w:r>
      <w:r>
        <w:rPr>
          <w:rFonts w:hint="eastAsia" w:asciiTheme="minorEastAsia" w:hAnsiTheme="minorEastAsia" w:eastAsiaTheme="minorEastAsia"/>
          <w:color w:val="auto"/>
          <w:sz w:val="24"/>
          <w:highlight w:val="none"/>
        </w:rPr>
        <w:t>。供应商应主动上网查询。</w:t>
      </w:r>
      <w:r>
        <w:rPr>
          <w:rFonts w:hint="eastAsia" w:asciiTheme="minorEastAsia" w:hAnsiTheme="minorEastAsia" w:eastAsiaTheme="minorEastAsia"/>
          <w:color w:val="auto"/>
          <w:sz w:val="24"/>
          <w:highlight w:val="none"/>
          <w:lang w:eastAsia="zh-CN"/>
        </w:rPr>
        <w:t>代理机构</w:t>
      </w:r>
      <w:r>
        <w:rPr>
          <w:rFonts w:hint="eastAsia" w:asciiTheme="minorEastAsia" w:hAnsiTheme="minorEastAsia" w:eastAsiaTheme="minorEastAsia"/>
          <w:color w:val="auto"/>
          <w:sz w:val="24"/>
          <w:highlight w:val="none"/>
        </w:rPr>
        <w:t>不承担供应商未及时关注相关信息引发的相关责任。</w:t>
      </w:r>
    </w:p>
    <w:p w14:paraId="2C86D942">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6.3任何人或任何组织向供应商提供的任何书面或口头资料，未经</w:t>
      </w:r>
      <w:r>
        <w:rPr>
          <w:rFonts w:hint="eastAsia" w:asciiTheme="minorEastAsia" w:hAnsiTheme="minorEastAsia" w:eastAsiaTheme="minorEastAsia"/>
          <w:color w:val="auto"/>
          <w:sz w:val="24"/>
          <w:highlight w:val="none"/>
          <w:lang w:eastAsia="zh-CN"/>
        </w:rPr>
        <w:t>代理机构</w:t>
      </w:r>
      <w:r>
        <w:rPr>
          <w:rFonts w:hint="eastAsia" w:asciiTheme="minorEastAsia" w:hAnsiTheme="minorEastAsia" w:eastAsiaTheme="minorEastAsia"/>
          <w:color w:val="auto"/>
          <w:sz w:val="24"/>
          <w:highlight w:val="none"/>
        </w:rPr>
        <w:t>在网上发布或书面通知，均作无效处理，不得作为</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的组成部分。</w:t>
      </w:r>
      <w:r>
        <w:rPr>
          <w:rFonts w:hint="eastAsia" w:asciiTheme="minorEastAsia" w:hAnsiTheme="minorEastAsia" w:eastAsiaTheme="minorEastAsia"/>
          <w:color w:val="auto"/>
          <w:sz w:val="24"/>
          <w:highlight w:val="none"/>
          <w:lang w:eastAsia="zh-CN"/>
        </w:rPr>
        <w:t>代理机构</w:t>
      </w:r>
      <w:r>
        <w:rPr>
          <w:rFonts w:hint="eastAsia" w:asciiTheme="minorEastAsia" w:hAnsiTheme="minorEastAsia" w:eastAsiaTheme="minorEastAsia"/>
          <w:color w:val="auto"/>
          <w:sz w:val="24"/>
          <w:highlight w:val="none"/>
        </w:rPr>
        <w:t>对供应商由此而做出的推论、理解和结论概不负责。</w:t>
      </w:r>
    </w:p>
    <w:p w14:paraId="79FAB4BF">
      <w:pPr>
        <w:spacing w:line="460" w:lineRule="exact"/>
        <w:ind w:firstLine="435"/>
        <w:rPr>
          <w:rFonts w:asciiTheme="minorEastAsia" w:hAnsiTheme="minorEastAsia" w:eastAsiaTheme="minorEastAsia"/>
          <w:i/>
          <w:iCs/>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对于没有提出</w:t>
      </w:r>
      <w:r>
        <w:rPr>
          <w:rFonts w:hint="eastAsia" w:asciiTheme="minorEastAsia" w:hAnsiTheme="minorEastAsia" w:eastAsiaTheme="minorEastAsia"/>
          <w:color w:val="auto"/>
          <w:sz w:val="24"/>
          <w:highlight w:val="none"/>
        </w:rPr>
        <w:t>疑问</w:t>
      </w:r>
      <w:r>
        <w:rPr>
          <w:rFonts w:asciiTheme="minorEastAsia" w:hAnsiTheme="minorEastAsia" w:eastAsiaTheme="minorEastAsia"/>
          <w:color w:val="auto"/>
          <w:sz w:val="24"/>
          <w:highlight w:val="none"/>
        </w:rPr>
        <w:t>又</w:t>
      </w:r>
      <w:r>
        <w:rPr>
          <w:rFonts w:hint="eastAsia" w:asciiTheme="minorEastAsia" w:hAnsiTheme="minorEastAsia" w:eastAsiaTheme="minorEastAsia"/>
          <w:color w:val="auto"/>
          <w:sz w:val="24"/>
          <w:highlight w:val="none"/>
        </w:rPr>
        <w:t>提交</w:t>
      </w:r>
      <w:r>
        <w:rPr>
          <w:rFonts w:asciiTheme="minorEastAsia" w:hAnsiTheme="minorEastAsia" w:eastAsiaTheme="minorEastAsia"/>
          <w:color w:val="auto"/>
          <w:sz w:val="24"/>
          <w:highlight w:val="none"/>
        </w:rPr>
        <w:t>了</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112CDE9F">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响应范围及响应文件中标准和计量单位的使用</w:t>
      </w:r>
    </w:p>
    <w:p w14:paraId="3E0B9825">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.1项目有分包的，供应商可</w:t>
      </w:r>
      <w:r>
        <w:rPr>
          <w:rFonts w:hint="eastAsia" w:asciiTheme="minorEastAsia" w:hAnsiTheme="minorEastAsia" w:eastAsiaTheme="minorEastAsia"/>
          <w:color w:val="auto"/>
          <w:sz w:val="24"/>
          <w:highlight w:val="none"/>
        </w:rPr>
        <w:t>提交</w:t>
      </w:r>
      <w:r>
        <w:rPr>
          <w:rFonts w:asciiTheme="minorEastAsia" w:hAnsiTheme="minorEastAsia" w:eastAsiaTheme="minorEastAsia"/>
          <w:color w:val="auto"/>
          <w:sz w:val="24"/>
          <w:highlight w:val="none"/>
        </w:rPr>
        <w:t>其中某一个或</w:t>
      </w:r>
      <w:r>
        <w:rPr>
          <w:rFonts w:hint="eastAsia" w:asciiTheme="minorEastAsia" w:hAnsiTheme="minorEastAsia" w:eastAsiaTheme="minorEastAsia"/>
          <w:color w:val="auto"/>
          <w:sz w:val="24"/>
          <w:highlight w:val="none"/>
        </w:rPr>
        <w:t>多</w:t>
      </w:r>
      <w:r>
        <w:rPr>
          <w:rFonts w:asciiTheme="minorEastAsia" w:hAnsiTheme="minorEastAsia" w:eastAsiaTheme="minorEastAsia"/>
          <w:color w:val="auto"/>
          <w:sz w:val="24"/>
          <w:highlight w:val="none"/>
        </w:rPr>
        <w:t>个分包</w:t>
      </w:r>
      <w:r>
        <w:rPr>
          <w:rFonts w:hint="eastAsia" w:asciiTheme="minorEastAsia" w:hAnsiTheme="minorEastAsia" w:eastAsiaTheme="minorEastAsia"/>
          <w:color w:val="auto"/>
          <w:sz w:val="24"/>
          <w:highlight w:val="none"/>
        </w:rPr>
        <w:t>的响应文件</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成交包数详见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w:t>
      </w:r>
    </w:p>
    <w:p w14:paraId="4C1872CB">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.2供应商应当对所</w:t>
      </w:r>
      <w:r>
        <w:rPr>
          <w:rFonts w:hint="eastAsia" w:asciiTheme="minorEastAsia" w:hAnsiTheme="minorEastAsia" w:eastAsiaTheme="minorEastAsia"/>
          <w:color w:val="auto"/>
          <w:sz w:val="24"/>
          <w:highlight w:val="none"/>
        </w:rPr>
        <w:t>参与的</w:t>
      </w:r>
      <w:r>
        <w:rPr>
          <w:rFonts w:asciiTheme="minorEastAsia" w:hAnsiTheme="minorEastAsia" w:eastAsiaTheme="minorEastAsia"/>
          <w:color w:val="auto"/>
          <w:sz w:val="24"/>
          <w:highlight w:val="none"/>
        </w:rPr>
        <w:t>分包</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，如仅响应</w:t>
      </w:r>
      <w:r>
        <w:rPr>
          <w:rFonts w:hint="eastAsia" w:asciiTheme="minorEastAsia" w:hAnsiTheme="minorEastAsia" w:eastAsiaTheme="minorEastAsia"/>
          <w:color w:val="auto"/>
          <w:sz w:val="24"/>
          <w:highlight w:val="none"/>
        </w:rPr>
        <w:t>所参与包别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所参与包别的响应文件</w:t>
      </w:r>
      <w:r>
        <w:rPr>
          <w:rFonts w:asciiTheme="minorEastAsia" w:hAnsiTheme="minorEastAsia" w:eastAsiaTheme="minorEastAsia"/>
          <w:color w:val="auto"/>
          <w:sz w:val="24"/>
          <w:highlight w:val="none"/>
        </w:rPr>
        <w:t>将被认定为</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25860873">
      <w:pPr>
        <w:spacing w:line="460" w:lineRule="exact"/>
        <w:ind w:firstLine="435"/>
        <w:rPr>
          <w:rFonts w:asciiTheme="minorEastAsia" w:hAnsiTheme="minorEastAsia" w:eastAsiaTheme="minorEastAsia"/>
          <w:color w:val="auto"/>
          <w:sz w:val="24"/>
          <w:highlight w:val="none"/>
        </w:rPr>
      </w:pPr>
      <w:bookmarkStart w:id="26" w:name="_Hlk16458980"/>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.3无论</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中是否要求，</w:t>
      </w:r>
      <w:r>
        <w:rPr>
          <w:rFonts w:hint="eastAsia" w:asciiTheme="minorEastAsia" w:hAnsiTheme="minorEastAsia" w:eastAsiaTheme="minorEastAsia"/>
          <w:color w:val="auto"/>
          <w:sz w:val="24"/>
          <w:highlight w:val="none"/>
        </w:rPr>
        <w:t>供应商所提供的货物及伴随的服务和工程均应符合国家强制性标准。</w:t>
      </w:r>
    </w:p>
    <w:bookmarkEnd w:id="26"/>
    <w:p w14:paraId="23A89A35">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供应商与</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之间与</w:t>
      </w:r>
      <w:r>
        <w:rPr>
          <w:rFonts w:hint="eastAsia" w:asciiTheme="minorEastAsia" w:hAnsiTheme="minorEastAsia" w:eastAsiaTheme="minorEastAsia"/>
          <w:color w:val="auto"/>
          <w:sz w:val="24"/>
          <w:highlight w:val="none"/>
        </w:rPr>
        <w:t>询价</w:t>
      </w:r>
      <w:r>
        <w:rPr>
          <w:rFonts w:asciiTheme="minorEastAsia" w:hAnsiTheme="minorEastAsia" w:eastAsiaTheme="minorEastAsia"/>
          <w:color w:val="auto"/>
          <w:sz w:val="24"/>
          <w:highlight w:val="none"/>
        </w:rPr>
        <w:t>有关的所有往来通知、函件和响应文件均用中文表述。供应商随响应文件提供的证明文件和资料可以为其它语言，但必须附中文译文。翻译的中文资料与外文资料出现差异时，以中文为准。</w:t>
      </w:r>
    </w:p>
    <w:p w14:paraId="2CE8AD0D">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中有特殊要求外，响应文件中所使用的计量单位，应采用中华人民共和国法定计量单位。</w:t>
      </w:r>
    </w:p>
    <w:p w14:paraId="014C24F0">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p>
    <w:p w14:paraId="122D3CA4">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.1供应商应完整地按</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提供的响应文件格式及要求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写响应文件，</w:t>
      </w:r>
      <w:r>
        <w:rPr>
          <w:rFonts w:hint="eastAsia" w:asciiTheme="minorEastAsia" w:hAnsiTheme="minorEastAsia" w:eastAsiaTheme="minorEastAsia"/>
          <w:color w:val="auto"/>
          <w:sz w:val="24"/>
          <w:highlight w:val="none"/>
        </w:rPr>
        <w:t>具体内容详见本项目响应文件格式的相关内容。</w:t>
      </w:r>
    </w:p>
    <w:p w14:paraId="70E24584">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2供应商应提交</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要求的证明文件，证明其响应内容符合</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规定。该证明文件是响应文件的一部分。</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rPr>
        <w:t>形式</w:t>
      </w:r>
      <w:r>
        <w:rPr>
          <w:rFonts w:asciiTheme="minorEastAsia" w:hAnsiTheme="minorEastAsia" w:eastAsiaTheme="minorEastAsia"/>
          <w:color w:val="auto"/>
          <w:sz w:val="24"/>
          <w:highlight w:val="none"/>
        </w:rPr>
        <w:t>可以是文字资料、图纸和数据</w:t>
      </w:r>
      <w:bookmarkStart w:id="27" w:name="_Hlk11703583"/>
      <w:r>
        <w:rPr>
          <w:rFonts w:asciiTheme="minorEastAsia" w:hAnsiTheme="minorEastAsia" w:eastAsiaTheme="minorEastAsia"/>
          <w:color w:val="auto"/>
          <w:sz w:val="24"/>
          <w:highlight w:val="none"/>
        </w:rPr>
        <w:t>。</w:t>
      </w:r>
    </w:p>
    <w:bookmarkEnd w:id="27"/>
    <w:p w14:paraId="799CC383">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为保证公平公正，除非另有规定或说明，供应商对同一项目</w:t>
      </w:r>
      <w:r>
        <w:rPr>
          <w:rFonts w:hint="eastAsia" w:asciiTheme="minorEastAsia" w:hAnsiTheme="minorEastAsia" w:eastAsiaTheme="minorEastAsia"/>
          <w:color w:val="auto"/>
          <w:sz w:val="24"/>
          <w:highlight w:val="none"/>
        </w:rPr>
        <w:t>提交响应文件</w:t>
      </w:r>
      <w:r>
        <w:rPr>
          <w:rFonts w:asciiTheme="minorEastAsia" w:hAnsiTheme="minorEastAsia" w:eastAsiaTheme="minorEastAsia"/>
          <w:color w:val="auto"/>
          <w:sz w:val="24"/>
          <w:highlight w:val="none"/>
        </w:rPr>
        <w:t>时，不得同时提供</w:t>
      </w:r>
      <w:r>
        <w:rPr>
          <w:rFonts w:hint="eastAsia" w:asciiTheme="minorEastAsia" w:hAnsiTheme="minorEastAsia" w:eastAsiaTheme="minorEastAsia"/>
          <w:color w:val="auto"/>
          <w:sz w:val="24"/>
          <w:highlight w:val="none"/>
        </w:rPr>
        <w:t>备选响应</w:t>
      </w:r>
      <w:r>
        <w:rPr>
          <w:rFonts w:asciiTheme="minorEastAsia" w:hAnsiTheme="minorEastAsia" w:eastAsiaTheme="minorEastAsia"/>
          <w:color w:val="auto"/>
          <w:sz w:val="24"/>
          <w:highlight w:val="none"/>
        </w:rPr>
        <w:t>方案。</w:t>
      </w:r>
    </w:p>
    <w:p w14:paraId="77104C2E">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报价</w:t>
      </w:r>
    </w:p>
    <w:p w14:paraId="18B0E5D0">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.1供应商的报价应当包括满足本次</w:t>
      </w:r>
      <w:r>
        <w:rPr>
          <w:rFonts w:hint="eastAsia" w:asciiTheme="minorEastAsia" w:hAnsiTheme="minorEastAsia" w:eastAsiaTheme="minorEastAsia"/>
          <w:color w:val="auto"/>
          <w:sz w:val="24"/>
          <w:highlight w:val="none"/>
        </w:rPr>
        <w:t>询价</w:t>
      </w:r>
      <w:r>
        <w:rPr>
          <w:rFonts w:asciiTheme="minorEastAsia" w:hAnsiTheme="minorEastAsia" w:eastAsiaTheme="minorEastAsia"/>
          <w:color w:val="auto"/>
          <w:sz w:val="24"/>
          <w:highlight w:val="none"/>
        </w:rPr>
        <w:t>全部采购需求所应提供的</w:t>
      </w:r>
      <w:r>
        <w:rPr>
          <w:rFonts w:hint="eastAsia" w:asciiTheme="minorEastAsia" w:hAnsiTheme="minorEastAsia" w:eastAsiaTheme="minorEastAsia"/>
          <w:color w:val="auto"/>
          <w:sz w:val="24"/>
          <w:highlight w:val="none"/>
        </w:rPr>
        <w:t>货物，</w:t>
      </w:r>
      <w:r>
        <w:rPr>
          <w:rFonts w:asciiTheme="minorEastAsia" w:hAnsiTheme="minorEastAsia" w:eastAsiaTheme="minorEastAsia"/>
          <w:color w:val="auto"/>
          <w:sz w:val="24"/>
          <w:highlight w:val="none"/>
        </w:rPr>
        <w:t>以及伴随的</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和工程</w:t>
      </w:r>
      <w:r>
        <w:rPr>
          <w:rFonts w:hint="eastAsia" w:asciiTheme="minorEastAsia" w:hAnsiTheme="minorEastAsia" w:eastAsiaTheme="minorEastAsia"/>
          <w:color w:val="auto"/>
          <w:sz w:val="24"/>
          <w:highlight w:val="none"/>
        </w:rPr>
        <w:t>。</w:t>
      </w:r>
      <w:bookmarkStart w:id="28" w:name="_Hlk23199390"/>
      <w:r>
        <w:rPr>
          <w:rFonts w:asciiTheme="minorEastAsia" w:hAnsiTheme="minorEastAsia" w:eastAsiaTheme="minorEastAsia"/>
          <w:color w:val="auto"/>
          <w:sz w:val="24"/>
          <w:highlight w:val="none"/>
        </w:rPr>
        <w:t>除</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中</w:t>
      </w:r>
      <w:r>
        <w:rPr>
          <w:rFonts w:hint="eastAsia" w:asciiTheme="minorEastAsia" w:hAnsiTheme="minorEastAsia" w:eastAsiaTheme="minorEastAsia"/>
          <w:color w:val="auto"/>
          <w:sz w:val="24"/>
          <w:highlight w:val="none"/>
        </w:rPr>
        <w:t>另有规定</w:t>
      </w:r>
      <w:r>
        <w:rPr>
          <w:rFonts w:asciiTheme="minorEastAsia" w:hAnsiTheme="minorEastAsia" w:eastAsiaTheme="minorEastAsia"/>
          <w:color w:val="auto"/>
          <w:sz w:val="24"/>
          <w:highlight w:val="none"/>
        </w:rPr>
        <w:t>外，</w:t>
      </w:r>
      <w:r>
        <w:rPr>
          <w:rFonts w:hint="eastAsia" w:asciiTheme="minorEastAsia" w:hAnsiTheme="minorEastAsia" w:eastAsiaTheme="minorEastAsia"/>
          <w:color w:val="auto"/>
          <w:sz w:val="24"/>
          <w:highlight w:val="none"/>
        </w:rPr>
        <w:t>供应商的报价均应以人民币报价，应遵守《中华人民共和国价格法》。</w:t>
      </w:r>
      <w:bookmarkEnd w:id="28"/>
    </w:p>
    <w:p w14:paraId="6006ED02">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9.2 </w:t>
      </w:r>
      <w:r>
        <w:rPr>
          <w:rFonts w:asciiTheme="minorEastAsia" w:hAnsiTheme="minorEastAsia" w:eastAsiaTheme="minorEastAsia"/>
          <w:color w:val="auto"/>
          <w:sz w:val="24"/>
          <w:highlight w:val="none"/>
        </w:rPr>
        <w:t>供应商应在报价表上标明</w:t>
      </w:r>
      <w:r>
        <w:rPr>
          <w:rFonts w:hint="eastAsia" w:asciiTheme="minorEastAsia" w:hAnsiTheme="minorEastAsia" w:eastAsiaTheme="minorEastAsia"/>
          <w:color w:val="auto"/>
          <w:sz w:val="24"/>
          <w:highlight w:val="none"/>
        </w:rPr>
        <w:t>提供的</w:t>
      </w:r>
      <w:r>
        <w:rPr>
          <w:rFonts w:asciiTheme="minorEastAsia" w:hAnsiTheme="minorEastAsia" w:eastAsiaTheme="minorEastAsia"/>
          <w:color w:val="auto"/>
          <w:sz w:val="24"/>
          <w:highlight w:val="none"/>
        </w:rPr>
        <w:t>货物及相关服务的单价（如适用）和总价。</w:t>
      </w:r>
      <w:r>
        <w:rPr>
          <w:rFonts w:hint="eastAsia" w:asciiTheme="minorEastAsia" w:hAnsiTheme="minorEastAsia" w:eastAsiaTheme="minorEastAsia"/>
          <w:color w:val="auto"/>
          <w:sz w:val="24"/>
          <w:highlight w:val="none"/>
        </w:rPr>
        <w:t>未标明的视同包含在报价中。</w:t>
      </w:r>
    </w:p>
    <w:p w14:paraId="2328124D">
      <w:pPr>
        <w:spacing w:line="460" w:lineRule="exact"/>
        <w:ind w:firstLine="435"/>
        <w:rPr>
          <w:rFonts w:asciiTheme="minorEastAsia" w:hAnsiTheme="minorEastAsia" w:eastAsiaTheme="minorEastAsia"/>
          <w:color w:val="auto"/>
          <w:sz w:val="24"/>
          <w:highlight w:val="none"/>
        </w:rPr>
      </w:pPr>
      <w:bookmarkStart w:id="29" w:name="_Hlk23199512"/>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3报价</w:t>
      </w:r>
      <w:r>
        <w:rPr>
          <w:rFonts w:asciiTheme="minorEastAsia" w:hAnsiTheme="minorEastAsia" w:eastAsiaTheme="minorEastAsia"/>
          <w:color w:val="auto"/>
          <w:sz w:val="24"/>
          <w:highlight w:val="none"/>
        </w:rPr>
        <w:t>在合同履行过程中是固定不变的，不得以任何理由予以变更。任何包含价格调整要求的</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bookmarkEnd w:id="29"/>
    <w:p w14:paraId="56768E17">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采购人不接受具有附加条件的报价。</w:t>
      </w:r>
    </w:p>
    <w:p w14:paraId="4B3E05FE">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询价有效期</w:t>
      </w:r>
    </w:p>
    <w:p w14:paraId="606387C3">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10.1询价有效期为从响应文件提交截止之日算起的日历天数，询价有效期详见</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w:t>
      </w:r>
    </w:p>
    <w:p w14:paraId="2B418862">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10.2在询价有效期内，供应商的响应文件保持有效，供应商不得要求撤销或修改其响应文件。询价有效期不满足要求的</w:t>
      </w:r>
      <w:r>
        <w:rPr>
          <w:rFonts w:hint="eastAsia" w:asciiTheme="minorEastAsia" w:hAnsiTheme="minorEastAsia" w:eastAsiaTheme="minorEastAsia"/>
          <w:b/>
          <w:bCs/>
          <w:color w:val="auto"/>
          <w:sz w:val="24"/>
          <w:highlight w:val="none"/>
        </w:rPr>
        <w:t>响应</w:t>
      </w:r>
      <w:r>
        <w:rPr>
          <w:rFonts w:hint="eastAsia" w:asciiTheme="minorEastAsia" w:hAnsiTheme="minorEastAsia" w:eastAsiaTheme="minorEastAsia"/>
          <w:b/>
          <w:color w:val="auto"/>
          <w:sz w:val="24"/>
          <w:highlight w:val="none"/>
        </w:rPr>
        <w:t>无效</w:t>
      </w:r>
      <w:r>
        <w:rPr>
          <w:rFonts w:hint="eastAsia" w:asciiTheme="minorEastAsia" w:hAnsiTheme="minorEastAsia" w:eastAsiaTheme="minorEastAsia"/>
          <w:color w:val="auto"/>
          <w:sz w:val="24"/>
          <w:highlight w:val="none"/>
        </w:rPr>
        <w:t>。</w:t>
      </w:r>
    </w:p>
    <w:p w14:paraId="131DA5F4">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0</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因特殊原因，采购人或</w:t>
      </w:r>
      <w:r>
        <w:rPr>
          <w:rFonts w:hint="eastAsia" w:asciiTheme="minorEastAsia" w:hAnsiTheme="minorEastAsia" w:eastAsiaTheme="minorEastAsia"/>
          <w:color w:val="auto"/>
          <w:sz w:val="24"/>
          <w:highlight w:val="none"/>
          <w:lang w:eastAsia="zh-CN"/>
        </w:rPr>
        <w:t>代理机构</w:t>
      </w:r>
      <w:r>
        <w:rPr>
          <w:rFonts w:hint="eastAsia" w:asciiTheme="minorEastAsia" w:hAnsiTheme="minorEastAsia" w:eastAsiaTheme="minorEastAsia"/>
          <w:color w:val="auto"/>
          <w:sz w:val="24"/>
          <w:highlight w:val="none"/>
        </w:rPr>
        <w:t>可在原询价有效期截止之前，要求供应商延长响应文件的有效期。接受该要求的供应商将不会被要求和允许修正其响应文件。供应商也可以拒绝延长询价有效期的要求，且不承担任何责任。上述要求和答复都应以书面形式提交。</w:t>
      </w:r>
    </w:p>
    <w:p w14:paraId="3C9ED915">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响应文件的提交、修改与撤回</w:t>
      </w:r>
    </w:p>
    <w:p w14:paraId="6B6B8605">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1.1供应商应当在询价公告规定的响应文件提交截止时间前</w:t>
      </w:r>
      <w:r>
        <w:rPr>
          <w:rFonts w:asciiTheme="minorEastAsia" w:hAnsiTheme="minorEastAsia" w:eastAsiaTheme="minorEastAsia"/>
          <w:color w:val="auto"/>
          <w:sz w:val="24"/>
          <w:highlight w:val="none"/>
        </w:rPr>
        <w:t>，将加密的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5314D6D6">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1.2供应商应在</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规定的解密时间前对其响应文件进行解密，</w:t>
      </w:r>
      <w:r>
        <w:rPr>
          <w:rFonts w:asciiTheme="minorEastAsia" w:hAnsiTheme="minorEastAsia" w:eastAsiaTheme="minorEastAsia"/>
          <w:color w:val="auto"/>
          <w:sz w:val="24"/>
          <w:highlight w:val="none"/>
        </w:rPr>
        <w:t>未在规定时间内进行解密的，</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4BC3950A">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供应商应当在提交截止时间前完成响应文件的传输提交（以接收到电子签收凭证为准），并可以补充、修改或者撤回响应文件。提交截止时间前未完成响应文件传输的，视为撤回响应文件。未按规定加密或提交截止时间后送达的响应文件，电子交易系统应当拒收</w:t>
      </w:r>
      <w:r>
        <w:rPr>
          <w:rFonts w:asciiTheme="minorEastAsia" w:hAnsiTheme="minorEastAsia" w:eastAsiaTheme="minorEastAsia"/>
          <w:color w:val="auto"/>
          <w:sz w:val="24"/>
          <w:highlight w:val="none"/>
        </w:rPr>
        <w:t>。</w:t>
      </w:r>
    </w:p>
    <w:p w14:paraId="3ED36D69">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询价小组</w:t>
      </w:r>
    </w:p>
    <w:p w14:paraId="05C4C36E">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按照《中华人民共和国政府采购法》、《中华人民共和国政府采购法实施条例》及本项目本级和上级财政部门、政府采购监督管理部门的有关规定依法组建的询价小组，负责本项目评审工作。</w:t>
      </w:r>
    </w:p>
    <w:p w14:paraId="3C89FB97">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响应文件的评审</w:t>
      </w:r>
    </w:p>
    <w:p w14:paraId="142943C6">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响应文件的评审</w:t>
      </w:r>
      <w:r>
        <w:rPr>
          <w:rFonts w:asciiTheme="minorEastAsia" w:hAnsiTheme="minorEastAsia" w:eastAsiaTheme="minorEastAsia"/>
          <w:color w:val="auto"/>
          <w:sz w:val="24"/>
          <w:highlight w:val="none"/>
        </w:rPr>
        <w:t>是指依据</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的规定，从响应文件的有效性和完整性对</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的响应程度进行审查，以确定是否对</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的实质性要求做出响应。</w:t>
      </w:r>
    </w:p>
    <w:p w14:paraId="5FAA3AD9">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授权代表</w:t>
      </w:r>
      <w:r>
        <w:rPr>
          <w:rFonts w:asciiTheme="minorEastAsia" w:hAnsiTheme="minorEastAsia" w:eastAsiaTheme="minorEastAsia"/>
          <w:color w:val="auto"/>
          <w:sz w:val="24"/>
          <w:highlight w:val="none"/>
        </w:rPr>
        <w:t>认为采购人员及其相关人员有法律法规所列与其他供应商有利害关系的，可以向采购人或</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书面提出回避申请，并说明理由。</w:t>
      </w:r>
    </w:p>
    <w:p w14:paraId="7E0716F8">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终止询价</w:t>
      </w:r>
    </w:p>
    <w:p w14:paraId="5955F4D2">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出现下列情形之一的，</w:t>
      </w:r>
      <w:r>
        <w:rPr>
          <w:rFonts w:asciiTheme="minorEastAsia" w:hAnsiTheme="minorEastAsia" w:eastAsiaTheme="minorEastAsia"/>
          <w:color w:val="auto"/>
          <w:sz w:val="24"/>
          <w:highlight w:val="none"/>
        </w:rPr>
        <w:t>采购人或者</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应当</w:t>
      </w:r>
      <w:bookmarkStart w:id="30" w:name="_Hlk22478676"/>
      <w:r>
        <w:rPr>
          <w:rFonts w:asciiTheme="minorEastAsia" w:hAnsiTheme="minorEastAsia" w:eastAsiaTheme="minorEastAsia"/>
          <w:color w:val="auto"/>
          <w:sz w:val="24"/>
          <w:highlight w:val="none"/>
        </w:rPr>
        <w:t>终止询价</w:t>
      </w:r>
      <w:bookmarkEnd w:id="30"/>
      <w:r>
        <w:rPr>
          <w:rFonts w:asciiTheme="minorEastAsia" w:hAnsiTheme="minorEastAsia" w:eastAsiaTheme="minorEastAsia"/>
          <w:color w:val="auto"/>
          <w:sz w:val="24"/>
          <w:highlight w:val="none"/>
        </w:rPr>
        <w:t>采购活动，发</w:t>
      </w:r>
      <w:r>
        <w:rPr>
          <w:rFonts w:hint="eastAsia" w:asciiTheme="minorEastAsia" w:hAnsiTheme="minorEastAsia" w:eastAsiaTheme="minorEastAsia"/>
          <w:color w:val="auto"/>
          <w:sz w:val="24"/>
          <w:highlight w:val="none"/>
        </w:rPr>
        <w:t>布项目终止公告并说明原因，</w:t>
      </w:r>
      <w:r>
        <w:rPr>
          <w:rFonts w:asciiTheme="minorEastAsia" w:hAnsiTheme="minorEastAsia" w:eastAsiaTheme="minorEastAsia"/>
          <w:color w:val="auto"/>
          <w:sz w:val="24"/>
          <w:highlight w:val="none"/>
        </w:rPr>
        <w:t>重新开展采购活动：</w:t>
      </w:r>
    </w:p>
    <w:p w14:paraId="66FE2320">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因情况变化，不再符合规定的询价采购方式适用情形的；</w:t>
      </w:r>
    </w:p>
    <w:p w14:paraId="16D11A44">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出现影响采购公正的违法、违规行为的；</w:t>
      </w:r>
    </w:p>
    <w:p w14:paraId="753C0404">
      <w:pPr>
        <w:spacing w:line="460" w:lineRule="exact"/>
        <w:ind w:firstLine="435"/>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）在采购过程中符合竞争要求的供应商或者报价未超过采购预算的供应商不足3</w:t>
      </w:r>
      <w:r>
        <w:rPr>
          <w:rFonts w:hint="eastAsia" w:asciiTheme="minorEastAsia" w:hAnsiTheme="minorEastAsia" w:eastAsiaTheme="minorEastAsia"/>
          <w:color w:val="auto"/>
          <w:sz w:val="24"/>
          <w:highlight w:val="none"/>
        </w:rPr>
        <w:t>家的。</w:t>
      </w:r>
      <w:r>
        <w:rPr>
          <w:rFonts w:hint="eastAsia" w:asciiTheme="minorEastAsia" w:hAnsiTheme="minorEastAsia" w:eastAsiaTheme="minorEastAsia"/>
          <w:color w:val="auto"/>
          <w:sz w:val="24"/>
          <w:highlight w:val="none"/>
          <w:lang w:val="en-US" w:eastAsia="zh-CN"/>
        </w:rPr>
        <w:t>第一次采购失败原则上进行第二次公开询价。</w:t>
      </w:r>
    </w:p>
    <w:p w14:paraId="37A34592">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15</w:t>
      </w:r>
      <w:r>
        <w:rPr>
          <w:rFonts w:asciiTheme="minorEastAsia" w:hAnsiTheme="minorEastAsia" w:eastAsiaTheme="minorEastAsia"/>
          <w:b/>
          <w:color w:val="auto"/>
          <w:sz w:val="24"/>
          <w:highlight w:val="none"/>
        </w:rPr>
        <w:t>.响应文件的澄清、说明或</w:t>
      </w:r>
      <w:r>
        <w:rPr>
          <w:rFonts w:hint="eastAsia" w:asciiTheme="minorEastAsia" w:hAnsiTheme="minorEastAsia" w:eastAsiaTheme="minorEastAsia"/>
          <w:b/>
          <w:color w:val="auto"/>
          <w:sz w:val="24"/>
          <w:highlight w:val="none"/>
        </w:rPr>
        <w:t>更正</w:t>
      </w:r>
    </w:p>
    <w:p w14:paraId="7F654DAC">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15.1询价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72C0D2B4">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15.2询价小组要求供应商澄清、说明或者更正响应文件应当以书面形式（询标）作出。供应商的澄清、说明或者更正应当由法定代表人或其授权代表签字或者加盖公章（电子签章）。</w:t>
      </w:r>
    </w:p>
    <w:p w14:paraId="683C9B08">
      <w:pPr>
        <w:spacing w:line="460" w:lineRule="exact"/>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如有询标，授权代表（或法定代表人）可通过远程登录的方式接受网上询标，也可凭本人有效身份证明参加询标。因授权代表联系不上、没有及时登录系统等情形而无法接受询价小组询标的，供应商自行承担相关风险。</w:t>
      </w:r>
      <w:r>
        <w:rPr>
          <w:rFonts w:hint="eastAsia" w:asciiTheme="minorEastAsia" w:hAnsiTheme="minorEastAsia" w:eastAsiaTheme="minorEastAsia"/>
          <w:b/>
          <w:color w:val="auto"/>
          <w:sz w:val="24"/>
          <w:highlight w:val="none"/>
          <w:lang w:val="en-US" w:eastAsia="zh-CN"/>
        </w:rPr>
        <w:t>本项目采用远程开标，具体操作方法详见服务指南&gt;交易须知&gt;开标大厅远程解密、质疑(异议)及回复以及评标过程中询标流程操作手册</w:t>
      </w:r>
      <w:r>
        <w:rPr>
          <w:rFonts w:hint="eastAsia" w:asciiTheme="minorEastAsia" w:hAnsiTheme="minorEastAsia" w:eastAsiaTheme="minorEastAsia"/>
          <w:b/>
          <w:color w:val="auto"/>
          <w:sz w:val="24"/>
          <w:highlight w:val="none"/>
        </w:rPr>
        <w:t>。</w:t>
      </w:r>
    </w:p>
    <w:p w14:paraId="5967CEF6">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成交候选人的推荐原则及标准</w:t>
      </w:r>
    </w:p>
    <w:p w14:paraId="27E6B22E">
      <w:pPr>
        <w:spacing w:line="460" w:lineRule="exact"/>
        <w:ind w:firstLine="435"/>
        <w:rPr>
          <w:rFonts w:asciiTheme="minorEastAsia" w:hAnsiTheme="minorEastAsia" w:eastAsiaTheme="minorEastAsia"/>
          <w:color w:val="auto"/>
          <w:sz w:val="24"/>
          <w:highlight w:val="none"/>
        </w:rPr>
      </w:pPr>
      <w:bookmarkStart w:id="31" w:name="_Hlk60605471"/>
      <w:r>
        <w:rPr>
          <w:rFonts w:hint="eastAsia" w:ascii="宋体" w:hAnsi="宋体" w:eastAsia="宋体"/>
          <w:color w:val="auto"/>
          <w:sz w:val="24"/>
          <w:highlight w:val="none"/>
        </w:rPr>
        <w:t>16.1</w:t>
      </w:r>
      <w:r>
        <w:rPr>
          <w:rFonts w:asciiTheme="minorEastAsia" w:hAnsiTheme="minorEastAsia" w:eastAsiaTheme="minorEastAsia"/>
          <w:color w:val="auto"/>
          <w:sz w:val="24"/>
          <w:highlight w:val="none"/>
        </w:rPr>
        <w:t>通过</w:t>
      </w:r>
      <w:r>
        <w:rPr>
          <w:rFonts w:hint="eastAsia" w:asciiTheme="minorEastAsia" w:hAnsiTheme="minorEastAsia" w:eastAsiaTheme="minorEastAsia"/>
          <w:color w:val="auto"/>
          <w:sz w:val="24"/>
          <w:highlight w:val="none"/>
        </w:rPr>
        <w:t>评</w:t>
      </w:r>
      <w:r>
        <w:rPr>
          <w:rFonts w:asciiTheme="minorEastAsia" w:hAnsiTheme="minorEastAsia" w:eastAsiaTheme="minorEastAsia"/>
          <w:color w:val="auto"/>
          <w:sz w:val="24"/>
          <w:highlight w:val="none"/>
        </w:rPr>
        <w:t>审且报价最低的供应商获得成交候选人推荐资格；报价相同的，则由询价小组采取随机抽取方式确定。</w:t>
      </w:r>
      <w:bookmarkEnd w:id="31"/>
    </w:p>
    <w:p w14:paraId="34A9B3EA">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确定成交候选人和成交供应商</w:t>
      </w:r>
    </w:p>
    <w:p w14:paraId="4F72C743">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询价小组应当从质量和服务均能满足询价</w:t>
      </w:r>
      <w:r>
        <w:rPr>
          <w:rFonts w:hint="eastAsia" w:asciiTheme="minorEastAsia" w:hAnsiTheme="minorEastAsia" w:eastAsiaTheme="minorEastAsia"/>
          <w:color w:val="auto"/>
          <w:sz w:val="24"/>
          <w:highlight w:val="none"/>
          <w:lang w:val="en-US" w:eastAsia="zh-CN"/>
        </w:rPr>
        <w:t>采购文件</w:t>
      </w:r>
      <w:r>
        <w:rPr>
          <w:rFonts w:hint="eastAsia" w:asciiTheme="minorEastAsia" w:hAnsiTheme="minorEastAsia" w:eastAsiaTheme="minorEastAsia"/>
          <w:color w:val="auto"/>
          <w:sz w:val="24"/>
          <w:highlight w:val="none"/>
        </w:rPr>
        <w:t>实质性响应要求的供应商中，按照报价由低到高的顺序提出</w:t>
      </w:r>
      <w:r>
        <w:rPr>
          <w:rFonts w:asciiTheme="minorEastAsia" w:hAnsiTheme="minorEastAsia" w:eastAsiaTheme="minorEastAsia"/>
          <w:color w:val="auto"/>
          <w:sz w:val="24"/>
          <w:highlight w:val="none"/>
        </w:rPr>
        <w:t>3名成交候选人</w:t>
      </w:r>
      <w:r>
        <w:rPr>
          <w:rFonts w:hint="eastAsia" w:asciiTheme="minorEastAsia" w:hAnsiTheme="minorEastAsia" w:eastAsiaTheme="minorEastAsia"/>
          <w:color w:val="auto"/>
          <w:sz w:val="24"/>
          <w:highlight w:val="none"/>
        </w:rPr>
        <w:t>。</w:t>
      </w:r>
    </w:p>
    <w:p w14:paraId="336DEF7F">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17.2按</w:t>
      </w:r>
      <w:r>
        <w:rPr>
          <w:rFonts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中规定，经采购人或采购人授权的询价小组确定成交供应商。</w:t>
      </w:r>
    </w:p>
    <w:p w14:paraId="46A7ED94">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因重大变故采购任务取消时，采购人有权拒绝任何供应商成交，且对受影响的供应商不承担任何责任。</w:t>
      </w:r>
    </w:p>
    <w:p w14:paraId="5A135C02">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编写评审报告</w:t>
      </w:r>
    </w:p>
    <w:p w14:paraId="38A0FB02">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审报告是根据全体询价小组成员签字的原始评审记录和评审结果编写的报告，评审报告由询价小组全体成员签字。对评审结论持有异议的询价小组成员可以书面方式阐述其不同意见和理由。询价小组成员拒绝在评审报告上签字且不陈述其不同意见和理由的，视为同意评审结论。</w:t>
      </w:r>
    </w:p>
    <w:p w14:paraId="6FC31ED4">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19</w:t>
      </w:r>
      <w:r>
        <w:rPr>
          <w:rFonts w:asciiTheme="minorEastAsia" w:hAnsiTheme="minorEastAsia" w:eastAsiaTheme="minorEastAsia"/>
          <w:b/>
          <w:color w:val="auto"/>
          <w:sz w:val="24"/>
          <w:highlight w:val="none"/>
        </w:rPr>
        <w:t>.保密要求</w:t>
      </w:r>
    </w:p>
    <w:p w14:paraId="5A83ACD8">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w:t>
      </w:r>
      <w:r>
        <w:rPr>
          <w:rFonts w:asciiTheme="minorEastAsia" w:hAnsiTheme="minorEastAsia" w:eastAsiaTheme="minorEastAsia"/>
          <w:color w:val="auto"/>
          <w:sz w:val="24"/>
          <w:highlight w:val="none"/>
        </w:rPr>
        <w:t>.1评审应在严格保密的情况下进行。</w:t>
      </w:r>
    </w:p>
    <w:p w14:paraId="4C7F63B7">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w:t>
      </w:r>
      <w:r>
        <w:rPr>
          <w:rFonts w:asciiTheme="minorEastAsia" w:hAnsiTheme="minorEastAsia" w:eastAsiaTheme="minorEastAsia"/>
          <w:color w:val="auto"/>
          <w:sz w:val="24"/>
          <w:highlight w:val="none"/>
        </w:rPr>
        <w:t>.2有关人员应当遵守评审工作纪律，不得泄露评审文件、评审情况和评审中获悉的国家秘密、商业秘密。</w:t>
      </w:r>
    </w:p>
    <w:p w14:paraId="51B77D3D">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成交结果公告</w:t>
      </w:r>
    </w:p>
    <w:p w14:paraId="6080B133">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除</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规定由询价小组直接确定</w:t>
      </w:r>
      <w:r>
        <w:rPr>
          <w:rFonts w:hint="eastAsia" w:asciiTheme="minorEastAsia" w:hAnsiTheme="minorEastAsia" w:eastAsiaTheme="minorEastAsia"/>
          <w:color w:val="auto"/>
          <w:sz w:val="24"/>
          <w:highlight w:val="none"/>
        </w:rPr>
        <w:t>成交供应商外，</w:t>
      </w:r>
      <w:r>
        <w:rPr>
          <w:rFonts w:asciiTheme="minorEastAsia" w:hAnsiTheme="minorEastAsia" w:eastAsiaTheme="minorEastAsia"/>
          <w:color w:val="auto"/>
          <w:sz w:val="24"/>
          <w:highlight w:val="none"/>
        </w:rPr>
        <w:t>在评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结束后2个工作日内</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将评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报告送采购人。采购人应当自收到评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报告之日起５个工作日内，在评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报告确定的</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候选人名单中按顺序确定</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候选人并列的，由采购人或者采购人委托询价小组按照</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规定的方式确定</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未规定的，采取随机抽取的方式确定。</w:t>
      </w:r>
    </w:p>
    <w:p w14:paraId="43E75962">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w:t>
      </w:r>
      <w:r>
        <w:rPr>
          <w:rFonts w:asciiTheme="minorEastAsia" w:hAnsiTheme="minorEastAsia" w:eastAsiaTheme="minorEastAsia"/>
          <w:color w:val="auto"/>
          <w:sz w:val="24"/>
          <w:highlight w:val="none"/>
        </w:rPr>
        <w:t>.2自</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确定之日起2个工作日内，代理机构</w:t>
      </w:r>
      <w:r>
        <w:rPr>
          <w:rFonts w:hint="eastAsia" w:asciiTheme="minorEastAsia" w:hAnsiTheme="minorEastAsia" w:eastAsiaTheme="minorEastAsia"/>
          <w:color w:val="auto"/>
          <w:sz w:val="24"/>
          <w:highlight w:val="none"/>
        </w:rPr>
        <w:t>将</w:t>
      </w:r>
      <w:r>
        <w:rPr>
          <w:rFonts w:hint="eastAsia" w:ascii="宋体" w:hAnsi="宋体" w:eastAsia="宋体"/>
          <w:color w:val="auto"/>
          <w:sz w:val="24"/>
          <w:szCs w:val="18"/>
          <w:highlight w:val="none"/>
        </w:rPr>
        <w:t>在</w:t>
      </w:r>
      <w:r>
        <w:rPr>
          <w:rFonts w:hint="eastAsia" w:asciiTheme="minorEastAsia" w:hAnsiTheme="minorEastAsia" w:eastAsiaTheme="minorEastAsia"/>
          <w:b/>
          <w:bCs/>
          <w:color w:val="auto"/>
          <w:sz w:val="24"/>
          <w:highlight w:val="none"/>
          <w:lang w:val="en-US" w:eastAsia="zh-CN"/>
        </w:rPr>
        <w:t>滁州市城投工程咨询管理有限公司（https://www.czctgczx.com/）</w:t>
      </w:r>
      <w:r>
        <w:rPr>
          <w:rFonts w:hint="eastAsia" w:ascii="宋体" w:hAnsi="宋体" w:eastAsia="宋体"/>
          <w:color w:val="auto"/>
          <w:sz w:val="24"/>
          <w:szCs w:val="18"/>
          <w:highlight w:val="none"/>
        </w:rPr>
        <w:t>网上</w:t>
      </w:r>
      <w:r>
        <w:rPr>
          <w:rFonts w:asciiTheme="minorEastAsia" w:hAnsiTheme="minorEastAsia" w:eastAsiaTheme="minorEastAsia"/>
          <w:color w:val="auto"/>
          <w:sz w:val="24"/>
          <w:highlight w:val="none"/>
        </w:rPr>
        <w:t>发布</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公告。</w:t>
      </w:r>
    </w:p>
    <w:p w14:paraId="7CFC4BE2">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成交通知书</w:t>
      </w:r>
    </w:p>
    <w:p w14:paraId="5245A143">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发布</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公告</w:t>
      </w:r>
      <w:r>
        <w:rPr>
          <w:rFonts w:hint="eastAsia" w:asciiTheme="minorEastAsia" w:hAnsiTheme="minorEastAsia" w:eastAsiaTheme="minorEastAsia"/>
          <w:iCs/>
          <w:color w:val="auto"/>
          <w:sz w:val="24"/>
          <w:highlight w:val="none"/>
        </w:rPr>
        <w:t>的</w:t>
      </w:r>
      <w:r>
        <w:rPr>
          <w:rFonts w:asciiTheme="minorEastAsia" w:hAnsiTheme="minorEastAsia" w:eastAsiaTheme="minorEastAsia"/>
          <w:color w:val="auto"/>
          <w:sz w:val="24"/>
          <w:highlight w:val="none"/>
        </w:rPr>
        <w:t>同时以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形式向</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发出</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w:t>
      </w:r>
      <w:r>
        <w:rPr>
          <w:rFonts w:hint="eastAsia" w:asciiTheme="minorEastAsia" w:hAnsiTheme="minorEastAsia" w:eastAsiaTheme="minorEastAsia"/>
          <w:color w:val="auto"/>
          <w:sz w:val="24"/>
          <w:highlight w:val="none"/>
        </w:rPr>
        <w:t>中标通知书须加盖采购人、</w:t>
      </w:r>
      <w:r>
        <w:rPr>
          <w:rFonts w:hint="eastAsia" w:asciiTheme="minorEastAsia" w:hAnsiTheme="minorEastAsia" w:eastAsiaTheme="minorEastAsia"/>
          <w:color w:val="auto"/>
          <w:sz w:val="24"/>
          <w:highlight w:val="none"/>
          <w:lang w:eastAsia="zh-CN"/>
        </w:rPr>
        <w:t>代理机构</w:t>
      </w:r>
      <w:r>
        <w:rPr>
          <w:rFonts w:hint="eastAsia" w:asciiTheme="minorEastAsia" w:hAnsiTheme="minorEastAsia" w:eastAsiaTheme="minorEastAsia"/>
          <w:color w:val="auto"/>
          <w:sz w:val="24"/>
          <w:highlight w:val="none"/>
        </w:rPr>
        <w:t>公章后，方可发出。</w:t>
      </w:r>
    </w:p>
    <w:p w14:paraId="10EED7AA">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通知书对采购人和</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具有同等法律效力。</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通知书发出以后，采购人改变</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结果或者</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放弃</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，应当承担相应的法律责任。</w:t>
      </w:r>
    </w:p>
    <w:p w14:paraId="0C532B93">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通知书是合同的组成部分。</w:t>
      </w:r>
    </w:p>
    <w:p w14:paraId="2576A3D7">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22</w:t>
      </w:r>
      <w:r>
        <w:rPr>
          <w:rFonts w:asciiTheme="minorEastAsia" w:hAnsiTheme="minorEastAsia" w:eastAsiaTheme="minorEastAsia"/>
          <w:b/>
          <w:color w:val="auto"/>
          <w:sz w:val="24"/>
          <w:highlight w:val="none"/>
        </w:rPr>
        <w:t>.告知</w:t>
      </w:r>
      <w:r>
        <w:rPr>
          <w:rFonts w:hint="eastAsia" w:asciiTheme="minorEastAsia" w:hAnsiTheme="minorEastAsia" w:eastAsiaTheme="minorEastAsia"/>
          <w:b/>
          <w:color w:val="auto"/>
          <w:sz w:val="24"/>
          <w:highlight w:val="none"/>
        </w:rPr>
        <w:t>询价</w:t>
      </w:r>
      <w:r>
        <w:rPr>
          <w:rFonts w:asciiTheme="minorEastAsia" w:hAnsiTheme="minorEastAsia" w:eastAsiaTheme="minorEastAsia"/>
          <w:b/>
          <w:color w:val="auto"/>
          <w:sz w:val="24"/>
          <w:highlight w:val="none"/>
        </w:rPr>
        <w:t>结果</w:t>
      </w:r>
    </w:p>
    <w:p w14:paraId="3079BC73">
      <w:pPr>
        <w:spacing w:line="460" w:lineRule="exact"/>
        <w:ind w:firstLine="4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22.1在公告成交结果的同时，</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同时以</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规定的形式告知未成交供应商本人的排序。</w:t>
      </w:r>
    </w:p>
    <w:p w14:paraId="13F4E36C">
      <w:pPr>
        <w:spacing w:line="460" w:lineRule="exact"/>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22.2代理机构对未成交的供应商不做未成交原因的解释</w:t>
      </w:r>
      <w:r>
        <w:rPr>
          <w:rFonts w:asciiTheme="minorEastAsia" w:hAnsiTheme="minorEastAsia" w:eastAsiaTheme="minorEastAsia"/>
          <w:color w:val="auto"/>
          <w:sz w:val="24"/>
          <w:highlight w:val="none"/>
        </w:rPr>
        <w:t>。</w:t>
      </w:r>
    </w:p>
    <w:p w14:paraId="0AEA43C8">
      <w:pPr>
        <w:spacing w:line="460" w:lineRule="exact"/>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履约保证金</w:t>
      </w:r>
    </w:p>
    <w:p w14:paraId="51635655">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3.1成交供应商应按照</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规定缴纳履约保证金。</w:t>
      </w:r>
    </w:p>
    <w:p w14:paraId="2DD297CF">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如果成交供应商没有按照上述履约保证金的规定执行，将视为放弃成交资格。在此情况下，采购人可</w:t>
      </w:r>
      <w:r>
        <w:rPr>
          <w:rFonts w:asciiTheme="minorEastAsia" w:hAnsiTheme="minorEastAsia" w:eastAsiaTheme="minorEastAsia"/>
          <w:color w:val="auto"/>
          <w:sz w:val="24"/>
          <w:highlight w:val="none"/>
        </w:rPr>
        <w:t>确定下一</w:t>
      </w:r>
      <w:r>
        <w:rPr>
          <w:rFonts w:hint="eastAsia" w:asciiTheme="minorEastAsia" w:hAnsiTheme="minorEastAsia" w:eastAsiaTheme="minorEastAsia"/>
          <w:color w:val="auto"/>
          <w:sz w:val="24"/>
          <w:highlight w:val="none"/>
        </w:rPr>
        <w:t>成交候选</w:t>
      </w:r>
      <w:r>
        <w:rPr>
          <w:rFonts w:asciiTheme="minorEastAsia" w:hAnsiTheme="minorEastAsia" w:eastAsiaTheme="minorEastAsia"/>
          <w:color w:val="auto"/>
          <w:sz w:val="24"/>
          <w:highlight w:val="none"/>
        </w:rPr>
        <w:t>人为</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，也可以重新开展采购活动。</w:t>
      </w:r>
    </w:p>
    <w:p w14:paraId="13B2C677">
      <w:pPr>
        <w:spacing w:line="460" w:lineRule="exact"/>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代理费用</w:t>
      </w:r>
    </w:p>
    <w:p w14:paraId="6FCE695F">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本项目代理费用的收取按</w:t>
      </w:r>
      <w:r>
        <w:rPr>
          <w:rFonts w:hint="eastAsia" w:asciiTheme="minorEastAsia" w:hAnsiTheme="minorEastAsia" w:eastAsiaTheme="minorEastAsia"/>
          <w:color w:val="auto"/>
          <w:sz w:val="24"/>
          <w:highlight w:val="none"/>
          <w:u w:val="single"/>
        </w:rPr>
        <w:t>供应商须知前附表的</w:t>
      </w:r>
      <w:r>
        <w:rPr>
          <w:rFonts w:hint="eastAsia" w:asciiTheme="minorEastAsia" w:hAnsiTheme="minorEastAsia" w:eastAsiaTheme="minorEastAsia"/>
          <w:color w:val="auto"/>
          <w:sz w:val="24"/>
          <w:highlight w:val="none"/>
        </w:rPr>
        <w:t>规定执行。</w:t>
      </w:r>
    </w:p>
    <w:p w14:paraId="38CBC63C">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签订合同</w:t>
      </w:r>
    </w:p>
    <w:p w14:paraId="35C71E9C">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25.1</w:t>
      </w:r>
      <w:r>
        <w:rPr>
          <w:rFonts w:hint="eastAsia" w:ascii="宋体" w:hAnsi="宋体" w:eastAsia="宋体" w:cs="宋体"/>
          <w:color w:val="auto"/>
          <w:sz w:val="24"/>
          <w:szCs w:val="24"/>
          <w:highlight w:val="none"/>
        </w:rPr>
        <w:t>采购人与成交供应商应当按照</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规定的时间内完成政府采购合同签订及合同公告。</w:t>
      </w:r>
    </w:p>
    <w:p w14:paraId="5FC446A9">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25.2</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、成交供应商的响应文件及其澄清文件等，均为签订合同的依据。</w:t>
      </w:r>
    </w:p>
    <w:p w14:paraId="2138B78E">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25.3成交供应商</w:t>
      </w:r>
      <w:r>
        <w:rPr>
          <w:rFonts w:asciiTheme="minorEastAsia" w:hAnsiTheme="minorEastAsia" w:eastAsiaTheme="minorEastAsia"/>
          <w:color w:val="auto"/>
          <w:sz w:val="24"/>
          <w:highlight w:val="none"/>
        </w:rPr>
        <w:t>拒绝与采购人签订合同的，采购人可以按照评审报告推荐的</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候选人</w:t>
      </w:r>
      <w:r>
        <w:rPr>
          <w:rFonts w:hint="eastAsia" w:asciiTheme="minorEastAsia" w:hAnsiTheme="minorEastAsia" w:eastAsiaTheme="minorEastAsia"/>
          <w:color w:val="auto"/>
          <w:sz w:val="24"/>
          <w:highlight w:val="none"/>
        </w:rPr>
        <w:t>名单</w:t>
      </w:r>
      <w:r>
        <w:rPr>
          <w:rFonts w:asciiTheme="minorEastAsia" w:hAnsiTheme="minorEastAsia" w:eastAsiaTheme="minorEastAsia"/>
          <w:color w:val="auto"/>
          <w:sz w:val="24"/>
          <w:highlight w:val="none"/>
        </w:rPr>
        <w:t>排序</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确定下一</w:t>
      </w:r>
      <w:r>
        <w:rPr>
          <w:rFonts w:hint="eastAsia" w:asciiTheme="minorEastAsia" w:hAnsiTheme="minorEastAsia" w:eastAsiaTheme="minorEastAsia"/>
          <w:color w:val="auto"/>
          <w:sz w:val="24"/>
          <w:highlight w:val="none"/>
        </w:rPr>
        <w:t>成交候选</w:t>
      </w:r>
      <w:r>
        <w:rPr>
          <w:rFonts w:asciiTheme="minorEastAsia" w:hAnsiTheme="minorEastAsia" w:eastAsiaTheme="minorEastAsia"/>
          <w:color w:val="auto"/>
          <w:sz w:val="24"/>
          <w:highlight w:val="none"/>
        </w:rPr>
        <w:t>人为</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，也可以重新开展政府采购活动。</w:t>
      </w:r>
    </w:p>
    <w:p w14:paraId="3E6805C2">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25.4当出现法规规定的成交无效或成交结果无效情形时，采购人可依法与排名下一位的成交候选人另行签订合同，或依法重新开展采购活动。</w:t>
      </w:r>
    </w:p>
    <w:p w14:paraId="70ECC754">
      <w:pPr>
        <w:spacing w:line="460" w:lineRule="exact"/>
        <w:ind w:firstLine="437"/>
        <w:outlineLvl w:val="2"/>
        <w:rPr>
          <w:rFonts w:asciiTheme="minorEastAsia" w:hAnsiTheme="minorEastAsia" w:eastAsiaTheme="minorEastAsia"/>
          <w:b/>
          <w:color w:val="auto"/>
          <w:sz w:val="24"/>
          <w:highlight w:val="none"/>
        </w:rPr>
      </w:pPr>
      <w:bookmarkStart w:id="32" w:name="_Toc518923100"/>
      <w:bookmarkStart w:id="33" w:name="_Toc2583661"/>
      <w:r>
        <w:rPr>
          <w:rFonts w:hint="eastAsia" w:asciiTheme="minorEastAsia" w:hAnsiTheme="minorEastAsia" w:eastAsiaTheme="minorEastAsia"/>
          <w:b/>
          <w:color w:val="auto"/>
          <w:sz w:val="24"/>
          <w:highlight w:val="none"/>
        </w:rPr>
        <w:t>26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廉洁自律</w:t>
      </w:r>
      <w:r>
        <w:rPr>
          <w:rFonts w:asciiTheme="minorEastAsia" w:hAnsiTheme="minorEastAsia" w:eastAsiaTheme="minorEastAsia"/>
          <w:b/>
          <w:color w:val="auto"/>
          <w:sz w:val="24"/>
          <w:highlight w:val="none"/>
        </w:rPr>
        <w:t>规定</w:t>
      </w:r>
      <w:bookmarkEnd w:id="32"/>
      <w:bookmarkEnd w:id="33"/>
    </w:p>
    <w:p w14:paraId="5B7BFEDC">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26.1代理机构</w:t>
      </w:r>
      <w:r>
        <w:rPr>
          <w:rFonts w:asciiTheme="minorEastAsia" w:hAnsiTheme="minorEastAsia" w:eastAsiaTheme="minorEastAsia"/>
          <w:color w:val="auto"/>
          <w:sz w:val="24"/>
          <w:highlight w:val="none"/>
        </w:rPr>
        <w:t>工作人员</w:t>
      </w:r>
      <w:r>
        <w:rPr>
          <w:rFonts w:hint="eastAsia" w:asciiTheme="minorEastAsia" w:hAnsiTheme="minorEastAsia" w:eastAsiaTheme="minorEastAsia"/>
          <w:color w:val="auto"/>
          <w:sz w:val="24"/>
          <w:highlight w:val="none"/>
        </w:rPr>
        <w:t>不得以不正当手段获取政府采购代理业务，不得与采购人、供应商恶意串通。</w:t>
      </w:r>
    </w:p>
    <w:p w14:paraId="3D163D1C">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代理机构工作人员不得接受采购人或者供应商组织的宴请、旅游、娱乐，不得收受礼品、现金、有价证券等，不得向采购人或者供应商报销应当由个人承担的费用。</w:t>
      </w:r>
    </w:p>
    <w:p w14:paraId="47C41AA5">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质疑的提出与接收</w:t>
      </w:r>
    </w:p>
    <w:p w14:paraId="0EE79A3D">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27.1供应商认为</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、采购过程和成交结果使自己的权益受到损害的，可以在知道或者应知其权益受到损害之日起七个工作日内，以书面形式向采购人或其委托的</w:t>
      </w:r>
      <w:r>
        <w:rPr>
          <w:rFonts w:hint="eastAsia" w:asciiTheme="minorEastAsia" w:hAnsiTheme="minorEastAsia" w:eastAsiaTheme="minorEastAsia"/>
          <w:color w:val="auto"/>
          <w:sz w:val="24"/>
          <w:highlight w:val="none"/>
          <w:lang w:eastAsia="zh-CN"/>
        </w:rPr>
        <w:t>代理机构</w:t>
      </w:r>
      <w:r>
        <w:rPr>
          <w:rFonts w:hint="eastAsia" w:asciiTheme="minorEastAsia" w:hAnsiTheme="minorEastAsia" w:eastAsiaTheme="minorEastAsia"/>
          <w:color w:val="auto"/>
          <w:sz w:val="24"/>
          <w:highlight w:val="none"/>
        </w:rPr>
        <w:t>提出质疑。</w:t>
      </w:r>
    </w:p>
    <w:p w14:paraId="7BDC5667">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27.2质疑供应商应按照财政部制定的《政府采购质疑函范本》格式（详见</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）和《政府采购质疑和投诉办法》的要求，在法定质疑期内以书面形式提出质疑，超出法定质疑期提交的质疑将被拒绝。针对同一采购程序环节的质疑应一次性提出。</w:t>
      </w:r>
    </w:p>
    <w:p w14:paraId="058D1C16">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27.3</w:t>
      </w:r>
      <w:r>
        <w:rPr>
          <w:rFonts w:hint="eastAsia" w:asciiTheme="minorEastAsia" w:hAnsiTheme="minorEastAsia" w:eastAsiaTheme="minorEastAsia"/>
          <w:color w:val="auto"/>
          <w:sz w:val="24"/>
          <w:highlight w:val="none"/>
          <w:lang w:eastAsia="zh-CN"/>
        </w:rPr>
        <w:t>代理机构</w:t>
      </w:r>
      <w:r>
        <w:rPr>
          <w:rFonts w:hint="eastAsia" w:asciiTheme="minorEastAsia" w:hAnsiTheme="minorEastAsia" w:eastAsiaTheme="minorEastAsia"/>
          <w:color w:val="auto"/>
          <w:sz w:val="24"/>
          <w:highlight w:val="none"/>
        </w:rPr>
        <w:t>质疑函接收部门、联系电话和通讯地址，见</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w:t>
      </w:r>
    </w:p>
    <w:p w14:paraId="241A52F3">
      <w:pPr>
        <w:spacing w:line="460" w:lineRule="exact"/>
        <w:ind w:firstLine="435"/>
        <w:rPr>
          <w:rFonts w:asciiTheme="minorEastAsia" w:hAnsiTheme="minorEastAsia" w:eastAsiaTheme="minorEastAsia"/>
          <w:color w:val="auto"/>
          <w:sz w:val="24"/>
          <w:highlight w:val="none"/>
        </w:rPr>
      </w:pPr>
      <w:r>
        <w:rPr>
          <w:rFonts w:hint="eastAsia" w:ascii="宋体" w:hAnsi="宋体" w:eastAsia="宋体"/>
          <w:color w:val="auto"/>
          <w:sz w:val="24"/>
          <w:highlight w:val="none"/>
        </w:rPr>
        <w:t>注：上述条款中所要求的书面形式包含通过电子交易系统递交方式。</w:t>
      </w:r>
    </w:p>
    <w:p w14:paraId="7B3C6E30">
      <w:pPr>
        <w:spacing w:line="460" w:lineRule="exact"/>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8</w:t>
      </w:r>
      <w:r>
        <w:rPr>
          <w:rFonts w:hint="eastAsia" w:asciiTheme="minorEastAsia" w:hAnsiTheme="minorEastAsia" w:eastAsiaTheme="minorEastAsia"/>
          <w:b/>
          <w:color w:val="auto"/>
          <w:sz w:val="24"/>
          <w:highlight w:val="none"/>
        </w:rPr>
        <w:t>.需要补充的其他内容</w:t>
      </w:r>
    </w:p>
    <w:p w14:paraId="08E715EC">
      <w:pPr>
        <w:spacing w:line="460" w:lineRule="exact"/>
        <w:ind w:firstLine="435"/>
        <w:rPr>
          <w:rFonts w:hint="eastAsia" w:asciiTheme="minorEastAsia" w:hAnsiTheme="minorEastAsia" w:eastAsiaTheme="minorEastAsia"/>
          <w:color w:val="auto"/>
          <w:sz w:val="24"/>
          <w:highlight w:val="none"/>
        </w:rPr>
        <w:sectPr>
          <w:headerReference r:id="rId5" w:type="default"/>
          <w:footerReference r:id="rId6" w:type="default"/>
          <w:pgSz w:w="11905" w:h="16838"/>
          <w:pgMar w:top="1417" w:right="1417" w:bottom="1417" w:left="1417" w:header="851" w:footer="992" w:gutter="0"/>
          <w:pgNumType w:fmt="decimal" w:start="1"/>
          <w:cols w:space="0" w:num="1"/>
          <w:rtlGutter w:val="0"/>
          <w:docGrid w:type="lines" w:linePitch="313" w:charSpace="0"/>
        </w:sectPr>
      </w:pPr>
      <w:r>
        <w:rPr>
          <w:rFonts w:hint="eastAsia" w:asciiTheme="minorEastAsia" w:hAnsiTheme="minorEastAsia" w:eastAsiaTheme="minorEastAsia"/>
          <w:color w:val="auto"/>
          <w:sz w:val="24"/>
          <w:highlight w:val="none"/>
        </w:rPr>
        <w:t>需要补充的其他内容，见</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w:t>
      </w:r>
    </w:p>
    <w:p w14:paraId="102392E1">
      <w:pPr>
        <w:spacing w:line="380" w:lineRule="exact"/>
        <w:jc w:val="center"/>
        <w:outlineLvl w:val="0"/>
        <w:rPr>
          <w:rFonts w:asciiTheme="minorEastAsia" w:hAnsiTheme="minorEastAsia" w:eastAsiaTheme="minorEastAsia"/>
          <w:b/>
          <w:color w:val="auto"/>
          <w:sz w:val="28"/>
          <w:highlight w:val="none"/>
        </w:rPr>
      </w:pPr>
      <w:bookmarkStart w:id="34" w:name="_Toc1471"/>
      <w:r>
        <w:rPr>
          <w:rFonts w:hint="eastAsia" w:asciiTheme="minorEastAsia" w:hAnsiTheme="minorEastAsia" w:eastAsiaTheme="minorEastAsia"/>
          <w:b/>
          <w:color w:val="auto"/>
          <w:sz w:val="28"/>
          <w:highlight w:val="none"/>
        </w:rPr>
        <w:t>第三章  采购需求</w:t>
      </w:r>
      <w:bookmarkEnd w:id="34"/>
    </w:p>
    <w:p w14:paraId="176A8898">
      <w:pPr>
        <w:spacing w:line="380" w:lineRule="exact"/>
        <w:ind w:firstLine="437"/>
        <w:outlineLvl w:val="1"/>
        <w:rPr>
          <w:rFonts w:asciiTheme="minorEastAsia" w:hAnsiTheme="minorEastAsia" w:eastAsiaTheme="minorEastAsia"/>
          <w:b/>
          <w:bCs/>
          <w:color w:val="auto"/>
          <w:sz w:val="24"/>
          <w:szCs w:val="18"/>
          <w:highlight w:val="none"/>
        </w:rPr>
      </w:pPr>
      <w:bookmarkStart w:id="35" w:name="_Toc23283"/>
      <w:bookmarkStart w:id="36" w:name="_Toc23627"/>
      <w:r>
        <w:rPr>
          <w:rFonts w:hint="eastAsia" w:asciiTheme="minorEastAsia" w:hAnsiTheme="minorEastAsia" w:eastAsiaTheme="minorEastAsia"/>
          <w:b/>
          <w:color w:val="auto"/>
          <w:sz w:val="24"/>
          <w:szCs w:val="18"/>
          <w:highlight w:val="none"/>
        </w:rPr>
        <w:t>一、</w:t>
      </w:r>
      <w:bookmarkEnd w:id="35"/>
      <w:bookmarkEnd w:id="36"/>
      <w:bookmarkStart w:id="37" w:name="_Toc30209"/>
      <w:bookmarkStart w:id="38" w:name="_Toc16847"/>
      <w:r>
        <w:rPr>
          <w:rFonts w:hint="eastAsia" w:asciiTheme="minorEastAsia" w:hAnsiTheme="minorEastAsia" w:eastAsiaTheme="minorEastAsia"/>
          <w:b/>
          <w:bCs/>
          <w:color w:val="auto"/>
          <w:sz w:val="24"/>
          <w:szCs w:val="18"/>
          <w:highlight w:val="none"/>
        </w:rPr>
        <w:t>货物需求</w:t>
      </w:r>
      <w:bookmarkEnd w:id="37"/>
      <w:bookmarkEnd w:id="38"/>
    </w:p>
    <w:tbl>
      <w:tblPr>
        <w:tblStyle w:val="26"/>
        <w:tblW w:w="14207" w:type="dxa"/>
        <w:tblInd w:w="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1"/>
        <w:gridCol w:w="1754"/>
        <w:gridCol w:w="623"/>
        <w:gridCol w:w="736"/>
        <w:gridCol w:w="9792"/>
        <w:gridCol w:w="681"/>
      </w:tblGrid>
      <w:tr w14:paraId="1C512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B5E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bookmarkStart w:id="39" w:name="_Toc16122"/>
            <w:bookmarkStart w:id="40" w:name="_Toc14176"/>
            <w:r>
              <w:rPr>
                <w:rFonts w:hint="eastAsia" w:ascii="宋体" w:hAnsi="宋体" w:eastAsia="宋体" w:cs="宋体"/>
                <w:b/>
                <w:bCs/>
                <w:i w:val="0"/>
                <w:iCs w:val="0"/>
                <w:color w:val="auto"/>
                <w:kern w:val="0"/>
                <w:sz w:val="20"/>
                <w:szCs w:val="20"/>
                <w:highlight w:val="none"/>
                <w:u w:val="none"/>
                <w:lang w:val="en-US" w:eastAsia="zh-CN" w:bidi="ar"/>
              </w:rPr>
              <w:t>序号</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562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货物名称</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54B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285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9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BFE2">
            <w:pPr>
              <w:keepNext w:val="0"/>
              <w:keepLines w:val="0"/>
              <w:widowControl/>
              <w:suppressLineNumbers w:val="0"/>
              <w:jc w:val="center"/>
              <w:textAlignment w:val="center"/>
              <w:rPr>
                <w:rFonts w:hint="default" w:ascii="宋体" w:hAnsi="宋体" w:eastAsia="宋体" w:cs="宋体"/>
                <w:b/>
                <w:bCs/>
                <w:i w:val="0"/>
                <w:iCs w:val="0"/>
                <w:color w:val="auto"/>
                <w:sz w:val="20"/>
                <w:szCs w:val="20"/>
                <w:highlight w:val="none"/>
                <w:u w:val="none"/>
                <w:lang w:val="en-US"/>
              </w:rPr>
            </w:pPr>
            <w:r>
              <w:rPr>
                <w:rFonts w:hint="eastAsia" w:ascii="宋体" w:hAnsi="宋体" w:eastAsia="宋体" w:cs="宋体"/>
                <w:b/>
                <w:bCs/>
                <w:i w:val="0"/>
                <w:iCs w:val="0"/>
                <w:color w:val="auto"/>
                <w:kern w:val="0"/>
                <w:sz w:val="20"/>
                <w:szCs w:val="20"/>
                <w:highlight w:val="none"/>
                <w:u w:val="none"/>
                <w:lang w:val="en-US" w:eastAsia="zh-CN" w:bidi="ar"/>
              </w:rPr>
              <w:t>技术参数要求</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833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备注</w:t>
            </w:r>
          </w:p>
        </w:tc>
      </w:tr>
      <w:tr w14:paraId="04F1D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3E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A4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rPr>
              <w:t>联动型火灾报警控制器（壁挂式）</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A1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66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ADBD">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left"/>
              <w:rPr>
                <w:rFonts w:hint="eastAsia" w:ascii="宋体" w:hAnsi="宋体" w:eastAsia="宋体" w:cs="宋体"/>
                <w:i w:val="0"/>
                <w:iCs w:val="0"/>
                <w:color w:val="auto"/>
                <w:kern w:val="2"/>
                <w:sz w:val="20"/>
                <w:szCs w:val="20"/>
                <w:highlight w:val="none"/>
                <w:u w:val="none"/>
                <w:lang w:val="en-US" w:eastAsia="zh" w:bidi="ar-SA"/>
              </w:rPr>
            </w:pPr>
            <w:r>
              <w:rPr>
                <w:rFonts w:hint="eastAsia" w:ascii="宋体" w:hAnsi="宋体" w:eastAsia="宋体" w:cs="宋体"/>
                <w:i w:val="0"/>
                <w:iCs w:val="0"/>
                <w:color w:val="auto"/>
                <w:kern w:val="2"/>
                <w:sz w:val="20"/>
                <w:szCs w:val="20"/>
                <w:highlight w:val="none"/>
                <w:u w:val="none"/>
                <w:lang w:val="en-US" w:eastAsia="zh-CN" w:bidi="ar-SA"/>
              </w:rPr>
              <w:t>壁挂式</w:t>
            </w:r>
            <w:r>
              <w:rPr>
                <w:rFonts w:hint="eastAsia" w:ascii="宋体" w:hAnsi="宋体" w:eastAsia="宋体" w:cs="宋体"/>
                <w:i w:val="0"/>
                <w:iCs w:val="0"/>
                <w:color w:val="auto"/>
                <w:kern w:val="2"/>
                <w:sz w:val="20"/>
                <w:szCs w:val="20"/>
                <w:highlight w:val="none"/>
                <w:u w:val="none"/>
                <w:lang w:val="en-US" w:eastAsia="zh" w:bidi="ar-SA"/>
              </w:rPr>
              <w:t>，带LCD液晶屏，可以配接4个回路，每回路254设备地址。主电源220V，备用电源4.5Ah电池（两节）。</w:t>
            </w:r>
          </w:p>
          <w:p w14:paraId="2FBEDA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 w:bidi="ar-SA"/>
              </w:rPr>
              <w:t>柜内设手动控制盘，单台控制数量不少于15个</w:t>
            </w:r>
            <w:r>
              <w:rPr>
                <w:rFonts w:hint="eastAsia" w:ascii="宋体" w:hAnsi="宋体" w:eastAsia="宋体" w:cs="宋体"/>
                <w:i w:val="0"/>
                <w:iCs w:val="0"/>
                <w:color w:val="auto"/>
                <w:kern w:val="2"/>
                <w:sz w:val="20"/>
                <w:szCs w:val="20"/>
                <w:highlight w:val="none"/>
                <w:u w:val="none"/>
                <w:lang w:val="en-US" w:eastAsia="zh-CN" w:bidi="ar-SA"/>
              </w:rPr>
              <w:t>。</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BC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0"/>
                <w:szCs w:val="20"/>
                <w:highlight w:val="none"/>
                <w:u w:val="none"/>
              </w:rPr>
            </w:pPr>
          </w:p>
        </w:tc>
      </w:tr>
      <w:tr w14:paraId="040C1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51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F8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图形显示装置</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B9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22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2</w:t>
            </w:r>
          </w:p>
        </w:tc>
        <w:tc>
          <w:tcPr>
            <w:tcW w:w="9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6C2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 w:bidi="ar-SA"/>
              </w:rPr>
              <w:t>可以接收火灾报警控制器发出的火灾报警信号或联动控制信号，并能在3s内进入火灾报警或联动状态，并分别以图表形式显示相应报警信息。可以实时查询并显示监视区域中监控对象系统内各个消防设备的物理地址、注释信息及其对应的实时状态信息。可以实时监视并显示与控制器通信的工作状态。消防控制室图形显示装置可以实现报警信息的远程传送和查询的功能。具有火灾报警信号、监管报警信号、反馈信号、屏蔽信号、故障信号等相应状态的专用总指示功能。在火灾报警信号、反馈信号输入10s内显示相应状态信息，其他信号输入100s内显示相应状态信息。具有手动复位功能。在接收到报警、联动、故障等信息时可以同时发出声、光报警信号。具有各种报警信息的记录和存储功能。可以记录值班及操作人员、产品维护保养记录、保护区域中监控对象系统内各个消防设备的动态信息，记录包括操作人员的代码、产品维护保养的内容和时间、各类设备的动态信息和时间、系统程序的进入和退出时间等内容的功能。设有历史记录导出功能</w:t>
            </w:r>
            <w:r>
              <w:rPr>
                <w:rFonts w:hint="eastAsia" w:ascii="宋体" w:hAnsi="宋体" w:eastAsia="宋体" w:cs="宋体"/>
                <w:i w:val="0"/>
                <w:iCs w:val="0"/>
                <w:color w:val="auto"/>
                <w:kern w:val="2"/>
                <w:sz w:val="20"/>
                <w:szCs w:val="20"/>
                <w:highlight w:val="none"/>
                <w:u w:val="none"/>
                <w:lang w:val="en-US" w:eastAsia="zh-CN" w:bidi="ar-SA"/>
              </w:rPr>
              <w:t>。</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4E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0"/>
                <w:szCs w:val="20"/>
                <w:highlight w:val="none"/>
                <w:u w:val="none"/>
              </w:rPr>
            </w:pPr>
          </w:p>
        </w:tc>
      </w:tr>
      <w:tr w14:paraId="53333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A7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3C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消防应急广播主机（壁挂式）</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28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套</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85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0"/>
                <w:szCs w:val="20"/>
                <w:highlight w:val="none"/>
                <w:u w:val="none"/>
                <w:lang w:val="en-US" w:eastAsia="zh"/>
              </w:rPr>
            </w:pPr>
            <w:r>
              <w:rPr>
                <w:rFonts w:hint="eastAsia" w:ascii="宋体" w:hAnsi="宋体" w:eastAsia="宋体" w:cs="宋体"/>
                <w:i w:val="0"/>
                <w:iCs w:val="0"/>
                <w:color w:val="auto"/>
                <w:sz w:val="20"/>
                <w:szCs w:val="20"/>
                <w:highlight w:val="none"/>
                <w:u w:val="none"/>
                <w:lang w:val="en-US" w:eastAsia="zh-CN"/>
              </w:rPr>
              <w:t>2</w:t>
            </w:r>
          </w:p>
        </w:tc>
        <w:tc>
          <w:tcPr>
            <w:tcW w:w="9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763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 w:bidi="ar-SA"/>
              </w:rPr>
              <w:t>具备消防应急广播的全部功能，3路外部音频输入，2路音频输出，内置1GB储存器，8路扬声器分区控制器，500W高效率数字功放。具备3.5寸TFT屏幕，可监控所有设备状态</w:t>
            </w:r>
            <w:r>
              <w:rPr>
                <w:rFonts w:hint="eastAsia" w:ascii="宋体" w:hAnsi="宋体" w:eastAsia="宋体" w:cs="宋体"/>
                <w:i w:val="0"/>
                <w:iCs w:val="0"/>
                <w:color w:val="auto"/>
                <w:kern w:val="2"/>
                <w:sz w:val="20"/>
                <w:szCs w:val="20"/>
                <w:highlight w:val="none"/>
                <w:u w:val="none"/>
                <w:lang w:val="en-US" w:eastAsia="zh-CN" w:bidi="ar-SA"/>
              </w:rPr>
              <w:t>。</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7DE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0"/>
                <w:szCs w:val="20"/>
                <w:highlight w:val="none"/>
                <w:u w:val="none"/>
              </w:rPr>
            </w:pPr>
          </w:p>
        </w:tc>
      </w:tr>
      <w:tr w14:paraId="7608C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D8F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08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防火门监控主机（壁挂式）</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66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套</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14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2</w:t>
            </w:r>
          </w:p>
        </w:tc>
        <w:tc>
          <w:tcPr>
            <w:tcW w:w="9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FF3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 w:bidi="ar-SA"/>
              </w:rPr>
              <w:t>智能总线控制方式，不小于2回路，每回路不小于255个总线制模块，LCD显示屏</w:t>
            </w:r>
            <w:r>
              <w:rPr>
                <w:rFonts w:hint="eastAsia" w:ascii="宋体" w:hAnsi="宋体" w:eastAsia="宋体" w:cs="宋体"/>
                <w:i w:val="0"/>
                <w:iCs w:val="0"/>
                <w:color w:val="auto"/>
                <w:kern w:val="2"/>
                <w:sz w:val="20"/>
                <w:szCs w:val="20"/>
                <w:highlight w:val="none"/>
                <w:u w:val="none"/>
                <w:lang w:val="en-US" w:eastAsia="zh-CN" w:bidi="ar-SA"/>
              </w:rPr>
              <w:t>。</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4A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0"/>
                <w:szCs w:val="20"/>
                <w:highlight w:val="none"/>
                <w:u w:val="none"/>
              </w:rPr>
            </w:pPr>
          </w:p>
        </w:tc>
      </w:tr>
      <w:tr w14:paraId="4A68F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D9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89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消防电源监控主机（壁挂式）</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45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套</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7E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2</w:t>
            </w:r>
          </w:p>
        </w:tc>
        <w:tc>
          <w:tcPr>
            <w:tcW w:w="9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195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 w:bidi="ar-SA"/>
              </w:rPr>
              <w:t>不小于200点回路容量，具备直流备用电源4.5Ah铅酸电池。实时监测设备，10万条容量报警记录，采用LCD屏</w:t>
            </w:r>
            <w:r>
              <w:rPr>
                <w:rFonts w:hint="eastAsia" w:ascii="宋体" w:hAnsi="宋体" w:eastAsia="宋体" w:cs="宋体"/>
                <w:i w:val="0"/>
                <w:iCs w:val="0"/>
                <w:color w:val="auto"/>
                <w:kern w:val="2"/>
                <w:sz w:val="20"/>
                <w:szCs w:val="20"/>
                <w:highlight w:val="none"/>
                <w:u w:val="none"/>
                <w:lang w:val="en-US" w:eastAsia="zh-CN" w:bidi="ar-SA"/>
              </w:rPr>
              <w:t>。</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B3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0"/>
                <w:szCs w:val="20"/>
                <w:highlight w:val="none"/>
                <w:u w:val="none"/>
              </w:rPr>
            </w:pPr>
          </w:p>
        </w:tc>
      </w:tr>
      <w:tr w14:paraId="7982B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CAA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6C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剩余电流监控主机（壁挂式）</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48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套</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0A0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2</w:t>
            </w:r>
          </w:p>
        </w:tc>
        <w:tc>
          <w:tcPr>
            <w:tcW w:w="9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79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 w:bidi="ar-SA"/>
              </w:rPr>
              <w:t>信号回路两总线无极性，不少于4块回路板，每块回路板2个回路，每个回路127点</w:t>
            </w:r>
            <w:r>
              <w:rPr>
                <w:rFonts w:hint="eastAsia" w:ascii="宋体" w:hAnsi="宋体" w:eastAsia="宋体" w:cs="宋体"/>
                <w:i w:val="0"/>
                <w:iCs w:val="0"/>
                <w:color w:val="auto"/>
                <w:kern w:val="2"/>
                <w:sz w:val="20"/>
                <w:szCs w:val="20"/>
                <w:highlight w:val="none"/>
                <w:u w:val="none"/>
                <w:lang w:val="en-US" w:eastAsia="zh-CN" w:bidi="ar-SA"/>
              </w:rPr>
              <w:t>。</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C3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0"/>
                <w:szCs w:val="20"/>
                <w:highlight w:val="none"/>
                <w:u w:val="none"/>
              </w:rPr>
            </w:pPr>
          </w:p>
        </w:tc>
      </w:tr>
      <w:tr w14:paraId="21785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7"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BD0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38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可燃气体报警控制器</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C7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套</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2C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2</w:t>
            </w:r>
          </w:p>
        </w:tc>
        <w:tc>
          <w:tcPr>
            <w:tcW w:w="9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13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含DC12V/4.5Ah两只备用电池；≤每回路200点位，共2回路；推荐XBUS探测器，兼容HBUS及TBUS探测器；功耗</w:t>
            </w:r>
            <w:r>
              <w:rPr>
                <w:rFonts w:hint="eastAsia" w:ascii="宋体" w:hAnsi="宋体" w:eastAsia="宋体" w:cs="宋体"/>
                <w:i w:val="0"/>
                <w:iCs w:val="0"/>
                <w:color w:val="auto"/>
                <w:kern w:val="2"/>
                <w:sz w:val="20"/>
                <w:szCs w:val="20"/>
                <w:highlight w:val="none"/>
                <w:u w:val="none"/>
                <w:lang w:val="en-US" w:eastAsia="zh-CN" w:bidi="ar-SA"/>
              </w:rPr>
              <w:tab/>
            </w:r>
            <w:r>
              <w:rPr>
                <w:rFonts w:hint="eastAsia" w:ascii="宋体" w:hAnsi="宋体" w:eastAsia="宋体" w:cs="宋体"/>
                <w:i w:val="0"/>
                <w:iCs w:val="0"/>
                <w:color w:val="auto"/>
                <w:kern w:val="2"/>
                <w:sz w:val="20"/>
                <w:szCs w:val="20"/>
                <w:highlight w:val="none"/>
                <w:u w:val="none"/>
                <w:lang w:val="en-US" w:eastAsia="zh-CN" w:bidi="ar-SA"/>
              </w:rPr>
              <w:t>≤10W（不含探测器和配套设备）；两总线通讯；信号传输距离≤1500m（RVS 2×2.5mm2）；声光报警，内置3组无源可编程外控输出（触电容量AC220V/2A）；壁挂式。</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88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0"/>
                <w:szCs w:val="20"/>
                <w:highlight w:val="none"/>
                <w:u w:val="none"/>
              </w:rPr>
            </w:pPr>
          </w:p>
        </w:tc>
      </w:tr>
    </w:tbl>
    <w:p w14:paraId="72F61A0A">
      <w:pPr>
        <w:spacing w:line="500" w:lineRule="exact"/>
        <w:ind w:firstLine="482" w:firstLineChars="200"/>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注：上述采购的设备须与房建施工单位已施工的前端感应设备兼容，满足联机调试、消防验收要求，最终通过消防验收。如因成交供应商提供的产品无法兼容、无法通过联机调试等，成交供应商须承担全部责任，给采购人造成的损失，采购人有权</w:t>
      </w:r>
      <w:r>
        <w:rPr>
          <w:rFonts w:hint="eastAsia" w:ascii="宋体" w:hAnsi="宋体" w:eastAsia="宋体" w:cs="宋体"/>
          <w:b/>
          <w:bCs w:val="0"/>
          <w:color w:val="auto"/>
          <w:sz w:val="24"/>
          <w:szCs w:val="24"/>
          <w:highlight w:val="none"/>
          <w:lang w:val="en-US" w:eastAsia="zh-CN"/>
        </w:rPr>
        <w:t>向其</w:t>
      </w:r>
      <w:r>
        <w:rPr>
          <w:rFonts w:hint="eastAsia" w:asciiTheme="minorEastAsia" w:hAnsiTheme="minorEastAsia" w:eastAsiaTheme="minorEastAsia"/>
          <w:b/>
          <w:bCs/>
          <w:color w:val="auto"/>
          <w:sz w:val="24"/>
          <w:highlight w:val="none"/>
          <w:lang w:val="en-US" w:eastAsia="zh-CN"/>
        </w:rPr>
        <w:t>追偿。</w:t>
      </w:r>
    </w:p>
    <w:p w14:paraId="25B747AA">
      <w:pPr>
        <w:spacing w:line="380" w:lineRule="exact"/>
        <w:ind w:firstLine="482" w:firstLineChars="200"/>
        <w:outlineLvl w:val="1"/>
        <w:rPr>
          <w:rFonts w:asciiTheme="minorEastAsia" w:hAnsiTheme="minorEastAsia" w:eastAsiaTheme="minorEastAsia"/>
          <w:b/>
          <w:bCs/>
          <w:color w:val="auto"/>
          <w:sz w:val="24"/>
          <w:szCs w:val="18"/>
          <w:highlight w:val="none"/>
        </w:rPr>
      </w:pPr>
      <w:r>
        <w:rPr>
          <w:rFonts w:hint="eastAsia" w:asciiTheme="minorEastAsia" w:hAnsiTheme="minorEastAsia" w:eastAsiaTheme="minorEastAsia"/>
          <w:b/>
          <w:bCs/>
          <w:color w:val="auto"/>
          <w:sz w:val="24"/>
          <w:szCs w:val="18"/>
          <w:highlight w:val="none"/>
        </w:rPr>
        <w:t>三、报价要求</w:t>
      </w:r>
      <w:bookmarkEnd w:id="39"/>
      <w:bookmarkEnd w:id="40"/>
    </w:p>
    <w:p w14:paraId="15F4B2D2">
      <w:pPr>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1.供应商根据采购需求要求进行报价，本项目为固定单价项目，供应商可自行踏勘现场充分考虑报价，所报单价包括</w:t>
      </w:r>
      <w:r>
        <w:rPr>
          <w:rFonts w:hint="eastAsia" w:ascii="宋体" w:hAnsi="宋体" w:eastAsia="宋体" w:cs="宋体"/>
          <w:color w:val="auto"/>
          <w:sz w:val="24"/>
          <w:szCs w:val="24"/>
          <w:highlight w:val="none"/>
        </w:rPr>
        <w:t>货物、货物运输费用、货物人工费、材料费(含主材及辅材) 、装卸费、运输费、安装费、调试费、管理费、利润、风险费用及国家对成交</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征收的各种税费等所有一切费用</w:t>
      </w:r>
      <w:r>
        <w:rPr>
          <w:rFonts w:hint="eastAsia" w:asciiTheme="minorEastAsia" w:hAnsiTheme="minorEastAsia" w:eastAsiaTheme="minorEastAsia"/>
          <w:color w:val="auto"/>
          <w:sz w:val="24"/>
          <w:highlight w:val="none"/>
        </w:rPr>
        <w:t>，采购人不再为此项目支付任何费用，价格今后将不作任何调增。</w:t>
      </w:r>
    </w:p>
    <w:p w14:paraId="0D9BAE8E">
      <w:pPr>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2.供应商所报价格包含安全完成本项目所需全部费用，实施过程中如发生安全事故等情形，由成交供应商承担全部责任。</w:t>
      </w:r>
    </w:p>
    <w:p w14:paraId="50F4F777">
      <w:pPr>
        <w:spacing w:line="50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3.项目实施过程中，成交供应商应对已有成品进行保护，因成交供应商实施过程或未保护的原因造成的损坏等由成交供应商赔偿或修复。</w:t>
      </w:r>
    </w:p>
    <w:p w14:paraId="3A70AEEA">
      <w:pPr>
        <w:spacing w:line="500" w:lineRule="exact"/>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b/>
          <w:bCs/>
          <w:color w:val="auto"/>
          <w:sz w:val="24"/>
          <w:highlight w:val="none"/>
          <w:lang w:val="en-US" w:eastAsia="zh-CN"/>
        </w:rPr>
        <w:t>本项目所需设施设备等材料均由成交供应商自行采购，因材料质量引起的工程质量问题由成交供应商承担所造成的一切损失,并按合格标准更换、施工至合格。如采购人对某种或某些材料的质量有异议，有权提出停止使用的要求，成交供应商必须服从该要求。若该材料经权威检验部门鉴定确有质量问题，由此发生的一切费用由成交供应商自负，如果造成损失，承担全部赔偿责任。</w:t>
      </w:r>
    </w:p>
    <w:p w14:paraId="15FE65C2">
      <w:pPr>
        <w:numPr>
          <w:ilvl w:val="0"/>
          <w:numId w:val="1"/>
        </w:numPr>
        <w:spacing w:line="380" w:lineRule="exact"/>
        <w:ind w:firstLine="482" w:firstLineChars="200"/>
        <w:outlineLvl w:val="1"/>
        <w:rPr>
          <w:rFonts w:asciiTheme="minorEastAsia" w:hAnsiTheme="minorEastAsia" w:eastAsiaTheme="minorEastAsia"/>
          <w:b/>
          <w:bCs/>
          <w:color w:val="auto"/>
          <w:sz w:val="24"/>
          <w:szCs w:val="18"/>
          <w:highlight w:val="none"/>
        </w:rPr>
      </w:pPr>
      <w:bookmarkStart w:id="41" w:name="_Toc10777"/>
      <w:bookmarkStart w:id="42" w:name="_Toc17094"/>
      <w:r>
        <w:rPr>
          <w:rFonts w:hint="eastAsia" w:asciiTheme="minorEastAsia" w:hAnsiTheme="minorEastAsia" w:eastAsiaTheme="minorEastAsia"/>
          <w:b/>
          <w:bCs/>
          <w:color w:val="auto"/>
          <w:sz w:val="24"/>
          <w:szCs w:val="18"/>
          <w:highlight w:val="none"/>
        </w:rPr>
        <w:t>其他要求</w:t>
      </w:r>
      <w:bookmarkEnd w:id="41"/>
      <w:bookmarkEnd w:id="42"/>
    </w:p>
    <w:p w14:paraId="613171C3">
      <w:pPr>
        <w:pStyle w:val="9"/>
        <w:spacing w:after="0" w:line="500" w:lineRule="exact"/>
        <w:ind w:firstLine="480" w:firstLineChars="200"/>
        <w:jc w:val="left"/>
        <w:rPr>
          <w:rFonts w:cs="@仿宋_GB2312" w:asciiTheme="minorEastAsia" w:hAnsiTheme="minorEastAsia" w:eastAsiaTheme="minorEastAsia"/>
          <w:color w:val="auto"/>
          <w:sz w:val="24"/>
          <w:szCs w:val="20"/>
          <w:highlight w:val="none"/>
          <w:lang w:val="en-US"/>
        </w:rPr>
      </w:pPr>
      <w:r>
        <w:rPr>
          <w:rFonts w:hint="eastAsia" w:cs="@仿宋_GB2312" w:asciiTheme="minorEastAsia" w:hAnsiTheme="minorEastAsia" w:eastAsiaTheme="minorEastAsia"/>
          <w:color w:val="auto"/>
          <w:sz w:val="24"/>
          <w:szCs w:val="20"/>
          <w:highlight w:val="none"/>
          <w:lang w:val="en-US"/>
        </w:rPr>
        <w:t>（一）货物的生产、安装、维修、检验、验收等按照以下原则执行：有国家标准的执行国家标准；无国家标准的执行行业标准；无行业标准的执行地方标准；无地方标准的执行企业标准。</w:t>
      </w:r>
    </w:p>
    <w:p w14:paraId="3A5126E9">
      <w:pPr>
        <w:pStyle w:val="9"/>
        <w:spacing w:after="0" w:line="500" w:lineRule="exact"/>
        <w:ind w:firstLine="480" w:firstLineChars="200"/>
        <w:jc w:val="left"/>
        <w:rPr>
          <w:rFonts w:cs="@仿宋_GB2312" w:asciiTheme="minorEastAsia" w:hAnsiTheme="minorEastAsia" w:eastAsiaTheme="minorEastAsia"/>
          <w:color w:val="auto"/>
          <w:sz w:val="24"/>
          <w:szCs w:val="20"/>
          <w:highlight w:val="none"/>
          <w:lang w:val="en-US"/>
        </w:rPr>
      </w:pPr>
      <w:r>
        <w:rPr>
          <w:rFonts w:hint="eastAsia" w:cs="@仿宋_GB2312" w:asciiTheme="minorEastAsia" w:hAnsiTheme="minorEastAsia" w:eastAsiaTheme="minorEastAsia"/>
          <w:color w:val="auto"/>
          <w:sz w:val="24"/>
          <w:szCs w:val="20"/>
          <w:highlight w:val="none"/>
          <w:lang w:val="en-US"/>
        </w:rPr>
        <w:t>（二）如果在技术参数或配置中标明了品牌或产地，则仅供参考，并非指定，但</w:t>
      </w:r>
      <w:r>
        <w:rPr>
          <w:rFonts w:hint="eastAsia" w:ascii="宋体" w:hAnsi="宋体" w:eastAsia="宋体" w:cs="@仿宋_GB2312"/>
          <w:b w:val="0"/>
          <w:bCs/>
          <w:color w:val="auto"/>
          <w:kern w:val="0"/>
          <w:sz w:val="24"/>
          <w:szCs w:val="28"/>
          <w:highlight w:val="none"/>
          <w:lang w:val="en-US" w:eastAsia="zh-CN" w:bidi="ar-SA"/>
        </w:rPr>
        <w:t>供应商</w:t>
      </w:r>
      <w:r>
        <w:rPr>
          <w:rFonts w:hint="eastAsia" w:cs="@仿宋_GB2312" w:asciiTheme="minorEastAsia" w:hAnsiTheme="minorEastAsia" w:eastAsiaTheme="minorEastAsia"/>
          <w:color w:val="auto"/>
          <w:sz w:val="24"/>
          <w:szCs w:val="20"/>
          <w:highlight w:val="none"/>
          <w:lang w:val="en-US"/>
        </w:rPr>
        <w:t>提供的货物必须满足主要技术参数及配置要求，</w:t>
      </w:r>
      <w:r>
        <w:rPr>
          <w:rFonts w:hint="eastAsia" w:ascii="宋体" w:hAnsi="宋体" w:eastAsia="宋体" w:cs="@仿宋_GB2312"/>
          <w:b w:val="0"/>
          <w:bCs/>
          <w:color w:val="auto"/>
          <w:kern w:val="0"/>
          <w:sz w:val="24"/>
          <w:szCs w:val="28"/>
          <w:highlight w:val="none"/>
          <w:lang w:val="en-US" w:eastAsia="zh-CN" w:bidi="ar-SA"/>
        </w:rPr>
        <w:t>供应商</w:t>
      </w:r>
      <w:r>
        <w:rPr>
          <w:rFonts w:hint="eastAsia" w:cs="@仿宋_GB2312" w:asciiTheme="minorEastAsia" w:hAnsiTheme="minorEastAsia" w:eastAsiaTheme="minorEastAsia"/>
          <w:color w:val="auto"/>
          <w:sz w:val="24"/>
          <w:szCs w:val="20"/>
          <w:highlight w:val="none"/>
          <w:lang w:val="en-US"/>
        </w:rPr>
        <w:t>可以选用替代的方案，但这种替代整体上要优于或相当于</w:t>
      </w:r>
      <w:r>
        <w:rPr>
          <w:rFonts w:hint="eastAsia" w:cs="@仿宋_GB2312" w:asciiTheme="minorEastAsia" w:hAnsiTheme="minorEastAsia" w:eastAsiaTheme="minorEastAsia"/>
          <w:color w:val="auto"/>
          <w:sz w:val="24"/>
          <w:szCs w:val="20"/>
          <w:highlight w:val="none"/>
          <w:lang w:val="en-US" w:eastAsia="zh-CN"/>
        </w:rPr>
        <w:t>询价采购文件</w:t>
      </w:r>
      <w:r>
        <w:rPr>
          <w:rFonts w:hint="eastAsia" w:cs="@仿宋_GB2312" w:asciiTheme="minorEastAsia" w:hAnsiTheme="minorEastAsia" w:eastAsiaTheme="minorEastAsia"/>
          <w:color w:val="auto"/>
          <w:sz w:val="24"/>
          <w:szCs w:val="20"/>
          <w:highlight w:val="none"/>
          <w:lang w:val="en-US"/>
        </w:rPr>
        <w:t>的相关要求。</w:t>
      </w:r>
    </w:p>
    <w:p w14:paraId="02112266">
      <w:pPr>
        <w:pStyle w:val="9"/>
        <w:spacing w:after="0" w:line="500" w:lineRule="exact"/>
        <w:ind w:firstLine="480" w:firstLineChars="200"/>
        <w:jc w:val="left"/>
        <w:rPr>
          <w:rFonts w:cs="@仿宋_GB2312" w:asciiTheme="minorEastAsia" w:hAnsiTheme="minorEastAsia" w:eastAsiaTheme="minorEastAsia"/>
          <w:b/>
          <w:bCs/>
          <w:color w:val="auto"/>
          <w:sz w:val="24"/>
          <w:szCs w:val="20"/>
          <w:highlight w:val="none"/>
          <w:lang w:val="en-US"/>
        </w:rPr>
      </w:pPr>
      <w:r>
        <w:rPr>
          <w:rFonts w:hint="eastAsia" w:cs="@仿宋_GB2312" w:asciiTheme="minorEastAsia" w:hAnsiTheme="minorEastAsia" w:eastAsiaTheme="minorEastAsia"/>
          <w:color w:val="auto"/>
          <w:sz w:val="24"/>
          <w:szCs w:val="20"/>
          <w:highlight w:val="none"/>
          <w:lang w:val="en-US"/>
        </w:rPr>
        <w:t>（三）供货时所有货物（包括零部件）须为全新的、未使用过的原装正品，并完全符合国家质量标准，</w:t>
      </w:r>
      <w:r>
        <w:rPr>
          <w:rFonts w:hint="eastAsia" w:cs="@仿宋_GB2312" w:asciiTheme="minorEastAsia" w:hAnsiTheme="minorEastAsia" w:eastAsiaTheme="minorEastAsia"/>
          <w:b/>
          <w:bCs/>
          <w:color w:val="auto"/>
          <w:sz w:val="24"/>
          <w:szCs w:val="20"/>
          <w:highlight w:val="none"/>
          <w:lang w:val="en-US" w:eastAsia="zh-CN"/>
        </w:rPr>
        <w:t>供货时</w:t>
      </w:r>
      <w:r>
        <w:rPr>
          <w:rFonts w:hint="eastAsia" w:cs="@仿宋_GB2312" w:asciiTheme="minorEastAsia" w:hAnsiTheme="minorEastAsia" w:eastAsiaTheme="minorEastAsia"/>
          <w:b/>
          <w:bCs/>
          <w:color w:val="auto"/>
          <w:sz w:val="24"/>
          <w:szCs w:val="20"/>
          <w:highlight w:val="none"/>
          <w:lang w:val="en-US"/>
        </w:rPr>
        <w:t>提供厂家出具的合格证书、有国家强制性认证要求的产品须提供相应证书，货物的技术参数及配置情况必须由</w:t>
      </w:r>
      <w:r>
        <w:rPr>
          <w:rFonts w:hint="eastAsia" w:cs="@仿宋_GB2312" w:asciiTheme="minorEastAsia" w:hAnsiTheme="minorEastAsia" w:eastAsiaTheme="minorEastAsia"/>
          <w:b/>
          <w:bCs/>
          <w:color w:val="auto"/>
          <w:sz w:val="24"/>
          <w:szCs w:val="20"/>
          <w:highlight w:val="none"/>
          <w:lang w:val="en-US" w:eastAsia="zh-CN"/>
        </w:rPr>
        <w:t>供应商</w:t>
      </w:r>
      <w:r>
        <w:rPr>
          <w:rFonts w:hint="eastAsia" w:cs="@仿宋_GB2312" w:asciiTheme="minorEastAsia" w:hAnsiTheme="minorEastAsia" w:eastAsiaTheme="minorEastAsia"/>
          <w:b/>
          <w:bCs/>
          <w:color w:val="auto"/>
          <w:sz w:val="24"/>
          <w:szCs w:val="20"/>
          <w:highlight w:val="none"/>
          <w:lang w:val="en-US"/>
        </w:rPr>
        <w:t>提供国家相关检测机构出具的检验报告、生产厂家公开发布的印刷资料等技术资料予以支持。没有技术资料支持的技术参数及配置不能视为响应。(厂家出具的合格证书供货时提供。)</w:t>
      </w:r>
    </w:p>
    <w:p w14:paraId="570D2F0A">
      <w:pPr>
        <w:pStyle w:val="9"/>
        <w:spacing w:after="0" w:line="500" w:lineRule="exact"/>
        <w:ind w:firstLine="480" w:firstLineChars="200"/>
        <w:jc w:val="left"/>
        <w:rPr>
          <w:rFonts w:cs="@仿宋_GB2312" w:asciiTheme="minorEastAsia" w:hAnsiTheme="minorEastAsia" w:eastAsiaTheme="minorEastAsia"/>
          <w:color w:val="auto"/>
          <w:sz w:val="24"/>
          <w:szCs w:val="20"/>
          <w:highlight w:val="none"/>
          <w:lang w:val="en-US"/>
        </w:rPr>
      </w:pPr>
      <w:r>
        <w:rPr>
          <w:rFonts w:hint="eastAsia" w:cs="@仿宋_GB2312" w:asciiTheme="minorEastAsia" w:hAnsiTheme="minorEastAsia" w:eastAsiaTheme="minorEastAsia"/>
          <w:color w:val="auto"/>
          <w:sz w:val="24"/>
          <w:szCs w:val="20"/>
          <w:highlight w:val="none"/>
          <w:lang w:val="en-US"/>
        </w:rPr>
        <w:t>（四）技术支持</w:t>
      </w:r>
    </w:p>
    <w:p w14:paraId="654572F6">
      <w:pPr>
        <w:pStyle w:val="9"/>
        <w:spacing w:after="0" w:line="500" w:lineRule="exact"/>
        <w:ind w:firstLine="480" w:firstLineChars="200"/>
        <w:jc w:val="left"/>
        <w:rPr>
          <w:rFonts w:cs="@仿宋_GB2312" w:asciiTheme="minorEastAsia" w:hAnsiTheme="minorEastAsia" w:eastAsiaTheme="minorEastAsia"/>
          <w:color w:val="auto"/>
          <w:sz w:val="24"/>
          <w:szCs w:val="20"/>
          <w:highlight w:val="none"/>
          <w:lang w:val="en-US"/>
        </w:rPr>
      </w:pPr>
      <w:r>
        <w:rPr>
          <w:rFonts w:hint="eastAsia" w:cs="@仿宋_GB2312" w:asciiTheme="minorEastAsia" w:hAnsiTheme="minorEastAsia" w:eastAsiaTheme="minorEastAsia"/>
          <w:color w:val="auto"/>
          <w:sz w:val="24"/>
          <w:szCs w:val="20"/>
          <w:highlight w:val="none"/>
          <w:lang w:val="en-US"/>
        </w:rPr>
        <w:t>1.成交供应商应向采购人提供全方位、及时而有效的技术支持和服务。</w:t>
      </w:r>
    </w:p>
    <w:p w14:paraId="1CA2FF1C">
      <w:pPr>
        <w:pStyle w:val="9"/>
        <w:spacing w:after="0" w:line="500" w:lineRule="exact"/>
        <w:ind w:firstLine="480" w:firstLineChars="200"/>
        <w:jc w:val="left"/>
        <w:rPr>
          <w:rFonts w:cs="@仿宋_GB2312" w:asciiTheme="minorEastAsia" w:hAnsiTheme="minorEastAsia" w:eastAsiaTheme="minorEastAsia"/>
          <w:color w:val="auto"/>
          <w:sz w:val="24"/>
          <w:szCs w:val="20"/>
          <w:highlight w:val="none"/>
          <w:lang w:val="en-US"/>
        </w:rPr>
      </w:pPr>
      <w:r>
        <w:rPr>
          <w:rFonts w:hint="eastAsia" w:cs="@仿宋_GB2312" w:asciiTheme="minorEastAsia" w:hAnsiTheme="minorEastAsia" w:eastAsiaTheme="minorEastAsia"/>
          <w:color w:val="auto"/>
          <w:sz w:val="24"/>
          <w:szCs w:val="20"/>
          <w:highlight w:val="none"/>
          <w:lang w:val="en-US"/>
        </w:rPr>
        <w:t>2.成交供应商负责供货、安装、调试。</w:t>
      </w:r>
    </w:p>
    <w:p w14:paraId="60595DD0">
      <w:pPr>
        <w:pStyle w:val="9"/>
        <w:spacing w:after="0" w:line="500" w:lineRule="exact"/>
        <w:ind w:firstLine="480" w:firstLineChars="200"/>
        <w:jc w:val="left"/>
        <w:rPr>
          <w:rFonts w:cs="@仿宋_GB2312" w:asciiTheme="minorEastAsia" w:hAnsiTheme="minorEastAsia" w:eastAsiaTheme="minorEastAsia"/>
          <w:color w:val="auto"/>
          <w:sz w:val="24"/>
          <w:szCs w:val="20"/>
          <w:highlight w:val="none"/>
          <w:lang w:val="en-US"/>
        </w:rPr>
      </w:pPr>
      <w:r>
        <w:rPr>
          <w:rFonts w:hint="eastAsia" w:cs="@仿宋_GB2312" w:asciiTheme="minorEastAsia" w:hAnsiTheme="minorEastAsia" w:eastAsiaTheme="minorEastAsia"/>
          <w:color w:val="auto"/>
          <w:sz w:val="24"/>
          <w:szCs w:val="20"/>
          <w:highlight w:val="none"/>
          <w:lang w:val="en-US"/>
        </w:rPr>
        <w:t>3.成交供应商负责将货物的全部有关技术文件（外文应提供中文翻译资料，下同）、资料、测试、验收报告等汇集成册交付采购人，涉及进口的产品或部件配件软件等须提供中国海关进口货物报关单、完税证明及商检证明等材料。</w:t>
      </w:r>
    </w:p>
    <w:p w14:paraId="7E7CC646">
      <w:pPr>
        <w:pStyle w:val="9"/>
        <w:spacing w:after="0" w:line="500" w:lineRule="exact"/>
        <w:ind w:firstLine="480" w:firstLineChars="200"/>
        <w:jc w:val="left"/>
        <w:rPr>
          <w:rFonts w:cs="@仿宋_GB2312" w:asciiTheme="minorEastAsia" w:hAnsiTheme="minorEastAsia" w:eastAsiaTheme="minorEastAsia"/>
          <w:color w:val="auto"/>
          <w:sz w:val="24"/>
          <w:szCs w:val="20"/>
          <w:highlight w:val="none"/>
          <w:lang w:val="en-US"/>
        </w:rPr>
      </w:pPr>
      <w:r>
        <w:rPr>
          <w:rFonts w:hint="eastAsia" w:cs="@仿宋_GB2312" w:asciiTheme="minorEastAsia" w:hAnsiTheme="minorEastAsia" w:eastAsiaTheme="minorEastAsia"/>
          <w:color w:val="auto"/>
          <w:sz w:val="24"/>
          <w:szCs w:val="20"/>
          <w:highlight w:val="none"/>
          <w:lang w:val="en-US"/>
        </w:rPr>
        <w:t>（五）质保及售后服务：</w:t>
      </w:r>
    </w:p>
    <w:p w14:paraId="4DED485A">
      <w:pPr>
        <w:pStyle w:val="9"/>
        <w:spacing w:after="0" w:line="500" w:lineRule="exact"/>
        <w:ind w:firstLine="480" w:firstLineChars="200"/>
        <w:jc w:val="left"/>
        <w:rPr>
          <w:rFonts w:hint="eastAsia" w:cs="@仿宋_GB2312" w:asciiTheme="minorEastAsia" w:hAnsiTheme="minorEastAsia" w:eastAsiaTheme="minorEastAsia"/>
          <w:color w:val="auto"/>
          <w:sz w:val="24"/>
          <w:szCs w:val="20"/>
          <w:highlight w:val="none"/>
          <w:lang w:val="en-US"/>
        </w:rPr>
      </w:pPr>
      <w:r>
        <w:rPr>
          <w:rFonts w:hint="eastAsia" w:cs="@仿宋_GB2312" w:asciiTheme="minorEastAsia" w:hAnsiTheme="minorEastAsia" w:eastAsiaTheme="minorEastAsia"/>
          <w:color w:val="auto"/>
          <w:sz w:val="24"/>
          <w:szCs w:val="20"/>
          <w:highlight w:val="none"/>
          <w:lang w:val="en-US"/>
        </w:rPr>
        <w:t>1.</w:t>
      </w:r>
      <w:r>
        <w:rPr>
          <w:rFonts w:hint="eastAsia" w:cs="@仿宋_GB2312" w:asciiTheme="minorEastAsia" w:hAnsiTheme="minorEastAsia" w:eastAsiaTheme="minorEastAsia"/>
          <w:b/>
          <w:bCs/>
          <w:color w:val="auto"/>
          <w:sz w:val="24"/>
          <w:szCs w:val="20"/>
          <w:highlight w:val="none"/>
          <w:lang w:val="en-US" w:eastAsia="zh-CN"/>
        </w:rPr>
        <w:t>免费质保期为验收合格之日起不少于2年。</w:t>
      </w:r>
      <w:r>
        <w:rPr>
          <w:rFonts w:hint="eastAsia" w:cs="@仿宋_GB2312" w:asciiTheme="minorEastAsia" w:hAnsiTheme="minorEastAsia" w:eastAsiaTheme="minorEastAsia"/>
          <w:color w:val="auto"/>
          <w:sz w:val="24"/>
          <w:szCs w:val="20"/>
          <w:highlight w:val="none"/>
          <w:lang w:val="en-US" w:eastAsia="zh-CN"/>
        </w:rPr>
        <w:t xml:space="preserve">在免费质保服务期限内，成交供应商应在合同货物出现故障和缺陷时，接到采购人通知后2小时内予以答复，如采购人有要求或必要时，成交供应商应在接到采购人通知后24小时内进行维修，属于人为损坏的由采购人负责。 </w:t>
      </w:r>
    </w:p>
    <w:p w14:paraId="46825140">
      <w:pPr>
        <w:pStyle w:val="9"/>
        <w:spacing w:after="0" w:line="500" w:lineRule="exact"/>
        <w:ind w:firstLine="482" w:firstLineChars="200"/>
        <w:jc w:val="left"/>
        <w:rPr>
          <w:rFonts w:hint="eastAsia" w:cs="@仿宋_GB2312" w:asciiTheme="minorEastAsia" w:hAnsiTheme="minorEastAsia" w:eastAsiaTheme="minorEastAsia"/>
          <w:b/>
          <w:bCs/>
          <w:color w:val="auto"/>
          <w:sz w:val="24"/>
          <w:szCs w:val="20"/>
          <w:highlight w:val="none"/>
          <w:lang w:val="en-US"/>
        </w:rPr>
      </w:pPr>
      <w:r>
        <w:rPr>
          <w:rFonts w:hint="eastAsia" w:cs="@仿宋_GB2312" w:asciiTheme="minorEastAsia" w:hAnsiTheme="minorEastAsia" w:eastAsiaTheme="minorEastAsia"/>
          <w:b/>
          <w:bCs/>
          <w:color w:val="auto"/>
          <w:sz w:val="24"/>
          <w:szCs w:val="20"/>
          <w:highlight w:val="none"/>
          <w:lang w:val="en-US" w:eastAsia="zh-CN"/>
        </w:rPr>
        <w:t xml:space="preserve">2.免费质保期内，成交供应商每年须至少提供1次的上门巡检服务，巡检过程中须根据设备使用情况，免费更换常用配件。无正当理由，成交供应商不得拒绝上门巡检服务及备品备件更换。 </w:t>
      </w:r>
    </w:p>
    <w:p w14:paraId="6DC20F08">
      <w:pPr>
        <w:pStyle w:val="9"/>
        <w:spacing w:after="0" w:line="500" w:lineRule="exact"/>
        <w:ind w:firstLine="480" w:firstLineChars="200"/>
        <w:jc w:val="left"/>
        <w:rPr>
          <w:rFonts w:cs="@仿宋_GB2312" w:asciiTheme="minorEastAsia" w:hAnsiTheme="minorEastAsia" w:eastAsiaTheme="minorEastAsia"/>
          <w:color w:val="auto"/>
          <w:sz w:val="24"/>
          <w:szCs w:val="20"/>
          <w:highlight w:val="none"/>
          <w:lang w:val="en-US"/>
        </w:rPr>
      </w:pPr>
      <w:r>
        <w:rPr>
          <w:rFonts w:hint="eastAsia" w:cs="@仿宋_GB2312" w:asciiTheme="minorEastAsia" w:hAnsiTheme="minorEastAsia" w:eastAsiaTheme="minorEastAsia"/>
          <w:color w:val="auto"/>
          <w:sz w:val="24"/>
          <w:szCs w:val="20"/>
          <w:highlight w:val="none"/>
          <w:lang w:val="en-US" w:eastAsia="zh-CN"/>
        </w:rPr>
        <w:t>3.成交供应商不履行免费质保期约定的，采购人有权依法依规追究成交供应商法律责任，由此产生的责任与后果均由成交供应商承担</w:t>
      </w:r>
      <w:r>
        <w:rPr>
          <w:rFonts w:hint="eastAsia" w:cs="@仿宋_GB2312" w:asciiTheme="minorEastAsia" w:hAnsiTheme="minorEastAsia" w:eastAsiaTheme="minorEastAsia"/>
          <w:color w:val="auto"/>
          <w:sz w:val="24"/>
          <w:szCs w:val="20"/>
          <w:highlight w:val="none"/>
          <w:lang w:val="en-US"/>
        </w:rPr>
        <w:t>。</w:t>
      </w:r>
    </w:p>
    <w:p w14:paraId="1774CD3F">
      <w:pPr>
        <w:pStyle w:val="9"/>
        <w:spacing w:after="0" w:line="500" w:lineRule="exact"/>
        <w:ind w:firstLine="480" w:firstLineChars="200"/>
        <w:jc w:val="left"/>
        <w:rPr>
          <w:rFonts w:cs="@仿宋_GB2312" w:asciiTheme="minorEastAsia" w:hAnsiTheme="minorEastAsia" w:eastAsiaTheme="minorEastAsia"/>
          <w:color w:val="auto"/>
          <w:sz w:val="24"/>
          <w:szCs w:val="20"/>
          <w:highlight w:val="none"/>
          <w:lang w:val="en-US"/>
        </w:rPr>
      </w:pPr>
      <w:r>
        <w:rPr>
          <w:rFonts w:hint="eastAsia" w:cs="@仿宋_GB2312" w:asciiTheme="minorEastAsia" w:hAnsiTheme="minorEastAsia" w:eastAsiaTheme="minorEastAsia"/>
          <w:color w:val="auto"/>
          <w:sz w:val="24"/>
          <w:szCs w:val="20"/>
          <w:highlight w:val="none"/>
          <w:lang w:val="en-US"/>
        </w:rPr>
        <w:t>（六）验收：</w:t>
      </w:r>
    </w:p>
    <w:p w14:paraId="0458DA24">
      <w:pPr>
        <w:pStyle w:val="9"/>
        <w:spacing w:after="0" w:line="500" w:lineRule="exact"/>
        <w:ind w:firstLine="480" w:firstLineChars="200"/>
        <w:jc w:val="left"/>
        <w:rPr>
          <w:rFonts w:cs="@仿宋_GB2312" w:asciiTheme="minorEastAsia" w:hAnsiTheme="minorEastAsia" w:eastAsiaTheme="minorEastAsia"/>
          <w:color w:val="auto"/>
          <w:sz w:val="24"/>
          <w:szCs w:val="20"/>
          <w:highlight w:val="none"/>
          <w:lang w:val="en-US"/>
        </w:rPr>
      </w:pPr>
      <w:r>
        <w:rPr>
          <w:rFonts w:hint="eastAsia" w:cs="@仿宋_GB2312" w:asciiTheme="minorEastAsia" w:hAnsiTheme="minorEastAsia" w:eastAsiaTheme="minorEastAsia"/>
          <w:color w:val="auto"/>
          <w:sz w:val="24"/>
          <w:szCs w:val="20"/>
          <w:highlight w:val="none"/>
          <w:lang w:val="en-US"/>
        </w:rPr>
        <w:t>1.采购人和相关部门按照国家规定标准验收，没有国家标准的按行业标准验收，无行业标准的按地方或企业标准验收，成交供应商予以配合。</w:t>
      </w:r>
      <w:r>
        <w:rPr>
          <w:rFonts w:hint="eastAsia" w:cs="@仿宋_GB2312" w:asciiTheme="minorEastAsia" w:hAnsiTheme="minorEastAsia" w:eastAsiaTheme="minorEastAsia"/>
          <w:b/>
          <w:bCs/>
          <w:color w:val="auto"/>
          <w:sz w:val="24"/>
          <w:szCs w:val="20"/>
          <w:highlight w:val="none"/>
          <w:lang w:val="en-US"/>
        </w:rPr>
        <w:t>涉及安全、消防、环保等其他需要由质检或行业主管部门验收的项目，采购人须约请相关部门和专家参加项目验收。</w:t>
      </w:r>
    </w:p>
    <w:p w14:paraId="1D616CEE">
      <w:pPr>
        <w:pStyle w:val="9"/>
        <w:spacing w:after="0" w:line="500" w:lineRule="exact"/>
        <w:ind w:firstLine="480" w:firstLineChars="200"/>
        <w:jc w:val="left"/>
        <w:rPr>
          <w:rFonts w:hint="eastAsia" w:cs="@仿宋_GB2312" w:asciiTheme="minorEastAsia" w:hAnsiTheme="minorEastAsia" w:eastAsiaTheme="minorEastAsia"/>
          <w:color w:val="auto"/>
          <w:sz w:val="24"/>
          <w:szCs w:val="20"/>
          <w:highlight w:val="none"/>
          <w:lang w:val="en-US"/>
        </w:rPr>
      </w:pPr>
      <w:r>
        <w:rPr>
          <w:rFonts w:hint="eastAsia" w:cs="@仿宋_GB2312" w:asciiTheme="minorEastAsia" w:hAnsiTheme="minorEastAsia" w:eastAsiaTheme="minorEastAsia"/>
          <w:color w:val="auto"/>
          <w:sz w:val="24"/>
          <w:szCs w:val="20"/>
          <w:highlight w:val="none"/>
          <w:lang w:val="en-US"/>
        </w:rPr>
        <w:t>2.货物在验收时，成交供应商应提供发票、制造厂家出具的产品合格证书、装箱清单等, 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成交供应商提供的必要文件。</w:t>
      </w:r>
    </w:p>
    <w:p w14:paraId="48DC7B7A">
      <w:pPr>
        <w:pStyle w:val="9"/>
        <w:spacing w:after="0" w:line="500" w:lineRule="exact"/>
        <w:ind w:firstLine="480" w:firstLineChars="200"/>
        <w:jc w:val="left"/>
        <w:rPr>
          <w:rFonts w:hint="default" w:cs="@仿宋_GB2312" w:asciiTheme="minorEastAsia" w:hAnsiTheme="minorEastAsia" w:eastAsiaTheme="minorEastAsia"/>
          <w:color w:val="auto"/>
          <w:sz w:val="24"/>
          <w:szCs w:val="20"/>
          <w:highlight w:val="none"/>
          <w:lang w:val="en-US" w:eastAsia="zh-CN"/>
        </w:rPr>
        <w:sectPr>
          <w:pgSz w:w="16838" w:h="11905" w:orient="landscape"/>
          <w:pgMar w:top="1417" w:right="1417" w:bottom="1417" w:left="1417" w:header="851" w:footer="992" w:gutter="0"/>
          <w:pgNumType w:fmt="decimal"/>
          <w:cols w:space="0" w:num="1"/>
          <w:rtlGutter w:val="0"/>
          <w:docGrid w:type="lines" w:linePitch="313" w:charSpace="0"/>
        </w:sectPr>
      </w:pPr>
      <w:r>
        <w:rPr>
          <w:rFonts w:hint="eastAsia" w:cs="@仿宋_GB2312" w:asciiTheme="minorEastAsia" w:hAnsiTheme="minorEastAsia" w:eastAsiaTheme="minorEastAsia"/>
          <w:color w:val="auto"/>
          <w:sz w:val="24"/>
          <w:szCs w:val="20"/>
          <w:highlight w:val="none"/>
          <w:lang w:val="en-US" w:eastAsia="zh-CN"/>
        </w:rPr>
        <w:t>3.</w:t>
      </w:r>
      <w:r>
        <w:rPr>
          <w:rFonts w:hint="eastAsia" w:asciiTheme="minorEastAsia" w:hAnsiTheme="minorEastAsia" w:eastAsiaTheme="minorEastAsia"/>
          <w:b/>
          <w:bCs/>
          <w:color w:val="auto"/>
          <w:sz w:val="24"/>
          <w:highlight w:val="none"/>
          <w:lang w:val="en-US" w:eastAsia="zh-CN"/>
        </w:rPr>
        <w:t>所有采购的设备须与房建施工单位已施工的前端感应设备兼容，满足联机调试、消防验收要求，最终通过消防验收。如因成交供应商提供的产品无法兼容、无法通过联机调试等，成交供应商须承担全部责任，给采购人造成的损失，采购人有权</w:t>
      </w:r>
      <w:r>
        <w:rPr>
          <w:rFonts w:hint="eastAsia" w:ascii="宋体" w:hAnsi="宋体" w:eastAsia="宋体" w:cs="宋体"/>
          <w:b/>
          <w:bCs w:val="0"/>
          <w:color w:val="auto"/>
          <w:sz w:val="24"/>
          <w:szCs w:val="24"/>
          <w:highlight w:val="none"/>
          <w:lang w:val="en-US" w:eastAsia="zh-CN"/>
        </w:rPr>
        <w:t>向其</w:t>
      </w:r>
      <w:r>
        <w:rPr>
          <w:rFonts w:hint="eastAsia" w:asciiTheme="minorEastAsia" w:hAnsiTheme="minorEastAsia" w:eastAsiaTheme="minorEastAsia"/>
          <w:b/>
          <w:bCs/>
          <w:color w:val="auto"/>
          <w:sz w:val="24"/>
          <w:highlight w:val="none"/>
          <w:lang w:val="en-US" w:eastAsia="zh-CN"/>
        </w:rPr>
        <w:t>追偿。</w:t>
      </w:r>
    </w:p>
    <w:p w14:paraId="7471BDBF">
      <w:pPr>
        <w:spacing w:line="360" w:lineRule="auto"/>
        <w:jc w:val="center"/>
        <w:rPr>
          <w:rFonts w:asciiTheme="minorEastAsia" w:hAnsiTheme="minorEastAsia" w:eastAsiaTheme="minorEastAsia"/>
          <w:b/>
          <w:color w:val="auto"/>
          <w:sz w:val="28"/>
          <w:highlight w:val="none"/>
        </w:rPr>
      </w:pPr>
      <w:bookmarkStart w:id="43" w:name="_Toc15765"/>
      <w:r>
        <w:rPr>
          <w:rFonts w:hint="eastAsia" w:asciiTheme="minorEastAsia" w:hAnsiTheme="minorEastAsia" w:eastAsiaTheme="minorEastAsia"/>
          <w:b/>
          <w:color w:val="auto"/>
          <w:sz w:val="28"/>
          <w:highlight w:val="none"/>
        </w:rPr>
        <w:t>第四章  评审方法和标准</w:t>
      </w:r>
      <w:bookmarkEnd w:id="43"/>
    </w:p>
    <w:p w14:paraId="115BA2E1">
      <w:pPr>
        <w:spacing w:line="360" w:lineRule="auto"/>
        <w:ind w:firstLine="437"/>
        <w:outlineLvl w:val="1"/>
        <w:rPr>
          <w:rFonts w:asciiTheme="minorEastAsia" w:hAnsiTheme="minorEastAsia" w:eastAsiaTheme="minorEastAsia"/>
          <w:b/>
          <w:color w:val="auto"/>
          <w:sz w:val="24"/>
          <w:highlight w:val="none"/>
        </w:rPr>
      </w:pPr>
      <w:bookmarkStart w:id="44" w:name="_Toc1221"/>
      <w:bookmarkStart w:id="45" w:name="_Toc11117"/>
      <w:r>
        <w:rPr>
          <w:rFonts w:hint="eastAsia" w:asciiTheme="minorEastAsia" w:hAnsiTheme="minorEastAsia" w:eastAsiaTheme="minorEastAsia"/>
          <w:b/>
          <w:color w:val="auto"/>
          <w:sz w:val="24"/>
          <w:highlight w:val="none"/>
        </w:rPr>
        <w:t>一、总则</w:t>
      </w:r>
      <w:bookmarkEnd w:id="44"/>
      <w:bookmarkEnd w:id="45"/>
    </w:p>
    <w:p w14:paraId="3D04CF5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第二章 供应商须知的相关要求</w:t>
      </w:r>
      <w:r>
        <w:rPr>
          <w:rFonts w:asciiTheme="minorEastAsia" w:hAnsiTheme="minorEastAsia" w:eastAsiaTheme="minorEastAsia"/>
          <w:color w:val="auto"/>
          <w:sz w:val="24"/>
          <w:highlight w:val="none"/>
        </w:rPr>
        <w:t>及本章的规定评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w:t>
      </w:r>
    </w:p>
    <w:p w14:paraId="7F8783D6">
      <w:pPr>
        <w:spacing w:line="360" w:lineRule="auto"/>
        <w:ind w:firstLine="437"/>
        <w:outlineLvl w:val="1"/>
        <w:rPr>
          <w:rFonts w:asciiTheme="minorEastAsia" w:hAnsiTheme="minorEastAsia" w:eastAsiaTheme="minorEastAsia"/>
          <w:b/>
          <w:color w:val="auto"/>
          <w:sz w:val="24"/>
          <w:highlight w:val="none"/>
        </w:rPr>
      </w:pPr>
      <w:bookmarkStart w:id="46" w:name="_Toc20555"/>
      <w:bookmarkStart w:id="47" w:name="_Toc21906"/>
      <w:r>
        <w:rPr>
          <w:rFonts w:hint="eastAsia" w:asciiTheme="minorEastAsia" w:hAnsiTheme="minorEastAsia" w:eastAsiaTheme="minorEastAsia"/>
          <w:b/>
          <w:color w:val="auto"/>
          <w:sz w:val="24"/>
          <w:highlight w:val="none"/>
        </w:rPr>
        <w:t>二、评审方法</w:t>
      </w:r>
      <w:bookmarkEnd w:id="46"/>
      <w:bookmarkEnd w:id="47"/>
    </w:p>
    <w:p w14:paraId="46526201">
      <w:pPr>
        <w:spacing w:line="360" w:lineRule="auto"/>
        <w:ind w:firstLine="435"/>
        <w:rPr>
          <w:rFonts w:asciiTheme="minorEastAsia" w:hAnsiTheme="minorEastAsia" w:eastAsiaTheme="minorEastAsia"/>
          <w:color w:val="auto"/>
          <w:sz w:val="24"/>
          <w:highlight w:val="none"/>
        </w:rPr>
      </w:pPr>
      <w:bookmarkStart w:id="48" w:name="_Hlk23204339"/>
      <w:r>
        <w:rPr>
          <w:rFonts w:hint="eastAsia" w:asciiTheme="minorEastAsia" w:hAnsiTheme="minorEastAsia" w:eastAsiaTheme="minorEastAsia"/>
          <w:color w:val="auto"/>
          <w:sz w:val="24"/>
          <w:highlight w:val="none"/>
        </w:rPr>
        <w:t>询价小组对通过供应商的响应文件进行评审，以确定其是否满足</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的实质性要求。评审表如下：</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477"/>
        <w:gridCol w:w="4868"/>
        <w:gridCol w:w="2233"/>
      </w:tblGrid>
      <w:tr w14:paraId="19A7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68E10A5E">
            <w:pPr>
              <w:adjustRightInd w:val="0"/>
              <w:snapToGrid w:val="0"/>
              <w:spacing w:line="360" w:lineRule="auto"/>
              <w:ind w:right="-10"/>
              <w:jc w:val="center"/>
              <w:rPr>
                <w:rFonts w:asciiTheme="minorEastAsia" w:hAnsiTheme="minorEastAsia" w:eastAsiaTheme="minorEastAsia"/>
                <w:color w:val="auto"/>
                <w:sz w:val="24"/>
                <w:highlight w:val="none"/>
              </w:rPr>
            </w:pPr>
            <w:bookmarkStart w:id="49" w:name="_Hlk60605773"/>
            <w:r>
              <w:rPr>
                <w:rFonts w:hint="eastAsia" w:asciiTheme="minorEastAsia" w:hAnsiTheme="minorEastAsia" w:eastAsiaTheme="minorEastAsia"/>
                <w:b/>
                <w:color w:val="auto"/>
                <w:sz w:val="24"/>
                <w:szCs w:val="22"/>
                <w:highlight w:val="none"/>
              </w:rPr>
              <w:t>评审表</w:t>
            </w:r>
          </w:p>
        </w:tc>
      </w:tr>
      <w:tr w14:paraId="3EFA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82" w:type="pct"/>
            <w:tcBorders>
              <w:bottom w:val="single" w:color="auto" w:sz="4" w:space="0"/>
            </w:tcBorders>
            <w:vAlign w:val="center"/>
          </w:tcPr>
          <w:p w14:paraId="26EB8E2B">
            <w:pPr>
              <w:keepNext w:val="0"/>
              <w:keepLines w:val="0"/>
              <w:pageBreakBefore w:val="0"/>
              <w:widowControl w:val="0"/>
              <w:kinsoku/>
              <w:wordWrap/>
              <w:overflowPunct/>
              <w:topLinePunct w:val="0"/>
              <w:autoSpaceDE/>
              <w:autoSpaceDN/>
              <w:bidi w:val="0"/>
              <w:adjustRightInd w:val="0"/>
              <w:snapToGrid w:val="0"/>
              <w:spacing w:line="240" w:lineRule="exact"/>
              <w:ind w:right="0"/>
              <w:jc w:val="center"/>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795" w:type="pct"/>
            <w:tcBorders>
              <w:bottom w:val="single" w:color="auto" w:sz="4" w:space="0"/>
            </w:tcBorders>
            <w:vAlign w:val="center"/>
          </w:tcPr>
          <w:p w14:paraId="64F352CA">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val="0"/>
              <w:snapToGrid w:val="0"/>
              <w:spacing w:line="240" w:lineRule="exact"/>
              <w:ind w:right="0"/>
              <w:textAlignment w:val="auto"/>
              <w:rPr>
                <w:rFonts w:asciiTheme="minorEastAsia" w:hAnsiTheme="minorEastAsia" w:eastAsiaTheme="minorEastAsia"/>
                <w:color w:val="auto"/>
                <w:kern w:val="2"/>
                <w:szCs w:val="24"/>
                <w:highlight w:val="none"/>
              </w:rPr>
            </w:pPr>
            <w:r>
              <w:rPr>
                <w:rFonts w:hint="eastAsia" w:asciiTheme="minorEastAsia" w:hAnsiTheme="minorEastAsia" w:eastAsiaTheme="minorEastAsia"/>
                <w:color w:val="auto"/>
                <w:kern w:val="2"/>
                <w:szCs w:val="24"/>
                <w:highlight w:val="none"/>
              </w:rPr>
              <w:t>审查指标</w:t>
            </w:r>
          </w:p>
        </w:tc>
        <w:tc>
          <w:tcPr>
            <w:tcW w:w="2621" w:type="pct"/>
            <w:tcBorders>
              <w:bottom w:val="single" w:color="auto" w:sz="4" w:space="0"/>
            </w:tcBorders>
            <w:vAlign w:val="center"/>
          </w:tcPr>
          <w:p w14:paraId="57962351">
            <w:pPr>
              <w:keepNext w:val="0"/>
              <w:keepLines w:val="0"/>
              <w:pageBreakBefore w:val="0"/>
              <w:widowControl w:val="0"/>
              <w:kinsoku/>
              <w:wordWrap/>
              <w:overflowPunct/>
              <w:topLinePunct w:val="0"/>
              <w:autoSpaceDE/>
              <w:autoSpaceDN/>
              <w:bidi w:val="0"/>
              <w:adjustRightInd w:val="0"/>
              <w:snapToGrid w:val="0"/>
              <w:spacing w:line="240" w:lineRule="exact"/>
              <w:ind w:right="0"/>
              <w:jc w:val="center"/>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审查标准</w:t>
            </w:r>
          </w:p>
        </w:tc>
        <w:tc>
          <w:tcPr>
            <w:tcW w:w="1201" w:type="pct"/>
            <w:tcBorders>
              <w:bottom w:val="single" w:color="auto" w:sz="4" w:space="0"/>
            </w:tcBorders>
            <w:vAlign w:val="center"/>
          </w:tcPr>
          <w:p w14:paraId="2F6ECB0C">
            <w:pPr>
              <w:keepNext w:val="0"/>
              <w:keepLines w:val="0"/>
              <w:pageBreakBefore w:val="0"/>
              <w:widowControl w:val="0"/>
              <w:kinsoku/>
              <w:wordWrap/>
              <w:overflowPunct/>
              <w:topLinePunct w:val="0"/>
              <w:autoSpaceDE/>
              <w:autoSpaceDN/>
              <w:bidi w:val="0"/>
              <w:adjustRightInd w:val="0"/>
              <w:snapToGrid w:val="0"/>
              <w:spacing w:line="240" w:lineRule="exact"/>
              <w:ind w:right="0"/>
              <w:jc w:val="center"/>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格式要求</w:t>
            </w:r>
          </w:p>
        </w:tc>
      </w:tr>
      <w:tr w14:paraId="60AE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82" w:type="pct"/>
            <w:tcBorders>
              <w:bottom w:val="single" w:color="auto" w:sz="4" w:space="0"/>
            </w:tcBorders>
            <w:vAlign w:val="center"/>
          </w:tcPr>
          <w:p w14:paraId="37538FC7">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1</w:t>
            </w:r>
          </w:p>
        </w:tc>
        <w:tc>
          <w:tcPr>
            <w:tcW w:w="795" w:type="pct"/>
            <w:tcBorders>
              <w:bottom w:val="single" w:color="auto" w:sz="4" w:space="0"/>
            </w:tcBorders>
            <w:vAlign w:val="center"/>
          </w:tcPr>
          <w:p w14:paraId="0A59D3F0">
            <w:pPr>
              <w:spacing w:after="50" w:line="360" w:lineRule="auto"/>
              <w:ind w:right="-10"/>
              <w:jc w:val="center"/>
              <w:rPr>
                <w:rFonts w:asciiTheme="minorEastAsia" w:hAnsiTheme="minorEastAsia" w:eastAsiaTheme="minorEastAsia"/>
                <w:color w:val="auto"/>
                <w:sz w:val="24"/>
                <w:szCs w:val="28"/>
                <w:highlight w:val="none"/>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2621" w:type="pct"/>
            <w:tcBorders>
              <w:bottom w:val="single" w:color="auto" w:sz="4" w:space="0"/>
            </w:tcBorders>
            <w:vAlign w:val="center"/>
          </w:tcPr>
          <w:p w14:paraId="7395EF70">
            <w:pPr>
              <w:spacing w:after="50" w:line="360" w:lineRule="auto"/>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w:t>
            </w:r>
            <w:r>
              <w:rPr>
                <w:rFonts w:ascii="宋体" w:hAnsi="宋体" w:eastAsia="宋体" w:cs="宋体"/>
                <w:color w:val="auto"/>
                <w:sz w:val="24"/>
                <w:szCs w:val="24"/>
                <w:highlight w:val="none"/>
              </w:rPr>
              <w:t>为企业（包括合伙企业）的，应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供有效的营业执照；</w:t>
            </w:r>
          </w:p>
          <w:p w14:paraId="10F56458">
            <w:pPr>
              <w:spacing w:after="50" w:line="360" w:lineRule="auto"/>
              <w:ind w:right="-10"/>
              <w:jc w:val="left"/>
              <w:rPr>
                <w:rFonts w:asciiTheme="minorEastAsia" w:hAnsiTheme="minorEastAsia" w:eastAsiaTheme="minorEastAsia"/>
                <w:color w:val="auto"/>
                <w:sz w:val="24"/>
                <w:szCs w:val="28"/>
                <w:highlight w:val="none"/>
              </w:rPr>
            </w:pPr>
            <w:r>
              <w:rPr>
                <w:rFonts w:hint="eastAsia" w:ascii="宋体" w:hAnsi="宋体" w:eastAsia="宋体" w:cs="宋体"/>
                <w:color w:val="auto"/>
                <w:sz w:val="24"/>
                <w:szCs w:val="24"/>
                <w:highlight w:val="none"/>
              </w:rPr>
              <w:t>（2）供应商</w:t>
            </w:r>
            <w:r>
              <w:rPr>
                <w:rFonts w:ascii="宋体" w:hAnsi="宋体" w:eastAsia="宋体" w:cs="宋体"/>
                <w:color w:val="auto"/>
                <w:sz w:val="24"/>
                <w:szCs w:val="24"/>
                <w:highlight w:val="none"/>
              </w:rPr>
              <w:t>为事业单位的，应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供有效的事业单位法人证书；</w:t>
            </w:r>
          </w:p>
        </w:tc>
        <w:tc>
          <w:tcPr>
            <w:tcW w:w="1201" w:type="pct"/>
            <w:vAlign w:val="center"/>
          </w:tcPr>
          <w:p w14:paraId="20FA4BAA">
            <w:pPr>
              <w:spacing w:line="360" w:lineRule="auto"/>
              <w:jc w:val="left"/>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提供材料扫描件或电子证照，应完整的体现出材料或电子证照全部内容。</w:t>
            </w:r>
          </w:p>
        </w:tc>
      </w:tr>
      <w:tr w14:paraId="63CF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tcBorders>
              <w:bottom w:val="single" w:color="auto" w:sz="4" w:space="0"/>
            </w:tcBorders>
            <w:vAlign w:val="center"/>
          </w:tcPr>
          <w:p w14:paraId="74AE64CF">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2</w:t>
            </w:r>
          </w:p>
        </w:tc>
        <w:tc>
          <w:tcPr>
            <w:tcW w:w="795" w:type="pct"/>
            <w:tcBorders>
              <w:bottom w:val="single" w:color="auto" w:sz="4" w:space="0"/>
            </w:tcBorders>
            <w:vAlign w:val="center"/>
          </w:tcPr>
          <w:p w14:paraId="113DC98D">
            <w:pPr>
              <w:spacing w:after="50" w:line="360" w:lineRule="auto"/>
              <w:ind w:right="-10"/>
              <w:jc w:val="center"/>
              <w:rPr>
                <w:rFonts w:asciiTheme="minorEastAsia" w:hAnsiTheme="minorEastAsia" w:eastAsiaTheme="minorEastAsia"/>
                <w:color w:val="auto"/>
                <w:sz w:val="24"/>
                <w:szCs w:val="28"/>
                <w:highlight w:val="none"/>
              </w:rPr>
            </w:pPr>
            <w:r>
              <w:rPr>
                <w:rFonts w:hint="eastAsia" w:ascii="宋体" w:hAnsi="宋体" w:eastAsia="宋体"/>
                <w:color w:val="auto"/>
                <w:sz w:val="24"/>
                <w:szCs w:val="18"/>
                <w:highlight w:val="none"/>
              </w:rPr>
              <w:t>供应商资格声明书</w:t>
            </w:r>
          </w:p>
        </w:tc>
        <w:tc>
          <w:tcPr>
            <w:tcW w:w="2621" w:type="pct"/>
            <w:tcBorders>
              <w:bottom w:val="single" w:color="auto" w:sz="4" w:space="0"/>
            </w:tcBorders>
            <w:vAlign w:val="center"/>
          </w:tcPr>
          <w:p w14:paraId="3556B68B">
            <w:pPr>
              <w:wordWrap w:val="0"/>
              <w:spacing w:after="50" w:line="360" w:lineRule="auto"/>
              <w:ind w:right="-11"/>
              <w:jc w:val="left"/>
              <w:rPr>
                <w:rFonts w:asciiTheme="minorEastAsia" w:hAnsiTheme="minorEastAsia" w:eastAsiaTheme="minorEastAsia"/>
                <w:color w:val="auto"/>
                <w:sz w:val="24"/>
                <w:szCs w:val="28"/>
                <w:highlight w:val="none"/>
              </w:rPr>
            </w:pP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供符合</w:t>
            </w:r>
            <w:r>
              <w:rPr>
                <w:rFonts w:hint="eastAsia" w:ascii="宋体" w:hAnsi="宋体" w:eastAsia="宋体" w:cs="宋体"/>
                <w:color w:val="auto"/>
                <w:sz w:val="24"/>
                <w:szCs w:val="24"/>
                <w:highlight w:val="none"/>
                <w:lang w:eastAsia="zh-CN"/>
              </w:rPr>
              <w:t>询价采购文件</w:t>
            </w:r>
            <w:r>
              <w:rPr>
                <w:rFonts w:ascii="宋体" w:hAnsi="宋体" w:eastAsia="宋体" w:cs="宋体"/>
                <w:color w:val="auto"/>
                <w:sz w:val="24"/>
                <w:szCs w:val="24"/>
                <w:highlight w:val="none"/>
              </w:rPr>
              <w:t>要求的《</w:t>
            </w:r>
            <w:r>
              <w:rPr>
                <w:rFonts w:hint="eastAsia" w:ascii="宋体" w:hAnsi="宋体" w:eastAsia="宋体" w:cs="宋体"/>
                <w:color w:val="auto"/>
                <w:sz w:val="24"/>
                <w:szCs w:val="24"/>
                <w:highlight w:val="none"/>
              </w:rPr>
              <w:t>供应商</w:t>
            </w:r>
            <w:r>
              <w:rPr>
                <w:rFonts w:ascii="宋体" w:hAnsi="宋体" w:eastAsia="宋体" w:cs="宋体"/>
                <w:color w:val="auto"/>
                <w:sz w:val="24"/>
                <w:szCs w:val="24"/>
                <w:highlight w:val="none"/>
              </w:rPr>
              <w:t>资格声明书》</w:t>
            </w:r>
            <w:r>
              <w:rPr>
                <w:rFonts w:hint="eastAsia" w:ascii="宋体" w:hAnsi="宋体" w:eastAsia="宋体" w:cs="宋体"/>
                <w:color w:val="auto"/>
                <w:sz w:val="24"/>
                <w:szCs w:val="24"/>
                <w:highlight w:val="none"/>
              </w:rPr>
              <w:t>。</w:t>
            </w:r>
          </w:p>
        </w:tc>
        <w:tc>
          <w:tcPr>
            <w:tcW w:w="1201" w:type="pct"/>
            <w:tcBorders>
              <w:bottom w:val="single" w:color="auto" w:sz="4" w:space="0"/>
            </w:tcBorders>
            <w:vAlign w:val="center"/>
          </w:tcPr>
          <w:p w14:paraId="0DA2EC65">
            <w:pPr>
              <w:spacing w:line="360" w:lineRule="auto"/>
              <w:jc w:val="left"/>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详见第六章响应文件格式。</w:t>
            </w:r>
          </w:p>
        </w:tc>
      </w:tr>
      <w:tr w14:paraId="5679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tcBorders>
              <w:bottom w:val="single" w:color="auto" w:sz="4" w:space="0"/>
            </w:tcBorders>
            <w:vAlign w:val="center"/>
          </w:tcPr>
          <w:p w14:paraId="551BFE1F">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p>
        </w:tc>
        <w:tc>
          <w:tcPr>
            <w:tcW w:w="795" w:type="pct"/>
            <w:tcBorders>
              <w:bottom w:val="single" w:color="auto" w:sz="4" w:space="0"/>
            </w:tcBorders>
            <w:vAlign w:val="center"/>
          </w:tcPr>
          <w:p w14:paraId="1645F1FA">
            <w:pPr>
              <w:spacing w:after="50" w:line="360" w:lineRule="auto"/>
              <w:ind w:right="-10" w:rightChars="0"/>
              <w:jc w:val="center"/>
              <w:rPr>
                <w:rFonts w:hint="eastAsia" w:ascii="宋体" w:hAnsi="宋体" w:eastAsia="宋体"/>
                <w:color w:val="auto"/>
                <w:sz w:val="24"/>
                <w:szCs w:val="18"/>
                <w:highlight w:val="none"/>
              </w:rPr>
            </w:pPr>
            <w:r>
              <w:rPr>
                <w:rFonts w:hint="eastAsia" w:ascii="宋体" w:hAnsi="宋体" w:eastAsia="宋体"/>
                <w:color w:val="auto"/>
                <w:sz w:val="24"/>
                <w:szCs w:val="18"/>
                <w:highlight w:val="none"/>
                <w:lang w:val="en-US" w:eastAsia="zh-CN"/>
              </w:rPr>
              <w:t>资质证书</w:t>
            </w:r>
          </w:p>
        </w:tc>
        <w:tc>
          <w:tcPr>
            <w:tcW w:w="2621" w:type="pct"/>
            <w:tcBorders>
              <w:bottom w:val="single" w:color="auto" w:sz="4" w:space="0"/>
            </w:tcBorders>
            <w:vAlign w:val="center"/>
          </w:tcPr>
          <w:p w14:paraId="3F4567D1">
            <w:pPr>
              <w:wordWrap w:val="0"/>
              <w:spacing w:after="50" w:line="360" w:lineRule="auto"/>
              <w:ind w:right="-11"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供应商须具备建设行政主管部门颁发的消防设施工程专业承包二级及以上资质，且具有有效的安全生产许可证。</w:t>
            </w:r>
          </w:p>
        </w:tc>
        <w:tc>
          <w:tcPr>
            <w:tcW w:w="1201" w:type="pct"/>
            <w:tcBorders>
              <w:bottom w:val="single" w:color="auto" w:sz="4" w:space="0"/>
            </w:tcBorders>
            <w:vAlign w:val="center"/>
          </w:tcPr>
          <w:p w14:paraId="0902F8D4">
            <w:pPr>
              <w:spacing w:line="360" w:lineRule="auto"/>
              <w:jc w:val="left"/>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核验证书扫描件</w:t>
            </w:r>
          </w:p>
        </w:tc>
      </w:tr>
      <w:tr w14:paraId="1B3C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5AB73BC6">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ajorEastAsia" w:hAnsiTheme="majorEastAsia" w:eastAsiaTheme="majorEastAsia"/>
                <w:color w:val="auto"/>
                <w:sz w:val="24"/>
                <w:highlight w:val="none"/>
                <w:lang w:val="en-US" w:eastAsia="zh-CN"/>
              </w:rPr>
              <w:t>4</w:t>
            </w:r>
          </w:p>
        </w:tc>
        <w:tc>
          <w:tcPr>
            <w:tcW w:w="795" w:type="pct"/>
            <w:vAlign w:val="center"/>
          </w:tcPr>
          <w:p w14:paraId="37C5B15F">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响应函</w:t>
            </w:r>
          </w:p>
        </w:tc>
        <w:tc>
          <w:tcPr>
            <w:tcW w:w="2621" w:type="pct"/>
            <w:vAlign w:val="center"/>
          </w:tcPr>
          <w:p w14:paraId="64FACFB9">
            <w:pPr>
              <w:spacing w:after="50" w:line="360" w:lineRule="auto"/>
              <w:ind w:right="-10"/>
              <w:jc w:val="left"/>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w:t>
            </w:r>
            <w:r>
              <w:rPr>
                <w:rFonts w:hint="eastAsia" w:asciiTheme="minorEastAsia" w:hAnsiTheme="minorEastAsia" w:eastAsiaTheme="minorEastAsia"/>
                <w:color w:val="auto"/>
                <w:sz w:val="24"/>
                <w:szCs w:val="28"/>
                <w:highlight w:val="none"/>
                <w:lang w:eastAsia="zh-CN"/>
              </w:rPr>
              <w:t>询价采购文件</w:t>
            </w:r>
            <w:r>
              <w:rPr>
                <w:rFonts w:hint="eastAsia" w:asciiTheme="minorEastAsia" w:hAnsiTheme="minorEastAsia" w:eastAsiaTheme="minorEastAsia"/>
                <w:color w:val="auto"/>
                <w:sz w:val="24"/>
                <w:szCs w:val="28"/>
                <w:highlight w:val="none"/>
              </w:rPr>
              <w:t>规定并加盖供应商电子签章</w:t>
            </w:r>
          </w:p>
        </w:tc>
        <w:tc>
          <w:tcPr>
            <w:tcW w:w="1201" w:type="pct"/>
            <w:vAlign w:val="center"/>
          </w:tcPr>
          <w:p w14:paraId="5782970B">
            <w:pPr>
              <w:adjustRightInd w:val="0"/>
              <w:snapToGrid w:val="0"/>
              <w:spacing w:line="360" w:lineRule="auto"/>
              <w:ind w:right="-10"/>
              <w:jc w:val="left"/>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详见第六章响应文件格式。</w:t>
            </w:r>
          </w:p>
        </w:tc>
      </w:tr>
      <w:tr w14:paraId="1A96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68E58C73">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宋体" w:hAnsi="宋体" w:eastAsia="宋体"/>
                <w:color w:val="auto"/>
                <w:sz w:val="24"/>
                <w:highlight w:val="none"/>
                <w:lang w:val="en-US" w:eastAsia="zh-CN"/>
              </w:rPr>
              <w:t>5</w:t>
            </w:r>
          </w:p>
        </w:tc>
        <w:tc>
          <w:tcPr>
            <w:tcW w:w="795" w:type="pct"/>
            <w:vAlign w:val="center"/>
          </w:tcPr>
          <w:p w14:paraId="1E74B5DF">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2621" w:type="pct"/>
            <w:vAlign w:val="center"/>
          </w:tcPr>
          <w:p w14:paraId="45B1F149">
            <w:pPr>
              <w:spacing w:after="50" w:line="360" w:lineRule="auto"/>
              <w:ind w:right="-10"/>
              <w:jc w:val="left"/>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w:t>
            </w:r>
            <w:r>
              <w:rPr>
                <w:rFonts w:hint="eastAsia" w:asciiTheme="minorEastAsia" w:hAnsiTheme="minorEastAsia" w:eastAsiaTheme="minorEastAsia"/>
                <w:color w:val="auto"/>
                <w:sz w:val="24"/>
                <w:szCs w:val="28"/>
                <w:highlight w:val="none"/>
                <w:lang w:eastAsia="zh-CN"/>
              </w:rPr>
              <w:t>询价采购文件</w:t>
            </w:r>
            <w:r>
              <w:rPr>
                <w:rFonts w:hint="eastAsia" w:asciiTheme="minorEastAsia" w:hAnsiTheme="minorEastAsia" w:eastAsiaTheme="minorEastAsia"/>
                <w:color w:val="auto"/>
                <w:sz w:val="24"/>
                <w:szCs w:val="28"/>
                <w:highlight w:val="none"/>
              </w:rPr>
              <w:t>规定并加盖供应商电子签章</w:t>
            </w:r>
          </w:p>
        </w:tc>
        <w:tc>
          <w:tcPr>
            <w:tcW w:w="1201" w:type="pct"/>
            <w:vAlign w:val="center"/>
          </w:tcPr>
          <w:p w14:paraId="041CA802">
            <w:pPr>
              <w:adjustRightInd w:val="0"/>
              <w:snapToGrid w:val="0"/>
              <w:spacing w:line="360" w:lineRule="auto"/>
              <w:ind w:right="-1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法定代表人参加询价的无需此件，提供身份证明即可。</w:t>
            </w:r>
            <w:r>
              <w:rPr>
                <w:rFonts w:hint="eastAsia" w:ascii="宋体" w:hAnsi="宋体" w:eastAsia="宋体"/>
                <w:color w:val="auto"/>
                <w:sz w:val="24"/>
                <w:highlight w:val="none"/>
              </w:rPr>
              <w:t>详见第六章响应文件格式。</w:t>
            </w:r>
          </w:p>
        </w:tc>
      </w:tr>
      <w:tr w14:paraId="38FA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249E27C9">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宋体" w:hAnsi="宋体" w:eastAsia="宋体"/>
                <w:color w:val="auto"/>
                <w:sz w:val="24"/>
                <w:highlight w:val="none"/>
                <w:lang w:val="en-US" w:eastAsia="zh-CN"/>
              </w:rPr>
              <w:t>6</w:t>
            </w:r>
          </w:p>
        </w:tc>
        <w:tc>
          <w:tcPr>
            <w:tcW w:w="795" w:type="pct"/>
            <w:vAlign w:val="center"/>
          </w:tcPr>
          <w:p w14:paraId="40C6F7AE">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报价</w:t>
            </w:r>
          </w:p>
        </w:tc>
        <w:tc>
          <w:tcPr>
            <w:tcW w:w="2621" w:type="pct"/>
            <w:vAlign w:val="center"/>
          </w:tcPr>
          <w:p w14:paraId="28C05958">
            <w:pPr>
              <w:spacing w:after="50" w:line="360" w:lineRule="auto"/>
              <w:ind w:right="-10"/>
              <w:jc w:val="left"/>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供应商须知正文第9条要求</w:t>
            </w:r>
          </w:p>
        </w:tc>
        <w:tc>
          <w:tcPr>
            <w:tcW w:w="1201" w:type="pct"/>
            <w:vAlign w:val="center"/>
          </w:tcPr>
          <w:p w14:paraId="4C82B6D4">
            <w:pPr>
              <w:adjustRightInd w:val="0"/>
              <w:snapToGrid w:val="0"/>
              <w:spacing w:line="360" w:lineRule="auto"/>
              <w:ind w:right="-10"/>
              <w:jc w:val="left"/>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详见第六章响应文件格式。</w:t>
            </w:r>
          </w:p>
        </w:tc>
      </w:tr>
      <w:tr w14:paraId="4A140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43C99ED2">
            <w:pPr>
              <w:adjustRightInd w:val="0"/>
              <w:snapToGrid w:val="0"/>
              <w:spacing w:line="360" w:lineRule="auto"/>
              <w:ind w:right="-10"/>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7</w:t>
            </w:r>
          </w:p>
        </w:tc>
        <w:tc>
          <w:tcPr>
            <w:tcW w:w="795" w:type="pct"/>
            <w:vAlign w:val="center"/>
          </w:tcPr>
          <w:p w14:paraId="69FB34E8">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2621" w:type="pct"/>
            <w:vAlign w:val="center"/>
          </w:tcPr>
          <w:p w14:paraId="561A6EC8">
            <w:pPr>
              <w:wordWrap w:val="0"/>
              <w:spacing w:after="50" w:line="360" w:lineRule="auto"/>
              <w:ind w:right="-11"/>
              <w:jc w:val="left"/>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szCs w:val="28"/>
                <w:highlight w:val="none"/>
              </w:rPr>
              <w:t>采购需求中对付款方式、供货及安装期限、供货及安装地点、免费质保期等实质性要求</w:t>
            </w:r>
          </w:p>
        </w:tc>
        <w:tc>
          <w:tcPr>
            <w:tcW w:w="1201" w:type="pct"/>
            <w:vAlign w:val="center"/>
          </w:tcPr>
          <w:p w14:paraId="749B2E11">
            <w:pPr>
              <w:adjustRightInd w:val="0"/>
              <w:snapToGrid w:val="0"/>
              <w:spacing w:line="360" w:lineRule="auto"/>
              <w:ind w:right="-10"/>
              <w:jc w:val="left"/>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详见第六章响应文件格式。</w:t>
            </w:r>
          </w:p>
        </w:tc>
      </w:tr>
      <w:tr w14:paraId="1DA3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18B9C8E2">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宋体" w:hAnsi="宋体" w:eastAsia="宋体"/>
                <w:color w:val="auto"/>
                <w:sz w:val="24"/>
                <w:highlight w:val="none"/>
                <w:lang w:val="en-US" w:eastAsia="zh-CN"/>
              </w:rPr>
              <w:t>8</w:t>
            </w:r>
          </w:p>
        </w:tc>
        <w:tc>
          <w:tcPr>
            <w:tcW w:w="795" w:type="pct"/>
            <w:vAlign w:val="center"/>
          </w:tcPr>
          <w:p w14:paraId="219A0044">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技术响应情况</w:t>
            </w:r>
          </w:p>
        </w:tc>
        <w:tc>
          <w:tcPr>
            <w:tcW w:w="2621" w:type="pct"/>
            <w:vAlign w:val="center"/>
          </w:tcPr>
          <w:p w14:paraId="2881E795">
            <w:pPr>
              <w:wordWrap w:val="0"/>
              <w:spacing w:after="50" w:line="360" w:lineRule="auto"/>
              <w:ind w:right="-11"/>
              <w:jc w:val="left"/>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szCs w:val="28"/>
                <w:highlight w:val="none"/>
              </w:rPr>
              <w:t>采购需求中货物技术参数等实质性要求</w:t>
            </w:r>
          </w:p>
        </w:tc>
        <w:tc>
          <w:tcPr>
            <w:tcW w:w="1201" w:type="pct"/>
            <w:vAlign w:val="center"/>
          </w:tcPr>
          <w:p w14:paraId="4BA981EA">
            <w:pPr>
              <w:adjustRightInd w:val="0"/>
              <w:snapToGrid w:val="0"/>
              <w:spacing w:line="360" w:lineRule="auto"/>
              <w:ind w:right="-10"/>
              <w:jc w:val="left"/>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详见第六章响应文件格式。</w:t>
            </w:r>
          </w:p>
        </w:tc>
      </w:tr>
      <w:tr w14:paraId="5C6E5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631110A2">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宋体" w:hAnsi="宋体" w:eastAsia="宋体"/>
                <w:color w:val="auto"/>
                <w:sz w:val="24"/>
                <w:highlight w:val="none"/>
                <w:lang w:val="en-US" w:eastAsia="zh-CN"/>
              </w:rPr>
              <w:t>9</w:t>
            </w:r>
          </w:p>
        </w:tc>
        <w:tc>
          <w:tcPr>
            <w:tcW w:w="795" w:type="pct"/>
            <w:vAlign w:val="center"/>
          </w:tcPr>
          <w:p w14:paraId="1125E072">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2621" w:type="pct"/>
            <w:vAlign w:val="center"/>
          </w:tcPr>
          <w:p w14:paraId="4D4EC6FD">
            <w:pPr>
              <w:spacing w:after="50" w:line="360" w:lineRule="auto"/>
              <w:ind w:right="-10"/>
              <w:jc w:val="left"/>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符合法律、行政法规规定的其他条件或</w:t>
            </w:r>
            <w:r>
              <w:rPr>
                <w:rFonts w:hint="eastAsia" w:asciiTheme="minorEastAsia" w:hAnsiTheme="minorEastAsia" w:eastAsiaTheme="minorEastAsia"/>
                <w:color w:val="auto"/>
                <w:sz w:val="24"/>
                <w:szCs w:val="28"/>
                <w:highlight w:val="none"/>
                <w:lang w:eastAsia="zh-CN"/>
              </w:rPr>
              <w:t>询价采购文件</w:t>
            </w:r>
            <w:r>
              <w:rPr>
                <w:rFonts w:hint="eastAsia" w:asciiTheme="minorEastAsia" w:hAnsiTheme="minorEastAsia" w:eastAsiaTheme="minorEastAsia"/>
                <w:color w:val="auto"/>
                <w:sz w:val="24"/>
                <w:szCs w:val="28"/>
                <w:highlight w:val="none"/>
              </w:rPr>
              <w:t>列明的其他实质性要求</w:t>
            </w:r>
          </w:p>
        </w:tc>
        <w:tc>
          <w:tcPr>
            <w:tcW w:w="1201" w:type="pct"/>
            <w:vAlign w:val="center"/>
          </w:tcPr>
          <w:p w14:paraId="199D307C">
            <w:pPr>
              <w:adjustRightInd w:val="0"/>
              <w:snapToGrid w:val="0"/>
              <w:spacing w:line="360" w:lineRule="auto"/>
              <w:ind w:right="-10"/>
              <w:jc w:val="left"/>
              <w:rPr>
                <w:rFonts w:asciiTheme="minorEastAsia" w:hAnsiTheme="minorEastAsia" w:eastAsiaTheme="minorEastAsia"/>
                <w:color w:val="auto"/>
                <w:sz w:val="24"/>
                <w:highlight w:val="none"/>
              </w:rPr>
            </w:pPr>
          </w:p>
        </w:tc>
      </w:tr>
      <w:bookmarkEnd w:id="49"/>
    </w:tbl>
    <w:p w14:paraId="46EDBF9E">
      <w:pPr>
        <w:spacing w:line="360" w:lineRule="auto"/>
        <w:ind w:firstLine="435"/>
        <w:rPr>
          <w:rFonts w:asciiTheme="minorEastAsia" w:hAnsiTheme="minorEastAsia" w:eastAsiaTheme="minorEastAsia"/>
          <w:color w:val="auto"/>
          <w:sz w:val="24"/>
          <w:highlight w:val="none"/>
        </w:rPr>
      </w:pPr>
      <w:bookmarkStart w:id="50" w:name="_Hlk16461707"/>
      <w:r>
        <w:rPr>
          <w:rFonts w:hint="eastAsia" w:asciiTheme="minorEastAsia" w:hAnsiTheme="minorEastAsia" w:eastAsiaTheme="minorEastAsia"/>
          <w:b/>
          <w:bCs/>
          <w:color w:val="auto"/>
          <w:sz w:val="24"/>
          <w:highlight w:val="none"/>
        </w:rPr>
        <w:t>评审指标通过标准：</w:t>
      </w:r>
      <w:r>
        <w:rPr>
          <w:rFonts w:hint="eastAsia" w:asciiTheme="minorEastAsia" w:hAnsiTheme="minorEastAsia" w:eastAsiaTheme="minorEastAsia"/>
          <w:color w:val="auto"/>
          <w:sz w:val="24"/>
          <w:highlight w:val="none"/>
        </w:rPr>
        <w:t>供应商必须通过评审表中的全部评审指标。</w:t>
      </w:r>
    </w:p>
    <w:bookmarkEnd w:id="48"/>
    <w:bookmarkEnd w:id="50"/>
    <w:p w14:paraId="4ECBB56E">
      <w:pPr>
        <w:spacing w:line="360" w:lineRule="auto"/>
        <w:ind w:firstLine="437"/>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三.无效响应条款</w:t>
      </w:r>
    </w:p>
    <w:p w14:paraId="3A862D8F">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3.1响应文件有下列情形之一的,其响应文件拒收：</w:t>
      </w:r>
    </w:p>
    <w:p w14:paraId="5BFCC535">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(1)未在响应文件递交截止时间前通过网上招标投标系统递交有效电子响应文件的，系统不予接收，其将被拒绝。</w:t>
      </w:r>
    </w:p>
    <w:p w14:paraId="369B341B">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(2)供应商接到远程解密指令后</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须在规定时间内解密。因供应商自身原因导致响应文件在规定时间内未能解密、解密失败或解密超时，响应文件无效；解密时间：从本项目解密程序开始时计时，至完成响应文件解密时间，不得超过60分钟，否则响应文件将被拒绝。</w:t>
      </w:r>
    </w:p>
    <w:p w14:paraId="62C40E39">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3.2供应商有下列情形之一的,资格审查后其作无效响应处理：</w:t>
      </w:r>
    </w:p>
    <w:p w14:paraId="32678B1F">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（1）供应商为本项目提供采购代理服务的；</w:t>
      </w:r>
    </w:p>
    <w:p w14:paraId="72AB25B9">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（2）供应商与在本项目代理机构存在相互任职或工作的；</w:t>
      </w:r>
    </w:p>
    <w:p w14:paraId="424590E2">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（3）与采购人存在利害关系可能影响采购公正性的法人、其他组织或者个人；</w:t>
      </w:r>
    </w:p>
    <w:p w14:paraId="5C6FF0FA">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）评审专家无法查看并检验电子响应文件中相关资料的；</w:t>
      </w:r>
    </w:p>
    <w:p w14:paraId="1342F57B">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）责令停产停业的；</w:t>
      </w:r>
    </w:p>
    <w:p w14:paraId="5EE037E5">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）暂停或者取消参与政府采购项目资格的；</w:t>
      </w:r>
    </w:p>
    <w:p w14:paraId="28E1E19C">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）单位负责人为同一人或者存在直接控股、管理关系的不同单位的；</w:t>
      </w:r>
    </w:p>
    <w:p w14:paraId="7B530648">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8</w:t>
      </w:r>
      <w:r>
        <w:rPr>
          <w:rFonts w:hint="eastAsia" w:asciiTheme="minorEastAsia" w:hAnsiTheme="minorEastAsia" w:eastAsiaTheme="minorEastAsia"/>
          <w:color w:val="auto"/>
          <w:sz w:val="24"/>
          <w:highlight w:val="none"/>
        </w:rPr>
        <w:t>）供应商基本资格条件和特定资格条件中有一项及以上不符合要求的；</w:t>
      </w:r>
    </w:p>
    <w:p w14:paraId="7C32401A">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询价评审时查询响应文件制作机器码、文件创建标识码及造价软件加密锁号。若存在响应文件制作机器码或创建标识码或造价软件加密锁号信息与其他供应商雷同的，响应无效、进行信用信息披露，行政监管部门将依据线索依法查处；</w:t>
      </w:r>
    </w:p>
    <w:p w14:paraId="078689AA">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）其它情形，经询价小组提出按无效响应处理；</w:t>
      </w:r>
    </w:p>
    <w:p w14:paraId="2E35BB0B">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）供应商响应MAC地址或供应商联系人或联系电话相同的，由询价小组否决其响应，并报告监管部门作不良行为处理和进一步调查；</w:t>
      </w:r>
    </w:p>
    <w:p w14:paraId="2BE516F7">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）供应商单方面出现其他供应商材料的；</w:t>
      </w:r>
    </w:p>
    <w:p w14:paraId="618C8E83">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）询价公告未写明允许采购进口产品，供应商所投产品为进口产品的；</w:t>
      </w:r>
    </w:p>
    <w:p w14:paraId="3CD6CC9D">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规定的其它无效情形。</w:t>
      </w:r>
    </w:p>
    <w:p w14:paraId="2C6DF6A4">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 供应商有下列情形之一的,符合性审查后其按无效响应处理：</w:t>
      </w:r>
    </w:p>
    <w:p w14:paraId="319C2191">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（1）响应文件签章不全，经询价小组一致认定对响应内容有实质性影响；</w:t>
      </w:r>
    </w:p>
    <w:p w14:paraId="01D5C3FB">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（2）未按规定的格式填写导致实质性内容不全以及实质上不响应，或者关键字迹模糊、无法辨认；</w:t>
      </w:r>
    </w:p>
    <w:p w14:paraId="3A665DA0">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（3）同一供应商提交两个或以上不同的响应文件或者报价，但</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规定提交备选方案的除外；</w:t>
      </w:r>
    </w:p>
    <w:p w14:paraId="6CBCF351">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（4）响应文件没有对</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的实质性要求和条件作出响应；</w:t>
      </w:r>
    </w:p>
    <w:p w14:paraId="3EBB1A6B">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（5）报价超出规定的最高限价或公布的采购预算的或供应商的报价各项单价高于</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给定的单价最高限价；</w:t>
      </w:r>
    </w:p>
    <w:p w14:paraId="73AF3846">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（6）不按询价小组要求澄清、说明或补正的，或者询价小组根据</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的规定对</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的计算错误进行修正后，供应商不接受修正的报价的。</w:t>
      </w:r>
    </w:p>
    <w:p w14:paraId="511D05F9">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（7）其它情形，经询价小组提出按无效响应处理的；</w:t>
      </w:r>
    </w:p>
    <w:p w14:paraId="071205A0">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（8）响应文件含有采购人不能接受的附加条件的；</w:t>
      </w:r>
    </w:p>
    <w:p w14:paraId="61E23525">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规定的其它无效响应情形。</w:t>
      </w:r>
    </w:p>
    <w:p w14:paraId="7989D972">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 供应商有下列情形之一的, 详细评审后其按无效响应处理：</w:t>
      </w:r>
    </w:p>
    <w:p w14:paraId="7C080580">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（1）产品不符合必须强制执行的国家标准的；</w:t>
      </w:r>
    </w:p>
    <w:p w14:paraId="1FE0897C">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（2）供应商有串通、弄虚作假、行贿等违法行为；</w:t>
      </w:r>
    </w:p>
    <w:p w14:paraId="200F646D">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（3）响应文件含有违反国家法律、法规的内容，或附有采购人不能接受的条件的；</w:t>
      </w:r>
    </w:p>
    <w:p w14:paraId="58EC8ED9">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（4）报价明显低于其他供应商，且不能证明报价合理性的响应无效；</w:t>
      </w:r>
    </w:p>
    <w:p w14:paraId="62AAB323">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（5）拒不确认询价小组评审修正的响应无效；</w:t>
      </w:r>
    </w:p>
    <w:p w14:paraId="3119DCE7">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（6）其它情形，经询价小组提出按无效响应处理的；</w:t>
      </w:r>
    </w:p>
    <w:p w14:paraId="2B74BA6F">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规定的其它无效响应情形。</w:t>
      </w:r>
    </w:p>
    <w:p w14:paraId="21455D05">
      <w:pPr>
        <w:widowControl/>
        <w:jc w:val="left"/>
        <w:rPr>
          <w:rFonts w:asciiTheme="minorEastAsia" w:hAnsiTheme="minorEastAsia" w:eastAsiaTheme="minorEastAsia"/>
          <w:bCs/>
          <w:color w:val="auto"/>
          <w:sz w:val="24"/>
          <w:highlight w:val="none"/>
        </w:rPr>
      </w:pPr>
    </w:p>
    <w:p w14:paraId="224F24CE">
      <w:pPr>
        <w:rPr>
          <w:rFonts w:ascii="宋体" w:hAnsi="宋体" w:eastAsia="宋体" w:cs="宋体"/>
          <w:b/>
          <w:color w:val="auto"/>
          <w:sz w:val="28"/>
          <w:highlight w:val="none"/>
        </w:rPr>
      </w:pPr>
      <w:bookmarkStart w:id="51" w:name="_Toc26650379"/>
      <w:bookmarkStart w:id="52" w:name="_Toc5156"/>
      <w:r>
        <w:rPr>
          <w:rFonts w:hint="eastAsia" w:ascii="宋体" w:hAnsi="宋体" w:eastAsia="宋体" w:cs="宋体"/>
          <w:b/>
          <w:color w:val="auto"/>
          <w:sz w:val="28"/>
          <w:highlight w:val="none"/>
        </w:rPr>
        <w:br w:type="page"/>
      </w:r>
    </w:p>
    <w:p w14:paraId="5DD4B22E">
      <w:pPr>
        <w:spacing w:line="360" w:lineRule="auto"/>
        <w:jc w:val="center"/>
        <w:outlineLvl w:val="0"/>
        <w:rPr>
          <w:rFonts w:ascii="宋体" w:hAnsi="宋体" w:eastAsia="宋体" w:cs="宋体"/>
          <w:b/>
          <w:color w:val="auto"/>
          <w:sz w:val="28"/>
          <w:highlight w:val="none"/>
        </w:rPr>
      </w:pPr>
      <w:r>
        <w:rPr>
          <w:rFonts w:hint="eastAsia" w:ascii="宋体" w:hAnsi="宋体" w:eastAsia="宋体" w:cs="宋体"/>
          <w:b/>
          <w:color w:val="auto"/>
          <w:sz w:val="28"/>
          <w:highlight w:val="none"/>
        </w:rPr>
        <w:t>第五章  政府采购合同</w:t>
      </w:r>
      <w:bookmarkEnd w:id="51"/>
      <w:bookmarkEnd w:id="52"/>
    </w:p>
    <w:p w14:paraId="168BE38E">
      <w:pPr>
        <w:snapToGrid w:val="0"/>
        <w:spacing w:line="400" w:lineRule="exact"/>
        <w:jc w:val="center"/>
        <w:rPr>
          <w:rFonts w:ascii="宋体" w:hAnsi="宋体" w:eastAsia="宋体" w:cs="宋体"/>
          <w:b/>
          <w:color w:val="auto"/>
          <w:sz w:val="48"/>
          <w:szCs w:val="48"/>
          <w:highlight w:val="none"/>
        </w:rPr>
      </w:pPr>
      <w:r>
        <w:rPr>
          <w:rFonts w:hint="eastAsia" w:ascii="宋体" w:hAnsi="宋体" w:eastAsia="宋体" w:cs="宋体"/>
          <w:bCs/>
          <w:color w:val="auto"/>
          <w:szCs w:val="21"/>
          <w:highlight w:val="none"/>
        </w:rPr>
        <w:t>（此合同格式仅作为参考）</w:t>
      </w:r>
    </w:p>
    <w:p w14:paraId="7321937D">
      <w:pPr>
        <w:spacing w:line="460" w:lineRule="exact"/>
        <w:ind w:left="360"/>
        <w:jc w:val="center"/>
        <w:outlineLvl w:val="1"/>
        <w:rPr>
          <w:rFonts w:ascii="宋体" w:hAnsi="宋体" w:eastAsia="宋体" w:cs="宋体"/>
          <w:b/>
          <w:color w:val="auto"/>
          <w:sz w:val="30"/>
          <w:szCs w:val="30"/>
          <w:highlight w:val="none"/>
        </w:rPr>
      </w:pPr>
      <w:bookmarkStart w:id="53" w:name="_Toc29013"/>
      <w:r>
        <w:rPr>
          <w:rFonts w:hint="eastAsia" w:ascii="宋体" w:hAnsi="宋体" w:eastAsia="宋体" w:cs="宋体"/>
          <w:b/>
          <w:color w:val="auto"/>
          <w:sz w:val="30"/>
          <w:szCs w:val="30"/>
          <w:highlight w:val="none"/>
        </w:rPr>
        <w:t>一、合同协议书（格式）</w:t>
      </w:r>
    </w:p>
    <w:p w14:paraId="7491C5CD">
      <w:pPr>
        <w:spacing w:line="460" w:lineRule="exact"/>
        <w:jc w:val="center"/>
        <w:rPr>
          <w:rFonts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合同名称   </w:t>
      </w:r>
      <w:r>
        <w:rPr>
          <w:rFonts w:hint="eastAsia" w:ascii="宋体" w:hAnsi="宋体" w:eastAsia="宋体" w:cs="宋体"/>
          <w:color w:val="auto"/>
          <w:sz w:val="28"/>
          <w:szCs w:val="28"/>
          <w:highlight w:val="none"/>
        </w:rPr>
        <w:t xml:space="preserve">          编号</w:t>
      </w:r>
    </w:p>
    <w:p w14:paraId="1B99A429">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买    方：                                   卖    方：</w:t>
      </w:r>
    </w:p>
    <w:p w14:paraId="1FA8A312">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14:paraId="5317EB31">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住    所：                                   住    所：                       </w:t>
      </w:r>
    </w:p>
    <w:p w14:paraId="29C6321D">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（买方）</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中所需</w:t>
      </w:r>
      <w:r>
        <w:rPr>
          <w:rFonts w:hint="eastAsia" w:ascii="宋体" w:hAnsi="宋体" w:eastAsia="宋体" w:cs="宋体"/>
          <w:color w:val="auto"/>
          <w:sz w:val="24"/>
          <w:szCs w:val="24"/>
          <w:highlight w:val="none"/>
          <w:u w:val="single"/>
        </w:rPr>
        <w:t>（产品名称）</w:t>
      </w:r>
      <w:r>
        <w:rPr>
          <w:rFonts w:hint="eastAsia" w:ascii="宋体" w:hAnsi="宋体" w:eastAsia="宋体" w:cs="宋体"/>
          <w:color w:val="auto"/>
          <w:sz w:val="24"/>
          <w:szCs w:val="24"/>
          <w:highlight w:val="none"/>
        </w:rPr>
        <w:t xml:space="preserve"> 经公开询价，确定</w:t>
      </w:r>
      <w:r>
        <w:rPr>
          <w:rFonts w:hint="eastAsia" w:ascii="宋体" w:hAnsi="宋体" w:eastAsia="宋体" w:cs="宋体"/>
          <w:color w:val="auto"/>
          <w:sz w:val="24"/>
          <w:szCs w:val="24"/>
          <w:highlight w:val="none"/>
          <w:u w:val="single"/>
        </w:rPr>
        <w:t>（卖方）</w:t>
      </w:r>
      <w:r>
        <w:rPr>
          <w:rFonts w:hint="eastAsia" w:ascii="宋体" w:hAnsi="宋体" w:eastAsia="宋体" w:cs="宋体"/>
          <w:color w:val="auto"/>
          <w:sz w:val="24"/>
          <w:szCs w:val="24"/>
          <w:highlight w:val="none"/>
        </w:rPr>
        <w:t>为成交人。按照《中华人民共和国民法典》的规定，买卖双方同意按照下述的条款和条件，签署本合同。</w:t>
      </w:r>
    </w:p>
    <w:p w14:paraId="362C0603">
      <w:pPr>
        <w:spacing w:line="46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1、本合同文件</w:t>
      </w:r>
    </w:p>
    <w:p w14:paraId="35F273D2">
      <w:pPr>
        <w:spacing w:line="46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下列每一文件均应作为合同的组成部分进行阅读和解释：</w:t>
      </w:r>
    </w:p>
    <w:p w14:paraId="42F0DB50">
      <w:pPr>
        <w:spacing w:line="46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询价采购文件</w:t>
      </w:r>
      <w:r>
        <w:rPr>
          <w:rFonts w:hint="eastAsia" w:ascii="宋体" w:hAnsi="宋体" w:eastAsia="宋体" w:cs="宋体"/>
          <w:bCs/>
          <w:color w:val="auto"/>
          <w:sz w:val="24"/>
          <w:szCs w:val="24"/>
          <w:highlight w:val="none"/>
        </w:rPr>
        <w:t>（2）响应文件（3）成交通知书</w:t>
      </w:r>
    </w:p>
    <w:p w14:paraId="719EA779">
      <w:pPr>
        <w:spacing w:line="46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（4）经双方确认进入合同的其它文件、补充条款或说明</w:t>
      </w:r>
    </w:p>
    <w:p w14:paraId="78EBAED2">
      <w:pPr>
        <w:spacing w:line="46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2、货物的名称、规格型号、数量和价格（若产品过多则见附表，如有附表则必须加盖公章）</w:t>
      </w:r>
    </w:p>
    <w:p w14:paraId="1C6D057E">
      <w:pPr>
        <w:spacing w:line="400" w:lineRule="exact"/>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单位：元</w:t>
      </w:r>
    </w:p>
    <w:tbl>
      <w:tblPr>
        <w:tblStyle w:val="26"/>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046"/>
        <w:gridCol w:w="928"/>
        <w:gridCol w:w="928"/>
        <w:gridCol w:w="1106"/>
        <w:gridCol w:w="1286"/>
        <w:gridCol w:w="1693"/>
      </w:tblGrid>
      <w:tr w14:paraId="6CE8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668" w:type="dxa"/>
          </w:tcPr>
          <w:p w14:paraId="227D095C">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产品名称</w:t>
            </w:r>
          </w:p>
        </w:tc>
        <w:tc>
          <w:tcPr>
            <w:tcW w:w="2046" w:type="dxa"/>
          </w:tcPr>
          <w:p w14:paraId="3A356ABA">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928" w:type="dxa"/>
          </w:tcPr>
          <w:p w14:paraId="32003C49">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928" w:type="dxa"/>
          </w:tcPr>
          <w:p w14:paraId="5D3659DC">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106" w:type="dxa"/>
          </w:tcPr>
          <w:p w14:paraId="37DFEFC6">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286" w:type="dxa"/>
          </w:tcPr>
          <w:p w14:paraId="2DE82DCF">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1693" w:type="dxa"/>
          </w:tcPr>
          <w:p w14:paraId="2EE1E963">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生产厂商</w:t>
            </w:r>
          </w:p>
        </w:tc>
      </w:tr>
      <w:tr w14:paraId="1674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668" w:type="dxa"/>
          </w:tcPr>
          <w:p w14:paraId="6FE4AD6D">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c>
          <w:tcPr>
            <w:tcW w:w="2046" w:type="dxa"/>
          </w:tcPr>
          <w:p w14:paraId="350BDB64">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c>
          <w:tcPr>
            <w:tcW w:w="928" w:type="dxa"/>
          </w:tcPr>
          <w:p w14:paraId="4A71ADB8">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c>
          <w:tcPr>
            <w:tcW w:w="928" w:type="dxa"/>
          </w:tcPr>
          <w:p w14:paraId="3DFF4817">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c>
          <w:tcPr>
            <w:tcW w:w="1106" w:type="dxa"/>
          </w:tcPr>
          <w:p w14:paraId="6163D0CF">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c>
          <w:tcPr>
            <w:tcW w:w="1286" w:type="dxa"/>
          </w:tcPr>
          <w:p w14:paraId="0244EBAD">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c>
          <w:tcPr>
            <w:tcW w:w="1693" w:type="dxa"/>
          </w:tcPr>
          <w:p w14:paraId="0FAC553C">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r>
      <w:tr w14:paraId="1B15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668" w:type="dxa"/>
          </w:tcPr>
          <w:p w14:paraId="53D42498">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2046" w:type="dxa"/>
          </w:tcPr>
          <w:p w14:paraId="7BF1610B">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928" w:type="dxa"/>
          </w:tcPr>
          <w:p w14:paraId="69956C0A">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928" w:type="dxa"/>
          </w:tcPr>
          <w:p w14:paraId="2C42E21D">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1106" w:type="dxa"/>
          </w:tcPr>
          <w:p w14:paraId="70269572">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1286" w:type="dxa"/>
          </w:tcPr>
          <w:p w14:paraId="706303F0">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1693" w:type="dxa"/>
          </w:tcPr>
          <w:p w14:paraId="4AADF497">
            <w:pPr>
              <w:spacing w:before="156" w:beforeLines="50" w:beforeAutospacing="1" w:after="93" w:afterLines="30" w:afterAutospacing="1" w:line="400" w:lineRule="exact"/>
              <w:rPr>
                <w:rFonts w:ascii="宋体" w:hAnsi="宋体" w:eastAsia="宋体" w:cs="宋体"/>
                <w:color w:val="auto"/>
                <w:sz w:val="24"/>
                <w:szCs w:val="24"/>
                <w:highlight w:val="none"/>
              </w:rPr>
            </w:pPr>
          </w:p>
        </w:tc>
      </w:tr>
      <w:tr w14:paraId="1DDC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68" w:type="dxa"/>
          </w:tcPr>
          <w:p w14:paraId="0E5C4F3C">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2046" w:type="dxa"/>
          </w:tcPr>
          <w:p w14:paraId="0B192590">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928" w:type="dxa"/>
          </w:tcPr>
          <w:p w14:paraId="67B7FE4A">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928" w:type="dxa"/>
          </w:tcPr>
          <w:p w14:paraId="41E3C9B7">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1106" w:type="dxa"/>
          </w:tcPr>
          <w:p w14:paraId="0DAB8B98">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1286" w:type="dxa"/>
          </w:tcPr>
          <w:p w14:paraId="70FE2BA5">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1693" w:type="dxa"/>
          </w:tcPr>
          <w:p w14:paraId="422ACF9D">
            <w:pPr>
              <w:spacing w:before="156" w:beforeLines="50" w:beforeAutospacing="1" w:after="93" w:afterLines="30" w:afterAutospacing="1" w:line="400" w:lineRule="exact"/>
              <w:rPr>
                <w:rFonts w:ascii="宋体" w:hAnsi="宋体" w:eastAsia="宋体" w:cs="宋体"/>
                <w:color w:val="auto"/>
                <w:sz w:val="24"/>
                <w:szCs w:val="24"/>
                <w:highlight w:val="none"/>
              </w:rPr>
            </w:pPr>
          </w:p>
        </w:tc>
      </w:tr>
      <w:tr w14:paraId="389A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6676" w:type="dxa"/>
            <w:gridSpan w:val="5"/>
          </w:tcPr>
          <w:p w14:paraId="17BEFEBA">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2979" w:type="dxa"/>
            <w:gridSpan w:val="2"/>
          </w:tcPr>
          <w:p w14:paraId="22D58B9E">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r>
      <w:tr w14:paraId="39A5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9655" w:type="dxa"/>
            <w:gridSpan w:val="7"/>
          </w:tcPr>
          <w:p w14:paraId="66F5CFED">
            <w:pPr>
              <w:widowControl/>
              <w:spacing w:before="156" w:beforeLines="50" w:beforeAutospacing="1" w:after="93" w:afterLines="30" w:afterAutospacing="1"/>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合同总金额（大写）：</w:t>
            </w:r>
          </w:p>
        </w:tc>
      </w:tr>
    </w:tbl>
    <w:p w14:paraId="27BB73BA">
      <w:pPr>
        <w:spacing w:line="460" w:lineRule="exact"/>
        <w:ind w:firstLine="482" w:firstLineChars="200"/>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lang w:val="en-US" w:eastAsia="zh-CN"/>
        </w:rPr>
        <w:t>上述采购的设备须与房建施工单位施工的前端感应设备兼容，满足联机调试、消防验收要求，最终通过消防验收。如因卖方提供的产品无法兼容、无法通过联机调试等，卖方须承担全部责任，给买方造成的损失，买方有权向其追偿。</w:t>
      </w:r>
    </w:p>
    <w:p w14:paraId="76BCCD6A">
      <w:pPr>
        <w:spacing w:line="46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3、合同总价：</w:t>
      </w:r>
    </w:p>
    <w:p w14:paraId="4625895E">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合同总价为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w:t>
      </w:r>
    </w:p>
    <w:p w14:paraId="2C036A03">
      <w:pPr>
        <w:autoSpaceDN w:val="0"/>
        <w:spacing w:line="460" w:lineRule="exact"/>
        <w:ind w:firstLine="480" w:firstLineChars="200"/>
        <w:jc w:val="left"/>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4.付款方式：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64A5074">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5.合同供货（服务）期限及地点和方式：</w:t>
      </w:r>
    </w:p>
    <w:p w14:paraId="73B7D9DE">
      <w:pPr>
        <w:spacing w:line="440" w:lineRule="exact"/>
        <w:ind w:firstLine="480" w:firstLineChars="200"/>
        <w:rPr>
          <w:rFonts w:hint="eastAsia" w:ascii="宋体" w:hAnsi="宋体" w:eastAsia="宋体" w:cs="宋体"/>
          <w:color w:val="auto"/>
          <w:sz w:val="24"/>
          <w:szCs w:val="24"/>
          <w:highlight w:val="none"/>
        </w:rPr>
      </w:pPr>
      <w:r>
        <w:rPr>
          <w:rFonts w:hint="eastAsia" w:ascii="仿宋" w:hAnsi="仿宋" w:eastAsia="仿宋" w:cs="Times New Roman"/>
          <w:color w:val="auto"/>
          <w:kern w:val="0"/>
          <w:sz w:val="24"/>
          <w:szCs w:val="24"/>
          <w:highlight w:val="none"/>
          <w:u w:color="000000"/>
          <w:lang w:val="en-US" w:eastAsia="zh-CN"/>
        </w:rPr>
        <w:t>自接到买方通知之日起</w:t>
      </w:r>
      <w:r>
        <w:rPr>
          <w:rFonts w:hint="eastAsia" w:ascii="仿宋" w:hAnsi="仿宋" w:eastAsia="仿宋" w:cs="Times New Roman"/>
          <w:color w:val="auto"/>
          <w:kern w:val="0"/>
          <w:sz w:val="24"/>
          <w:szCs w:val="24"/>
          <w:highlight w:val="none"/>
          <w:u w:val="single" w:color="auto"/>
          <w:lang w:val="en-US" w:eastAsia="zh-CN"/>
        </w:rPr>
        <w:t xml:space="preserve">   </w:t>
      </w:r>
      <w:r>
        <w:rPr>
          <w:rFonts w:hint="eastAsia" w:ascii="仿宋" w:hAnsi="仿宋" w:eastAsia="仿宋" w:cs="Times New Roman"/>
          <w:color w:val="auto"/>
          <w:kern w:val="0"/>
          <w:sz w:val="24"/>
          <w:szCs w:val="24"/>
          <w:highlight w:val="none"/>
          <w:u w:color="000000"/>
          <w:lang w:val="en-US" w:eastAsia="zh-CN"/>
        </w:rPr>
        <w:t>个日历天内完成供货、安装</w:t>
      </w:r>
      <w:r>
        <w:rPr>
          <w:rFonts w:hint="eastAsia" w:ascii="仿宋" w:hAnsi="仿宋" w:eastAsia="仿宋" w:cs="Times New Roman"/>
          <w:color w:val="auto"/>
          <w:kern w:val="0"/>
          <w:sz w:val="24"/>
          <w:szCs w:val="24"/>
          <w:highlight w:val="none"/>
          <w:u w:color="000000"/>
        </w:rPr>
        <w:t>并通过相关部门验收合格</w:t>
      </w:r>
      <w:r>
        <w:rPr>
          <w:rFonts w:hint="eastAsia" w:ascii="宋体" w:hAnsi="宋体" w:eastAsia="宋体" w:cs="宋体"/>
          <w:color w:val="auto"/>
          <w:sz w:val="24"/>
          <w:szCs w:val="24"/>
          <w:highlight w:val="none"/>
        </w:rPr>
        <w:t>。</w:t>
      </w:r>
    </w:p>
    <w:p w14:paraId="0AADE68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货物运输至买方指定地点到货物验收合格前，卖方负责对货物承担安保义务。</w:t>
      </w:r>
    </w:p>
    <w:p w14:paraId="2B400231">
      <w:pPr>
        <w:pStyle w:val="9"/>
        <w:spacing w:after="0" w:line="500" w:lineRule="exact"/>
        <w:ind w:firstLine="480" w:firstLineChars="200"/>
        <w:jc w:val="left"/>
        <w:rPr>
          <w:rFonts w:hint="eastAsia" w:ascii="宋体" w:hAnsi="宋体" w:eastAsia="宋体" w:cs="宋体"/>
          <w:color w:val="auto"/>
          <w:sz w:val="24"/>
          <w:szCs w:val="24"/>
          <w:highlight w:val="none"/>
        </w:rPr>
      </w:pPr>
      <w:r>
        <w:rPr>
          <w:rFonts w:hint="eastAsia" w:cs="@仿宋_GB2312" w:asciiTheme="minorEastAsia" w:hAnsiTheme="minorEastAsia" w:eastAsiaTheme="minorEastAsia"/>
          <w:color w:val="auto"/>
          <w:sz w:val="24"/>
          <w:szCs w:val="20"/>
          <w:highlight w:val="none"/>
          <w:lang w:val="en-US"/>
        </w:rPr>
        <w:t>供货时所有货物（包括零部件）须为全新的、未使用过的原装正品，并完全符合国家质量标准，</w:t>
      </w:r>
      <w:r>
        <w:rPr>
          <w:rFonts w:hint="eastAsia" w:cs="@仿宋_GB2312" w:asciiTheme="minorEastAsia" w:hAnsiTheme="minorEastAsia" w:eastAsiaTheme="minorEastAsia"/>
          <w:b/>
          <w:bCs/>
          <w:color w:val="auto"/>
          <w:sz w:val="24"/>
          <w:szCs w:val="20"/>
          <w:highlight w:val="none"/>
          <w:lang w:val="en-US" w:eastAsia="zh-CN"/>
        </w:rPr>
        <w:t>供货时</w:t>
      </w:r>
      <w:r>
        <w:rPr>
          <w:rFonts w:hint="eastAsia" w:cs="@仿宋_GB2312" w:asciiTheme="minorEastAsia" w:hAnsiTheme="minorEastAsia" w:eastAsiaTheme="minorEastAsia"/>
          <w:b/>
          <w:bCs/>
          <w:color w:val="auto"/>
          <w:sz w:val="24"/>
          <w:szCs w:val="20"/>
          <w:highlight w:val="none"/>
          <w:lang w:val="en-US"/>
        </w:rPr>
        <w:t>提供厂家出具的合格证书、有国家强制性认证要求的产品须提供相应证书，货物的技术参数及配置情况必须由</w:t>
      </w:r>
      <w:r>
        <w:rPr>
          <w:rFonts w:hint="eastAsia" w:cs="@仿宋_GB2312" w:asciiTheme="minorEastAsia" w:hAnsiTheme="minorEastAsia" w:eastAsiaTheme="minorEastAsia"/>
          <w:b/>
          <w:bCs/>
          <w:color w:val="auto"/>
          <w:sz w:val="24"/>
          <w:szCs w:val="20"/>
          <w:highlight w:val="none"/>
          <w:lang w:val="en-US" w:eastAsia="zh-CN"/>
        </w:rPr>
        <w:t>供应商</w:t>
      </w:r>
      <w:r>
        <w:rPr>
          <w:rFonts w:hint="eastAsia" w:cs="@仿宋_GB2312" w:asciiTheme="minorEastAsia" w:hAnsiTheme="minorEastAsia" w:eastAsiaTheme="minorEastAsia"/>
          <w:b/>
          <w:bCs/>
          <w:color w:val="auto"/>
          <w:sz w:val="24"/>
          <w:szCs w:val="20"/>
          <w:highlight w:val="none"/>
          <w:lang w:val="en-US"/>
        </w:rPr>
        <w:t>提供国家相关检测机构出具的检验报告、生产厂家公开发布的印刷资料等技术资料予以支持。没有技术资料支持的技术参数及配置不能视为响应。(厂家出具的合格证书供货时提供。)</w:t>
      </w:r>
    </w:p>
    <w:p w14:paraId="1F081173">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6.验收要求：（1）</w:t>
      </w:r>
      <w:r>
        <w:rPr>
          <w:rFonts w:hint="eastAsia" w:ascii="宋体" w:hAnsi="宋体" w:eastAsia="宋体" w:cs="宋体"/>
          <w:color w:val="auto"/>
          <w:sz w:val="24"/>
          <w:szCs w:val="24"/>
          <w:highlight w:val="none"/>
          <w:lang w:val="en-US" w:eastAsia="zh-CN"/>
        </w:rPr>
        <w:t>买方</w:t>
      </w:r>
      <w:r>
        <w:rPr>
          <w:rFonts w:hint="eastAsia" w:ascii="宋体" w:hAnsi="宋体" w:eastAsia="宋体" w:cs="宋体"/>
          <w:color w:val="auto"/>
          <w:sz w:val="24"/>
          <w:szCs w:val="24"/>
          <w:highlight w:val="none"/>
        </w:rPr>
        <w:t>依据</w:t>
      </w:r>
      <w:r>
        <w:rPr>
          <w:rFonts w:hint="eastAsia" w:ascii="宋体" w:hAnsi="宋体" w:eastAsia="宋体" w:cs="宋体"/>
          <w:color w:val="auto"/>
          <w:sz w:val="24"/>
          <w:szCs w:val="24"/>
          <w:highlight w:val="none"/>
          <w:lang w:eastAsia="zh-CN"/>
        </w:rPr>
        <w:t>询价采购文件</w:t>
      </w:r>
      <w:r>
        <w:rPr>
          <w:rFonts w:hint="eastAsia" w:ascii="宋体" w:hAnsi="宋体" w:eastAsia="宋体" w:cs="宋体"/>
          <w:color w:val="auto"/>
          <w:sz w:val="24"/>
          <w:szCs w:val="24"/>
          <w:highlight w:val="none"/>
        </w:rPr>
        <w:t>中的采购需求及技术参数要求、</w:t>
      </w:r>
      <w:r>
        <w:rPr>
          <w:rFonts w:hint="eastAsia" w:ascii="宋体" w:hAnsi="宋体" w:eastAsia="宋体" w:cs="宋体"/>
          <w:color w:val="auto"/>
          <w:sz w:val="24"/>
          <w:szCs w:val="24"/>
          <w:highlight w:val="none"/>
          <w:lang w:val="en-US" w:eastAsia="zh-CN"/>
        </w:rPr>
        <w:t>卖方</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文件及国家有关质量标准进行验收。</w:t>
      </w:r>
    </w:p>
    <w:p w14:paraId="16D4BEE8">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卖方</w:t>
      </w:r>
      <w:r>
        <w:rPr>
          <w:rFonts w:hint="eastAsia" w:ascii="宋体" w:hAnsi="宋体" w:eastAsia="宋体" w:cs="宋体"/>
          <w:color w:val="auto"/>
          <w:sz w:val="24"/>
          <w:szCs w:val="24"/>
          <w:highlight w:val="none"/>
        </w:rPr>
        <w:t>交货前应对产品或服务作出全面检查和对验收文件进行整理，并列出清单，作为</w:t>
      </w:r>
      <w:r>
        <w:rPr>
          <w:rFonts w:hint="eastAsia" w:ascii="宋体" w:hAnsi="宋体" w:eastAsia="宋体" w:cs="宋体"/>
          <w:color w:val="auto"/>
          <w:sz w:val="24"/>
          <w:szCs w:val="24"/>
          <w:highlight w:val="none"/>
          <w:lang w:val="en-US" w:eastAsia="zh-CN"/>
        </w:rPr>
        <w:t>买方</w:t>
      </w:r>
      <w:r>
        <w:rPr>
          <w:rFonts w:hint="eastAsia" w:ascii="宋体" w:hAnsi="宋体" w:eastAsia="宋体" w:cs="宋体"/>
          <w:color w:val="auto"/>
          <w:sz w:val="24"/>
          <w:szCs w:val="24"/>
          <w:highlight w:val="none"/>
        </w:rPr>
        <w:t>验收和使用的技术条件依据，检验的结果应随服务一起提交</w:t>
      </w:r>
      <w:r>
        <w:rPr>
          <w:rFonts w:hint="eastAsia" w:ascii="宋体" w:hAnsi="宋体" w:eastAsia="宋体" w:cs="宋体"/>
          <w:color w:val="auto"/>
          <w:sz w:val="24"/>
          <w:szCs w:val="24"/>
          <w:highlight w:val="none"/>
          <w:lang w:val="en-US" w:eastAsia="zh-CN"/>
        </w:rPr>
        <w:t>买方</w:t>
      </w:r>
      <w:r>
        <w:rPr>
          <w:rFonts w:hint="eastAsia" w:ascii="宋体" w:hAnsi="宋体" w:eastAsia="宋体" w:cs="宋体"/>
          <w:color w:val="auto"/>
          <w:sz w:val="24"/>
          <w:szCs w:val="24"/>
          <w:highlight w:val="none"/>
        </w:rPr>
        <w:t>。</w:t>
      </w:r>
    </w:p>
    <w:p w14:paraId="39AFB1F9">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（3）验收时</w:t>
      </w:r>
      <w:r>
        <w:rPr>
          <w:rFonts w:hint="eastAsia" w:ascii="宋体" w:hAnsi="宋体" w:eastAsia="宋体" w:cs="宋体"/>
          <w:color w:val="auto"/>
          <w:sz w:val="24"/>
          <w:szCs w:val="24"/>
          <w:highlight w:val="none"/>
          <w:lang w:val="en-US" w:eastAsia="zh-CN"/>
        </w:rPr>
        <w:t>卖</w:t>
      </w:r>
      <w:r>
        <w:rPr>
          <w:rFonts w:hint="eastAsia" w:ascii="宋体" w:hAnsi="宋体" w:eastAsia="宋体" w:cs="宋体"/>
          <w:color w:val="auto"/>
          <w:sz w:val="24"/>
          <w:szCs w:val="24"/>
          <w:highlight w:val="none"/>
        </w:rPr>
        <w:t>方必须在现场，验收完毕后作出验收结果报告。</w:t>
      </w:r>
    </w:p>
    <w:p w14:paraId="6A4A8101">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7.售后服务</w:t>
      </w:r>
    </w:p>
    <w:p w14:paraId="78F2F46B">
      <w:pPr>
        <w:pStyle w:val="9"/>
        <w:spacing w:after="0" w:line="500" w:lineRule="exact"/>
        <w:ind w:firstLine="480" w:firstLineChars="200"/>
        <w:jc w:val="left"/>
        <w:rPr>
          <w:rFonts w:hint="eastAsia" w:cs="@仿宋_GB2312" w:asciiTheme="minorEastAsia" w:hAnsiTheme="minorEastAsia" w:eastAsiaTheme="minorEastAsia"/>
          <w:color w:val="auto"/>
          <w:sz w:val="24"/>
          <w:szCs w:val="20"/>
          <w:highlight w:val="none"/>
          <w:lang w:val="en-US"/>
        </w:rPr>
      </w:pPr>
      <w:r>
        <w:rPr>
          <w:rFonts w:hint="eastAsia" w:cs="@仿宋_GB2312" w:asciiTheme="minorEastAsia" w:hAnsiTheme="minorEastAsia" w:eastAsiaTheme="minorEastAsia"/>
          <w:color w:val="auto"/>
          <w:sz w:val="24"/>
          <w:szCs w:val="20"/>
          <w:highlight w:val="none"/>
          <w:lang w:val="en-US" w:eastAsia="zh-CN"/>
        </w:rPr>
        <w:t>（1）</w:t>
      </w:r>
      <w:r>
        <w:rPr>
          <w:rFonts w:hint="eastAsia" w:cs="@仿宋_GB2312" w:asciiTheme="minorEastAsia" w:hAnsiTheme="minorEastAsia" w:eastAsiaTheme="minorEastAsia"/>
          <w:b/>
          <w:bCs/>
          <w:color w:val="auto"/>
          <w:sz w:val="24"/>
          <w:szCs w:val="20"/>
          <w:highlight w:val="none"/>
          <w:lang w:val="en-US" w:eastAsia="zh-CN"/>
        </w:rPr>
        <w:t>免费质保期为验收合格之日起不少于2年。</w:t>
      </w:r>
      <w:r>
        <w:rPr>
          <w:rFonts w:hint="eastAsia" w:cs="@仿宋_GB2312" w:asciiTheme="minorEastAsia" w:hAnsiTheme="minorEastAsia" w:eastAsiaTheme="minorEastAsia"/>
          <w:color w:val="auto"/>
          <w:sz w:val="24"/>
          <w:szCs w:val="20"/>
          <w:highlight w:val="none"/>
          <w:lang w:val="en-US" w:eastAsia="zh-CN"/>
        </w:rPr>
        <w:t>在免费质保服务期限内，</w:t>
      </w:r>
      <w:r>
        <w:rPr>
          <w:rFonts w:hint="eastAsia" w:ascii="宋体" w:hAnsi="宋体" w:eastAsia="宋体" w:cs="宋体"/>
          <w:color w:val="auto"/>
          <w:sz w:val="24"/>
          <w:szCs w:val="24"/>
          <w:highlight w:val="none"/>
          <w:lang w:val="en-US" w:eastAsia="zh-CN"/>
        </w:rPr>
        <w:t>卖</w:t>
      </w:r>
      <w:r>
        <w:rPr>
          <w:rFonts w:hint="eastAsia" w:cs="@仿宋_GB2312" w:asciiTheme="minorEastAsia" w:hAnsiTheme="minorEastAsia" w:eastAsiaTheme="minorEastAsia"/>
          <w:color w:val="auto"/>
          <w:sz w:val="24"/>
          <w:szCs w:val="20"/>
          <w:highlight w:val="none"/>
          <w:lang w:val="en-US" w:eastAsia="zh-CN"/>
        </w:rPr>
        <w:t>方应在合同货物出现故障和缺陷时，接到</w:t>
      </w:r>
      <w:r>
        <w:rPr>
          <w:rFonts w:hint="eastAsia" w:ascii="宋体" w:hAnsi="宋体" w:eastAsia="宋体" w:cs="宋体"/>
          <w:color w:val="auto"/>
          <w:sz w:val="24"/>
          <w:szCs w:val="24"/>
          <w:highlight w:val="none"/>
        </w:rPr>
        <w:t>买</w:t>
      </w:r>
      <w:r>
        <w:rPr>
          <w:rFonts w:hint="eastAsia" w:cs="@仿宋_GB2312" w:asciiTheme="minorEastAsia" w:hAnsiTheme="minorEastAsia" w:eastAsiaTheme="minorEastAsia"/>
          <w:color w:val="auto"/>
          <w:sz w:val="24"/>
          <w:szCs w:val="20"/>
          <w:highlight w:val="none"/>
          <w:lang w:val="en-US" w:eastAsia="zh-CN"/>
        </w:rPr>
        <w:t>方通知后2小时内予以答复，如</w:t>
      </w:r>
      <w:r>
        <w:rPr>
          <w:rFonts w:hint="eastAsia" w:ascii="宋体" w:hAnsi="宋体" w:eastAsia="宋体" w:cs="宋体"/>
          <w:color w:val="auto"/>
          <w:sz w:val="24"/>
          <w:szCs w:val="24"/>
          <w:highlight w:val="none"/>
        </w:rPr>
        <w:t>买</w:t>
      </w:r>
      <w:r>
        <w:rPr>
          <w:rFonts w:hint="eastAsia" w:cs="@仿宋_GB2312" w:asciiTheme="minorEastAsia" w:hAnsiTheme="minorEastAsia" w:eastAsiaTheme="minorEastAsia"/>
          <w:color w:val="auto"/>
          <w:sz w:val="24"/>
          <w:szCs w:val="20"/>
          <w:highlight w:val="none"/>
          <w:lang w:val="en-US" w:eastAsia="zh-CN"/>
        </w:rPr>
        <w:t>方有要求或必要时，</w:t>
      </w:r>
      <w:r>
        <w:rPr>
          <w:rFonts w:hint="eastAsia" w:ascii="宋体" w:hAnsi="宋体" w:eastAsia="宋体" w:cs="宋体"/>
          <w:color w:val="auto"/>
          <w:sz w:val="24"/>
          <w:szCs w:val="24"/>
          <w:highlight w:val="none"/>
          <w:lang w:val="en-US" w:eastAsia="zh-CN"/>
        </w:rPr>
        <w:t>卖</w:t>
      </w:r>
      <w:r>
        <w:rPr>
          <w:rFonts w:hint="eastAsia" w:cs="@仿宋_GB2312" w:asciiTheme="minorEastAsia" w:hAnsiTheme="minorEastAsia" w:eastAsiaTheme="minorEastAsia"/>
          <w:color w:val="auto"/>
          <w:sz w:val="24"/>
          <w:szCs w:val="20"/>
          <w:highlight w:val="none"/>
          <w:lang w:val="en-US" w:eastAsia="zh-CN"/>
        </w:rPr>
        <w:t>方应在接到买方通知后24小时内进行维修，属于人为损坏的由</w:t>
      </w:r>
      <w:r>
        <w:rPr>
          <w:rFonts w:hint="eastAsia" w:ascii="宋体" w:hAnsi="宋体" w:eastAsia="宋体" w:cs="宋体"/>
          <w:color w:val="auto"/>
          <w:sz w:val="24"/>
          <w:szCs w:val="24"/>
          <w:highlight w:val="none"/>
        </w:rPr>
        <w:t>买</w:t>
      </w:r>
      <w:r>
        <w:rPr>
          <w:rFonts w:hint="eastAsia" w:cs="@仿宋_GB2312" w:asciiTheme="minorEastAsia" w:hAnsiTheme="minorEastAsia" w:eastAsiaTheme="minorEastAsia"/>
          <w:color w:val="auto"/>
          <w:sz w:val="24"/>
          <w:szCs w:val="20"/>
          <w:highlight w:val="none"/>
          <w:lang w:val="en-US" w:eastAsia="zh-CN"/>
        </w:rPr>
        <w:t xml:space="preserve">方负责。 </w:t>
      </w:r>
    </w:p>
    <w:p w14:paraId="2059E1EB">
      <w:pPr>
        <w:pStyle w:val="9"/>
        <w:spacing w:after="0" w:line="500" w:lineRule="exact"/>
        <w:ind w:firstLine="480" w:firstLineChars="200"/>
        <w:jc w:val="left"/>
        <w:rPr>
          <w:rFonts w:hint="eastAsia" w:cs="@仿宋_GB2312" w:asciiTheme="minorEastAsia" w:hAnsiTheme="minorEastAsia" w:eastAsiaTheme="minorEastAsia"/>
          <w:b/>
          <w:bCs/>
          <w:color w:val="auto"/>
          <w:sz w:val="24"/>
          <w:szCs w:val="20"/>
          <w:highlight w:val="none"/>
          <w:lang w:val="en-US"/>
        </w:rPr>
      </w:pPr>
      <w:r>
        <w:rPr>
          <w:rFonts w:hint="eastAsia" w:cs="@仿宋_GB2312" w:asciiTheme="minorEastAsia" w:hAnsiTheme="minorEastAsia" w:eastAsiaTheme="minorEastAsia"/>
          <w:color w:val="auto"/>
          <w:sz w:val="24"/>
          <w:szCs w:val="20"/>
          <w:highlight w:val="none"/>
          <w:lang w:val="en-US" w:eastAsia="zh-CN"/>
        </w:rPr>
        <w:t>（2）</w:t>
      </w:r>
      <w:r>
        <w:rPr>
          <w:rFonts w:hint="eastAsia" w:cs="@仿宋_GB2312" w:asciiTheme="minorEastAsia" w:hAnsiTheme="minorEastAsia" w:eastAsiaTheme="minorEastAsia"/>
          <w:b/>
          <w:bCs/>
          <w:color w:val="auto"/>
          <w:sz w:val="24"/>
          <w:szCs w:val="20"/>
          <w:highlight w:val="none"/>
          <w:lang w:val="en-US" w:eastAsia="zh-CN"/>
        </w:rPr>
        <w:t xml:space="preserve">免费质保期内，卖方每年须至少提供1次的上门巡检服务，巡检过程中须根据设备使用情况，免费更换常用配件。无正当理由，卖方不得拒绝上门巡检服务及备品备件更换。 </w:t>
      </w:r>
    </w:p>
    <w:p w14:paraId="3D568905">
      <w:pPr>
        <w:pStyle w:val="9"/>
        <w:spacing w:after="0" w:line="500" w:lineRule="exact"/>
        <w:ind w:firstLine="480" w:firstLineChars="200"/>
        <w:jc w:val="left"/>
        <w:rPr>
          <w:rFonts w:cs="@仿宋_GB2312" w:asciiTheme="minorEastAsia" w:hAnsiTheme="minorEastAsia" w:eastAsiaTheme="minorEastAsia"/>
          <w:color w:val="auto"/>
          <w:sz w:val="24"/>
          <w:szCs w:val="20"/>
          <w:highlight w:val="none"/>
          <w:lang w:val="en-US"/>
        </w:rPr>
      </w:pPr>
      <w:r>
        <w:rPr>
          <w:rFonts w:hint="eastAsia" w:cs="@仿宋_GB2312" w:asciiTheme="minorEastAsia" w:hAnsiTheme="minorEastAsia" w:eastAsiaTheme="minorEastAsia"/>
          <w:color w:val="auto"/>
          <w:sz w:val="24"/>
          <w:szCs w:val="20"/>
          <w:highlight w:val="none"/>
          <w:lang w:val="en-US" w:eastAsia="zh-CN"/>
        </w:rPr>
        <w:t>（3）</w:t>
      </w:r>
      <w:r>
        <w:rPr>
          <w:rFonts w:hint="eastAsia" w:ascii="宋体" w:hAnsi="宋体" w:eastAsia="宋体" w:cs="宋体"/>
          <w:color w:val="auto"/>
          <w:sz w:val="24"/>
          <w:szCs w:val="24"/>
          <w:highlight w:val="none"/>
          <w:lang w:val="en-US" w:eastAsia="zh-CN"/>
        </w:rPr>
        <w:t>卖</w:t>
      </w:r>
      <w:r>
        <w:rPr>
          <w:rFonts w:hint="eastAsia" w:cs="@仿宋_GB2312" w:asciiTheme="minorEastAsia" w:hAnsiTheme="minorEastAsia" w:eastAsiaTheme="minorEastAsia"/>
          <w:color w:val="auto"/>
          <w:sz w:val="24"/>
          <w:szCs w:val="20"/>
          <w:highlight w:val="none"/>
          <w:lang w:val="en-US" w:eastAsia="zh-CN"/>
        </w:rPr>
        <w:t>方不履行免费质保期约定的，</w:t>
      </w:r>
      <w:r>
        <w:rPr>
          <w:rFonts w:hint="eastAsia" w:ascii="宋体" w:hAnsi="宋体" w:eastAsia="宋体" w:cs="宋体"/>
          <w:color w:val="auto"/>
          <w:sz w:val="24"/>
          <w:szCs w:val="24"/>
          <w:highlight w:val="none"/>
        </w:rPr>
        <w:t>买</w:t>
      </w:r>
      <w:r>
        <w:rPr>
          <w:rFonts w:hint="eastAsia" w:cs="@仿宋_GB2312" w:asciiTheme="minorEastAsia" w:hAnsiTheme="minorEastAsia" w:eastAsiaTheme="minorEastAsia"/>
          <w:color w:val="auto"/>
          <w:sz w:val="24"/>
          <w:szCs w:val="20"/>
          <w:highlight w:val="none"/>
          <w:lang w:val="en-US" w:eastAsia="zh-CN"/>
        </w:rPr>
        <w:t>方有权依法依规追究卖方法律责任，由此产生的责任与后果均由卖方承担</w:t>
      </w:r>
      <w:r>
        <w:rPr>
          <w:rFonts w:hint="eastAsia" w:cs="@仿宋_GB2312" w:asciiTheme="minorEastAsia" w:hAnsiTheme="minorEastAsia" w:eastAsiaTheme="minorEastAsia"/>
          <w:color w:val="auto"/>
          <w:sz w:val="24"/>
          <w:szCs w:val="20"/>
          <w:highlight w:val="none"/>
          <w:lang w:val="en-US"/>
        </w:rPr>
        <w:t>。</w:t>
      </w:r>
    </w:p>
    <w:p w14:paraId="7FE86C01">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8.违约责任及解决争议方法：详见合同条款。</w:t>
      </w:r>
    </w:p>
    <w:p w14:paraId="31D61F15">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9.合同的生效</w:t>
      </w:r>
    </w:p>
    <w:p w14:paraId="6F31376A">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合同经双方授权代表签署，买卖双方加盖印章之后生效。</w:t>
      </w:r>
    </w:p>
    <w:p w14:paraId="103296EA">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     份，双方各执     份。</w:t>
      </w:r>
    </w:p>
    <w:p w14:paraId="5061DBA7">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买  方：                          卖  方：</w:t>
      </w:r>
    </w:p>
    <w:p w14:paraId="0228083A">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名  称：（盖章）                  名  称：（盖章）</w:t>
      </w:r>
    </w:p>
    <w:p w14:paraId="59E3CFCC">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      法定代表人（或委托代理人）：</w:t>
      </w:r>
    </w:p>
    <w:p w14:paraId="1369B3B5">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14:paraId="7466353E">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地    址：</w:t>
      </w:r>
    </w:p>
    <w:p w14:paraId="66464FC4">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                        邮政编码：</w:t>
      </w:r>
    </w:p>
    <w:p w14:paraId="24942204">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14:paraId="0B58CC2F">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7340A768">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帐    号：                        帐    号：</w:t>
      </w:r>
    </w:p>
    <w:p w14:paraId="388B59B7">
      <w:pPr>
        <w:spacing w:line="400" w:lineRule="exact"/>
        <w:ind w:left="360"/>
        <w:outlineLvl w:val="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                         签订时间：</w:t>
      </w:r>
    </w:p>
    <w:p w14:paraId="5E873CC5">
      <w:pPr>
        <w:spacing w:line="400" w:lineRule="exact"/>
        <w:ind w:left="360"/>
        <w:jc w:val="center"/>
        <w:outlineLvl w:val="1"/>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bookmarkStart w:id="54" w:name="_Toc58430331"/>
      <w:r>
        <w:rPr>
          <w:rFonts w:hint="eastAsia" w:ascii="宋体" w:hAnsi="宋体" w:eastAsia="宋体" w:cs="宋体"/>
          <w:b/>
          <w:color w:val="auto"/>
          <w:sz w:val="24"/>
          <w:szCs w:val="24"/>
          <w:highlight w:val="none"/>
        </w:rPr>
        <w:t>二、合同条款</w:t>
      </w:r>
      <w:bookmarkEnd w:id="54"/>
    </w:p>
    <w:p w14:paraId="033395DD">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  合同文件</w:t>
      </w:r>
    </w:p>
    <w:p w14:paraId="3D887F93">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1.合同文件适用法律</w:t>
      </w:r>
    </w:p>
    <w:p w14:paraId="642539DB">
      <w:pPr>
        <w:spacing w:line="500" w:lineRule="exact"/>
        <w:ind w:firstLine="720" w:firstLineChars="3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适用于合同文件的法律是中华人民共和国现行法律、法规及采购人所在地的地方性法规。</w:t>
      </w:r>
    </w:p>
    <w:p w14:paraId="1C4D41FA">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2.合同文件组成和解释顺序</w:t>
      </w:r>
    </w:p>
    <w:p w14:paraId="1C30A41A">
      <w:pPr>
        <w:spacing w:line="5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(1)合同文件的组成和解释顺序如下：</w:t>
      </w:r>
    </w:p>
    <w:p w14:paraId="7662F3B1">
      <w:pPr>
        <w:spacing w:line="5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&lt;1&gt;合同的主要条款；</w:t>
      </w:r>
    </w:p>
    <w:p w14:paraId="3E231C29">
      <w:pPr>
        <w:spacing w:line="5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&lt;2&gt;合同的一般性条款；</w:t>
      </w:r>
    </w:p>
    <w:p w14:paraId="51E86BFC">
      <w:pPr>
        <w:spacing w:line="5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&lt;3&gt;洽商、变更等明确双方权利义务的纪要、协议；</w:t>
      </w:r>
    </w:p>
    <w:p w14:paraId="6A319C82">
      <w:pPr>
        <w:spacing w:line="5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&lt;4&gt;中标通知书、投标文件和</w:t>
      </w:r>
      <w:r>
        <w:rPr>
          <w:rFonts w:hint="eastAsia" w:ascii="宋体" w:hAnsi="宋体" w:eastAsia="宋体" w:cs="宋体"/>
          <w:color w:val="auto"/>
          <w:sz w:val="24"/>
          <w:szCs w:val="24"/>
          <w:highlight w:val="none"/>
          <w:lang w:eastAsia="zh-CN"/>
        </w:rPr>
        <w:t>询价采购文件</w:t>
      </w:r>
      <w:r>
        <w:rPr>
          <w:rFonts w:hint="eastAsia" w:ascii="宋体" w:hAnsi="宋体" w:eastAsia="宋体" w:cs="宋体"/>
          <w:color w:val="auto"/>
          <w:sz w:val="24"/>
          <w:szCs w:val="24"/>
          <w:highlight w:val="none"/>
        </w:rPr>
        <w:t>；</w:t>
      </w:r>
    </w:p>
    <w:p w14:paraId="48C113A2">
      <w:pPr>
        <w:spacing w:line="5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&lt;5&gt;有关图纸、标准、规范和其它有关技术资料、技术要求。</w:t>
      </w:r>
    </w:p>
    <w:p w14:paraId="25F103F1">
      <w:pPr>
        <w:spacing w:line="5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&lt;6&gt;合同的主要条款的效力优于合同的一般性条款的效力。</w:t>
      </w:r>
    </w:p>
    <w:p w14:paraId="42ADEF7E">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3.合同文件使用文字</w:t>
      </w:r>
    </w:p>
    <w:p w14:paraId="229D2A63">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(1)合同文件使用中文书写、解释和说明。</w:t>
      </w:r>
    </w:p>
    <w:p w14:paraId="4200EBBA">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 xml:space="preserve">(2)合同文件使用技术性条款约定的为国家标准和规范；国家没有相应标准、规范时，可使用行业标准、规范。非标货物应按约定的技术性条款的标准和规范。 </w:t>
      </w:r>
    </w:p>
    <w:p w14:paraId="7EB123D6">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  标的物的一般条款</w:t>
      </w:r>
    </w:p>
    <w:p w14:paraId="677ACD9C">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4.完整物权</w:t>
      </w:r>
    </w:p>
    <w:p w14:paraId="50461F6E">
      <w:pPr>
        <w:tabs>
          <w:tab w:val="left" w:pos="660"/>
        </w:tabs>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对于出卖的标的物，卖方应当拥有完整物权，并且卖方负有保证第三人不得向买方主张任何权利（包括知识产权）的义务。</w:t>
      </w:r>
    </w:p>
    <w:p w14:paraId="5A71B699">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5.质量保证</w:t>
      </w:r>
    </w:p>
    <w:p w14:paraId="379BA26A">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4B800C74">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468BBAE1">
      <w:pPr>
        <w:pStyle w:val="7"/>
        <w:tabs>
          <w:tab w:val="left" w:pos="900"/>
        </w:tabs>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23306236">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6.包装</w:t>
      </w:r>
    </w:p>
    <w:p w14:paraId="7379326E">
      <w:pPr>
        <w:pStyle w:val="7"/>
        <w:tabs>
          <w:tab w:val="left" w:pos="900"/>
        </w:tabs>
        <w:spacing w:line="500" w:lineRule="exact"/>
        <w:ind w:firstLine="540" w:firstLineChars="225"/>
        <w:rPr>
          <w:rFonts w:hAnsi="宋体" w:cs="宋体"/>
          <w:color w:val="auto"/>
          <w:szCs w:val="24"/>
          <w:highlight w:val="none"/>
          <w:u w:color="000000"/>
        </w:rPr>
      </w:pPr>
      <w:r>
        <w:rPr>
          <w:rFonts w:hint="eastAsia" w:hAnsi="宋体" w:cs="宋体"/>
          <w:color w:val="auto"/>
          <w:szCs w:val="24"/>
          <w:highlight w:val="none"/>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77201696">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7.伴随服务</w:t>
      </w:r>
    </w:p>
    <w:p w14:paraId="34618743">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(1)卖方除应履行按期按量交付合格标的物的义务之外，还应提供下列服务：</w:t>
      </w:r>
    </w:p>
    <w:p w14:paraId="705A0F6E">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&lt;1&gt;标的物的现场安装或指导安装、启动、调试、监督（如果必须安装、调试的话）；</w:t>
      </w:r>
    </w:p>
    <w:p w14:paraId="3D977042">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&lt;2&gt;提供标的物组装和一般维修所必须的工具；</w:t>
      </w:r>
    </w:p>
    <w:p w14:paraId="60A11F48">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&lt;3&gt;在合同规定的期限内对所提供标的物实行运行监督、维修服务的前提条件是该服务并不能免除卖方在质量保证期内所承担的义务；</w:t>
      </w:r>
    </w:p>
    <w:p w14:paraId="4513AD9E">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&lt;4&gt;对买方技术人员的技术指导或培训。</w:t>
      </w:r>
    </w:p>
    <w:p w14:paraId="5ACB7693">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(2)除合同另有规定之外，伴随服务的费用均已含在合同价款中，买方不再另行进行支付。</w:t>
      </w:r>
    </w:p>
    <w:p w14:paraId="3E10349F">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  标的物的交付、检验和验收</w:t>
      </w:r>
    </w:p>
    <w:p w14:paraId="277A241B">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8.标的物的交付</w:t>
      </w:r>
    </w:p>
    <w:p w14:paraId="4FFE074E">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(1)标的物的所有权自标的物交付时转移。</w:t>
      </w:r>
    </w:p>
    <w:p w14:paraId="523FB010">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(2)卖方应当按照约定的期限和约定的地点交付符合</w:t>
      </w:r>
      <w:r>
        <w:rPr>
          <w:rFonts w:hint="eastAsia" w:hAnsi="宋体" w:cs="宋体"/>
          <w:color w:val="auto"/>
          <w:szCs w:val="24"/>
          <w:highlight w:val="none"/>
          <w:u w:color="000000"/>
          <w:lang w:eastAsia="zh-CN"/>
        </w:rPr>
        <w:t>询价采购文件</w:t>
      </w:r>
      <w:r>
        <w:rPr>
          <w:rFonts w:hint="eastAsia" w:hAnsi="宋体" w:cs="宋体"/>
          <w:color w:val="auto"/>
          <w:szCs w:val="24"/>
          <w:highlight w:val="none"/>
          <w:u w:color="000000"/>
        </w:rPr>
        <w:t>要求的标的物。</w:t>
      </w:r>
    </w:p>
    <w:p w14:paraId="435A22FF">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(3)卖方应当按照约定或者交易习惯向采购人交付提取标的物单证以外的有关单证和资料。</w:t>
      </w:r>
    </w:p>
    <w:p w14:paraId="7997D5FB">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9.检验和验收</w:t>
      </w:r>
    </w:p>
    <w:p w14:paraId="0D9C01A0">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01D2CC3D">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(2)买方根据合同规定的内容和验收标准进行验收，经检验无误后出具验收合格证明，该证明作为最终付款所需文件的组成部分。</w:t>
      </w:r>
    </w:p>
    <w:p w14:paraId="28EAB555">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(3)验收期限自标的物交付之日起5个工作日内。特殊情况需延长的，双方应在合同条款中约定。</w:t>
      </w:r>
    </w:p>
    <w:p w14:paraId="5A383AA5">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 对标的物提出异议的时间和办法</w:t>
      </w:r>
    </w:p>
    <w:p w14:paraId="1B59A907">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10.对标的物提出异议的时间和办法 </w:t>
      </w:r>
    </w:p>
    <w:p w14:paraId="1E65304B">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(1)买方在验收过程中，应当于双方约定的检验期间内将标的物的数量或质量不符合约定的情形及处理方式以书面形式通知卖方。</w:t>
      </w:r>
    </w:p>
    <w:p w14:paraId="32B69974">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(2)如买方在验收期满后既不出具验收合格证明又未提出书面异议的视为卖方所交标的物符合合同规定。</w:t>
      </w:r>
    </w:p>
    <w:p w14:paraId="03BB484D">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(3)卖方应在收到买方书面异议后七天内负责处理问题，否则将视为默认买方提出的异议和处理意见。</w:t>
      </w:r>
    </w:p>
    <w:p w14:paraId="24F15B56">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 合同价款和支付</w:t>
      </w:r>
    </w:p>
    <w:p w14:paraId="60779545">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11.合同价款和支付</w:t>
      </w:r>
    </w:p>
    <w:p w14:paraId="2F14A082">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(1)本合同的结算货币为人民币，单位元。</w:t>
      </w:r>
    </w:p>
    <w:p w14:paraId="52D2C8C9">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(2)卖方应按照双方签订的合同规定交货并在合同主要条款规定的期限内持下列单据结算货款：</w:t>
      </w:r>
    </w:p>
    <w:p w14:paraId="07820F73">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&lt;1&gt;合格的销售发票；</w:t>
      </w:r>
    </w:p>
    <w:p w14:paraId="355C41EE">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&lt;2&gt;买方盖章签收后的送货回单和验收合格证明。</w:t>
      </w:r>
    </w:p>
    <w:p w14:paraId="5BBA5D35">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(3)买方应按合同主要条款规定的期限和方式付款。</w:t>
      </w:r>
    </w:p>
    <w:p w14:paraId="617EC1D8">
      <w:pPr>
        <w:pStyle w:val="7"/>
        <w:tabs>
          <w:tab w:val="left" w:pos="540"/>
        </w:tabs>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(4)根据现行税法对买方征收的与本合同有关的一切税费均由买方承担；根据现行税法对卖方征收的与本合同有关的一切税费均由卖方承担。</w:t>
      </w:r>
    </w:p>
    <w:p w14:paraId="15732298">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 违约责任</w:t>
      </w:r>
    </w:p>
    <w:p w14:paraId="5899D842">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12.违约责任</w:t>
      </w:r>
    </w:p>
    <w:p w14:paraId="480AF608">
      <w:pPr>
        <w:pStyle w:val="7"/>
        <w:spacing w:line="500" w:lineRule="exact"/>
        <w:ind w:firstLine="540" w:firstLineChars="225"/>
        <w:rPr>
          <w:rFonts w:hAnsi="宋体" w:cs="宋体"/>
          <w:color w:val="auto"/>
          <w:szCs w:val="24"/>
          <w:highlight w:val="none"/>
          <w:u w:color="000000"/>
        </w:rPr>
      </w:pPr>
      <w:r>
        <w:rPr>
          <w:rFonts w:hint="eastAsia" w:hAnsi="宋体" w:cs="宋体"/>
          <w:color w:val="auto"/>
          <w:szCs w:val="24"/>
          <w:highlight w:val="none"/>
          <w:u w:color="000000"/>
        </w:rPr>
        <w:t>合同一方不履行合同义务或者履行合同义务不符合约定的，应当承担继续履行、采取补救措施或者赔偿损失等违约责任。</w:t>
      </w:r>
    </w:p>
    <w:p w14:paraId="10409447">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13.买方违约责任</w:t>
      </w:r>
    </w:p>
    <w:p w14:paraId="6CAEA079">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(1)在合同生效后，非产品质量问题，买方要求退货的，应向卖方偿付合同总价款的5%，作为违约金，违约金不足以补偿损失的，卖方有权要求</w:t>
      </w:r>
      <w:r>
        <w:rPr>
          <w:rFonts w:hint="eastAsia" w:hAnsi="宋体" w:cs="宋体"/>
          <w:color w:val="auto"/>
          <w:szCs w:val="24"/>
          <w:highlight w:val="none"/>
          <w:u w:color="000000"/>
          <w:lang w:val="en-US" w:eastAsia="zh-CN"/>
        </w:rPr>
        <w:t>买</w:t>
      </w:r>
      <w:r>
        <w:rPr>
          <w:rFonts w:hint="eastAsia" w:hAnsi="宋体" w:cs="宋体"/>
          <w:color w:val="auto"/>
          <w:szCs w:val="24"/>
          <w:highlight w:val="none"/>
          <w:u w:color="000000"/>
        </w:rPr>
        <w:t>方补足。</w:t>
      </w:r>
    </w:p>
    <w:p w14:paraId="78E1219D">
      <w:pPr>
        <w:pStyle w:val="7"/>
        <w:overflowPunct w:val="0"/>
        <w:spacing w:line="500" w:lineRule="exact"/>
        <w:ind w:right="-334" w:rightChars="-159" w:firstLine="600" w:firstLineChars="250"/>
        <w:rPr>
          <w:rFonts w:hAnsi="宋体" w:cs="宋体"/>
          <w:color w:val="auto"/>
          <w:szCs w:val="24"/>
          <w:highlight w:val="none"/>
          <w:u w:color="000000"/>
        </w:rPr>
      </w:pPr>
      <w:r>
        <w:rPr>
          <w:rFonts w:hint="eastAsia" w:hAnsi="宋体" w:cs="宋体"/>
          <w:color w:val="auto"/>
          <w:szCs w:val="24"/>
          <w:highlight w:val="none"/>
          <w:u w:color="000000"/>
        </w:rPr>
        <w:t>(2)买方逾期付款的应按照逾期付款金额的每天万分之四支付逾期付款违约金。</w:t>
      </w:r>
    </w:p>
    <w:p w14:paraId="7B385366">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(3)买方违反合同规定，拒绝接收卖方交付的符合</w:t>
      </w:r>
      <w:r>
        <w:rPr>
          <w:rFonts w:hint="eastAsia" w:hAnsi="宋体" w:cs="宋体"/>
          <w:color w:val="auto"/>
          <w:szCs w:val="24"/>
          <w:highlight w:val="none"/>
          <w:u w:color="000000"/>
          <w:lang w:eastAsia="zh-CN"/>
        </w:rPr>
        <w:t>询价采购文件</w:t>
      </w:r>
      <w:r>
        <w:rPr>
          <w:rFonts w:hint="eastAsia" w:hAnsi="宋体" w:cs="宋体"/>
          <w:color w:val="auto"/>
          <w:szCs w:val="24"/>
          <w:highlight w:val="none"/>
          <w:u w:color="000000"/>
        </w:rPr>
        <w:t>要求的合格标的物，应当承担卖方由此造成的损失。</w:t>
      </w:r>
    </w:p>
    <w:p w14:paraId="273AF87B">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14.卖方违约责任</w:t>
      </w:r>
    </w:p>
    <w:p w14:paraId="7AE9F22C">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(1)卖方不能交货（逾期超过五天视为不能交货），或交货不合格从而影响买方按期正常使用的，应向买方偿付合同总价款5%的违约金，违约金不足以补偿损失的，买方有权要求卖方补足。</w:t>
      </w:r>
    </w:p>
    <w:p w14:paraId="6AA86AF3">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14:paraId="66296ADD">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（3）卖方逾期提供售后服务的，每逾期一天应按货款的每天万分之四支付违约金，同时承担买方因此遭致的损失费用。</w:t>
      </w:r>
    </w:p>
    <w:p w14:paraId="7B7AA0AB">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15.不可抗力</w:t>
      </w:r>
    </w:p>
    <w:p w14:paraId="75623746">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(1)因水灾、火灾、地震、战争等不可抗力不能履行合同的，根据不可抗力的影响，部分或者全部免除责任。但合同一方迟延履行后发生不可抗力的，不能免除责任。</w:t>
      </w:r>
    </w:p>
    <w:p w14:paraId="27B61E79">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(2)合同一方因不可抗力不能履行合同的，应当及时通知对方，以减轻可能给对方造成的损失，并应当在合理期限内提供证明。</w:t>
      </w:r>
    </w:p>
    <w:p w14:paraId="4AD0DC80">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 索赔</w:t>
      </w:r>
    </w:p>
    <w:p w14:paraId="7EDCAA0B">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16.索赔</w:t>
      </w:r>
    </w:p>
    <w:p w14:paraId="590F6680">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(1)买方有权根据当地产品质量检验机构或其它有权威部门出具的检验证书向卖方提出索赔。</w:t>
      </w:r>
    </w:p>
    <w:p w14:paraId="5936C79A">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(2)在本合同规定的检验期和质量保证期内，如果卖方对买方提出的索赔或差异有责任，则卖方应按买方同意的下列一种或多种方式解决索赔事宜：</w:t>
      </w:r>
    </w:p>
    <w:p w14:paraId="0673B1E5">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&lt;1&gt;卖方同意退货，并按合同规定的货币将货款退还给买方，并承担由此发生的一切损失和费用，包括利息、银行手续费、运费、保险费、检验费、仓储费、装卸费以及为保护退回标的物所需的其它必要费用；</w:t>
      </w:r>
    </w:p>
    <w:p w14:paraId="45751B24">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&lt;2&gt;根据标的物的低劣程度、损坏程度以及</w:t>
      </w:r>
      <w:r>
        <w:rPr>
          <w:rFonts w:hint="eastAsia" w:hAnsi="宋体" w:cs="宋体"/>
          <w:color w:val="auto"/>
          <w:szCs w:val="24"/>
          <w:highlight w:val="none"/>
          <w:u w:color="000000"/>
          <w:lang w:val="en-US" w:eastAsia="zh-CN"/>
        </w:rPr>
        <w:t>买</w:t>
      </w:r>
      <w:r>
        <w:rPr>
          <w:rFonts w:hint="eastAsia" w:hAnsi="宋体" w:cs="宋体"/>
          <w:color w:val="auto"/>
          <w:szCs w:val="24"/>
          <w:highlight w:val="none"/>
          <w:u w:color="000000"/>
        </w:rPr>
        <w:t>方遭受损失的数额，经双方协商确定降低标的物的价格；</w:t>
      </w:r>
    </w:p>
    <w:p w14:paraId="47939B38">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59FD496C">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4156D4EB">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(4)买方提出索赔的书面材料应报当地政府采购管理部门备案。卖方同意的索赔方案应报当地政府采购管理部门审核。</w:t>
      </w:r>
    </w:p>
    <w:p w14:paraId="768FC8E0">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 履约保证金</w:t>
      </w:r>
    </w:p>
    <w:p w14:paraId="7D497979">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17.履约保证金</w:t>
      </w:r>
    </w:p>
    <w:p w14:paraId="01F4312B">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(1)卖方应在本合同签订时，按</w:t>
      </w:r>
      <w:r>
        <w:rPr>
          <w:rFonts w:hint="eastAsia" w:hAnsi="宋体" w:cs="宋体"/>
          <w:color w:val="auto"/>
          <w:szCs w:val="24"/>
          <w:highlight w:val="none"/>
          <w:u w:color="000000"/>
          <w:lang w:eastAsia="zh-CN"/>
        </w:rPr>
        <w:t>询价采购文件</w:t>
      </w:r>
      <w:r>
        <w:rPr>
          <w:rFonts w:hint="eastAsia" w:hAnsi="宋体" w:cs="宋体"/>
          <w:color w:val="auto"/>
          <w:szCs w:val="24"/>
          <w:highlight w:val="none"/>
          <w:u w:color="000000"/>
        </w:rPr>
        <w:t>的约定提供相应的履约保证金，保证金的有效期应不低于合同有效期。</w:t>
      </w:r>
    </w:p>
    <w:p w14:paraId="194D8C3F">
      <w:pPr>
        <w:pStyle w:val="7"/>
        <w:overflowPunct w:val="0"/>
        <w:spacing w:line="500" w:lineRule="exact"/>
        <w:ind w:right="-334" w:rightChars="-159" w:firstLine="600" w:firstLineChars="250"/>
        <w:rPr>
          <w:rFonts w:hAnsi="宋体" w:cs="宋体"/>
          <w:color w:val="auto"/>
          <w:szCs w:val="24"/>
          <w:highlight w:val="none"/>
          <w:u w:color="000000"/>
        </w:rPr>
      </w:pPr>
      <w:r>
        <w:rPr>
          <w:rFonts w:hint="eastAsia" w:hAnsi="宋体" w:cs="宋体"/>
          <w:color w:val="auto"/>
          <w:szCs w:val="24"/>
          <w:highlight w:val="none"/>
          <w:u w:color="000000"/>
        </w:rPr>
        <w:t>(2)如果卖方未能履行合同规定的任何义务，买方有权从履约保证金中取得补偿。</w:t>
      </w:r>
    </w:p>
    <w:p w14:paraId="6653A3F8">
      <w:pPr>
        <w:pStyle w:val="7"/>
        <w:overflowPunct w:val="0"/>
        <w:spacing w:line="500" w:lineRule="exact"/>
        <w:ind w:right="-334" w:rightChars="-159" w:firstLine="0"/>
        <w:rPr>
          <w:rFonts w:hAnsi="宋体" w:cs="宋体"/>
          <w:b/>
          <w:color w:val="auto"/>
          <w:kern w:val="2"/>
          <w:szCs w:val="24"/>
          <w:highlight w:val="none"/>
        </w:rPr>
      </w:pPr>
      <w:r>
        <w:rPr>
          <w:rFonts w:hint="eastAsia" w:hAnsi="宋体" w:cs="宋体"/>
          <w:b/>
          <w:color w:val="auto"/>
          <w:kern w:val="2"/>
          <w:szCs w:val="24"/>
          <w:highlight w:val="none"/>
        </w:rPr>
        <w:t>九.  合同的解除和转让</w:t>
      </w:r>
    </w:p>
    <w:p w14:paraId="501B191D">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18.合同的解除</w:t>
      </w:r>
    </w:p>
    <w:p w14:paraId="62BB01CE">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(1)买方和卖方协商一致，可以解除合同。</w:t>
      </w:r>
    </w:p>
    <w:p w14:paraId="54B05CC7">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(2)有下列情形之一，合同一方可以解除合同：</w:t>
      </w:r>
    </w:p>
    <w:p w14:paraId="312C60A5">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&lt;1&gt;因不可抗力致使不能实现合同目的，未受不可抗力影响的一方有权解除合同；</w:t>
      </w:r>
    </w:p>
    <w:p w14:paraId="294EB592">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&lt;2&gt;因合同一方违约导致合同不能履行，另一方有权解除合同。</w:t>
      </w:r>
    </w:p>
    <w:p w14:paraId="3FAE9635">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(3)有权解除合同的一方，应当在违约事实或不可抗力发生之后三十天内书面通知对方以主张解除合同，合同在书面通知到达对方时解除。</w:t>
      </w:r>
    </w:p>
    <w:p w14:paraId="00E3ED58">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19.合同的转让</w:t>
      </w:r>
    </w:p>
    <w:p w14:paraId="02BFEA81">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合同的部分和全部都不得转让。</w:t>
      </w:r>
    </w:p>
    <w:p w14:paraId="59051ECE">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 合同的生效</w:t>
      </w:r>
    </w:p>
    <w:p w14:paraId="28417668">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20.合同的生效</w:t>
      </w:r>
    </w:p>
    <w:p w14:paraId="0489174F">
      <w:pPr>
        <w:spacing w:line="500" w:lineRule="exact"/>
        <w:ind w:firstLine="664" w:firstLineChars="27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本合同在双方签字盖章后生效。</w:t>
      </w:r>
    </w:p>
    <w:p w14:paraId="27F0FABC">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 争议解决</w:t>
      </w:r>
    </w:p>
    <w:p w14:paraId="17A4A18C">
      <w:pPr>
        <w:spacing w:line="500" w:lineRule="exact"/>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21.争议解决</w:t>
      </w:r>
    </w:p>
    <w:p w14:paraId="18B11065">
      <w:pPr>
        <w:pStyle w:val="7"/>
        <w:overflowPunct w:val="0"/>
        <w:spacing w:line="500" w:lineRule="exact"/>
        <w:rPr>
          <w:rFonts w:hAnsi="宋体" w:cs="宋体"/>
          <w:color w:val="auto"/>
          <w:szCs w:val="24"/>
          <w:highlight w:val="none"/>
          <w:u w:color="000000"/>
        </w:rPr>
      </w:pPr>
      <w:r>
        <w:rPr>
          <w:rFonts w:hint="eastAsia" w:hAnsi="宋体" w:cs="宋体"/>
          <w:color w:val="auto"/>
          <w:szCs w:val="24"/>
          <w:highlight w:val="none"/>
          <w:u w:color="000000"/>
        </w:rPr>
        <w:t xml:space="preserve"> 买卖双方因合同发生争议，进行调解，协商不成，可选择：（2）</w:t>
      </w:r>
    </w:p>
    <w:p w14:paraId="23F8C3EC">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(1)双方同时</w:t>
      </w:r>
      <w:r>
        <w:rPr>
          <w:rFonts w:hint="eastAsia" w:hAnsi="宋体" w:cs="宋体"/>
          <w:color w:val="auto"/>
          <w:szCs w:val="24"/>
          <w:highlight w:val="none"/>
        </w:rPr>
        <w:t>将争议提交滁州仲裁委员会</w:t>
      </w:r>
      <w:r>
        <w:rPr>
          <w:rFonts w:hint="eastAsia" w:hAnsi="宋体" w:cs="宋体"/>
          <w:color w:val="auto"/>
          <w:szCs w:val="24"/>
          <w:highlight w:val="none"/>
          <w:u w:color="000000"/>
        </w:rPr>
        <w:t>进行仲裁；</w:t>
      </w:r>
    </w:p>
    <w:p w14:paraId="36E13E8C">
      <w:pPr>
        <w:pStyle w:val="7"/>
        <w:tabs>
          <w:tab w:val="left" w:pos="900"/>
        </w:tabs>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(2)向买方所在地人民法院提起诉讼。</w:t>
      </w:r>
    </w:p>
    <w:p w14:paraId="3BE8577A">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 .附则</w:t>
      </w:r>
    </w:p>
    <w:p w14:paraId="18EA155A">
      <w:pPr>
        <w:spacing w:line="500" w:lineRule="exact"/>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22.合同份数。</w:t>
      </w:r>
    </w:p>
    <w:p w14:paraId="1690A9F1">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本合同一式陆份，买卖双方各执叁份。</w:t>
      </w:r>
    </w:p>
    <w:p w14:paraId="53689308">
      <w:pPr>
        <w:spacing w:line="500" w:lineRule="exact"/>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23.未尽事宜</w:t>
      </w:r>
    </w:p>
    <w:p w14:paraId="490B9EF5">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本合同未尽事宜应按《中华人民共和国政府采购法》、《中华人民共和国民法典》、《中华人民共和国产品质量法》之规定解释。</w:t>
      </w:r>
    </w:p>
    <w:p w14:paraId="51DB1056">
      <w:pPr>
        <w:spacing w:line="500" w:lineRule="exact"/>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br w:type="page"/>
      </w:r>
    </w:p>
    <w:p w14:paraId="1598AFEB">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第六章  响应文件格式</w:t>
      </w:r>
      <w:bookmarkEnd w:id="53"/>
    </w:p>
    <w:p w14:paraId="5E61D180">
      <w:pPr>
        <w:spacing w:line="900" w:lineRule="exact"/>
        <w:jc w:val="center"/>
        <w:rPr>
          <w:rFonts w:asciiTheme="minorEastAsia" w:hAnsiTheme="minorEastAsia" w:eastAsiaTheme="minorEastAsia"/>
          <w:b/>
          <w:color w:val="auto"/>
          <w:sz w:val="72"/>
          <w:highlight w:val="none"/>
        </w:rPr>
      </w:pPr>
    </w:p>
    <w:p w14:paraId="7DCFACEF">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响</w:t>
      </w:r>
    </w:p>
    <w:p w14:paraId="22A8F2EF">
      <w:pPr>
        <w:spacing w:line="900" w:lineRule="exact"/>
        <w:jc w:val="center"/>
        <w:rPr>
          <w:rFonts w:asciiTheme="minorEastAsia" w:hAnsiTheme="minorEastAsia" w:eastAsiaTheme="minorEastAsia"/>
          <w:b/>
          <w:color w:val="auto"/>
          <w:sz w:val="72"/>
          <w:highlight w:val="none"/>
        </w:rPr>
      </w:pPr>
    </w:p>
    <w:p w14:paraId="51D55F3F">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应</w:t>
      </w:r>
    </w:p>
    <w:p w14:paraId="07C1C641">
      <w:pPr>
        <w:spacing w:line="900" w:lineRule="exact"/>
        <w:jc w:val="center"/>
        <w:rPr>
          <w:rFonts w:asciiTheme="minorEastAsia" w:hAnsiTheme="minorEastAsia" w:eastAsiaTheme="minorEastAsia"/>
          <w:b/>
          <w:color w:val="auto"/>
          <w:sz w:val="72"/>
          <w:highlight w:val="none"/>
        </w:rPr>
      </w:pPr>
    </w:p>
    <w:p w14:paraId="7B74CA3F">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78316008">
      <w:pPr>
        <w:spacing w:line="900" w:lineRule="exact"/>
        <w:jc w:val="center"/>
        <w:rPr>
          <w:rFonts w:asciiTheme="minorEastAsia" w:hAnsiTheme="minorEastAsia" w:eastAsiaTheme="minorEastAsia"/>
          <w:b/>
          <w:color w:val="auto"/>
          <w:sz w:val="72"/>
          <w:highlight w:val="none"/>
        </w:rPr>
      </w:pPr>
    </w:p>
    <w:p w14:paraId="2E25726D">
      <w:pPr>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4853E166">
      <w:pPr>
        <w:spacing w:after="156" w:afterLines="50"/>
        <w:jc w:val="center"/>
        <w:rPr>
          <w:rFonts w:asciiTheme="minorEastAsia" w:hAnsiTheme="minorEastAsia" w:eastAsiaTheme="minorEastAsia"/>
          <w:b/>
          <w:color w:val="auto"/>
          <w:sz w:val="72"/>
          <w:highlight w:val="none"/>
        </w:rPr>
      </w:pPr>
    </w:p>
    <w:p w14:paraId="2C7D9CBC">
      <w:pPr>
        <w:spacing w:after="156" w:afterLines="50" w:line="500" w:lineRule="exact"/>
        <w:jc w:val="center"/>
        <w:rPr>
          <w:rFonts w:asciiTheme="minorEastAsia" w:hAnsiTheme="minorEastAsia" w:eastAsiaTheme="minorEastAsia"/>
          <w:b/>
          <w:color w:val="auto"/>
          <w:sz w:val="28"/>
          <w:szCs w:val="28"/>
          <w:highlight w:val="none"/>
        </w:rPr>
      </w:pPr>
    </w:p>
    <w:p w14:paraId="01AC40A9">
      <w:pPr>
        <w:tabs>
          <w:tab w:val="left" w:pos="2410"/>
        </w:tabs>
        <w:autoSpaceDE w:val="0"/>
        <w:autoSpaceDN w:val="0"/>
        <w:adjustRightInd w:val="0"/>
        <w:snapToGrid w:val="0"/>
        <w:spacing w:line="360" w:lineRule="auto"/>
        <w:ind w:firstLine="643" w:firstLineChars="200"/>
        <w:rPr>
          <w:rFonts w:ascii="宋体" w:hAnsi="宋体" w:eastAsia="宋体"/>
          <w:b/>
          <w:color w:val="auto"/>
          <w:spacing w:val="20"/>
          <w:kern w:val="0"/>
          <w:sz w:val="32"/>
          <w:szCs w:val="32"/>
          <w:highlight w:val="none"/>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p>
    <w:p w14:paraId="41B225B6">
      <w:pPr>
        <w:tabs>
          <w:tab w:val="left" w:pos="2410"/>
        </w:tabs>
        <w:autoSpaceDE w:val="0"/>
        <w:autoSpaceDN w:val="0"/>
        <w:adjustRightInd w:val="0"/>
        <w:snapToGrid w:val="0"/>
        <w:spacing w:line="360" w:lineRule="auto"/>
        <w:ind w:firstLine="643" w:firstLineChars="200"/>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p>
    <w:p w14:paraId="2755CD7A">
      <w:pPr>
        <w:spacing w:after="156" w:afterLines="50" w:line="500" w:lineRule="exact"/>
        <w:ind w:firstLine="643" w:firstLineChars="200"/>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供 应 商：</w:t>
      </w:r>
      <w:r>
        <w:rPr>
          <w:rFonts w:hint="eastAsia" w:asciiTheme="minorEastAsia" w:hAnsiTheme="minorEastAsia" w:eastAsiaTheme="minorEastAsia"/>
          <w:b/>
          <w:color w:val="auto"/>
          <w:sz w:val="32"/>
          <w:highlight w:val="none"/>
          <w:u w:val="single"/>
        </w:rPr>
        <w:t xml:space="preserve">                  </w:t>
      </w:r>
    </w:p>
    <w:p w14:paraId="3D23C65E">
      <w:pPr>
        <w:spacing w:after="156" w:afterLines="50" w:line="500" w:lineRule="exact"/>
        <w:jc w:val="center"/>
        <w:outlineLvl w:val="1"/>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55" w:name="_Toc215"/>
      <w:bookmarkStart w:id="56" w:name="_Toc13530"/>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55"/>
      <w:bookmarkEnd w:id="56"/>
    </w:p>
    <w:p w14:paraId="5BD43702">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6A09AA27">
      <w:pPr>
        <w:spacing w:line="360" w:lineRule="auto"/>
        <w:jc w:val="center"/>
        <w:outlineLvl w:val="1"/>
        <w:rPr>
          <w:rFonts w:asciiTheme="minorEastAsia" w:hAnsiTheme="minorEastAsia" w:eastAsiaTheme="minorEastAsia"/>
          <w:b/>
          <w:color w:val="auto"/>
          <w:sz w:val="24"/>
          <w:highlight w:val="none"/>
        </w:rPr>
      </w:pPr>
      <w:bookmarkStart w:id="57" w:name="_Toc14197"/>
      <w:bookmarkStart w:id="58" w:name="_Toc11521"/>
      <w:bookmarkStart w:id="59" w:name="_Hlk23205287"/>
      <w:r>
        <w:rPr>
          <w:rFonts w:hint="eastAsia" w:asciiTheme="minorEastAsia" w:hAnsiTheme="minorEastAsia" w:eastAsiaTheme="minorEastAsia"/>
          <w:b/>
          <w:color w:val="auto"/>
          <w:sz w:val="24"/>
          <w:highlight w:val="none"/>
        </w:rPr>
        <w:t>一、报价表</w:t>
      </w:r>
      <w:bookmarkEnd w:id="57"/>
      <w:bookmarkEnd w:id="58"/>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438"/>
        <w:gridCol w:w="1436"/>
        <w:gridCol w:w="1436"/>
        <w:gridCol w:w="732"/>
        <w:gridCol w:w="752"/>
        <w:gridCol w:w="1022"/>
        <w:gridCol w:w="1024"/>
        <w:gridCol w:w="736"/>
      </w:tblGrid>
      <w:tr w14:paraId="0843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83" w:type="pct"/>
            <w:vAlign w:val="center"/>
          </w:tcPr>
          <w:p w14:paraId="0A52F328">
            <w:pPr>
              <w:pStyle w:val="45"/>
              <w:widowControl w:val="0"/>
              <w:spacing w:before="0" w:beforeAutospacing="0" w:after="0" w:afterAutospacing="0"/>
              <w:rPr>
                <w:rFonts w:asciiTheme="minorEastAsia" w:hAnsiTheme="minorEastAsia" w:eastAsiaTheme="minorEastAsia"/>
                <w:bCs w:val="0"/>
                <w:color w:val="auto"/>
                <w:kern w:val="2"/>
                <w:sz w:val="24"/>
                <w:szCs w:val="24"/>
                <w:highlight w:val="none"/>
              </w:rPr>
            </w:pPr>
            <w:r>
              <w:rPr>
                <w:rFonts w:hint="eastAsia" w:asciiTheme="minorEastAsia" w:hAnsiTheme="minorEastAsia" w:eastAsiaTheme="minorEastAsia"/>
                <w:bCs w:val="0"/>
                <w:color w:val="auto"/>
                <w:kern w:val="2"/>
                <w:sz w:val="24"/>
                <w:szCs w:val="24"/>
                <w:highlight w:val="none"/>
              </w:rPr>
              <w:t>序号</w:t>
            </w:r>
          </w:p>
        </w:tc>
        <w:tc>
          <w:tcPr>
            <w:tcW w:w="774" w:type="pct"/>
            <w:vAlign w:val="center"/>
          </w:tcPr>
          <w:p w14:paraId="24B5BDA7">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货物名称</w:t>
            </w:r>
          </w:p>
        </w:tc>
        <w:tc>
          <w:tcPr>
            <w:tcW w:w="773" w:type="pct"/>
            <w:vAlign w:val="center"/>
          </w:tcPr>
          <w:p w14:paraId="78D3BB74">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品牌、型</w:t>
            </w:r>
          </w:p>
          <w:p w14:paraId="46DD27B4">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号</w:t>
            </w:r>
          </w:p>
        </w:tc>
        <w:tc>
          <w:tcPr>
            <w:tcW w:w="773" w:type="pct"/>
            <w:vAlign w:val="center"/>
          </w:tcPr>
          <w:p w14:paraId="2E617260">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生产厂商</w:t>
            </w:r>
          </w:p>
        </w:tc>
        <w:tc>
          <w:tcPr>
            <w:tcW w:w="394" w:type="pct"/>
            <w:vAlign w:val="center"/>
          </w:tcPr>
          <w:p w14:paraId="3BA6BFCB">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单位</w:t>
            </w:r>
          </w:p>
        </w:tc>
        <w:tc>
          <w:tcPr>
            <w:tcW w:w="404" w:type="pct"/>
            <w:vAlign w:val="center"/>
          </w:tcPr>
          <w:p w14:paraId="00623E4C">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数量</w:t>
            </w:r>
          </w:p>
        </w:tc>
        <w:tc>
          <w:tcPr>
            <w:tcW w:w="550" w:type="pct"/>
            <w:vAlign w:val="center"/>
          </w:tcPr>
          <w:p w14:paraId="09C5DF69">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单价</w:t>
            </w:r>
          </w:p>
          <w:p w14:paraId="3B2D879C">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（元）</w:t>
            </w:r>
          </w:p>
        </w:tc>
        <w:tc>
          <w:tcPr>
            <w:tcW w:w="551" w:type="pct"/>
            <w:vAlign w:val="center"/>
          </w:tcPr>
          <w:p w14:paraId="0CF0BB92">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小计</w:t>
            </w:r>
          </w:p>
          <w:p w14:paraId="0C91675F">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（元）</w:t>
            </w:r>
          </w:p>
        </w:tc>
        <w:tc>
          <w:tcPr>
            <w:tcW w:w="396" w:type="pct"/>
            <w:vAlign w:val="center"/>
          </w:tcPr>
          <w:p w14:paraId="2FE2D17E">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备注</w:t>
            </w:r>
          </w:p>
        </w:tc>
      </w:tr>
      <w:tr w14:paraId="6A1F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83" w:type="pct"/>
            <w:vAlign w:val="center"/>
          </w:tcPr>
          <w:p w14:paraId="03A447B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74" w:type="pct"/>
            <w:vAlign w:val="center"/>
          </w:tcPr>
          <w:p w14:paraId="7755C44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联动型火灾报警控制器（壁挂式）</w:t>
            </w:r>
          </w:p>
        </w:tc>
        <w:tc>
          <w:tcPr>
            <w:tcW w:w="773" w:type="pct"/>
            <w:vAlign w:val="center"/>
          </w:tcPr>
          <w:p w14:paraId="12A2D51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773" w:type="pct"/>
            <w:vAlign w:val="center"/>
          </w:tcPr>
          <w:p w14:paraId="4CBB68C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394" w:type="pct"/>
            <w:vAlign w:val="center"/>
          </w:tcPr>
          <w:p w14:paraId="10A91EB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404" w:type="pct"/>
            <w:vAlign w:val="center"/>
          </w:tcPr>
          <w:p w14:paraId="61277EB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50" w:type="pct"/>
          </w:tcPr>
          <w:p w14:paraId="3E62234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551" w:type="pct"/>
          </w:tcPr>
          <w:p w14:paraId="671C24C7">
            <w:pPr>
              <w:rPr>
                <w:rFonts w:asciiTheme="minorEastAsia" w:hAnsiTheme="minorEastAsia" w:eastAsiaTheme="minorEastAsia"/>
                <w:color w:val="auto"/>
                <w:sz w:val="24"/>
                <w:szCs w:val="24"/>
                <w:highlight w:val="none"/>
              </w:rPr>
            </w:pPr>
          </w:p>
        </w:tc>
        <w:tc>
          <w:tcPr>
            <w:tcW w:w="396" w:type="pct"/>
          </w:tcPr>
          <w:p w14:paraId="206C94F3">
            <w:pPr>
              <w:rPr>
                <w:rFonts w:asciiTheme="minorEastAsia" w:hAnsiTheme="minorEastAsia" w:eastAsiaTheme="minorEastAsia"/>
                <w:color w:val="auto"/>
                <w:sz w:val="24"/>
                <w:szCs w:val="24"/>
                <w:highlight w:val="none"/>
              </w:rPr>
            </w:pPr>
          </w:p>
        </w:tc>
      </w:tr>
      <w:tr w14:paraId="73F4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83" w:type="pct"/>
            <w:vAlign w:val="center"/>
          </w:tcPr>
          <w:p w14:paraId="1A1C5BA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74" w:type="pct"/>
            <w:vAlign w:val="center"/>
          </w:tcPr>
          <w:p w14:paraId="36F0C1B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图形显示装置</w:t>
            </w:r>
          </w:p>
        </w:tc>
        <w:tc>
          <w:tcPr>
            <w:tcW w:w="773" w:type="pct"/>
            <w:vAlign w:val="center"/>
          </w:tcPr>
          <w:p w14:paraId="01BA1B0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773" w:type="pct"/>
            <w:vAlign w:val="center"/>
          </w:tcPr>
          <w:p w14:paraId="4AD34D2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394" w:type="pct"/>
            <w:vAlign w:val="center"/>
          </w:tcPr>
          <w:p w14:paraId="7FA4E23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404" w:type="pct"/>
            <w:vAlign w:val="center"/>
          </w:tcPr>
          <w:p w14:paraId="524AF7E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50" w:type="pct"/>
          </w:tcPr>
          <w:p w14:paraId="3DEA22C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551" w:type="pct"/>
          </w:tcPr>
          <w:p w14:paraId="370D760A">
            <w:pPr>
              <w:rPr>
                <w:rFonts w:asciiTheme="minorEastAsia" w:hAnsiTheme="minorEastAsia" w:eastAsiaTheme="minorEastAsia"/>
                <w:color w:val="auto"/>
                <w:sz w:val="24"/>
                <w:szCs w:val="24"/>
                <w:highlight w:val="none"/>
              </w:rPr>
            </w:pPr>
          </w:p>
        </w:tc>
        <w:tc>
          <w:tcPr>
            <w:tcW w:w="396" w:type="pct"/>
          </w:tcPr>
          <w:p w14:paraId="38B8C9F5">
            <w:pPr>
              <w:rPr>
                <w:rFonts w:asciiTheme="minorEastAsia" w:hAnsiTheme="minorEastAsia" w:eastAsiaTheme="minorEastAsia"/>
                <w:color w:val="auto"/>
                <w:sz w:val="24"/>
                <w:szCs w:val="24"/>
                <w:highlight w:val="none"/>
              </w:rPr>
            </w:pPr>
          </w:p>
        </w:tc>
      </w:tr>
      <w:tr w14:paraId="2843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83" w:type="pct"/>
            <w:vAlign w:val="center"/>
          </w:tcPr>
          <w:p w14:paraId="03C5F9A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74" w:type="pct"/>
            <w:vAlign w:val="center"/>
          </w:tcPr>
          <w:p w14:paraId="3AB1CB8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消防应急广播主机（壁挂式）</w:t>
            </w:r>
          </w:p>
        </w:tc>
        <w:tc>
          <w:tcPr>
            <w:tcW w:w="773" w:type="pct"/>
            <w:vAlign w:val="center"/>
          </w:tcPr>
          <w:p w14:paraId="5E0B16A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773" w:type="pct"/>
            <w:vAlign w:val="center"/>
          </w:tcPr>
          <w:p w14:paraId="00D6694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394" w:type="pct"/>
            <w:vAlign w:val="center"/>
          </w:tcPr>
          <w:p w14:paraId="6F371E7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404" w:type="pct"/>
            <w:vAlign w:val="center"/>
          </w:tcPr>
          <w:p w14:paraId="158AEDB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50" w:type="pct"/>
          </w:tcPr>
          <w:p w14:paraId="0CD4544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551" w:type="pct"/>
          </w:tcPr>
          <w:p w14:paraId="252B6B26">
            <w:pPr>
              <w:rPr>
                <w:rFonts w:asciiTheme="minorEastAsia" w:hAnsiTheme="minorEastAsia" w:eastAsiaTheme="minorEastAsia"/>
                <w:color w:val="auto"/>
                <w:sz w:val="24"/>
                <w:szCs w:val="24"/>
                <w:highlight w:val="none"/>
              </w:rPr>
            </w:pPr>
          </w:p>
        </w:tc>
        <w:tc>
          <w:tcPr>
            <w:tcW w:w="396" w:type="pct"/>
          </w:tcPr>
          <w:p w14:paraId="07068552">
            <w:pPr>
              <w:rPr>
                <w:rFonts w:asciiTheme="minorEastAsia" w:hAnsiTheme="minorEastAsia" w:eastAsiaTheme="minorEastAsia"/>
                <w:color w:val="auto"/>
                <w:sz w:val="24"/>
                <w:szCs w:val="24"/>
                <w:highlight w:val="none"/>
              </w:rPr>
            </w:pPr>
          </w:p>
        </w:tc>
      </w:tr>
      <w:tr w14:paraId="6A37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83" w:type="pct"/>
            <w:vAlign w:val="center"/>
          </w:tcPr>
          <w:p w14:paraId="618BDCB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74" w:type="pct"/>
            <w:vAlign w:val="center"/>
          </w:tcPr>
          <w:p w14:paraId="66BD954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防火门监控主机（壁挂式）</w:t>
            </w:r>
          </w:p>
        </w:tc>
        <w:tc>
          <w:tcPr>
            <w:tcW w:w="773" w:type="pct"/>
            <w:vAlign w:val="center"/>
          </w:tcPr>
          <w:p w14:paraId="413FF89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773" w:type="pct"/>
            <w:vAlign w:val="center"/>
          </w:tcPr>
          <w:p w14:paraId="1E9CF87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394" w:type="pct"/>
            <w:vAlign w:val="center"/>
          </w:tcPr>
          <w:p w14:paraId="7163C18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404" w:type="pct"/>
            <w:vAlign w:val="center"/>
          </w:tcPr>
          <w:p w14:paraId="17F3FA2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50" w:type="pct"/>
          </w:tcPr>
          <w:p w14:paraId="59587EB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551" w:type="pct"/>
          </w:tcPr>
          <w:p w14:paraId="7887CEDD">
            <w:pPr>
              <w:rPr>
                <w:rFonts w:asciiTheme="minorEastAsia" w:hAnsiTheme="minorEastAsia" w:eastAsiaTheme="minorEastAsia"/>
                <w:color w:val="auto"/>
                <w:sz w:val="24"/>
                <w:szCs w:val="24"/>
                <w:highlight w:val="none"/>
              </w:rPr>
            </w:pPr>
          </w:p>
        </w:tc>
        <w:tc>
          <w:tcPr>
            <w:tcW w:w="396" w:type="pct"/>
          </w:tcPr>
          <w:p w14:paraId="27424B7E">
            <w:pPr>
              <w:rPr>
                <w:rFonts w:asciiTheme="minorEastAsia" w:hAnsiTheme="minorEastAsia" w:eastAsiaTheme="minorEastAsia"/>
                <w:color w:val="auto"/>
                <w:sz w:val="24"/>
                <w:szCs w:val="24"/>
                <w:highlight w:val="none"/>
              </w:rPr>
            </w:pPr>
          </w:p>
        </w:tc>
      </w:tr>
      <w:tr w14:paraId="58D2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83" w:type="pct"/>
            <w:vAlign w:val="center"/>
          </w:tcPr>
          <w:p w14:paraId="306EABD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74" w:type="pct"/>
            <w:vAlign w:val="center"/>
          </w:tcPr>
          <w:p w14:paraId="2E6E31D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消防电源监控主机（壁挂式）</w:t>
            </w:r>
          </w:p>
        </w:tc>
        <w:tc>
          <w:tcPr>
            <w:tcW w:w="773" w:type="pct"/>
            <w:vAlign w:val="center"/>
          </w:tcPr>
          <w:p w14:paraId="74AE7D4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773" w:type="pct"/>
            <w:vAlign w:val="center"/>
          </w:tcPr>
          <w:p w14:paraId="07EC9E3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394" w:type="pct"/>
            <w:vAlign w:val="center"/>
          </w:tcPr>
          <w:p w14:paraId="3318E4A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404" w:type="pct"/>
            <w:vAlign w:val="center"/>
          </w:tcPr>
          <w:p w14:paraId="4E3CCDE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50" w:type="pct"/>
          </w:tcPr>
          <w:p w14:paraId="1DD2567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551" w:type="pct"/>
          </w:tcPr>
          <w:p w14:paraId="7DEC2A54">
            <w:pPr>
              <w:rPr>
                <w:rFonts w:asciiTheme="minorEastAsia" w:hAnsiTheme="minorEastAsia" w:eastAsiaTheme="minorEastAsia"/>
                <w:color w:val="auto"/>
                <w:sz w:val="24"/>
                <w:szCs w:val="24"/>
                <w:highlight w:val="none"/>
              </w:rPr>
            </w:pPr>
          </w:p>
        </w:tc>
        <w:tc>
          <w:tcPr>
            <w:tcW w:w="396" w:type="pct"/>
          </w:tcPr>
          <w:p w14:paraId="13F65AB7">
            <w:pPr>
              <w:rPr>
                <w:rFonts w:asciiTheme="minorEastAsia" w:hAnsiTheme="minorEastAsia" w:eastAsiaTheme="minorEastAsia"/>
                <w:color w:val="auto"/>
                <w:sz w:val="24"/>
                <w:szCs w:val="24"/>
                <w:highlight w:val="none"/>
              </w:rPr>
            </w:pPr>
          </w:p>
        </w:tc>
      </w:tr>
      <w:tr w14:paraId="53AA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83" w:type="pct"/>
            <w:vAlign w:val="center"/>
          </w:tcPr>
          <w:p w14:paraId="1590D251">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74" w:type="pct"/>
            <w:vAlign w:val="center"/>
          </w:tcPr>
          <w:p w14:paraId="143F202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剩余电流监控主机（壁挂式）</w:t>
            </w:r>
          </w:p>
        </w:tc>
        <w:tc>
          <w:tcPr>
            <w:tcW w:w="773" w:type="pct"/>
            <w:vAlign w:val="center"/>
          </w:tcPr>
          <w:p w14:paraId="642A766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773" w:type="pct"/>
            <w:vAlign w:val="center"/>
          </w:tcPr>
          <w:p w14:paraId="3CEC0E1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394" w:type="pct"/>
            <w:vAlign w:val="center"/>
          </w:tcPr>
          <w:p w14:paraId="289B9F5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404" w:type="pct"/>
            <w:vAlign w:val="center"/>
          </w:tcPr>
          <w:p w14:paraId="4A1394C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50" w:type="pct"/>
          </w:tcPr>
          <w:p w14:paraId="2B6251C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551" w:type="pct"/>
          </w:tcPr>
          <w:p w14:paraId="10F1B02C">
            <w:pPr>
              <w:rPr>
                <w:rFonts w:asciiTheme="minorEastAsia" w:hAnsiTheme="minorEastAsia" w:eastAsiaTheme="minorEastAsia"/>
                <w:color w:val="auto"/>
                <w:sz w:val="24"/>
                <w:szCs w:val="24"/>
                <w:highlight w:val="none"/>
              </w:rPr>
            </w:pPr>
          </w:p>
        </w:tc>
        <w:tc>
          <w:tcPr>
            <w:tcW w:w="396" w:type="pct"/>
          </w:tcPr>
          <w:p w14:paraId="7E67FEA3">
            <w:pPr>
              <w:rPr>
                <w:rFonts w:asciiTheme="minorEastAsia" w:hAnsiTheme="minorEastAsia" w:eastAsiaTheme="minorEastAsia"/>
                <w:color w:val="auto"/>
                <w:sz w:val="24"/>
                <w:szCs w:val="24"/>
                <w:highlight w:val="none"/>
              </w:rPr>
            </w:pPr>
          </w:p>
        </w:tc>
      </w:tr>
      <w:tr w14:paraId="6089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83" w:type="pct"/>
            <w:vAlign w:val="center"/>
          </w:tcPr>
          <w:p w14:paraId="71EE4BDC">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774" w:type="pct"/>
            <w:vAlign w:val="center"/>
          </w:tcPr>
          <w:p w14:paraId="395B0CF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可燃气体报警控制器</w:t>
            </w:r>
          </w:p>
        </w:tc>
        <w:tc>
          <w:tcPr>
            <w:tcW w:w="773" w:type="pct"/>
            <w:vAlign w:val="center"/>
          </w:tcPr>
          <w:p w14:paraId="2E41E6D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773" w:type="pct"/>
            <w:vAlign w:val="center"/>
          </w:tcPr>
          <w:p w14:paraId="78F2158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394" w:type="pct"/>
            <w:vAlign w:val="center"/>
          </w:tcPr>
          <w:p w14:paraId="3F0B2A5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404" w:type="pct"/>
            <w:vAlign w:val="center"/>
          </w:tcPr>
          <w:p w14:paraId="7FB6710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50" w:type="pct"/>
          </w:tcPr>
          <w:p w14:paraId="5460232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551" w:type="pct"/>
          </w:tcPr>
          <w:p w14:paraId="14F758AF">
            <w:pPr>
              <w:rPr>
                <w:rFonts w:asciiTheme="minorEastAsia" w:hAnsiTheme="minorEastAsia" w:eastAsiaTheme="minorEastAsia"/>
                <w:color w:val="auto"/>
                <w:sz w:val="24"/>
                <w:szCs w:val="24"/>
                <w:highlight w:val="none"/>
              </w:rPr>
            </w:pPr>
          </w:p>
        </w:tc>
        <w:tc>
          <w:tcPr>
            <w:tcW w:w="396" w:type="pct"/>
          </w:tcPr>
          <w:p w14:paraId="2538FC86">
            <w:pPr>
              <w:rPr>
                <w:rFonts w:asciiTheme="minorEastAsia" w:hAnsiTheme="minorEastAsia" w:eastAsiaTheme="minorEastAsia"/>
                <w:color w:val="auto"/>
                <w:sz w:val="24"/>
                <w:szCs w:val="24"/>
                <w:highlight w:val="none"/>
              </w:rPr>
            </w:pPr>
          </w:p>
        </w:tc>
      </w:tr>
      <w:tr w14:paraId="258E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502" w:type="pct"/>
            <w:gridSpan w:val="6"/>
            <w:vAlign w:val="center"/>
          </w:tcPr>
          <w:p w14:paraId="18608C07">
            <w:pPr>
              <w:jc w:val="center"/>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合计（元）</w:t>
            </w:r>
          </w:p>
        </w:tc>
        <w:tc>
          <w:tcPr>
            <w:tcW w:w="1101" w:type="pct"/>
            <w:gridSpan w:val="2"/>
          </w:tcPr>
          <w:p w14:paraId="35803458">
            <w:pPr>
              <w:rPr>
                <w:rFonts w:asciiTheme="minorEastAsia" w:hAnsiTheme="minorEastAsia" w:eastAsiaTheme="minorEastAsia"/>
                <w:color w:val="auto"/>
                <w:sz w:val="24"/>
                <w:szCs w:val="24"/>
                <w:highlight w:val="none"/>
              </w:rPr>
            </w:pPr>
          </w:p>
        </w:tc>
        <w:tc>
          <w:tcPr>
            <w:tcW w:w="396" w:type="pct"/>
          </w:tcPr>
          <w:p w14:paraId="2E43C68C">
            <w:pPr>
              <w:rPr>
                <w:rFonts w:asciiTheme="minorEastAsia" w:hAnsiTheme="minorEastAsia" w:eastAsiaTheme="minorEastAsia"/>
                <w:color w:val="auto"/>
                <w:sz w:val="24"/>
                <w:szCs w:val="24"/>
                <w:highlight w:val="none"/>
              </w:rPr>
            </w:pPr>
          </w:p>
        </w:tc>
      </w:tr>
    </w:tbl>
    <w:p w14:paraId="65C3880E">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0BF46330">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p>
    <w:p w14:paraId="75659998">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注：</w:t>
      </w:r>
    </w:p>
    <w:p w14:paraId="74EECCD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表中所列货物为对应本项目需求的全部货物及所需附件购置费、包装费、运输费、人工费、保险费、安装调试费、各种税费、资料费、售后服务费及完成项目应有的全部费用。如有漏项或缺项，供应商承担全部责任。</w:t>
      </w:r>
    </w:p>
    <w:p w14:paraId="6B9AEAB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2.表中须明确列出所投产品的货物名称、品牌、型号、原产地及生产厂商，否则可能导致</w:t>
      </w:r>
      <w:r>
        <w:rPr>
          <w:rFonts w:hint="eastAsia" w:asciiTheme="minorEastAsia" w:hAnsiTheme="minorEastAsia" w:eastAsiaTheme="minorEastAsia"/>
          <w:b/>
          <w:bCs/>
          <w:color w:val="auto"/>
          <w:sz w:val="24"/>
          <w:highlight w:val="none"/>
        </w:rPr>
        <w:t>响应无效</w:t>
      </w:r>
      <w:r>
        <w:rPr>
          <w:rFonts w:hint="eastAsia" w:asciiTheme="minorEastAsia" w:hAnsiTheme="minorEastAsia" w:eastAsiaTheme="minorEastAsia"/>
          <w:color w:val="auto"/>
          <w:sz w:val="24"/>
          <w:highlight w:val="none"/>
        </w:rPr>
        <w:t>。</w:t>
      </w:r>
    </w:p>
    <w:p w14:paraId="0A288BC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.任何有选择或有条件的报价，或者表中某一包别填写多个报价，均为无效报价。</w:t>
      </w:r>
    </w:p>
    <w:p w14:paraId="6E0E058A">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725DE3AC">
      <w:pPr>
        <w:spacing w:line="360" w:lineRule="auto"/>
        <w:jc w:val="center"/>
        <w:outlineLvl w:val="1"/>
        <w:rPr>
          <w:rFonts w:asciiTheme="minorEastAsia" w:hAnsiTheme="minorEastAsia" w:eastAsiaTheme="minorEastAsia"/>
          <w:b/>
          <w:color w:val="auto"/>
          <w:sz w:val="24"/>
          <w:highlight w:val="none"/>
        </w:rPr>
      </w:pPr>
      <w:bookmarkStart w:id="60" w:name="_Toc17882"/>
      <w:bookmarkStart w:id="61" w:name="_Toc26924"/>
      <w:r>
        <w:rPr>
          <w:rFonts w:hint="eastAsia" w:asciiTheme="minorEastAsia" w:hAnsiTheme="minorEastAsia" w:eastAsiaTheme="minorEastAsia"/>
          <w:b/>
          <w:color w:val="auto"/>
          <w:sz w:val="24"/>
          <w:highlight w:val="none"/>
        </w:rPr>
        <w:t>二、响应函</w:t>
      </w:r>
      <w:bookmarkEnd w:id="60"/>
      <w:bookmarkEnd w:id="61"/>
    </w:p>
    <w:p w14:paraId="2CF7454D">
      <w:pPr>
        <w:pStyle w:val="13"/>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致：</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采购人</w:t>
      </w:r>
    </w:p>
    <w:p w14:paraId="09F0188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根据贵方的询价公告和询价邀请，我方兹宣布同意如下：</w:t>
      </w:r>
    </w:p>
    <w:p w14:paraId="1754A21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1.我方根据</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的规定，严格履行合同的责任和义务,并保证于</w:t>
      </w:r>
      <w:r>
        <w:rPr>
          <w:rFonts w:hint="eastAsia" w:asciiTheme="minorEastAsia" w:hAnsiTheme="minorEastAsia" w:eastAsiaTheme="minorEastAsia"/>
          <w:color w:val="auto"/>
          <w:sz w:val="24"/>
          <w:highlight w:val="none"/>
          <w:lang w:val="en-US" w:eastAsia="zh-CN"/>
        </w:rPr>
        <w:t>采购人</w:t>
      </w:r>
      <w:r>
        <w:rPr>
          <w:rFonts w:hint="eastAsia" w:asciiTheme="minorEastAsia" w:hAnsiTheme="minorEastAsia" w:eastAsiaTheme="minorEastAsia"/>
          <w:color w:val="auto"/>
          <w:sz w:val="24"/>
          <w:highlight w:val="none"/>
        </w:rPr>
        <w:t>要求的日期内完成，并通过</w:t>
      </w:r>
      <w:r>
        <w:rPr>
          <w:rFonts w:hint="eastAsia" w:asciiTheme="minorEastAsia" w:hAnsiTheme="minorEastAsia" w:eastAsiaTheme="minorEastAsia"/>
          <w:color w:val="auto"/>
          <w:sz w:val="24"/>
          <w:highlight w:val="none"/>
          <w:lang w:val="en-US" w:eastAsia="zh-CN"/>
        </w:rPr>
        <w:t>采购人组织的</w:t>
      </w:r>
      <w:r>
        <w:rPr>
          <w:rFonts w:hint="eastAsia" w:asciiTheme="minorEastAsia" w:hAnsiTheme="minorEastAsia" w:eastAsiaTheme="minorEastAsia"/>
          <w:color w:val="auto"/>
          <w:sz w:val="24"/>
          <w:highlight w:val="none"/>
        </w:rPr>
        <w:t>验收。</w:t>
      </w:r>
    </w:p>
    <w:p w14:paraId="498D090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2.我方已详细审核全部</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，包括</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的澄清或修改（如有），参考资料及有关附件，我方正式认可并遵守本次</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，并对</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各项条款、规定及要求均无异议。</w:t>
      </w:r>
    </w:p>
    <w:p w14:paraId="0E55882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3.我方同意从</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规定的响应文件提交截止日期起遵循本</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，并在</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规定的询价有效期之前均具有约束力。</w:t>
      </w:r>
    </w:p>
    <w:p w14:paraId="17AF0BF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我方声明响应文件所提供的一切资料均真实无误、及时、有效，企业运营正常。由于我方提供资料不实而造成的责任和后果由我方承担。我方同意按照贵方提出的要求，提供与响应文件有关的任何证据、数据或资料。</w:t>
      </w:r>
    </w:p>
    <w:p w14:paraId="391696A5">
      <w:pPr>
        <w:spacing w:line="360" w:lineRule="auto"/>
        <w:ind w:firstLine="435"/>
        <w:rPr>
          <w:rFonts w:asciiTheme="minorEastAsia" w:hAnsiTheme="minorEastAsia" w:eastAsiaTheme="minorEastAsia"/>
          <w:color w:val="auto"/>
          <w:sz w:val="24"/>
          <w:highlight w:val="none"/>
        </w:rPr>
      </w:pPr>
    </w:p>
    <w:p w14:paraId="2ED1B519">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27E4D066">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p>
    <w:p w14:paraId="301767B2">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53DE0B20">
      <w:pPr>
        <w:spacing w:line="360" w:lineRule="auto"/>
        <w:jc w:val="center"/>
        <w:outlineLvl w:val="1"/>
        <w:rPr>
          <w:rFonts w:asciiTheme="minorEastAsia" w:hAnsiTheme="minorEastAsia" w:eastAsiaTheme="minorEastAsia"/>
          <w:b/>
          <w:color w:val="auto"/>
          <w:sz w:val="24"/>
          <w:highlight w:val="none"/>
        </w:rPr>
      </w:pPr>
      <w:bookmarkStart w:id="62" w:name="_Toc963"/>
      <w:bookmarkStart w:id="63" w:name="_Toc27880"/>
      <w:r>
        <w:rPr>
          <w:rFonts w:hint="eastAsia" w:asciiTheme="minorEastAsia" w:hAnsiTheme="minorEastAsia" w:eastAsiaTheme="minorEastAsia"/>
          <w:b/>
          <w:color w:val="auto"/>
          <w:sz w:val="24"/>
          <w:highlight w:val="none"/>
        </w:rPr>
        <w:t>三．供应商资格声明书</w:t>
      </w:r>
      <w:bookmarkEnd w:id="62"/>
      <w:r>
        <w:rPr>
          <w:rFonts w:hint="eastAsia" w:asciiTheme="minorEastAsia" w:hAnsiTheme="minorEastAsia" w:eastAsiaTheme="minorEastAsia"/>
          <w:b/>
          <w:color w:val="auto"/>
          <w:sz w:val="24"/>
          <w:highlight w:val="none"/>
        </w:rPr>
        <w:t xml:space="preserve"> </w:t>
      </w:r>
    </w:p>
    <w:p w14:paraId="2AA754B2">
      <w:pPr>
        <w:pStyle w:val="13"/>
        <w:spacing w:line="360" w:lineRule="auto"/>
        <w:rPr>
          <w:rFonts w:asciiTheme="minorEastAsia" w:hAnsiTheme="minorEastAsia" w:cstheme="minorEastAsia"/>
          <w:color w:val="auto"/>
          <w:sz w:val="24"/>
          <w:szCs w:val="24"/>
          <w:highlight w:val="none"/>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采购人</w:t>
      </w:r>
    </w:p>
    <w:p w14:paraId="18E84E41">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在参与本次项目询价中，我单位承诺：</w:t>
      </w:r>
    </w:p>
    <w:p w14:paraId="6590E240">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（一）具有良好的商业信誉和健全的财务会计制度；</w:t>
      </w:r>
    </w:p>
    <w:p w14:paraId="64416838">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（二）具有履行合同所必需的设备和专业技术能力；</w:t>
      </w:r>
    </w:p>
    <w:p w14:paraId="165938C3">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（三）有依法缴纳税收和社会保障资金的良好记录；</w:t>
      </w:r>
    </w:p>
    <w:p w14:paraId="0A264244">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BB7AF91">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（五）我单位不存在为采购项目提供整体设计、规范编制或者项目管理、监理、检测等服务后，再参加该采购项目的其他采购活动的情形（单一来源采购项目除外）；</w:t>
      </w:r>
    </w:p>
    <w:p w14:paraId="75FDA942">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（六）与我单位存在单位负责人为同一人或者存在直接控股、管理关系的其他法人单位信息如下（如有，不论其是否参加同一合同项下的政府采购活动均须填写）：</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0"/>
        <w:gridCol w:w="3095"/>
        <w:gridCol w:w="3500"/>
      </w:tblGrid>
      <w:tr w14:paraId="42D5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718AEAB1">
            <w:pPr>
              <w:widowControl/>
              <w:spacing w:before="156" w:beforeLines="50" w:after="156" w:afterLines="50"/>
              <w:jc w:val="center"/>
              <w:rPr>
                <w:rFonts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序号</w:t>
            </w:r>
          </w:p>
        </w:tc>
        <w:tc>
          <w:tcPr>
            <w:tcW w:w="3095" w:type="dxa"/>
            <w:vAlign w:val="center"/>
          </w:tcPr>
          <w:p w14:paraId="4742833B">
            <w:pPr>
              <w:pStyle w:val="9"/>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单位名称</w:t>
            </w:r>
          </w:p>
        </w:tc>
        <w:tc>
          <w:tcPr>
            <w:tcW w:w="3500" w:type="dxa"/>
            <w:vAlign w:val="center"/>
          </w:tcPr>
          <w:p w14:paraId="13A0BC89">
            <w:pPr>
              <w:pStyle w:val="9"/>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相互关系</w:t>
            </w:r>
          </w:p>
        </w:tc>
      </w:tr>
      <w:tr w14:paraId="0487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3B25A0D6">
            <w:pPr>
              <w:pStyle w:val="9"/>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1</w:t>
            </w:r>
          </w:p>
        </w:tc>
        <w:tc>
          <w:tcPr>
            <w:tcW w:w="3095" w:type="dxa"/>
            <w:vAlign w:val="center"/>
          </w:tcPr>
          <w:p w14:paraId="52B0C866">
            <w:pPr>
              <w:pStyle w:val="9"/>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p>
        </w:tc>
        <w:tc>
          <w:tcPr>
            <w:tcW w:w="3500" w:type="dxa"/>
            <w:vAlign w:val="center"/>
          </w:tcPr>
          <w:p w14:paraId="23D9BD57">
            <w:pPr>
              <w:pStyle w:val="9"/>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p>
        </w:tc>
      </w:tr>
      <w:tr w14:paraId="19D7B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502B334D">
            <w:pPr>
              <w:pStyle w:val="9"/>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2</w:t>
            </w:r>
          </w:p>
        </w:tc>
        <w:tc>
          <w:tcPr>
            <w:tcW w:w="3095" w:type="dxa"/>
            <w:vAlign w:val="center"/>
          </w:tcPr>
          <w:p w14:paraId="24B9795F">
            <w:pPr>
              <w:pStyle w:val="9"/>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p>
        </w:tc>
        <w:tc>
          <w:tcPr>
            <w:tcW w:w="3500" w:type="dxa"/>
            <w:vAlign w:val="center"/>
          </w:tcPr>
          <w:p w14:paraId="4D28E30A">
            <w:pPr>
              <w:pStyle w:val="9"/>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p>
        </w:tc>
      </w:tr>
    </w:tbl>
    <w:p w14:paraId="196C2A9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1AE0F320">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供应商电子签章：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08BAF882">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6BD5CEB1">
      <w:pPr>
        <w:pStyle w:val="9"/>
        <w:rPr>
          <w:rFonts w:asciiTheme="minorEastAsia" w:hAnsiTheme="minorEastAsia" w:eastAsiaTheme="minorEastAsia" w:cstheme="minorEastAsia"/>
          <w:color w:val="auto"/>
          <w:kern w:val="0"/>
          <w:sz w:val="24"/>
          <w:highlight w:val="none"/>
          <w:lang w:val="en-US" w:bidi="ar"/>
        </w:rPr>
      </w:pPr>
    </w:p>
    <w:p w14:paraId="2C2FF5A3">
      <w:pPr>
        <w:pStyle w:val="9"/>
        <w:rPr>
          <w:rFonts w:asciiTheme="minorEastAsia" w:hAnsiTheme="minorEastAsia" w:eastAsiaTheme="minorEastAsia" w:cstheme="minorEastAsia"/>
          <w:color w:val="auto"/>
          <w:kern w:val="0"/>
          <w:sz w:val="24"/>
          <w:highlight w:val="none"/>
          <w:lang w:val="en-US" w:bidi="ar"/>
        </w:rPr>
      </w:pPr>
    </w:p>
    <w:p w14:paraId="67BBEF0C">
      <w:pPr>
        <w:pStyle w:val="9"/>
        <w:rPr>
          <w:rFonts w:asciiTheme="minorEastAsia" w:hAnsiTheme="minorEastAsia" w:eastAsiaTheme="minorEastAsia" w:cstheme="minorEastAsia"/>
          <w:color w:val="auto"/>
          <w:kern w:val="0"/>
          <w:sz w:val="24"/>
          <w:highlight w:val="none"/>
          <w:lang w:val="en-US" w:bidi="ar"/>
        </w:rPr>
      </w:pPr>
    </w:p>
    <w:p w14:paraId="51C73DA9">
      <w:pP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6CAF2A62">
      <w:pPr>
        <w:spacing w:line="360" w:lineRule="auto"/>
        <w:jc w:val="center"/>
        <w:outlineLvl w:val="1"/>
        <w:rPr>
          <w:rFonts w:asciiTheme="minorEastAsia" w:hAnsiTheme="minorEastAsia" w:eastAsiaTheme="minorEastAsia"/>
          <w:b/>
          <w:color w:val="auto"/>
          <w:sz w:val="24"/>
          <w:highlight w:val="none"/>
        </w:rPr>
      </w:pPr>
      <w:bookmarkStart w:id="64" w:name="_Toc21371"/>
      <w:r>
        <w:rPr>
          <w:rFonts w:hint="eastAsia" w:asciiTheme="minorEastAsia" w:hAnsiTheme="minorEastAsia" w:eastAsiaTheme="minorEastAsia"/>
          <w:b/>
          <w:color w:val="auto"/>
          <w:sz w:val="24"/>
          <w:highlight w:val="none"/>
        </w:rPr>
        <w:t>四、授权书</w:t>
      </w:r>
      <w:bookmarkEnd w:id="63"/>
      <w:bookmarkEnd w:id="64"/>
    </w:p>
    <w:p w14:paraId="0C46D0CC">
      <w:pPr>
        <w:pStyle w:val="12"/>
        <w:snapToGrid w:val="0"/>
        <w:spacing w:line="360" w:lineRule="auto"/>
        <w:ind w:firstLine="480" w:firstLineChars="200"/>
        <w:jc w:val="left"/>
        <w:rPr>
          <w:rFonts w:asciiTheme="minorEastAsia" w:hAnsiTheme="minorEastAsia"/>
          <w:color w:val="auto"/>
          <w:sz w:val="24"/>
          <w:szCs w:val="28"/>
          <w:highlight w:val="none"/>
        </w:rPr>
      </w:pPr>
    </w:p>
    <w:p w14:paraId="1905469F">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asciiTheme="minorEastAsia" w:hAnsiTheme="minorEastAsia" w:eastAsiaTheme="minorEastAsia"/>
          <w:color w:val="auto"/>
          <w:sz w:val="24"/>
          <w:szCs w:val="28"/>
          <w:highlight w:val="none"/>
        </w:rPr>
        <w:t>书声明：</w:t>
      </w:r>
      <w:r>
        <w:rPr>
          <w:rFonts w:hint="eastAsia" w:asciiTheme="minorEastAsia" w:hAnsiTheme="minorEastAsia" w:eastAsiaTheme="minorEastAsia"/>
          <w:color w:val="auto"/>
          <w:sz w:val="24"/>
          <w:szCs w:val="28"/>
          <w:highlight w:val="none"/>
          <w:u w:val="single"/>
        </w:rPr>
        <w:t xml:space="preserve">           </w:t>
      </w:r>
      <w:r>
        <w:rPr>
          <w:rFonts w:hint="eastAsia" w:asciiTheme="minorEastAsia" w:hAnsiTheme="minorEastAsia" w:eastAsiaTheme="minorEastAsia"/>
          <w:color w:val="auto"/>
          <w:sz w:val="24"/>
          <w:szCs w:val="28"/>
          <w:highlight w:val="none"/>
        </w:rPr>
        <w:t>（供应商名称）授权</w:t>
      </w:r>
      <w:r>
        <w:rPr>
          <w:rFonts w:hint="eastAsia" w:asciiTheme="minorEastAsia" w:hAnsiTheme="minorEastAsia" w:eastAsiaTheme="minorEastAsia"/>
          <w:color w:val="auto"/>
          <w:sz w:val="24"/>
          <w:szCs w:val="28"/>
          <w:highlight w:val="none"/>
          <w:u w:val="single"/>
        </w:rPr>
        <w:t xml:space="preserve">       </w:t>
      </w:r>
      <w:r>
        <w:rPr>
          <w:rFonts w:hint="eastAsia" w:asciiTheme="minorEastAsia" w:hAnsiTheme="minorEastAsia" w:eastAsiaTheme="minorEastAsia"/>
          <w:color w:val="auto"/>
          <w:sz w:val="24"/>
          <w:szCs w:val="28"/>
          <w:highlight w:val="none"/>
        </w:rPr>
        <w:t>（供应商授权代表姓名）代表我方参加本项目</w:t>
      </w:r>
      <w:r>
        <w:rPr>
          <w:rFonts w:hint="eastAsia" w:asciiTheme="minorEastAsia" w:hAnsiTheme="minorEastAsia" w:eastAsiaTheme="minorEastAsia"/>
          <w:bCs/>
          <w:color w:val="auto"/>
          <w:sz w:val="24"/>
          <w:szCs w:val="28"/>
          <w:highlight w:val="none"/>
        </w:rPr>
        <w:t>采购活动</w:t>
      </w:r>
      <w:r>
        <w:rPr>
          <w:rFonts w:hint="eastAsia" w:asciiTheme="minorEastAsia" w:hAnsiTheme="minorEastAsia" w:eastAsiaTheme="minorEastAsia"/>
          <w:color w:val="auto"/>
          <w:sz w:val="24"/>
          <w:szCs w:val="28"/>
          <w:highlight w:val="none"/>
        </w:rPr>
        <w:t>，全权代表我方处理询价过程的一切事宜，包括但不限于：提交响应文件、谈判、签约等。供应商授权代表在询价过程中所签署的一切文件和处理与之有关的一切事务，我方均予以认可并对此承担责任。供应商授权代表无转委托权。特此授权。</w:t>
      </w:r>
    </w:p>
    <w:p w14:paraId="27B2DFAA">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本授权书自出具之日起生效。</w:t>
      </w:r>
    </w:p>
    <w:p w14:paraId="1EC41A7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8"/>
          <w:highlight w:val="none"/>
        </w:rPr>
        <w:t>授权</w:t>
      </w:r>
      <w:r>
        <w:rPr>
          <w:rFonts w:hint="eastAsia" w:asciiTheme="minorEastAsia" w:hAnsiTheme="minorEastAsia" w:eastAsiaTheme="minorEastAsia"/>
          <w:color w:val="auto"/>
          <w:sz w:val="24"/>
          <w:highlight w:val="none"/>
        </w:rPr>
        <w:t>代表身份证明扫描件：</w:t>
      </w:r>
    </w:p>
    <w:p w14:paraId="71EDB952">
      <w:pPr>
        <w:spacing w:line="360" w:lineRule="auto"/>
        <w:ind w:firstLine="435"/>
        <w:rPr>
          <w:rFonts w:asciiTheme="minorEastAsia" w:hAnsiTheme="minorEastAsia" w:eastAsiaTheme="minorEastAsia"/>
          <w:color w:val="auto"/>
          <w:sz w:val="24"/>
          <w:highlight w:val="none"/>
        </w:rPr>
      </w:pPr>
    </w:p>
    <w:p w14:paraId="2B6DB829">
      <w:pPr>
        <w:spacing w:line="360" w:lineRule="auto"/>
        <w:ind w:firstLine="435"/>
        <w:rPr>
          <w:rFonts w:asciiTheme="minorEastAsia" w:hAnsiTheme="minorEastAsia" w:eastAsiaTheme="minorEastAsia"/>
          <w:color w:val="auto"/>
          <w:sz w:val="24"/>
          <w:highlight w:val="none"/>
        </w:rPr>
      </w:pPr>
    </w:p>
    <w:p w14:paraId="60D27137">
      <w:pPr>
        <w:spacing w:line="360" w:lineRule="auto"/>
        <w:ind w:firstLine="435"/>
        <w:rPr>
          <w:rFonts w:asciiTheme="minorEastAsia" w:hAnsiTheme="minorEastAsia" w:eastAsiaTheme="minorEastAsia"/>
          <w:color w:val="auto"/>
          <w:sz w:val="24"/>
          <w:highlight w:val="none"/>
        </w:rPr>
      </w:pPr>
    </w:p>
    <w:p w14:paraId="60530BDE">
      <w:pPr>
        <w:spacing w:line="360" w:lineRule="auto"/>
        <w:ind w:firstLine="435"/>
        <w:rPr>
          <w:rFonts w:asciiTheme="minorEastAsia" w:hAnsiTheme="minorEastAsia" w:eastAsiaTheme="minorEastAsia"/>
          <w:color w:val="auto"/>
          <w:sz w:val="24"/>
          <w:highlight w:val="none"/>
        </w:rPr>
      </w:pPr>
    </w:p>
    <w:p w14:paraId="0FB8ED47">
      <w:pPr>
        <w:spacing w:line="360" w:lineRule="auto"/>
        <w:ind w:firstLine="435"/>
        <w:rPr>
          <w:rFonts w:asciiTheme="minorEastAsia" w:hAnsiTheme="minorEastAsia" w:eastAsiaTheme="minorEastAsia"/>
          <w:color w:val="auto"/>
          <w:sz w:val="24"/>
          <w:highlight w:val="none"/>
        </w:rPr>
      </w:pPr>
    </w:p>
    <w:p w14:paraId="4AD77480">
      <w:pPr>
        <w:spacing w:line="360" w:lineRule="auto"/>
        <w:ind w:firstLine="435"/>
        <w:rPr>
          <w:rFonts w:asciiTheme="minorEastAsia" w:hAnsiTheme="minorEastAsia" w:eastAsiaTheme="minorEastAsia"/>
          <w:color w:val="auto"/>
          <w:sz w:val="24"/>
          <w:highlight w:val="none"/>
        </w:rPr>
      </w:pPr>
    </w:p>
    <w:p w14:paraId="72C9380E">
      <w:pPr>
        <w:spacing w:line="360" w:lineRule="auto"/>
        <w:ind w:firstLine="435"/>
        <w:rPr>
          <w:rFonts w:asciiTheme="minorEastAsia" w:hAnsiTheme="minorEastAsia" w:eastAsiaTheme="minorEastAsia"/>
          <w:color w:val="auto"/>
          <w:sz w:val="24"/>
          <w:highlight w:val="none"/>
        </w:rPr>
      </w:pPr>
    </w:p>
    <w:p w14:paraId="2EF444A2">
      <w:pPr>
        <w:spacing w:line="360" w:lineRule="auto"/>
        <w:ind w:firstLine="435"/>
        <w:rPr>
          <w:rFonts w:asciiTheme="minorEastAsia" w:hAnsiTheme="minorEastAsia" w:eastAsiaTheme="minorEastAsia"/>
          <w:color w:val="auto"/>
          <w:sz w:val="24"/>
          <w:highlight w:val="none"/>
        </w:rPr>
      </w:pPr>
    </w:p>
    <w:p w14:paraId="6675E735">
      <w:pPr>
        <w:spacing w:line="360" w:lineRule="auto"/>
        <w:rPr>
          <w:rFonts w:asciiTheme="minorEastAsia" w:hAnsiTheme="minorEastAsia" w:eastAsiaTheme="minorEastAsia"/>
          <w:color w:val="auto"/>
          <w:sz w:val="24"/>
          <w:highlight w:val="none"/>
        </w:rPr>
      </w:pPr>
    </w:p>
    <w:p w14:paraId="38A461C3">
      <w:pPr>
        <w:spacing w:line="360" w:lineRule="auto"/>
        <w:ind w:firstLine="435"/>
        <w:rPr>
          <w:rFonts w:asciiTheme="minorEastAsia" w:hAnsiTheme="minorEastAsia" w:eastAsiaTheme="minorEastAsia"/>
          <w:color w:val="auto"/>
          <w:sz w:val="24"/>
          <w:szCs w:val="28"/>
          <w:highlight w:val="none"/>
          <w:u w:val="single"/>
          <w:lang w:val="zh-CN"/>
        </w:rPr>
      </w:pPr>
      <w:r>
        <w:rPr>
          <w:rFonts w:hint="eastAsia" w:asciiTheme="minorEastAsia" w:hAnsiTheme="minorEastAsia" w:eastAsiaTheme="minorEastAsia"/>
          <w:color w:val="auto"/>
          <w:sz w:val="24"/>
          <w:szCs w:val="28"/>
          <w:highlight w:val="none"/>
        </w:rPr>
        <w:t>授权代表联系方式：</w:t>
      </w:r>
      <w:r>
        <w:rPr>
          <w:rFonts w:hint="eastAsia" w:asciiTheme="minorEastAsia" w:hAnsiTheme="minorEastAsia" w:eastAsiaTheme="minorEastAsia"/>
          <w:color w:val="auto"/>
          <w:sz w:val="24"/>
          <w:szCs w:val="28"/>
          <w:highlight w:val="none"/>
          <w:u w:val="single"/>
        </w:rPr>
        <w:t xml:space="preserve">          （请填写手机号码）</w:t>
      </w:r>
    </w:p>
    <w:p w14:paraId="527E842A">
      <w:pPr>
        <w:spacing w:line="360" w:lineRule="auto"/>
        <w:ind w:firstLine="435"/>
        <w:rPr>
          <w:rFonts w:asciiTheme="minorEastAsia" w:hAnsiTheme="minorEastAsia" w:eastAsiaTheme="minorEastAsia"/>
          <w:color w:val="auto"/>
          <w:sz w:val="24"/>
          <w:szCs w:val="28"/>
          <w:highlight w:val="none"/>
          <w:lang w:val="zh-CN"/>
        </w:rPr>
      </w:pPr>
    </w:p>
    <w:p w14:paraId="460DC44C">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Theme="minorEastAsia" w:hAnsiTheme="minorEastAsia" w:eastAsiaTheme="minorEastAsia"/>
          <w:color w:val="auto"/>
          <w:sz w:val="24"/>
          <w:szCs w:val="28"/>
          <w:highlight w:val="none"/>
        </w:rPr>
        <w:t>声明。</w:t>
      </w:r>
    </w:p>
    <w:p w14:paraId="6ED15AD4">
      <w:pPr>
        <w:spacing w:line="360" w:lineRule="auto"/>
        <w:rPr>
          <w:rFonts w:asciiTheme="minorEastAsia" w:hAnsiTheme="minorEastAsia" w:eastAsiaTheme="minorEastAsia"/>
          <w:color w:val="auto"/>
          <w:sz w:val="24"/>
          <w:szCs w:val="28"/>
          <w:highlight w:val="none"/>
        </w:rPr>
      </w:pPr>
    </w:p>
    <w:p w14:paraId="48259945">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49C6782D">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p>
    <w:p w14:paraId="45120C86">
      <w:pPr>
        <w:spacing w:line="360" w:lineRule="auto"/>
        <w:ind w:firstLine="435"/>
        <w:rPr>
          <w:rFonts w:asciiTheme="minorEastAsia" w:hAnsiTheme="minorEastAsia" w:eastAsiaTheme="minorEastAsia"/>
          <w:color w:val="auto"/>
          <w:sz w:val="24"/>
          <w:highlight w:val="none"/>
        </w:rPr>
      </w:pPr>
    </w:p>
    <w:p w14:paraId="672E9CFB">
      <w:pPr>
        <w:spacing w:line="360" w:lineRule="auto"/>
        <w:ind w:firstLine="435"/>
        <w:rPr>
          <w:rFonts w:asciiTheme="minorEastAsia" w:hAnsiTheme="minorEastAsia" w:eastAsiaTheme="minorEastAsia"/>
          <w:color w:val="auto"/>
          <w:sz w:val="24"/>
          <w:highlight w:val="none"/>
        </w:rPr>
      </w:pPr>
    </w:p>
    <w:p w14:paraId="18C465BA">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p>
    <w:p w14:paraId="5ED3D7D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1.本项目只允许有唯一的供应商授权代表，提供身份证明扫描件；</w:t>
      </w:r>
    </w:p>
    <w:p w14:paraId="25E0059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2.法定代表人参加询价的无需提供授权书，提供身份证明扫描件。</w:t>
      </w:r>
    </w:p>
    <w:p w14:paraId="00B88355">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3FA994BB">
      <w:pPr>
        <w:spacing w:line="360" w:lineRule="auto"/>
        <w:jc w:val="center"/>
        <w:outlineLvl w:val="1"/>
        <w:rPr>
          <w:rFonts w:asciiTheme="minorEastAsia" w:hAnsiTheme="minorEastAsia" w:eastAsiaTheme="minorEastAsia"/>
          <w:b/>
          <w:color w:val="auto"/>
          <w:sz w:val="24"/>
          <w:highlight w:val="none"/>
        </w:rPr>
      </w:pPr>
      <w:bookmarkStart w:id="65" w:name="_Toc24321"/>
      <w:bookmarkStart w:id="66" w:name="_Toc14799"/>
      <w:r>
        <w:rPr>
          <w:rFonts w:hint="eastAsia" w:asciiTheme="minorEastAsia" w:hAnsiTheme="minorEastAsia" w:eastAsiaTheme="minorEastAsia"/>
          <w:b/>
          <w:color w:val="auto"/>
          <w:sz w:val="24"/>
          <w:highlight w:val="none"/>
        </w:rPr>
        <w:t>五、响应表</w:t>
      </w:r>
      <w:bookmarkEnd w:id="65"/>
      <w:bookmarkEnd w:id="66"/>
    </w:p>
    <w:p w14:paraId="284D95B8">
      <w:pPr>
        <w:spacing w:line="360" w:lineRule="auto"/>
        <w:ind w:firstLine="435"/>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5.1</w:t>
      </w:r>
      <w:r>
        <w:rPr>
          <w:rFonts w:hint="eastAsia" w:asciiTheme="minorEastAsia" w:hAnsiTheme="minorEastAsia" w:eastAsiaTheme="minorEastAsia"/>
          <w:b/>
          <w:color w:val="auto"/>
          <w:sz w:val="24"/>
          <w:highlight w:val="none"/>
        </w:rPr>
        <w:t>商务响应表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088"/>
        <w:gridCol w:w="2721"/>
        <w:gridCol w:w="2807"/>
        <w:gridCol w:w="882"/>
      </w:tblGrid>
      <w:tr w14:paraId="4E6C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5" w:type="pct"/>
            <w:vAlign w:val="center"/>
          </w:tcPr>
          <w:p w14:paraId="445AA36F">
            <w:pPr>
              <w:pStyle w:val="1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14:paraId="0E35A4D6">
            <w:pPr>
              <w:pStyle w:val="12"/>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5" w:type="pct"/>
            <w:vAlign w:val="center"/>
          </w:tcPr>
          <w:p w14:paraId="3FBF35D9">
            <w:pPr>
              <w:pStyle w:val="1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询价</w:t>
            </w:r>
            <w:r>
              <w:rPr>
                <w:rFonts w:hint="eastAsia" w:cs="Wingdings" w:asciiTheme="minorEastAsia" w:hAnsiTheme="minorEastAsia"/>
                <w:b/>
                <w:color w:val="auto"/>
                <w:sz w:val="24"/>
                <w:highlight w:val="none"/>
                <w:lang w:val="en-US" w:eastAsia="zh-CN"/>
              </w:rPr>
              <w:t>采购文件</w:t>
            </w:r>
            <w:r>
              <w:rPr>
                <w:rFonts w:hint="eastAsia" w:cs="Wingdings" w:asciiTheme="minorEastAsia" w:hAnsiTheme="minorEastAsia"/>
                <w:b/>
                <w:color w:val="auto"/>
                <w:sz w:val="24"/>
                <w:highlight w:val="none"/>
              </w:rPr>
              <w:t>要求</w:t>
            </w:r>
          </w:p>
        </w:tc>
        <w:tc>
          <w:tcPr>
            <w:tcW w:w="1511" w:type="pct"/>
            <w:vAlign w:val="center"/>
          </w:tcPr>
          <w:p w14:paraId="32038C03">
            <w:pPr>
              <w:pStyle w:val="1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供应商承诺</w:t>
            </w:r>
          </w:p>
        </w:tc>
        <w:tc>
          <w:tcPr>
            <w:tcW w:w="475" w:type="pct"/>
            <w:vAlign w:val="center"/>
          </w:tcPr>
          <w:p w14:paraId="695C1B19">
            <w:pPr>
              <w:pStyle w:val="1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34C0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68BABF2E">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124" w:type="pct"/>
            <w:vAlign w:val="center"/>
          </w:tcPr>
          <w:p w14:paraId="15036F52">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付款方式</w:t>
            </w:r>
          </w:p>
        </w:tc>
        <w:tc>
          <w:tcPr>
            <w:tcW w:w="1465" w:type="pct"/>
            <w:vAlign w:val="center"/>
          </w:tcPr>
          <w:p w14:paraId="4931DAF0">
            <w:pPr>
              <w:jc w:val="center"/>
              <w:rPr>
                <w:rFonts w:asciiTheme="minorEastAsia" w:hAnsiTheme="minorEastAsia" w:eastAsiaTheme="minorEastAsia"/>
                <w:color w:val="auto"/>
                <w:sz w:val="24"/>
                <w:highlight w:val="none"/>
              </w:rPr>
            </w:pPr>
          </w:p>
        </w:tc>
        <w:tc>
          <w:tcPr>
            <w:tcW w:w="1511" w:type="pct"/>
            <w:vAlign w:val="center"/>
          </w:tcPr>
          <w:p w14:paraId="259E0967">
            <w:pPr>
              <w:jc w:val="center"/>
              <w:rPr>
                <w:rFonts w:asciiTheme="minorEastAsia" w:hAnsiTheme="minorEastAsia" w:eastAsiaTheme="minorEastAsia"/>
                <w:color w:val="auto"/>
                <w:sz w:val="24"/>
                <w:highlight w:val="none"/>
              </w:rPr>
            </w:pPr>
          </w:p>
        </w:tc>
        <w:tc>
          <w:tcPr>
            <w:tcW w:w="475" w:type="pct"/>
            <w:vAlign w:val="center"/>
          </w:tcPr>
          <w:p w14:paraId="51891BF4">
            <w:pPr>
              <w:jc w:val="center"/>
              <w:rPr>
                <w:rFonts w:asciiTheme="minorEastAsia" w:hAnsiTheme="minorEastAsia" w:eastAsiaTheme="minorEastAsia"/>
                <w:color w:val="auto"/>
                <w:sz w:val="24"/>
                <w:highlight w:val="none"/>
              </w:rPr>
            </w:pPr>
          </w:p>
        </w:tc>
      </w:tr>
      <w:tr w14:paraId="6D77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4ACDCFA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24" w:type="pct"/>
            <w:vAlign w:val="center"/>
          </w:tcPr>
          <w:p w14:paraId="14F259DE">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供货及安装地点</w:t>
            </w:r>
          </w:p>
        </w:tc>
        <w:tc>
          <w:tcPr>
            <w:tcW w:w="1465" w:type="pct"/>
            <w:vAlign w:val="center"/>
          </w:tcPr>
          <w:p w14:paraId="652C35B9">
            <w:pPr>
              <w:jc w:val="center"/>
              <w:rPr>
                <w:rFonts w:asciiTheme="minorEastAsia" w:hAnsiTheme="minorEastAsia" w:eastAsiaTheme="minorEastAsia"/>
                <w:color w:val="auto"/>
                <w:sz w:val="24"/>
                <w:highlight w:val="none"/>
              </w:rPr>
            </w:pPr>
          </w:p>
        </w:tc>
        <w:tc>
          <w:tcPr>
            <w:tcW w:w="1511" w:type="pct"/>
            <w:vAlign w:val="center"/>
          </w:tcPr>
          <w:p w14:paraId="494407BF">
            <w:pPr>
              <w:jc w:val="center"/>
              <w:rPr>
                <w:rFonts w:asciiTheme="minorEastAsia" w:hAnsiTheme="minorEastAsia" w:eastAsiaTheme="minorEastAsia"/>
                <w:color w:val="auto"/>
                <w:sz w:val="24"/>
                <w:highlight w:val="none"/>
              </w:rPr>
            </w:pPr>
          </w:p>
        </w:tc>
        <w:tc>
          <w:tcPr>
            <w:tcW w:w="475" w:type="pct"/>
            <w:vAlign w:val="center"/>
          </w:tcPr>
          <w:p w14:paraId="5ACE2511">
            <w:pPr>
              <w:jc w:val="center"/>
              <w:rPr>
                <w:rFonts w:asciiTheme="minorEastAsia" w:hAnsiTheme="minorEastAsia" w:eastAsiaTheme="minorEastAsia"/>
                <w:color w:val="auto"/>
                <w:sz w:val="24"/>
                <w:highlight w:val="none"/>
              </w:rPr>
            </w:pPr>
          </w:p>
        </w:tc>
      </w:tr>
      <w:tr w14:paraId="5811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48A3755E">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124" w:type="pct"/>
            <w:vAlign w:val="center"/>
          </w:tcPr>
          <w:p w14:paraId="1BCA1B82">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供货及安装期限</w:t>
            </w:r>
          </w:p>
        </w:tc>
        <w:tc>
          <w:tcPr>
            <w:tcW w:w="1465" w:type="pct"/>
            <w:vAlign w:val="center"/>
          </w:tcPr>
          <w:p w14:paraId="4C30CFF5">
            <w:pPr>
              <w:jc w:val="center"/>
              <w:rPr>
                <w:rFonts w:asciiTheme="minorEastAsia" w:hAnsiTheme="minorEastAsia" w:eastAsiaTheme="minorEastAsia"/>
                <w:color w:val="auto"/>
                <w:sz w:val="24"/>
                <w:highlight w:val="none"/>
              </w:rPr>
            </w:pPr>
          </w:p>
        </w:tc>
        <w:tc>
          <w:tcPr>
            <w:tcW w:w="1511" w:type="pct"/>
            <w:vAlign w:val="center"/>
          </w:tcPr>
          <w:p w14:paraId="466F5ED2">
            <w:pPr>
              <w:pStyle w:val="53"/>
              <w:jc w:val="center"/>
              <w:rPr>
                <w:rFonts w:asciiTheme="minorEastAsia" w:hAnsiTheme="minorEastAsia" w:eastAsiaTheme="minorEastAsia"/>
                <w:color w:val="auto"/>
                <w:highlight w:val="none"/>
              </w:rPr>
            </w:pPr>
          </w:p>
        </w:tc>
        <w:tc>
          <w:tcPr>
            <w:tcW w:w="475" w:type="pct"/>
            <w:vAlign w:val="center"/>
          </w:tcPr>
          <w:p w14:paraId="7696EE85">
            <w:pPr>
              <w:jc w:val="center"/>
              <w:rPr>
                <w:rFonts w:asciiTheme="minorEastAsia" w:hAnsiTheme="minorEastAsia" w:eastAsiaTheme="minorEastAsia"/>
                <w:color w:val="auto"/>
                <w:sz w:val="24"/>
                <w:highlight w:val="none"/>
              </w:rPr>
            </w:pPr>
          </w:p>
        </w:tc>
      </w:tr>
      <w:tr w14:paraId="167D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6F265CA5">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124" w:type="pct"/>
            <w:vAlign w:val="center"/>
          </w:tcPr>
          <w:p w14:paraId="5291790F">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免费质保期</w:t>
            </w:r>
          </w:p>
        </w:tc>
        <w:tc>
          <w:tcPr>
            <w:tcW w:w="1465" w:type="pct"/>
            <w:vAlign w:val="center"/>
          </w:tcPr>
          <w:p w14:paraId="3EE0B9C0">
            <w:pPr>
              <w:jc w:val="center"/>
              <w:rPr>
                <w:rFonts w:asciiTheme="minorEastAsia" w:hAnsiTheme="minorEastAsia" w:eastAsiaTheme="minorEastAsia"/>
                <w:color w:val="auto"/>
                <w:sz w:val="24"/>
                <w:highlight w:val="none"/>
              </w:rPr>
            </w:pPr>
          </w:p>
        </w:tc>
        <w:tc>
          <w:tcPr>
            <w:tcW w:w="1511" w:type="pct"/>
            <w:vAlign w:val="center"/>
          </w:tcPr>
          <w:p w14:paraId="0B1DC895">
            <w:pPr>
              <w:jc w:val="center"/>
              <w:rPr>
                <w:rFonts w:asciiTheme="minorEastAsia" w:hAnsiTheme="minorEastAsia" w:eastAsiaTheme="minorEastAsia"/>
                <w:color w:val="auto"/>
                <w:sz w:val="24"/>
                <w:highlight w:val="none"/>
              </w:rPr>
            </w:pPr>
          </w:p>
        </w:tc>
        <w:tc>
          <w:tcPr>
            <w:tcW w:w="475" w:type="pct"/>
            <w:vAlign w:val="center"/>
          </w:tcPr>
          <w:p w14:paraId="7C18111A">
            <w:pPr>
              <w:jc w:val="center"/>
              <w:rPr>
                <w:rFonts w:asciiTheme="minorEastAsia" w:hAnsiTheme="minorEastAsia" w:eastAsiaTheme="minorEastAsia"/>
                <w:color w:val="auto"/>
                <w:sz w:val="24"/>
                <w:highlight w:val="none"/>
              </w:rPr>
            </w:pPr>
          </w:p>
        </w:tc>
      </w:tr>
      <w:tr w14:paraId="22DE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05F1F58D">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124" w:type="pct"/>
            <w:vAlign w:val="center"/>
          </w:tcPr>
          <w:p w14:paraId="5D6D4EAB">
            <w:pPr>
              <w:jc w:val="center"/>
              <w:rPr>
                <w:rFonts w:asciiTheme="minorEastAsia" w:hAnsiTheme="minorEastAsia" w:eastAsiaTheme="minorEastAsia"/>
                <w:color w:val="auto"/>
                <w:sz w:val="24"/>
                <w:highlight w:val="none"/>
              </w:rPr>
            </w:pPr>
          </w:p>
        </w:tc>
        <w:tc>
          <w:tcPr>
            <w:tcW w:w="1465" w:type="pct"/>
            <w:vAlign w:val="center"/>
          </w:tcPr>
          <w:p w14:paraId="34FAE906">
            <w:pPr>
              <w:jc w:val="center"/>
              <w:rPr>
                <w:rFonts w:asciiTheme="minorEastAsia" w:hAnsiTheme="minorEastAsia" w:eastAsiaTheme="minorEastAsia"/>
                <w:color w:val="auto"/>
                <w:sz w:val="24"/>
                <w:highlight w:val="none"/>
              </w:rPr>
            </w:pPr>
          </w:p>
        </w:tc>
        <w:tc>
          <w:tcPr>
            <w:tcW w:w="1511" w:type="pct"/>
            <w:vAlign w:val="center"/>
          </w:tcPr>
          <w:p w14:paraId="3176A90B">
            <w:pPr>
              <w:jc w:val="center"/>
              <w:rPr>
                <w:rFonts w:asciiTheme="minorEastAsia" w:hAnsiTheme="minorEastAsia" w:eastAsiaTheme="minorEastAsia"/>
                <w:color w:val="auto"/>
                <w:sz w:val="24"/>
                <w:highlight w:val="none"/>
              </w:rPr>
            </w:pPr>
          </w:p>
        </w:tc>
        <w:tc>
          <w:tcPr>
            <w:tcW w:w="475" w:type="pct"/>
            <w:vAlign w:val="center"/>
          </w:tcPr>
          <w:p w14:paraId="2C1961A7">
            <w:pPr>
              <w:jc w:val="center"/>
              <w:rPr>
                <w:rFonts w:asciiTheme="minorEastAsia" w:hAnsiTheme="minorEastAsia" w:eastAsiaTheme="minorEastAsia"/>
                <w:color w:val="auto"/>
                <w:sz w:val="24"/>
                <w:highlight w:val="none"/>
              </w:rPr>
            </w:pPr>
          </w:p>
        </w:tc>
      </w:tr>
    </w:tbl>
    <w:p w14:paraId="6CF0514E">
      <w:pPr>
        <w:spacing w:line="360" w:lineRule="auto"/>
        <w:ind w:firstLine="435"/>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5.2</w:t>
      </w:r>
      <w:r>
        <w:rPr>
          <w:rFonts w:hint="eastAsia" w:asciiTheme="minorEastAsia" w:hAnsiTheme="minorEastAsia" w:eastAsiaTheme="minorEastAsia"/>
          <w:b/>
          <w:color w:val="auto"/>
          <w:sz w:val="24"/>
          <w:highlight w:val="none"/>
        </w:rPr>
        <w:t>技术响应表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700"/>
        <w:gridCol w:w="3121"/>
        <w:gridCol w:w="2705"/>
        <w:gridCol w:w="933"/>
      </w:tblGrid>
      <w:tr w14:paraId="0EAD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415FCCF5">
            <w:pPr>
              <w:pStyle w:val="1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915" w:type="pct"/>
            <w:vAlign w:val="center"/>
          </w:tcPr>
          <w:p w14:paraId="693AD1A9">
            <w:pPr>
              <w:pStyle w:val="12"/>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货物名称</w:t>
            </w:r>
          </w:p>
        </w:tc>
        <w:tc>
          <w:tcPr>
            <w:tcW w:w="1680" w:type="pct"/>
            <w:vAlign w:val="center"/>
          </w:tcPr>
          <w:p w14:paraId="3290B0FC">
            <w:pPr>
              <w:pStyle w:val="1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询价</w:t>
            </w:r>
            <w:r>
              <w:rPr>
                <w:rFonts w:hint="eastAsia" w:cs="Wingdings" w:asciiTheme="minorEastAsia" w:hAnsiTheme="minorEastAsia"/>
                <w:b/>
                <w:color w:val="auto"/>
                <w:sz w:val="24"/>
                <w:highlight w:val="none"/>
                <w:lang w:val="en-US" w:eastAsia="zh-CN"/>
              </w:rPr>
              <w:t>采购文件</w:t>
            </w:r>
            <w:r>
              <w:rPr>
                <w:rFonts w:hint="eastAsia" w:cs="Wingdings" w:asciiTheme="minorEastAsia" w:hAnsiTheme="minorEastAsia"/>
                <w:b/>
                <w:color w:val="auto"/>
                <w:sz w:val="24"/>
                <w:highlight w:val="none"/>
              </w:rPr>
              <w:t>规定的技术参数要求</w:t>
            </w:r>
          </w:p>
        </w:tc>
        <w:tc>
          <w:tcPr>
            <w:tcW w:w="1456" w:type="pct"/>
            <w:vAlign w:val="center"/>
          </w:tcPr>
          <w:p w14:paraId="787D00F3">
            <w:pPr>
              <w:pStyle w:val="1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所投产品的品牌、型号及技术参数</w:t>
            </w:r>
          </w:p>
        </w:tc>
        <w:tc>
          <w:tcPr>
            <w:tcW w:w="502" w:type="pct"/>
            <w:vAlign w:val="center"/>
          </w:tcPr>
          <w:p w14:paraId="0CEA6EF9">
            <w:pPr>
              <w:pStyle w:val="1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5F8B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6394A1D0">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915" w:type="pct"/>
            <w:vAlign w:val="center"/>
          </w:tcPr>
          <w:p w14:paraId="1316789D">
            <w:pPr>
              <w:jc w:val="center"/>
              <w:rPr>
                <w:rFonts w:asciiTheme="minorEastAsia" w:hAnsiTheme="minorEastAsia" w:eastAsiaTheme="minorEastAsia"/>
                <w:color w:val="auto"/>
                <w:sz w:val="24"/>
                <w:highlight w:val="none"/>
              </w:rPr>
            </w:pPr>
          </w:p>
        </w:tc>
        <w:tc>
          <w:tcPr>
            <w:tcW w:w="1680" w:type="pct"/>
            <w:vAlign w:val="center"/>
          </w:tcPr>
          <w:p w14:paraId="3C2AC459">
            <w:pPr>
              <w:jc w:val="center"/>
              <w:rPr>
                <w:rFonts w:asciiTheme="minorEastAsia" w:hAnsiTheme="minorEastAsia" w:eastAsiaTheme="minorEastAsia"/>
                <w:color w:val="auto"/>
                <w:sz w:val="24"/>
                <w:highlight w:val="none"/>
              </w:rPr>
            </w:pPr>
          </w:p>
        </w:tc>
        <w:tc>
          <w:tcPr>
            <w:tcW w:w="1456" w:type="pct"/>
            <w:vAlign w:val="center"/>
          </w:tcPr>
          <w:p w14:paraId="4B9C1D50">
            <w:pPr>
              <w:jc w:val="center"/>
              <w:rPr>
                <w:rFonts w:asciiTheme="minorEastAsia" w:hAnsiTheme="minorEastAsia" w:eastAsiaTheme="minorEastAsia"/>
                <w:color w:val="auto"/>
                <w:sz w:val="24"/>
                <w:highlight w:val="none"/>
              </w:rPr>
            </w:pPr>
          </w:p>
        </w:tc>
        <w:tc>
          <w:tcPr>
            <w:tcW w:w="502" w:type="pct"/>
            <w:vAlign w:val="center"/>
          </w:tcPr>
          <w:p w14:paraId="27683712">
            <w:pPr>
              <w:jc w:val="center"/>
              <w:rPr>
                <w:rFonts w:asciiTheme="minorEastAsia" w:hAnsiTheme="minorEastAsia" w:eastAsiaTheme="minorEastAsia"/>
                <w:color w:val="auto"/>
                <w:sz w:val="24"/>
                <w:highlight w:val="none"/>
              </w:rPr>
            </w:pPr>
          </w:p>
        </w:tc>
      </w:tr>
      <w:tr w14:paraId="793A6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3BC881A0">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915" w:type="pct"/>
            <w:vAlign w:val="center"/>
          </w:tcPr>
          <w:p w14:paraId="576D243C">
            <w:pPr>
              <w:jc w:val="center"/>
              <w:rPr>
                <w:rFonts w:asciiTheme="minorEastAsia" w:hAnsiTheme="minorEastAsia" w:eastAsiaTheme="minorEastAsia"/>
                <w:color w:val="auto"/>
                <w:sz w:val="24"/>
                <w:highlight w:val="none"/>
              </w:rPr>
            </w:pPr>
          </w:p>
        </w:tc>
        <w:tc>
          <w:tcPr>
            <w:tcW w:w="1680" w:type="pct"/>
            <w:vAlign w:val="center"/>
          </w:tcPr>
          <w:p w14:paraId="550B07BF">
            <w:pPr>
              <w:jc w:val="center"/>
              <w:rPr>
                <w:rFonts w:asciiTheme="minorEastAsia" w:hAnsiTheme="minorEastAsia" w:eastAsiaTheme="minorEastAsia"/>
                <w:color w:val="auto"/>
                <w:sz w:val="24"/>
                <w:highlight w:val="none"/>
              </w:rPr>
            </w:pPr>
          </w:p>
        </w:tc>
        <w:tc>
          <w:tcPr>
            <w:tcW w:w="1456" w:type="pct"/>
            <w:vAlign w:val="center"/>
          </w:tcPr>
          <w:p w14:paraId="34F99738">
            <w:pPr>
              <w:jc w:val="center"/>
              <w:rPr>
                <w:rFonts w:asciiTheme="minorEastAsia" w:hAnsiTheme="minorEastAsia" w:eastAsiaTheme="minorEastAsia"/>
                <w:color w:val="auto"/>
                <w:sz w:val="24"/>
                <w:highlight w:val="none"/>
              </w:rPr>
            </w:pPr>
          </w:p>
        </w:tc>
        <w:tc>
          <w:tcPr>
            <w:tcW w:w="502" w:type="pct"/>
            <w:vAlign w:val="center"/>
          </w:tcPr>
          <w:p w14:paraId="4B6DA240">
            <w:pPr>
              <w:jc w:val="center"/>
              <w:rPr>
                <w:rFonts w:asciiTheme="minorEastAsia" w:hAnsiTheme="minorEastAsia" w:eastAsiaTheme="minorEastAsia"/>
                <w:color w:val="auto"/>
                <w:sz w:val="24"/>
                <w:highlight w:val="none"/>
              </w:rPr>
            </w:pPr>
          </w:p>
        </w:tc>
      </w:tr>
      <w:tr w14:paraId="628A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54506AA6">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915" w:type="pct"/>
            <w:vAlign w:val="center"/>
          </w:tcPr>
          <w:p w14:paraId="2C1882D1">
            <w:pPr>
              <w:jc w:val="center"/>
              <w:rPr>
                <w:rFonts w:asciiTheme="minorEastAsia" w:hAnsiTheme="minorEastAsia" w:eastAsiaTheme="minorEastAsia"/>
                <w:color w:val="auto"/>
                <w:sz w:val="24"/>
                <w:highlight w:val="none"/>
              </w:rPr>
            </w:pPr>
          </w:p>
        </w:tc>
        <w:tc>
          <w:tcPr>
            <w:tcW w:w="1680" w:type="pct"/>
            <w:vAlign w:val="center"/>
          </w:tcPr>
          <w:p w14:paraId="6685665D">
            <w:pPr>
              <w:jc w:val="center"/>
              <w:rPr>
                <w:rFonts w:asciiTheme="minorEastAsia" w:hAnsiTheme="minorEastAsia" w:eastAsiaTheme="minorEastAsia"/>
                <w:color w:val="auto"/>
                <w:sz w:val="24"/>
                <w:highlight w:val="none"/>
              </w:rPr>
            </w:pPr>
          </w:p>
        </w:tc>
        <w:tc>
          <w:tcPr>
            <w:tcW w:w="1456" w:type="pct"/>
            <w:vAlign w:val="center"/>
          </w:tcPr>
          <w:p w14:paraId="09E1BB91">
            <w:pPr>
              <w:pStyle w:val="53"/>
              <w:jc w:val="center"/>
              <w:rPr>
                <w:rFonts w:asciiTheme="minorEastAsia" w:hAnsiTheme="minorEastAsia" w:eastAsiaTheme="minorEastAsia"/>
                <w:color w:val="auto"/>
                <w:highlight w:val="none"/>
              </w:rPr>
            </w:pPr>
          </w:p>
        </w:tc>
        <w:tc>
          <w:tcPr>
            <w:tcW w:w="502" w:type="pct"/>
            <w:vAlign w:val="center"/>
          </w:tcPr>
          <w:p w14:paraId="3659FA32">
            <w:pPr>
              <w:jc w:val="center"/>
              <w:rPr>
                <w:rFonts w:asciiTheme="minorEastAsia" w:hAnsiTheme="minorEastAsia" w:eastAsiaTheme="minorEastAsia"/>
                <w:color w:val="auto"/>
                <w:sz w:val="24"/>
                <w:highlight w:val="none"/>
              </w:rPr>
            </w:pPr>
          </w:p>
        </w:tc>
      </w:tr>
      <w:tr w14:paraId="379D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11477CDA">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915" w:type="pct"/>
            <w:vAlign w:val="center"/>
          </w:tcPr>
          <w:p w14:paraId="6B015D9B">
            <w:pPr>
              <w:jc w:val="center"/>
              <w:rPr>
                <w:rFonts w:asciiTheme="minorEastAsia" w:hAnsiTheme="minorEastAsia" w:eastAsiaTheme="minorEastAsia"/>
                <w:color w:val="auto"/>
                <w:sz w:val="24"/>
                <w:highlight w:val="none"/>
              </w:rPr>
            </w:pPr>
          </w:p>
        </w:tc>
        <w:tc>
          <w:tcPr>
            <w:tcW w:w="1680" w:type="pct"/>
            <w:vAlign w:val="center"/>
          </w:tcPr>
          <w:p w14:paraId="16084A69">
            <w:pPr>
              <w:jc w:val="center"/>
              <w:rPr>
                <w:rFonts w:asciiTheme="minorEastAsia" w:hAnsiTheme="minorEastAsia" w:eastAsiaTheme="minorEastAsia"/>
                <w:color w:val="auto"/>
                <w:sz w:val="24"/>
                <w:highlight w:val="none"/>
              </w:rPr>
            </w:pPr>
          </w:p>
        </w:tc>
        <w:tc>
          <w:tcPr>
            <w:tcW w:w="1456" w:type="pct"/>
            <w:vAlign w:val="center"/>
          </w:tcPr>
          <w:p w14:paraId="7702723D">
            <w:pPr>
              <w:pStyle w:val="53"/>
              <w:jc w:val="center"/>
              <w:rPr>
                <w:rFonts w:asciiTheme="minorEastAsia" w:hAnsiTheme="minorEastAsia" w:eastAsiaTheme="minorEastAsia"/>
                <w:color w:val="auto"/>
                <w:highlight w:val="none"/>
              </w:rPr>
            </w:pPr>
          </w:p>
        </w:tc>
        <w:tc>
          <w:tcPr>
            <w:tcW w:w="502" w:type="pct"/>
            <w:vAlign w:val="center"/>
          </w:tcPr>
          <w:p w14:paraId="0246B76E">
            <w:pPr>
              <w:jc w:val="center"/>
              <w:rPr>
                <w:rFonts w:asciiTheme="minorEastAsia" w:hAnsiTheme="minorEastAsia" w:eastAsiaTheme="minorEastAsia"/>
                <w:color w:val="auto"/>
                <w:sz w:val="24"/>
                <w:highlight w:val="none"/>
              </w:rPr>
            </w:pPr>
          </w:p>
        </w:tc>
      </w:tr>
      <w:tr w14:paraId="6440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E3C3138">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915" w:type="pct"/>
            <w:vAlign w:val="center"/>
          </w:tcPr>
          <w:p w14:paraId="77520772">
            <w:pPr>
              <w:jc w:val="center"/>
              <w:rPr>
                <w:rFonts w:asciiTheme="minorEastAsia" w:hAnsiTheme="minorEastAsia" w:eastAsiaTheme="minorEastAsia"/>
                <w:color w:val="auto"/>
                <w:sz w:val="24"/>
                <w:highlight w:val="none"/>
              </w:rPr>
            </w:pPr>
          </w:p>
        </w:tc>
        <w:tc>
          <w:tcPr>
            <w:tcW w:w="1680" w:type="pct"/>
            <w:vAlign w:val="center"/>
          </w:tcPr>
          <w:p w14:paraId="5AA899D2">
            <w:pPr>
              <w:jc w:val="center"/>
              <w:rPr>
                <w:rFonts w:asciiTheme="minorEastAsia" w:hAnsiTheme="minorEastAsia" w:eastAsiaTheme="minorEastAsia"/>
                <w:color w:val="auto"/>
                <w:sz w:val="24"/>
                <w:highlight w:val="none"/>
              </w:rPr>
            </w:pPr>
          </w:p>
        </w:tc>
        <w:tc>
          <w:tcPr>
            <w:tcW w:w="1456" w:type="pct"/>
            <w:vAlign w:val="center"/>
          </w:tcPr>
          <w:p w14:paraId="26DF0644">
            <w:pPr>
              <w:jc w:val="center"/>
              <w:rPr>
                <w:rFonts w:asciiTheme="minorEastAsia" w:hAnsiTheme="minorEastAsia" w:eastAsiaTheme="minorEastAsia"/>
                <w:color w:val="auto"/>
                <w:sz w:val="24"/>
                <w:highlight w:val="none"/>
              </w:rPr>
            </w:pPr>
          </w:p>
        </w:tc>
        <w:tc>
          <w:tcPr>
            <w:tcW w:w="502" w:type="pct"/>
            <w:vAlign w:val="center"/>
          </w:tcPr>
          <w:p w14:paraId="5872BAD6">
            <w:pPr>
              <w:jc w:val="center"/>
              <w:rPr>
                <w:rFonts w:asciiTheme="minorEastAsia" w:hAnsiTheme="minorEastAsia" w:eastAsiaTheme="minorEastAsia"/>
                <w:color w:val="auto"/>
                <w:sz w:val="24"/>
                <w:highlight w:val="none"/>
              </w:rPr>
            </w:pPr>
          </w:p>
        </w:tc>
      </w:tr>
    </w:tbl>
    <w:p w14:paraId="213B5337">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01CD42F5">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p>
    <w:p w14:paraId="6900DBB8">
      <w:pPr>
        <w:pStyle w:val="13"/>
        <w:spacing w:line="360" w:lineRule="auto"/>
        <w:rPr>
          <w:rFonts w:asciiTheme="minorEastAsia" w:hAnsiTheme="minorEastAsia" w:eastAsiaTheme="minorEastAsia"/>
          <w:b w:val="0"/>
          <w:color w:val="auto"/>
          <w:sz w:val="24"/>
          <w:highlight w:val="none"/>
        </w:rPr>
      </w:pPr>
    </w:p>
    <w:p w14:paraId="34E0C90E">
      <w:pPr>
        <w:pStyle w:val="13"/>
        <w:spacing w:line="360" w:lineRule="auto"/>
        <w:rPr>
          <w:rFonts w:asciiTheme="minorEastAsia" w:hAnsiTheme="minorEastAsia" w:eastAsiaTheme="minorEastAsia"/>
          <w:b w:val="0"/>
          <w:color w:val="auto"/>
          <w:sz w:val="24"/>
          <w:highlight w:val="none"/>
        </w:rPr>
      </w:pPr>
      <w:r>
        <w:rPr>
          <w:rFonts w:asciiTheme="minorEastAsia" w:hAnsiTheme="minorEastAsia" w:eastAsiaTheme="minorEastAsia"/>
          <w:b w:val="0"/>
          <w:color w:val="auto"/>
          <w:sz w:val="24"/>
          <w:highlight w:val="none"/>
        </w:rPr>
        <w:br w:type="page"/>
      </w:r>
    </w:p>
    <w:p w14:paraId="35DCC6ED">
      <w:pPr>
        <w:spacing w:line="360" w:lineRule="auto"/>
        <w:jc w:val="center"/>
        <w:outlineLvl w:val="1"/>
        <w:rPr>
          <w:rFonts w:asciiTheme="minorEastAsia" w:hAnsiTheme="minorEastAsia" w:eastAsiaTheme="minorEastAsia"/>
          <w:b/>
          <w:color w:val="auto"/>
          <w:sz w:val="24"/>
          <w:highlight w:val="none"/>
        </w:rPr>
      </w:pPr>
      <w:bookmarkStart w:id="67" w:name="_Toc10896"/>
      <w:bookmarkStart w:id="68" w:name="_Toc5390"/>
      <w:r>
        <w:rPr>
          <w:rFonts w:hint="eastAsia" w:asciiTheme="minorEastAsia" w:hAnsiTheme="minorEastAsia" w:eastAsiaTheme="minorEastAsia"/>
          <w:b/>
          <w:color w:val="auto"/>
          <w:sz w:val="24"/>
          <w:highlight w:val="none"/>
        </w:rPr>
        <w:t>六、</w:t>
      </w:r>
      <w:bookmarkEnd w:id="67"/>
      <w:bookmarkEnd w:id="68"/>
      <w:r>
        <w:rPr>
          <w:rFonts w:hint="eastAsia" w:asciiTheme="minorEastAsia" w:hAnsiTheme="minorEastAsia" w:eastAsiaTheme="minorEastAsia"/>
          <w:b/>
          <w:color w:val="auto"/>
          <w:sz w:val="24"/>
          <w:highlight w:val="none"/>
        </w:rPr>
        <w:t>诚信响应承诺书</w:t>
      </w:r>
    </w:p>
    <w:p w14:paraId="64D2B54D">
      <w:pPr>
        <w:spacing w:line="44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本人以企业法定代表人的身份郑重承诺：</w:t>
      </w:r>
    </w:p>
    <w:p w14:paraId="1A4F41D4">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一、将遵循公开、公正和诚实信用的原则自愿参加</w:t>
      </w:r>
      <w:r>
        <w:rPr>
          <w:rFonts w:hint="eastAsia" w:ascii="宋体" w:hAnsi="宋体" w:eastAsia="宋体" w:cs="宋体"/>
          <w:color w:val="auto"/>
          <w:sz w:val="24"/>
          <w:szCs w:val="24"/>
          <w:highlight w:val="none"/>
          <w:u w:val="single"/>
        </w:rPr>
        <w:t xml:space="preserve">       （项目名称）         项目</w:t>
      </w:r>
      <w:r>
        <w:rPr>
          <w:rFonts w:hint="eastAsia" w:ascii="宋体" w:hAnsi="宋体" w:eastAsia="宋体" w:cs="宋体"/>
          <w:color w:val="auto"/>
          <w:sz w:val="24"/>
          <w:szCs w:val="24"/>
          <w:highlight w:val="none"/>
        </w:rPr>
        <w:t>的谈判，所提供的一切材料都是真实、有效、合法的；</w:t>
      </w:r>
    </w:p>
    <w:p w14:paraId="2CBF2F8B">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0F2636B4">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三、不出借、转让资质证书，不让他人挂靠，不以他人名义或者以其他方式弄虚作假，骗取成交；</w:t>
      </w:r>
    </w:p>
    <w:p w14:paraId="56D93451">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四、不与其他供应商相互串通响应报价，不排挤其他供应商的公平竞争、损害采购人的合法权益；</w:t>
      </w:r>
    </w:p>
    <w:p w14:paraId="6DE82874">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五、不与采购人、</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或其他供应商串通响应，损害国家利益、社会公共利益或者他人的合法权益；</w:t>
      </w:r>
    </w:p>
    <w:p w14:paraId="3E96CFF0">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Theme="minorEastAsia" w:hAnsiTheme="minorEastAsia" w:eastAsiaTheme="minorEastAsia" w:cstheme="minorEastAsia"/>
          <w:color w:val="auto"/>
          <w:kern w:val="0"/>
          <w:sz w:val="24"/>
          <w:szCs w:val="24"/>
          <w:highlight w:val="none"/>
          <w:u w:val="single"/>
          <w:lang w:bidi="ar"/>
        </w:rPr>
        <w:t xml:space="preserve">       （企业名称）或       （企业名称）</w:t>
      </w:r>
      <w:r>
        <w:rPr>
          <w:rFonts w:hint="eastAsia" w:asciiTheme="minorEastAsia" w:hAnsiTheme="minorEastAsia" w:eastAsiaTheme="minorEastAsia" w:cstheme="minorEastAsia"/>
          <w:color w:val="auto"/>
          <w:kern w:val="0"/>
          <w:sz w:val="24"/>
          <w:szCs w:val="24"/>
          <w:highlight w:val="none"/>
          <w:lang w:bidi="ar"/>
        </w:rPr>
        <w:t>法定代表人或拟派项目经理（负责人）没有下列情形：①被列入“信用中国”网站“失信被执行人”的；②被列入“信用中国”网站“重大税收违法失信主体”的；③被列入“信用中国”网站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w:t>
      </w:r>
      <w:r>
        <w:rPr>
          <w:rFonts w:hint="eastAsia" w:ascii="宋体" w:hAnsi="宋体" w:eastAsia="宋体" w:cs="@仿宋_GB2312"/>
          <w:b w:val="0"/>
          <w:bCs/>
          <w:color w:val="auto"/>
          <w:kern w:val="0"/>
          <w:sz w:val="24"/>
          <w:szCs w:val="28"/>
          <w:highlight w:val="none"/>
          <w:lang w:val="en-US" w:eastAsia="zh-CN" w:bidi="ar-SA"/>
        </w:rPr>
        <w:t>供应商</w:t>
      </w:r>
      <w:r>
        <w:rPr>
          <w:rFonts w:hint="eastAsia" w:asciiTheme="minorEastAsia" w:hAnsiTheme="minorEastAsia" w:eastAsiaTheme="minorEastAsia" w:cstheme="minorEastAsia"/>
          <w:color w:val="auto"/>
          <w:kern w:val="0"/>
          <w:sz w:val="24"/>
          <w:szCs w:val="24"/>
          <w:highlight w:val="none"/>
          <w:lang w:bidi="ar"/>
        </w:rPr>
        <w:t>所属分公司、办事处等分支机构有上述1-7项信誉要求，在此一并承诺我公司所属分公司、办事处等分支机构没有上述1-7项情形）</w:t>
      </w:r>
    </w:p>
    <w:p w14:paraId="2C4690CA">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七、严格遵守谈判现场纪律，服从监管人员管理；</w:t>
      </w:r>
    </w:p>
    <w:p w14:paraId="40F79AE4">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八、保证成交后不转包，若有分包征得采购人同意；</w:t>
      </w:r>
    </w:p>
    <w:p w14:paraId="230B0905">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九、保证成交之后，按照响应文件要求提供相关后续服务；</w:t>
      </w:r>
    </w:p>
    <w:p w14:paraId="57620869">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十、保证企业及所属相关人员在本次响应中无行贿等犯罪行为；</w:t>
      </w:r>
    </w:p>
    <w:p w14:paraId="48E06B0C">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一、如在谈判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611DFB73">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以上内容我已仔细阅读，本公司若有违反承诺内容的行为，自愿接受取消响应或者中标（成交）资格、记入不良行为记录等有关处理，愿意承担法律责任，给采购人造成损失的，依法承担赔偿责任。</w:t>
      </w:r>
    </w:p>
    <w:p w14:paraId="6B3861AF">
      <w:pPr>
        <w:spacing w:line="560" w:lineRule="exact"/>
        <w:ind w:firstLine="480" w:firstLineChars="200"/>
        <w:jc w:val="left"/>
        <w:rPr>
          <w:rFonts w:ascii="宋体" w:hAnsi="宋体" w:eastAsia="宋体" w:cs="宋体"/>
          <w:color w:val="auto"/>
          <w:sz w:val="24"/>
          <w:szCs w:val="24"/>
          <w:highlight w:val="none"/>
        </w:rPr>
      </w:pPr>
    </w:p>
    <w:p w14:paraId="28EF9579">
      <w:pPr>
        <w:spacing w:line="520" w:lineRule="exact"/>
        <w:jc w:val="left"/>
        <w:rPr>
          <w:rFonts w:ascii="宋体" w:hAnsi="宋体" w:eastAsia="宋体" w:cs="宋体"/>
          <w:color w:val="auto"/>
          <w:sz w:val="24"/>
          <w:szCs w:val="24"/>
          <w:highlight w:val="none"/>
        </w:rPr>
      </w:pPr>
    </w:p>
    <w:p w14:paraId="732C3673">
      <w:pPr>
        <w:spacing w:line="6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基本账户：</w:t>
      </w:r>
    </w:p>
    <w:p w14:paraId="2CE01E43">
      <w:pPr>
        <w:spacing w:line="6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供应商（签章）：             法定代表人（签章）：</w:t>
      </w:r>
    </w:p>
    <w:p w14:paraId="58621119">
      <w:pPr>
        <w:spacing w:line="600" w:lineRule="exact"/>
        <w:ind w:firstLine="4095" w:firstLineChars="1950"/>
        <w:rPr>
          <w:rFonts w:ascii="宋体" w:hAnsi="宋体"/>
          <w:color w:val="auto"/>
          <w:szCs w:val="21"/>
          <w:highlight w:val="none"/>
        </w:rPr>
      </w:pPr>
    </w:p>
    <w:p w14:paraId="6629D935">
      <w:pPr>
        <w:spacing w:line="600" w:lineRule="exact"/>
        <w:ind w:firstLine="480" w:firstLineChars="20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0169E4C5">
      <w:pPr>
        <w:spacing w:line="360" w:lineRule="auto"/>
        <w:ind w:right="480" w:firstLine="4680" w:firstLineChars="1950"/>
        <w:rPr>
          <w:rFonts w:asciiTheme="minorEastAsia" w:hAnsiTheme="minorEastAsia" w:eastAsiaTheme="minorEastAsia"/>
          <w:color w:val="auto"/>
          <w:sz w:val="24"/>
          <w:highlight w:val="none"/>
        </w:rPr>
      </w:pPr>
    </w:p>
    <w:p w14:paraId="76E6817E">
      <w:pP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4DCC4F49">
      <w:pPr>
        <w:spacing w:line="360" w:lineRule="auto"/>
        <w:jc w:val="center"/>
        <w:outlineLvl w:val="1"/>
        <w:rPr>
          <w:rFonts w:asciiTheme="minorEastAsia" w:hAnsiTheme="minorEastAsia" w:eastAsiaTheme="minorEastAsia"/>
          <w:b/>
          <w:color w:val="auto"/>
          <w:sz w:val="24"/>
          <w:highlight w:val="none"/>
        </w:rPr>
      </w:pPr>
      <w:bookmarkStart w:id="69" w:name="_Toc23417"/>
      <w:bookmarkStart w:id="70" w:name="_Toc1350"/>
      <w:r>
        <w:rPr>
          <w:rFonts w:hint="eastAsia" w:asciiTheme="minorEastAsia" w:hAnsiTheme="minorEastAsia" w:eastAsiaTheme="minorEastAsia"/>
          <w:b/>
          <w:color w:val="auto"/>
          <w:sz w:val="24"/>
          <w:highlight w:val="none"/>
          <w:lang w:val="en-US" w:eastAsia="zh-CN"/>
        </w:rPr>
        <w:t>七</w:t>
      </w:r>
      <w:r>
        <w:rPr>
          <w:rFonts w:hint="eastAsia" w:asciiTheme="minorEastAsia" w:hAnsiTheme="minorEastAsia" w:eastAsiaTheme="minorEastAsia"/>
          <w:b/>
          <w:color w:val="auto"/>
          <w:sz w:val="24"/>
          <w:highlight w:val="none"/>
        </w:rPr>
        <w:t>、诚信履约承诺函</w:t>
      </w:r>
      <w:bookmarkEnd w:id="69"/>
      <w:bookmarkEnd w:id="70"/>
    </w:p>
    <w:p w14:paraId="162A73A2">
      <w:pPr>
        <w:spacing w:line="360" w:lineRule="auto"/>
        <w:rPr>
          <w:rFonts w:asciiTheme="minorEastAsia" w:hAnsiTheme="minorEastAsia" w:eastAsiaTheme="minorEastAsia"/>
          <w:b/>
          <w:bCs/>
          <w:color w:val="auto"/>
          <w:sz w:val="24"/>
          <w:highlight w:val="none"/>
        </w:rPr>
      </w:pPr>
    </w:p>
    <w:p w14:paraId="1C59D4D0">
      <w:pPr>
        <w:spacing w:line="360" w:lineRule="auto"/>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u w:val="single"/>
          <w:lang w:val="en-US" w:eastAsia="zh-CN"/>
        </w:rPr>
        <w:t xml:space="preserve">                     </w:t>
      </w:r>
      <w:r>
        <w:rPr>
          <w:rFonts w:hint="eastAsia" w:asciiTheme="minorEastAsia" w:hAnsiTheme="minorEastAsia" w:eastAsiaTheme="minorEastAsia"/>
          <w:b/>
          <w:bCs/>
          <w:color w:val="auto"/>
          <w:sz w:val="24"/>
          <w:highlight w:val="none"/>
        </w:rPr>
        <w:t>采购人</w:t>
      </w:r>
    </w:p>
    <w:p w14:paraId="24562138">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如我单位被确定为本项目成交供应商，我单位承诺在合同签订及履约过程中将严格执行《中华人民共和国政府采购法》、《中华人民共和国政府采购法实施条例》及本项目</w:t>
      </w:r>
      <w:r>
        <w:rPr>
          <w:rFonts w:hint="eastAsia" w:asciiTheme="minorEastAsia" w:hAnsiTheme="minorEastAsia" w:eastAsiaTheme="minorEastAsia"/>
          <w:bCs/>
          <w:color w:val="auto"/>
          <w:sz w:val="24"/>
          <w:highlight w:val="none"/>
          <w:lang w:eastAsia="zh-CN"/>
        </w:rPr>
        <w:t>询价采购文件</w:t>
      </w:r>
      <w:r>
        <w:rPr>
          <w:rFonts w:hint="eastAsia" w:asciiTheme="minorEastAsia" w:hAnsiTheme="minorEastAsia" w:eastAsiaTheme="minorEastAsia"/>
          <w:bCs/>
          <w:color w:val="auto"/>
          <w:sz w:val="24"/>
          <w:highlight w:val="none"/>
        </w:rPr>
        <w:t>中关于合同签订及履约的相关规定，不出现以下情形：</w:t>
      </w:r>
    </w:p>
    <w:p w14:paraId="25445FD8">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（1）成交后无正当理由拒不与采购人签订政府采购合同；</w:t>
      </w:r>
    </w:p>
    <w:p w14:paraId="2ED02129">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w:t>
      </w:r>
      <w:r>
        <w:rPr>
          <w:rFonts w:hint="eastAsia" w:asciiTheme="minorEastAsia" w:hAnsiTheme="minorEastAsia" w:eastAsiaTheme="minorEastAsia"/>
          <w:bCs/>
          <w:color w:val="auto"/>
          <w:sz w:val="24"/>
          <w:highlight w:val="none"/>
          <w:lang w:eastAsia="zh-CN"/>
        </w:rPr>
        <w:t>询价采购文件</w:t>
      </w:r>
      <w:r>
        <w:rPr>
          <w:rFonts w:hint="eastAsia" w:asciiTheme="minorEastAsia" w:hAnsiTheme="minorEastAsia" w:eastAsiaTheme="minorEastAsia"/>
          <w:bCs/>
          <w:color w:val="auto"/>
          <w:sz w:val="24"/>
          <w:highlight w:val="none"/>
        </w:rPr>
        <w:t>确定的事项签订政府采购合同；</w:t>
      </w:r>
    </w:p>
    <w:p w14:paraId="61E7616D">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49A4B152">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21DD001B">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5D82F916">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29C33F1">
      <w:pPr>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lang w:bidi="ar"/>
        </w:rPr>
        <w:t>本承诺声明：</w:t>
      </w:r>
      <w:r>
        <w:rPr>
          <w:rFonts w:hint="eastAsia" w:ascii="宋体" w:hAnsi="宋体" w:eastAsia="宋体"/>
          <w:bCs/>
          <w:color w:val="auto"/>
          <w:sz w:val="24"/>
          <w:szCs w:val="24"/>
          <w:highlight w:val="none"/>
          <w:u w:val="single"/>
          <w:lang w:bidi="ar"/>
        </w:rPr>
        <w:t xml:space="preserve">                   （供应商名称）</w:t>
      </w:r>
      <w:r>
        <w:rPr>
          <w:rFonts w:hint="eastAsia" w:ascii="宋体" w:hAnsi="宋体" w:eastAsia="宋体"/>
          <w:bCs/>
          <w:color w:val="auto"/>
          <w:sz w:val="24"/>
          <w:szCs w:val="24"/>
          <w:highlight w:val="none"/>
          <w:lang w:bidi="ar"/>
        </w:rPr>
        <w:t>对本</w:t>
      </w:r>
      <w:r>
        <w:rPr>
          <w:rFonts w:hint="eastAsia" w:ascii="宋体" w:hAnsi="宋体" w:eastAsia="宋体"/>
          <w:bCs/>
          <w:color w:val="auto"/>
          <w:sz w:val="24"/>
          <w:szCs w:val="24"/>
          <w:highlight w:val="none"/>
          <w:lang w:eastAsia="zh-CN" w:bidi="ar"/>
        </w:rPr>
        <w:t>询价采购文件</w:t>
      </w:r>
      <w:r>
        <w:rPr>
          <w:rFonts w:hint="eastAsia" w:ascii="宋体" w:hAnsi="宋体" w:eastAsia="宋体"/>
          <w:bCs/>
          <w:color w:val="auto"/>
          <w:sz w:val="24"/>
          <w:szCs w:val="24"/>
          <w:highlight w:val="none"/>
          <w:lang w:bidi="ar"/>
        </w:rPr>
        <w:t>的相关要求完全响应。若有幸成交将严格按照以上承诺进行供货和服务。</w:t>
      </w:r>
    </w:p>
    <w:p w14:paraId="1FACB290">
      <w:pPr>
        <w:spacing w:line="360" w:lineRule="auto"/>
        <w:rPr>
          <w:rFonts w:asciiTheme="minorEastAsia" w:hAnsiTheme="minorEastAsia" w:eastAsiaTheme="minorEastAsia"/>
          <w:bCs/>
          <w:color w:val="auto"/>
          <w:sz w:val="24"/>
          <w:highlight w:val="none"/>
        </w:rPr>
      </w:pPr>
    </w:p>
    <w:p w14:paraId="55662DBD">
      <w:pPr>
        <w:spacing w:line="360" w:lineRule="auto"/>
        <w:rPr>
          <w:rFonts w:asciiTheme="minorEastAsia" w:hAnsiTheme="minorEastAsia" w:eastAsiaTheme="minorEastAsia"/>
          <w:bCs/>
          <w:color w:val="auto"/>
          <w:sz w:val="24"/>
          <w:highlight w:val="none"/>
        </w:rPr>
      </w:pPr>
    </w:p>
    <w:p w14:paraId="3CE890B3">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供应商电子签章：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0C78C081">
      <w:pPr>
        <w:spacing w:line="360" w:lineRule="auto"/>
        <w:ind w:firstLine="4320" w:firstLineChars="18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4E625951">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287904F3">
      <w:pPr>
        <w:widowControl/>
        <w:jc w:val="left"/>
        <w:rPr>
          <w:rFonts w:asciiTheme="minorEastAsia" w:hAnsiTheme="minorEastAsia" w:eastAsiaTheme="minorEastAsia"/>
          <w:color w:val="auto"/>
          <w:sz w:val="24"/>
          <w:highlight w:val="none"/>
        </w:rPr>
      </w:pPr>
    </w:p>
    <w:p w14:paraId="4A23D501">
      <w:pPr>
        <w:spacing w:line="360" w:lineRule="auto"/>
        <w:jc w:val="center"/>
        <w:outlineLvl w:val="1"/>
        <w:rPr>
          <w:rFonts w:asciiTheme="minorEastAsia" w:hAnsiTheme="minorEastAsia" w:eastAsiaTheme="minorEastAsia"/>
          <w:b/>
          <w:color w:val="auto"/>
          <w:sz w:val="24"/>
          <w:highlight w:val="none"/>
        </w:rPr>
      </w:pPr>
      <w:bookmarkStart w:id="71" w:name="_Toc12602"/>
      <w:bookmarkStart w:id="72" w:name="_Toc19513"/>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、诚信响应承诺书</w:t>
      </w:r>
    </w:p>
    <w:p w14:paraId="672E36B5">
      <w:pPr>
        <w:spacing w:line="44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本人以企业法定代表人的身份郑重承诺：</w:t>
      </w:r>
    </w:p>
    <w:p w14:paraId="3456A5D9">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一、将遵循公开、公正和诚实信用的原则自愿参加</w:t>
      </w:r>
      <w:r>
        <w:rPr>
          <w:rFonts w:hint="eastAsia" w:ascii="宋体" w:hAnsi="宋体" w:eastAsia="宋体" w:cs="宋体"/>
          <w:color w:val="auto"/>
          <w:sz w:val="24"/>
          <w:szCs w:val="24"/>
          <w:highlight w:val="none"/>
          <w:u w:val="single"/>
        </w:rPr>
        <w:t xml:space="preserve">       （项目名称）         项目</w:t>
      </w:r>
      <w:r>
        <w:rPr>
          <w:rFonts w:hint="eastAsia" w:ascii="宋体" w:hAnsi="宋体" w:eastAsia="宋体" w:cs="宋体"/>
          <w:color w:val="auto"/>
          <w:sz w:val="24"/>
          <w:szCs w:val="24"/>
          <w:highlight w:val="none"/>
        </w:rPr>
        <w:t>的谈判，所提供的一切材料都是真实、有效、合法的；</w:t>
      </w:r>
    </w:p>
    <w:p w14:paraId="1272B528">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0E4D6426">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三、不出借、转让资质证书，不让他人挂靠，不以他人名义或者以其他方式弄虚作假，骗取成交；</w:t>
      </w:r>
    </w:p>
    <w:p w14:paraId="6655DE7B">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四、不与其他供应商相互串通响应报价，不排挤其他供应商的公平竞争、损害采购人的合法权益；</w:t>
      </w:r>
    </w:p>
    <w:p w14:paraId="487FFDC5">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五、不与采购人、</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或其他供应商串通响应，损害国家利益、社会公共利益或者他人的合法权益；</w:t>
      </w:r>
    </w:p>
    <w:p w14:paraId="2FFCAAAD">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Theme="minorEastAsia" w:hAnsiTheme="minorEastAsia" w:eastAsiaTheme="minorEastAsia" w:cstheme="minorEastAsia"/>
          <w:color w:val="auto"/>
          <w:kern w:val="0"/>
          <w:sz w:val="24"/>
          <w:szCs w:val="24"/>
          <w:highlight w:val="none"/>
          <w:u w:val="single"/>
          <w:lang w:bidi="ar"/>
        </w:rPr>
        <w:t xml:space="preserve">       （企业名称）或       （企业名称）</w:t>
      </w:r>
      <w:r>
        <w:rPr>
          <w:rFonts w:hint="eastAsia" w:asciiTheme="minorEastAsia" w:hAnsiTheme="minorEastAsia" w:eastAsiaTheme="minorEastAsia" w:cstheme="minorEastAsia"/>
          <w:color w:val="auto"/>
          <w:kern w:val="0"/>
          <w:sz w:val="24"/>
          <w:szCs w:val="24"/>
          <w:highlight w:val="none"/>
          <w:lang w:bidi="ar"/>
        </w:rPr>
        <w:t>法定代表人或拟派项目经理（负责人）没有下列情形：①被列入“信用中国”网站“失信被执行人”的；②被列入“信用中国”网站“重大税收违法失信主体”的；③被列入“信用中国”网站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w:t>
      </w:r>
      <w:r>
        <w:rPr>
          <w:rFonts w:hint="eastAsia" w:asciiTheme="minorEastAsia" w:hAnsiTheme="minorEastAsia" w:eastAsiaTheme="minorEastAsia" w:cstheme="minorEastAsia"/>
          <w:color w:val="auto"/>
          <w:kern w:val="0"/>
          <w:sz w:val="24"/>
          <w:szCs w:val="24"/>
          <w:highlight w:val="none"/>
          <w:lang w:eastAsia="zh-CN" w:bidi="ar"/>
        </w:rPr>
        <w:t>供应商</w:t>
      </w:r>
      <w:r>
        <w:rPr>
          <w:rFonts w:hint="eastAsia" w:asciiTheme="minorEastAsia" w:hAnsiTheme="minorEastAsia" w:eastAsiaTheme="minorEastAsia" w:cstheme="minorEastAsia"/>
          <w:color w:val="auto"/>
          <w:kern w:val="0"/>
          <w:sz w:val="24"/>
          <w:szCs w:val="24"/>
          <w:highlight w:val="none"/>
          <w:lang w:bidi="ar"/>
        </w:rPr>
        <w:t>所属分公司、办事处等分支机构有上述1-7项信誉要求，在此一并承诺我公司所属分公司、办事处等分支机构没有上述1-7项情形）</w:t>
      </w:r>
    </w:p>
    <w:p w14:paraId="32E208E3">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七、严格遵守谈判现场纪律，服从监管人员管理；</w:t>
      </w:r>
    </w:p>
    <w:p w14:paraId="58CFECA5">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八、保证成交后不转包，若有分包征得采购人同意；</w:t>
      </w:r>
    </w:p>
    <w:p w14:paraId="6DEB6F2B">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九、保证成交之后，按照响应文件要求提供相关后续服务；</w:t>
      </w:r>
    </w:p>
    <w:p w14:paraId="2C52D89C">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十、保证企业及所属相关人员在本次响应中无行贿等犯罪行为；</w:t>
      </w:r>
    </w:p>
    <w:p w14:paraId="535ABF78">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一、如在谈判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2805D9A4">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以上内容我已仔细阅读，本公司若有违反承诺内容的行为，自愿接受取消响应或者中标（成交）资格、记入不良行为记录等有关处理，愿意承担法律责任，给采购人造成损失的，依法承担赔偿责任。</w:t>
      </w:r>
    </w:p>
    <w:p w14:paraId="4DAD2CBA">
      <w:pPr>
        <w:spacing w:line="560" w:lineRule="exact"/>
        <w:ind w:firstLine="480" w:firstLineChars="200"/>
        <w:jc w:val="left"/>
        <w:rPr>
          <w:rFonts w:ascii="宋体" w:hAnsi="宋体" w:eastAsia="宋体" w:cs="宋体"/>
          <w:color w:val="auto"/>
          <w:sz w:val="24"/>
          <w:szCs w:val="24"/>
          <w:highlight w:val="none"/>
        </w:rPr>
      </w:pPr>
    </w:p>
    <w:p w14:paraId="10FA4680">
      <w:pPr>
        <w:spacing w:line="520" w:lineRule="exact"/>
        <w:jc w:val="left"/>
        <w:rPr>
          <w:rFonts w:ascii="宋体" w:hAnsi="宋体" w:eastAsia="宋体" w:cs="宋体"/>
          <w:color w:val="auto"/>
          <w:sz w:val="24"/>
          <w:szCs w:val="24"/>
          <w:highlight w:val="none"/>
        </w:rPr>
      </w:pPr>
    </w:p>
    <w:p w14:paraId="10D75F07">
      <w:pPr>
        <w:spacing w:line="6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基本账户：</w:t>
      </w:r>
    </w:p>
    <w:p w14:paraId="3027888C">
      <w:pPr>
        <w:spacing w:line="6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供应商（签章）：             法定代表人（签章）：</w:t>
      </w:r>
    </w:p>
    <w:p w14:paraId="3957AD65">
      <w:pPr>
        <w:spacing w:line="600" w:lineRule="exact"/>
        <w:ind w:firstLine="4095" w:firstLineChars="1950"/>
        <w:rPr>
          <w:rFonts w:ascii="宋体" w:hAnsi="宋体"/>
          <w:color w:val="auto"/>
          <w:szCs w:val="21"/>
          <w:highlight w:val="none"/>
        </w:rPr>
      </w:pPr>
    </w:p>
    <w:p w14:paraId="44D713DB">
      <w:pPr>
        <w:spacing w:line="600" w:lineRule="exact"/>
        <w:ind w:firstLine="480" w:firstLineChars="20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7523123F">
      <w:pPr>
        <w:spacing w:line="360" w:lineRule="auto"/>
        <w:ind w:right="480" w:firstLine="4680" w:firstLineChars="1950"/>
        <w:rPr>
          <w:rFonts w:asciiTheme="minorEastAsia" w:hAnsiTheme="minorEastAsia" w:eastAsiaTheme="minorEastAsia"/>
          <w:color w:val="auto"/>
          <w:sz w:val="24"/>
          <w:highlight w:val="none"/>
        </w:rPr>
      </w:pPr>
    </w:p>
    <w:p w14:paraId="761A5AAB">
      <w:pP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42A35DEC">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九、</w:t>
      </w:r>
      <w:r>
        <w:rPr>
          <w:rFonts w:hint="eastAsia" w:asciiTheme="minorEastAsia" w:hAnsiTheme="minorEastAsia" w:eastAsiaTheme="minorEastAsia"/>
          <w:b/>
          <w:color w:val="auto"/>
          <w:sz w:val="24"/>
          <w:highlight w:val="none"/>
        </w:rPr>
        <w:t>其他相关证明材料</w:t>
      </w:r>
      <w:bookmarkEnd w:id="71"/>
      <w:bookmarkEnd w:id="72"/>
    </w:p>
    <w:p w14:paraId="4D17418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提供符合询价邀请、采购需求及评审方法规定的相关证明文件。</w:t>
      </w:r>
    </w:p>
    <w:p w14:paraId="052869DB">
      <w:pPr>
        <w:spacing w:line="360" w:lineRule="auto"/>
        <w:ind w:firstLine="480" w:firstLineChars="200"/>
        <w:rPr>
          <w:rFonts w:asciiTheme="minorEastAsia" w:hAnsiTheme="minorEastAsia" w:eastAsiaTheme="minorEastAsia"/>
          <w:color w:val="auto"/>
          <w:sz w:val="24"/>
          <w:highlight w:val="none"/>
        </w:rPr>
      </w:pPr>
    </w:p>
    <w:p w14:paraId="454F4844">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02CFC0C5">
      <w:pPr>
        <w:spacing w:line="360" w:lineRule="auto"/>
        <w:ind w:firstLine="435"/>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供应商在响应文件制作时可在此栏内上传</w:t>
      </w:r>
      <w:r>
        <w:rPr>
          <w:rFonts w:hint="eastAsia" w:asciiTheme="minorEastAsia" w:hAnsiTheme="minorEastAsia" w:eastAsiaTheme="minorEastAsia"/>
          <w:b/>
          <w:bCs/>
          <w:color w:val="auto"/>
          <w:sz w:val="24"/>
          <w:highlight w:val="none"/>
          <w:lang w:eastAsia="zh-CN"/>
        </w:rPr>
        <w:t>询价采购文件</w:t>
      </w:r>
      <w:r>
        <w:rPr>
          <w:rFonts w:asciiTheme="minorEastAsia" w:hAnsiTheme="minorEastAsia" w:eastAsiaTheme="minorEastAsia"/>
          <w:b/>
          <w:bCs/>
          <w:color w:val="auto"/>
          <w:sz w:val="24"/>
          <w:highlight w:val="none"/>
        </w:rPr>
        <w:t>要求上传的证明资料</w:t>
      </w:r>
      <w:r>
        <w:rPr>
          <w:rFonts w:hint="eastAsia" w:asciiTheme="minorEastAsia" w:hAnsiTheme="minorEastAsia" w:eastAsiaTheme="minorEastAsia"/>
          <w:b/>
          <w:bCs/>
          <w:color w:val="auto"/>
          <w:sz w:val="24"/>
          <w:highlight w:val="none"/>
        </w:rPr>
        <w:t>，如营业执照、</w:t>
      </w:r>
      <w:r>
        <w:rPr>
          <w:rFonts w:hint="eastAsia" w:asciiTheme="minorEastAsia" w:hAnsiTheme="minorEastAsia" w:eastAsiaTheme="minorEastAsia"/>
          <w:b/>
          <w:bCs/>
          <w:color w:val="auto"/>
          <w:sz w:val="24"/>
          <w:highlight w:val="none"/>
          <w:lang w:val="en-US" w:eastAsia="zh-CN"/>
        </w:rPr>
        <w:t>资质</w:t>
      </w:r>
      <w:r>
        <w:rPr>
          <w:rFonts w:hint="eastAsia" w:asciiTheme="minorEastAsia" w:hAnsiTheme="minorEastAsia" w:eastAsiaTheme="minorEastAsia"/>
          <w:b/>
          <w:bCs/>
          <w:color w:val="auto"/>
          <w:sz w:val="24"/>
          <w:highlight w:val="none"/>
        </w:rPr>
        <w:t>证书</w:t>
      </w:r>
      <w:r>
        <w:rPr>
          <w:rFonts w:asciiTheme="minorEastAsia" w:hAnsiTheme="minorEastAsia" w:eastAsiaTheme="minorEastAsia"/>
          <w:b/>
          <w:bCs/>
          <w:color w:val="auto"/>
          <w:sz w:val="24"/>
          <w:highlight w:val="none"/>
        </w:rPr>
        <w:t>等，应将上述证明材料制作成扫描件上传。</w:t>
      </w:r>
    </w:p>
    <w:bookmarkEnd w:id="59"/>
    <w:p w14:paraId="00943BE2">
      <w:pPr>
        <w:widowControl/>
        <w:jc w:val="left"/>
        <w:rPr>
          <w:rFonts w:ascii="宋体" w:hAnsi="宋体" w:eastAsia="宋体" w:cs="宋体"/>
          <w:b/>
          <w:bCs/>
          <w:color w:val="auto"/>
          <w:kern w:val="0"/>
          <w:sz w:val="24"/>
          <w:szCs w:val="24"/>
          <w:highlight w:val="none"/>
          <w:lang w:bidi="ar"/>
        </w:rPr>
      </w:pPr>
      <w:bookmarkStart w:id="73" w:name="_Toc60608832"/>
      <w:bookmarkStart w:id="74" w:name="_Toc11711"/>
      <w:bookmarkStart w:id="75" w:name="_Toc1141"/>
      <w:r>
        <w:rPr>
          <w:rFonts w:hint="eastAsia" w:ascii="宋体" w:hAnsi="宋体" w:eastAsia="宋体" w:cs="宋体"/>
          <w:b/>
          <w:bCs/>
          <w:color w:val="auto"/>
          <w:kern w:val="0"/>
          <w:sz w:val="24"/>
          <w:szCs w:val="24"/>
          <w:highlight w:val="none"/>
          <w:lang w:bidi="ar"/>
        </w:rPr>
        <w:br w:type="page"/>
      </w:r>
    </w:p>
    <w:p w14:paraId="48EBEF17">
      <w:pPr>
        <w:spacing w:line="360" w:lineRule="auto"/>
        <w:jc w:val="center"/>
        <w:outlineLvl w:val="0"/>
        <w:rPr>
          <w:rFonts w:ascii="宋体" w:hAnsi="宋体" w:eastAsia="宋体"/>
          <w:b/>
          <w:bCs/>
          <w:color w:val="auto"/>
          <w:sz w:val="28"/>
          <w:highlight w:val="none"/>
        </w:rPr>
      </w:pPr>
      <w:r>
        <w:rPr>
          <w:rFonts w:hint="eastAsia" w:asciiTheme="minorEastAsia" w:hAnsiTheme="minorEastAsia" w:eastAsiaTheme="minorEastAsia"/>
          <w:b/>
          <w:color w:val="auto"/>
          <w:sz w:val="28"/>
          <w:highlight w:val="none"/>
        </w:rPr>
        <w:t>第七章</w:t>
      </w:r>
      <w:r>
        <w:rPr>
          <w:rFonts w:hint="eastAsia"/>
          <w:b/>
          <w:bCs/>
          <w:color w:val="auto"/>
          <w:sz w:val="28"/>
          <w:highlight w:val="none"/>
        </w:rPr>
        <w:t xml:space="preserve">  </w:t>
      </w:r>
      <w:bookmarkEnd w:id="73"/>
      <w:r>
        <w:rPr>
          <w:rFonts w:hint="eastAsia" w:ascii="宋体" w:hAnsi="宋体" w:eastAsia="宋体"/>
          <w:b/>
          <w:bCs/>
          <w:color w:val="auto"/>
          <w:sz w:val="28"/>
          <w:highlight w:val="none"/>
        </w:rPr>
        <w:t>政府采购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74"/>
      <w:bookmarkEnd w:id="75"/>
    </w:p>
    <w:p w14:paraId="2D6DC504">
      <w:pPr>
        <w:spacing w:line="360" w:lineRule="auto"/>
        <w:jc w:val="center"/>
        <w:outlineLvl w:val="1"/>
        <w:rPr>
          <w:rFonts w:ascii="仿宋" w:hAnsi="仿宋" w:eastAsia="仿宋" w:cs="仿宋"/>
          <w:b/>
          <w:bCs/>
          <w:color w:val="auto"/>
          <w:sz w:val="32"/>
          <w:szCs w:val="44"/>
          <w:highlight w:val="none"/>
        </w:rPr>
      </w:pPr>
      <w:bookmarkStart w:id="76" w:name="_Toc29389"/>
      <w:bookmarkStart w:id="77" w:name="_Toc10045"/>
      <w:r>
        <w:rPr>
          <w:rFonts w:hint="eastAsia" w:ascii="仿宋" w:hAnsi="仿宋" w:eastAsia="仿宋" w:cs="仿宋"/>
          <w:b/>
          <w:bCs/>
          <w:color w:val="auto"/>
          <w:sz w:val="32"/>
          <w:szCs w:val="44"/>
          <w:highlight w:val="none"/>
        </w:rPr>
        <w:t>询问函范本</w:t>
      </w:r>
      <w:bookmarkEnd w:id="76"/>
      <w:bookmarkEnd w:id="77"/>
    </w:p>
    <w:p w14:paraId="2CC531F8">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w:t>
      </w:r>
      <w:r>
        <w:rPr>
          <w:rFonts w:hint="eastAsia" w:cs="仿宋" w:asciiTheme="minorEastAsia" w:hAnsiTheme="minorEastAsia" w:eastAsiaTheme="minorEastAsia"/>
          <w:i/>
          <w:iCs/>
          <w:color w:val="auto"/>
          <w:sz w:val="24"/>
          <w:szCs w:val="24"/>
          <w:highlight w:val="none"/>
          <w:lang w:eastAsia="zh-CN"/>
        </w:rPr>
        <w:t>询价采购文件</w:t>
      </w:r>
      <w:r>
        <w:rPr>
          <w:rFonts w:hint="eastAsia" w:cs="仿宋" w:asciiTheme="minorEastAsia" w:hAnsiTheme="minorEastAsia" w:eastAsiaTheme="minorEastAsia"/>
          <w:i/>
          <w:iCs/>
          <w:color w:val="auto"/>
          <w:sz w:val="24"/>
          <w:szCs w:val="24"/>
          <w:highlight w:val="none"/>
        </w:rPr>
        <w:t>或采购程序的询问或疑问，请按询问函范本或电子交易系统中网上询问格式附件进行提交）</w:t>
      </w:r>
    </w:p>
    <w:p w14:paraId="7A1307F0">
      <w:pPr>
        <w:adjustRightInd w:val="0"/>
        <w:snapToGrid w:val="0"/>
        <w:spacing w:line="360" w:lineRule="auto"/>
        <w:rPr>
          <w:rFonts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致：采购人</w:t>
      </w:r>
    </w:p>
    <w:p w14:paraId="43120C4C">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rPr>
        <w:t xml:space="preserve">        </w:t>
      </w:r>
      <w:r>
        <w:rPr>
          <w:rFonts w:hint="eastAsia" w:cs="仿宋" w:asciiTheme="minorEastAsia" w:hAnsiTheme="minorEastAsia" w:eastAsiaTheme="minorEastAsia"/>
          <w:color w:val="auto"/>
          <w:sz w:val="24"/>
          <w:szCs w:val="24"/>
          <w:highlight w:val="none"/>
        </w:rPr>
        <w:t xml:space="preserve"> (项目名称、编号)的采购活动，现有以下内容(或条款)存在疑问(或无法理解)，特提出询问。</w:t>
      </w:r>
    </w:p>
    <w:p w14:paraId="3D02A0CD">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78" w:name="_Toc29678"/>
      <w:bookmarkStart w:id="79" w:name="_Toc23472"/>
      <w:r>
        <w:rPr>
          <w:rFonts w:hint="eastAsia" w:cs="仿宋" w:asciiTheme="minorEastAsia" w:hAnsiTheme="minorEastAsia" w:eastAsiaTheme="minorEastAsia"/>
          <w:color w:val="auto"/>
          <w:sz w:val="24"/>
          <w:szCs w:val="24"/>
          <w:highlight w:val="none"/>
        </w:rPr>
        <w:t>一、(事项一)</w:t>
      </w:r>
      <w:bookmarkEnd w:id="78"/>
      <w:bookmarkEnd w:id="79"/>
    </w:p>
    <w:p w14:paraId="50C923EC">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4937F4E7">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5C0A70AF">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2F149F49">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80" w:name="_Toc20836"/>
      <w:bookmarkStart w:id="81" w:name="_Toc22463"/>
      <w:r>
        <w:rPr>
          <w:rFonts w:hint="eastAsia" w:cs="仿宋" w:asciiTheme="minorEastAsia" w:hAnsiTheme="minorEastAsia" w:eastAsiaTheme="minorEastAsia"/>
          <w:color w:val="auto"/>
          <w:sz w:val="24"/>
          <w:szCs w:val="24"/>
          <w:highlight w:val="none"/>
        </w:rPr>
        <w:t>二、(事项二)</w:t>
      </w:r>
      <w:bookmarkEnd w:id="80"/>
      <w:bookmarkEnd w:id="81"/>
    </w:p>
    <w:p w14:paraId="09981340">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22A0AEAF">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582F1F42">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6795E6C1">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3D7FEBF0">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78245941">
      <w:pPr>
        <w:rPr>
          <w:rFonts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1DC226BF">
      <w:pPr>
        <w:jc w:val="center"/>
        <w:outlineLvl w:val="1"/>
        <w:rPr>
          <w:rFonts w:cs="仿宋" w:asciiTheme="minorEastAsia" w:hAnsiTheme="minorEastAsia" w:eastAsiaTheme="minorEastAsia"/>
          <w:b/>
          <w:bCs/>
          <w:color w:val="auto"/>
          <w:sz w:val="32"/>
          <w:szCs w:val="44"/>
          <w:highlight w:val="none"/>
        </w:rPr>
      </w:pPr>
      <w:bookmarkStart w:id="82" w:name="_Toc15057"/>
      <w:bookmarkStart w:id="83" w:name="_Toc31458"/>
      <w:r>
        <w:rPr>
          <w:rFonts w:hint="eastAsia" w:cs="仿宋" w:asciiTheme="minorEastAsia" w:hAnsiTheme="minorEastAsia" w:eastAsiaTheme="minorEastAsia"/>
          <w:b/>
          <w:bCs/>
          <w:color w:val="auto"/>
          <w:sz w:val="32"/>
          <w:szCs w:val="44"/>
          <w:highlight w:val="none"/>
        </w:rPr>
        <w:t>质疑函范本</w:t>
      </w:r>
      <w:bookmarkEnd w:id="82"/>
      <w:bookmarkEnd w:id="83"/>
    </w:p>
    <w:p w14:paraId="45179FD6">
      <w:pPr>
        <w:adjustRightInd w:val="0"/>
        <w:snapToGrid w:val="0"/>
        <w:spacing w:before="312" w:beforeLines="100" w:line="360" w:lineRule="auto"/>
        <w:outlineLvl w:val="1"/>
        <w:rPr>
          <w:rFonts w:cs="仿宋" w:asciiTheme="minorEastAsia" w:hAnsiTheme="minorEastAsia" w:eastAsiaTheme="minorEastAsia"/>
          <w:b/>
          <w:bCs/>
          <w:color w:val="auto"/>
          <w:sz w:val="24"/>
          <w:szCs w:val="24"/>
          <w:highlight w:val="none"/>
        </w:rPr>
      </w:pPr>
      <w:bookmarkStart w:id="84" w:name="_Toc22823"/>
      <w:bookmarkStart w:id="85" w:name="_Toc21471"/>
      <w:r>
        <w:rPr>
          <w:rFonts w:hint="eastAsia" w:cs="仿宋" w:asciiTheme="minorEastAsia" w:hAnsiTheme="minorEastAsia" w:eastAsiaTheme="minorEastAsia"/>
          <w:b/>
          <w:bCs/>
          <w:color w:val="auto"/>
          <w:sz w:val="24"/>
          <w:szCs w:val="24"/>
          <w:highlight w:val="none"/>
        </w:rPr>
        <w:t>一、质疑供应商基本信息</w:t>
      </w:r>
      <w:bookmarkEnd w:id="84"/>
      <w:bookmarkEnd w:id="85"/>
    </w:p>
    <w:p w14:paraId="45F36B1E">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2F9F884C">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7294F5E9">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4DF2449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4DCBF3A9">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41BB6B60">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64E2D073">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86" w:name="_Toc10721"/>
      <w:bookmarkStart w:id="87" w:name="_Toc3326"/>
      <w:r>
        <w:rPr>
          <w:rFonts w:hint="eastAsia" w:cs="仿宋" w:asciiTheme="minorEastAsia" w:hAnsiTheme="minorEastAsia" w:eastAsiaTheme="minorEastAsia"/>
          <w:b/>
          <w:bCs/>
          <w:color w:val="auto"/>
          <w:sz w:val="24"/>
          <w:szCs w:val="24"/>
          <w:highlight w:val="none"/>
        </w:rPr>
        <w:t>二、质疑项目基本情况</w:t>
      </w:r>
      <w:bookmarkEnd w:id="86"/>
      <w:bookmarkEnd w:id="87"/>
    </w:p>
    <w:p w14:paraId="79D72B80">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4B4AA9C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67381851">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04E7E4E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1354CC21">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88" w:name="_Toc21619"/>
      <w:bookmarkStart w:id="89" w:name="_Toc8391"/>
      <w:r>
        <w:rPr>
          <w:rFonts w:hint="eastAsia" w:cs="仿宋" w:asciiTheme="minorEastAsia" w:hAnsiTheme="minorEastAsia" w:eastAsiaTheme="minorEastAsia"/>
          <w:b/>
          <w:bCs/>
          <w:color w:val="auto"/>
          <w:sz w:val="24"/>
          <w:szCs w:val="24"/>
          <w:highlight w:val="none"/>
        </w:rPr>
        <w:t>三、质疑事项具体内容</w:t>
      </w:r>
      <w:bookmarkEnd w:id="88"/>
      <w:bookmarkEnd w:id="89"/>
    </w:p>
    <w:p w14:paraId="7306C4DA">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2679237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43521707">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46D025D0">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3D5654C7">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4EC8C08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40858E0C">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38ADA6CD">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90" w:name="_Toc31747"/>
      <w:bookmarkStart w:id="91" w:name="_Toc10324"/>
      <w:r>
        <w:rPr>
          <w:rFonts w:hint="eastAsia" w:cs="仿宋" w:asciiTheme="minorEastAsia" w:hAnsiTheme="minorEastAsia" w:eastAsiaTheme="minorEastAsia"/>
          <w:b/>
          <w:bCs/>
          <w:color w:val="auto"/>
          <w:sz w:val="24"/>
          <w:szCs w:val="24"/>
          <w:highlight w:val="none"/>
        </w:rPr>
        <w:t>四、与质疑事项相关的质疑请求</w:t>
      </w:r>
      <w:bookmarkEnd w:id="90"/>
      <w:bookmarkEnd w:id="91"/>
    </w:p>
    <w:p w14:paraId="3BB4D78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59DADFDD">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649EC7D4">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597C1DC0">
      <w:pPr>
        <w:widowControl/>
        <w:jc w:val="left"/>
        <w:rPr>
          <w:rFonts w:cs="仿宋" w:asciiTheme="minorEastAsia" w:hAnsiTheme="minorEastAsia" w:eastAsiaTheme="minorEastAsia"/>
          <w:color w:val="auto"/>
          <w:sz w:val="32"/>
          <w:szCs w:val="32"/>
          <w:highlight w:val="none"/>
        </w:rPr>
      </w:pPr>
      <w:r>
        <w:rPr>
          <w:rFonts w:cs="仿宋" w:asciiTheme="minorEastAsia" w:hAnsiTheme="minorEastAsia" w:eastAsiaTheme="minorEastAsia"/>
          <w:color w:val="auto"/>
          <w:sz w:val="32"/>
          <w:szCs w:val="32"/>
          <w:highlight w:val="none"/>
        </w:rPr>
        <w:br w:type="page"/>
      </w:r>
    </w:p>
    <w:p w14:paraId="660C32CC">
      <w:pPr>
        <w:outlineLvl w:val="0"/>
        <w:rPr>
          <w:rFonts w:asciiTheme="minorEastAsia" w:hAnsiTheme="minorEastAsia" w:eastAsiaTheme="minorEastAsia"/>
          <w:b/>
          <w:color w:val="auto"/>
          <w:sz w:val="28"/>
          <w:szCs w:val="32"/>
          <w:highlight w:val="none"/>
        </w:rPr>
      </w:pPr>
      <w:bookmarkStart w:id="92" w:name="_Toc27249"/>
      <w:bookmarkStart w:id="93" w:name="_Toc29795"/>
      <w:r>
        <w:rPr>
          <w:rFonts w:hint="eastAsia" w:asciiTheme="minorEastAsia" w:hAnsiTheme="minorEastAsia" w:eastAsiaTheme="minorEastAsia"/>
          <w:b/>
          <w:color w:val="auto"/>
          <w:sz w:val="28"/>
          <w:szCs w:val="32"/>
          <w:highlight w:val="none"/>
        </w:rPr>
        <w:t>质疑函制作说明：</w:t>
      </w:r>
      <w:bookmarkEnd w:id="92"/>
      <w:bookmarkEnd w:id="93"/>
    </w:p>
    <w:p w14:paraId="63C25B9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287AF6A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85DEB9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73EB60E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5FF531C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429104E4">
      <w:pPr>
        <w:spacing w:line="360" w:lineRule="auto"/>
        <w:ind w:firstLine="435"/>
        <w:rPr>
          <w:color w:val="auto"/>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pgSz w:w="11905" w:h="16838"/>
      <w:pgMar w:top="1417" w:right="1417" w:bottom="1417" w:left="1417" w:header="851" w:footer="992" w:gutter="0"/>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华文楷体">
    <w:altName w:val="宋体"/>
    <w:panose1 w:val="00000000000000000000"/>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9B5EC">
    <w:pPr>
      <w:pStyle w:val="16"/>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CA731">
    <w:pPr>
      <w:pStyle w:val="16"/>
      <w:jc w:val="center"/>
      <w:rPr>
        <w:rFonts w:asciiTheme="minorEastAsia" w:hAnsiTheme="minorEastAsia" w:eastAsiaTheme="minor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0" name="文本框 3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92A0A6">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PPmg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XDz5oNAIAAGUEAAAOAAAAAAAAAAEAIAAAAB8BAABkcnMvZTJvRG9jLnhtbFBL&#10;BQYAAAAABgAGAFkBAADFBQAAAAA=&#10;">
              <v:fill on="f" focussize="0,0"/>
              <v:stroke on="f" weight="0.5pt"/>
              <v:imagedata o:title=""/>
              <o:lock v:ext="edit" aspectratio="f"/>
              <v:textbox inset="0mm,0mm,0mm,0mm" style="mso-fit-shape-to-text:t;">
                <w:txbxContent>
                  <w:p w14:paraId="2D92A0A6">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A30A1">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5271E">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962C9F"/>
    <w:multiLevelType w:val="singleLevel"/>
    <w:tmpl w:val="1D962C9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00276BA1"/>
    <w:rsid w:val="0000043F"/>
    <w:rsid w:val="000016BE"/>
    <w:rsid w:val="000020D0"/>
    <w:rsid w:val="00002178"/>
    <w:rsid w:val="00003B1C"/>
    <w:rsid w:val="000049DA"/>
    <w:rsid w:val="000056B7"/>
    <w:rsid w:val="000131F7"/>
    <w:rsid w:val="0001462A"/>
    <w:rsid w:val="00016B6C"/>
    <w:rsid w:val="00020B57"/>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581E"/>
    <w:rsid w:val="00070E0E"/>
    <w:rsid w:val="00073C57"/>
    <w:rsid w:val="00076DB7"/>
    <w:rsid w:val="00080FEB"/>
    <w:rsid w:val="000871CC"/>
    <w:rsid w:val="00094D41"/>
    <w:rsid w:val="00097CB9"/>
    <w:rsid w:val="000A6693"/>
    <w:rsid w:val="000A6B73"/>
    <w:rsid w:val="000A7D94"/>
    <w:rsid w:val="000B1511"/>
    <w:rsid w:val="000B474F"/>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3A8"/>
    <w:rsid w:val="0012143A"/>
    <w:rsid w:val="001222C6"/>
    <w:rsid w:val="00132A16"/>
    <w:rsid w:val="00136D80"/>
    <w:rsid w:val="00137C7C"/>
    <w:rsid w:val="00140687"/>
    <w:rsid w:val="00144D72"/>
    <w:rsid w:val="00146421"/>
    <w:rsid w:val="001479CF"/>
    <w:rsid w:val="00155F64"/>
    <w:rsid w:val="00157856"/>
    <w:rsid w:val="00160198"/>
    <w:rsid w:val="00160729"/>
    <w:rsid w:val="00163163"/>
    <w:rsid w:val="00166ED8"/>
    <w:rsid w:val="001714C9"/>
    <w:rsid w:val="001770B6"/>
    <w:rsid w:val="00180C48"/>
    <w:rsid w:val="0018119B"/>
    <w:rsid w:val="001844AB"/>
    <w:rsid w:val="00187282"/>
    <w:rsid w:val="00191C9B"/>
    <w:rsid w:val="001944B8"/>
    <w:rsid w:val="00196DA3"/>
    <w:rsid w:val="00197AC4"/>
    <w:rsid w:val="001A5D34"/>
    <w:rsid w:val="001A68E5"/>
    <w:rsid w:val="001B1A1E"/>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232A"/>
    <w:rsid w:val="00223CF4"/>
    <w:rsid w:val="00224C4A"/>
    <w:rsid w:val="0023407E"/>
    <w:rsid w:val="00240278"/>
    <w:rsid w:val="00240B40"/>
    <w:rsid w:val="002440D8"/>
    <w:rsid w:val="00244182"/>
    <w:rsid w:val="00245841"/>
    <w:rsid w:val="00260B94"/>
    <w:rsid w:val="00264F2E"/>
    <w:rsid w:val="00271245"/>
    <w:rsid w:val="00274A9E"/>
    <w:rsid w:val="00276292"/>
    <w:rsid w:val="00276BA1"/>
    <w:rsid w:val="00277094"/>
    <w:rsid w:val="00277264"/>
    <w:rsid w:val="00286D62"/>
    <w:rsid w:val="00287EF5"/>
    <w:rsid w:val="002927A3"/>
    <w:rsid w:val="00293DB3"/>
    <w:rsid w:val="002A1A1D"/>
    <w:rsid w:val="002A210D"/>
    <w:rsid w:val="002A28AD"/>
    <w:rsid w:val="002B1828"/>
    <w:rsid w:val="002B5318"/>
    <w:rsid w:val="002B6D27"/>
    <w:rsid w:val="002C3887"/>
    <w:rsid w:val="002D2965"/>
    <w:rsid w:val="002D3D02"/>
    <w:rsid w:val="002D4CB5"/>
    <w:rsid w:val="002D684B"/>
    <w:rsid w:val="002E3B26"/>
    <w:rsid w:val="002E4AB8"/>
    <w:rsid w:val="00300733"/>
    <w:rsid w:val="00310070"/>
    <w:rsid w:val="003110EC"/>
    <w:rsid w:val="00312317"/>
    <w:rsid w:val="00315CFF"/>
    <w:rsid w:val="00327C92"/>
    <w:rsid w:val="00333292"/>
    <w:rsid w:val="003344E7"/>
    <w:rsid w:val="0033580B"/>
    <w:rsid w:val="003365E7"/>
    <w:rsid w:val="003378D5"/>
    <w:rsid w:val="003405C8"/>
    <w:rsid w:val="003473D7"/>
    <w:rsid w:val="00351AC8"/>
    <w:rsid w:val="00353075"/>
    <w:rsid w:val="00354A38"/>
    <w:rsid w:val="00356E10"/>
    <w:rsid w:val="00360BB3"/>
    <w:rsid w:val="00362A66"/>
    <w:rsid w:val="00363E02"/>
    <w:rsid w:val="00364500"/>
    <w:rsid w:val="00373A96"/>
    <w:rsid w:val="003826C2"/>
    <w:rsid w:val="00383728"/>
    <w:rsid w:val="0038382B"/>
    <w:rsid w:val="00391586"/>
    <w:rsid w:val="00394128"/>
    <w:rsid w:val="003947A4"/>
    <w:rsid w:val="00395235"/>
    <w:rsid w:val="0039561A"/>
    <w:rsid w:val="00397C7D"/>
    <w:rsid w:val="003A004F"/>
    <w:rsid w:val="003A4323"/>
    <w:rsid w:val="003B3120"/>
    <w:rsid w:val="003B4130"/>
    <w:rsid w:val="003B67D3"/>
    <w:rsid w:val="003B715B"/>
    <w:rsid w:val="003C090D"/>
    <w:rsid w:val="003C230C"/>
    <w:rsid w:val="003D1D14"/>
    <w:rsid w:val="003D596D"/>
    <w:rsid w:val="003D6C7C"/>
    <w:rsid w:val="003D6EFB"/>
    <w:rsid w:val="003D7E52"/>
    <w:rsid w:val="003E25C6"/>
    <w:rsid w:val="003F145B"/>
    <w:rsid w:val="004011AA"/>
    <w:rsid w:val="0040202C"/>
    <w:rsid w:val="00405168"/>
    <w:rsid w:val="00406454"/>
    <w:rsid w:val="00406508"/>
    <w:rsid w:val="0041456E"/>
    <w:rsid w:val="00414DBE"/>
    <w:rsid w:val="00414F7E"/>
    <w:rsid w:val="004164F8"/>
    <w:rsid w:val="00416800"/>
    <w:rsid w:val="00416808"/>
    <w:rsid w:val="004259B5"/>
    <w:rsid w:val="004316E6"/>
    <w:rsid w:val="004427B7"/>
    <w:rsid w:val="0044349F"/>
    <w:rsid w:val="00445F1F"/>
    <w:rsid w:val="00451F60"/>
    <w:rsid w:val="00452BB2"/>
    <w:rsid w:val="0045656D"/>
    <w:rsid w:val="00462D98"/>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08A8"/>
    <w:rsid w:val="00524168"/>
    <w:rsid w:val="00524A11"/>
    <w:rsid w:val="00527768"/>
    <w:rsid w:val="005310A0"/>
    <w:rsid w:val="005327FB"/>
    <w:rsid w:val="00533FCA"/>
    <w:rsid w:val="00546D49"/>
    <w:rsid w:val="005521FF"/>
    <w:rsid w:val="005522FC"/>
    <w:rsid w:val="005535FD"/>
    <w:rsid w:val="00555596"/>
    <w:rsid w:val="005616B5"/>
    <w:rsid w:val="00561C68"/>
    <w:rsid w:val="005716D3"/>
    <w:rsid w:val="00574E6F"/>
    <w:rsid w:val="00581E19"/>
    <w:rsid w:val="00582882"/>
    <w:rsid w:val="0059004B"/>
    <w:rsid w:val="00590CA2"/>
    <w:rsid w:val="00591629"/>
    <w:rsid w:val="00597B15"/>
    <w:rsid w:val="005A044C"/>
    <w:rsid w:val="005B06FD"/>
    <w:rsid w:val="005B5C95"/>
    <w:rsid w:val="005B7713"/>
    <w:rsid w:val="005D0200"/>
    <w:rsid w:val="005D0D6E"/>
    <w:rsid w:val="005D2A35"/>
    <w:rsid w:val="005D44EF"/>
    <w:rsid w:val="005D4814"/>
    <w:rsid w:val="005D5112"/>
    <w:rsid w:val="005E39CC"/>
    <w:rsid w:val="005F2CD1"/>
    <w:rsid w:val="005F3914"/>
    <w:rsid w:val="005F3B5A"/>
    <w:rsid w:val="005F6AB4"/>
    <w:rsid w:val="006006F5"/>
    <w:rsid w:val="00601585"/>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25CD"/>
    <w:rsid w:val="00653F7F"/>
    <w:rsid w:val="00662EE8"/>
    <w:rsid w:val="00663813"/>
    <w:rsid w:val="00664AFD"/>
    <w:rsid w:val="00667567"/>
    <w:rsid w:val="0067391A"/>
    <w:rsid w:val="00674173"/>
    <w:rsid w:val="0067535A"/>
    <w:rsid w:val="00682560"/>
    <w:rsid w:val="00683CA0"/>
    <w:rsid w:val="0068614E"/>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5716"/>
    <w:rsid w:val="006C66E9"/>
    <w:rsid w:val="006C74A9"/>
    <w:rsid w:val="006D07DE"/>
    <w:rsid w:val="006D2222"/>
    <w:rsid w:val="006E06D9"/>
    <w:rsid w:val="006E1D40"/>
    <w:rsid w:val="006E2E1F"/>
    <w:rsid w:val="006E7016"/>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0D7F"/>
    <w:rsid w:val="007414E0"/>
    <w:rsid w:val="00745C94"/>
    <w:rsid w:val="00755D75"/>
    <w:rsid w:val="00756245"/>
    <w:rsid w:val="00760A01"/>
    <w:rsid w:val="00761662"/>
    <w:rsid w:val="00762106"/>
    <w:rsid w:val="00764043"/>
    <w:rsid w:val="00766B9C"/>
    <w:rsid w:val="007757CF"/>
    <w:rsid w:val="007772F4"/>
    <w:rsid w:val="0078128F"/>
    <w:rsid w:val="0078683C"/>
    <w:rsid w:val="00790EDB"/>
    <w:rsid w:val="00791538"/>
    <w:rsid w:val="0079326E"/>
    <w:rsid w:val="00796292"/>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295A"/>
    <w:rsid w:val="007E3921"/>
    <w:rsid w:val="00801028"/>
    <w:rsid w:val="00803793"/>
    <w:rsid w:val="00807493"/>
    <w:rsid w:val="008149FD"/>
    <w:rsid w:val="00817A01"/>
    <w:rsid w:val="00825E35"/>
    <w:rsid w:val="00825E64"/>
    <w:rsid w:val="00826194"/>
    <w:rsid w:val="008334F8"/>
    <w:rsid w:val="008341AA"/>
    <w:rsid w:val="00845490"/>
    <w:rsid w:val="00847E67"/>
    <w:rsid w:val="00847ED2"/>
    <w:rsid w:val="00854042"/>
    <w:rsid w:val="00863FDD"/>
    <w:rsid w:val="00871F99"/>
    <w:rsid w:val="00876461"/>
    <w:rsid w:val="00876659"/>
    <w:rsid w:val="0087734C"/>
    <w:rsid w:val="00882141"/>
    <w:rsid w:val="008826D0"/>
    <w:rsid w:val="008922A8"/>
    <w:rsid w:val="00895BD5"/>
    <w:rsid w:val="008969F1"/>
    <w:rsid w:val="0089773E"/>
    <w:rsid w:val="008A1587"/>
    <w:rsid w:val="008A16C4"/>
    <w:rsid w:val="008A6589"/>
    <w:rsid w:val="008A6FED"/>
    <w:rsid w:val="008B39C5"/>
    <w:rsid w:val="008B4793"/>
    <w:rsid w:val="008B51AA"/>
    <w:rsid w:val="008B67A6"/>
    <w:rsid w:val="008C0F31"/>
    <w:rsid w:val="008C67F2"/>
    <w:rsid w:val="008D064A"/>
    <w:rsid w:val="008D2B0F"/>
    <w:rsid w:val="008D6228"/>
    <w:rsid w:val="008E2AFD"/>
    <w:rsid w:val="008E449E"/>
    <w:rsid w:val="008F187F"/>
    <w:rsid w:val="008F402F"/>
    <w:rsid w:val="008F4993"/>
    <w:rsid w:val="008F76E8"/>
    <w:rsid w:val="008F7CD0"/>
    <w:rsid w:val="009078A1"/>
    <w:rsid w:val="00911E9C"/>
    <w:rsid w:val="00917405"/>
    <w:rsid w:val="00920F7C"/>
    <w:rsid w:val="00934CAE"/>
    <w:rsid w:val="0094257D"/>
    <w:rsid w:val="009435AB"/>
    <w:rsid w:val="0095467C"/>
    <w:rsid w:val="00954A61"/>
    <w:rsid w:val="00955C6F"/>
    <w:rsid w:val="00966C7B"/>
    <w:rsid w:val="009701DC"/>
    <w:rsid w:val="009715D8"/>
    <w:rsid w:val="00972D10"/>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74F6"/>
    <w:rsid w:val="009E0512"/>
    <w:rsid w:val="009E3A0A"/>
    <w:rsid w:val="009F174D"/>
    <w:rsid w:val="009F3E91"/>
    <w:rsid w:val="00A05068"/>
    <w:rsid w:val="00A13861"/>
    <w:rsid w:val="00A1499B"/>
    <w:rsid w:val="00A1537A"/>
    <w:rsid w:val="00A27403"/>
    <w:rsid w:val="00A314C2"/>
    <w:rsid w:val="00A572DB"/>
    <w:rsid w:val="00A6163A"/>
    <w:rsid w:val="00A63009"/>
    <w:rsid w:val="00A63E86"/>
    <w:rsid w:val="00A63EE7"/>
    <w:rsid w:val="00A65A1C"/>
    <w:rsid w:val="00A757C3"/>
    <w:rsid w:val="00A75E5B"/>
    <w:rsid w:val="00A763E4"/>
    <w:rsid w:val="00A7684A"/>
    <w:rsid w:val="00A83B69"/>
    <w:rsid w:val="00A86533"/>
    <w:rsid w:val="00A91CA2"/>
    <w:rsid w:val="00A92FB8"/>
    <w:rsid w:val="00A948F1"/>
    <w:rsid w:val="00AA1D7D"/>
    <w:rsid w:val="00AB139D"/>
    <w:rsid w:val="00AB3EFB"/>
    <w:rsid w:val="00AB4A98"/>
    <w:rsid w:val="00AC0574"/>
    <w:rsid w:val="00AC0B05"/>
    <w:rsid w:val="00AC3CEB"/>
    <w:rsid w:val="00AD079A"/>
    <w:rsid w:val="00AD1890"/>
    <w:rsid w:val="00AE0687"/>
    <w:rsid w:val="00AE2149"/>
    <w:rsid w:val="00AE33AE"/>
    <w:rsid w:val="00AE3785"/>
    <w:rsid w:val="00AE3F91"/>
    <w:rsid w:val="00AE452F"/>
    <w:rsid w:val="00AE76E6"/>
    <w:rsid w:val="00AF2B21"/>
    <w:rsid w:val="00B00983"/>
    <w:rsid w:val="00B0267C"/>
    <w:rsid w:val="00B039E3"/>
    <w:rsid w:val="00B22838"/>
    <w:rsid w:val="00B33E95"/>
    <w:rsid w:val="00B351F2"/>
    <w:rsid w:val="00B3720B"/>
    <w:rsid w:val="00B37358"/>
    <w:rsid w:val="00B43954"/>
    <w:rsid w:val="00B43A6D"/>
    <w:rsid w:val="00B4730C"/>
    <w:rsid w:val="00B541BC"/>
    <w:rsid w:val="00B54808"/>
    <w:rsid w:val="00B5558A"/>
    <w:rsid w:val="00B56513"/>
    <w:rsid w:val="00B56B2E"/>
    <w:rsid w:val="00B64376"/>
    <w:rsid w:val="00B70494"/>
    <w:rsid w:val="00B7401F"/>
    <w:rsid w:val="00B740A4"/>
    <w:rsid w:val="00B74FA1"/>
    <w:rsid w:val="00B76345"/>
    <w:rsid w:val="00B806C3"/>
    <w:rsid w:val="00B84FCA"/>
    <w:rsid w:val="00B9089F"/>
    <w:rsid w:val="00B91AEE"/>
    <w:rsid w:val="00B93F8C"/>
    <w:rsid w:val="00B95F5A"/>
    <w:rsid w:val="00B96EAD"/>
    <w:rsid w:val="00BA1CA7"/>
    <w:rsid w:val="00BA79F5"/>
    <w:rsid w:val="00BB1F0D"/>
    <w:rsid w:val="00BB3AB6"/>
    <w:rsid w:val="00BB766D"/>
    <w:rsid w:val="00BC007B"/>
    <w:rsid w:val="00BC26BA"/>
    <w:rsid w:val="00BC35F8"/>
    <w:rsid w:val="00BD65C6"/>
    <w:rsid w:val="00BE481D"/>
    <w:rsid w:val="00BF06B9"/>
    <w:rsid w:val="00BF3696"/>
    <w:rsid w:val="00BF376F"/>
    <w:rsid w:val="00BF46A6"/>
    <w:rsid w:val="00C002C8"/>
    <w:rsid w:val="00C007CF"/>
    <w:rsid w:val="00C0634C"/>
    <w:rsid w:val="00C06545"/>
    <w:rsid w:val="00C06BA4"/>
    <w:rsid w:val="00C1161C"/>
    <w:rsid w:val="00C172D1"/>
    <w:rsid w:val="00C220FC"/>
    <w:rsid w:val="00C24DFA"/>
    <w:rsid w:val="00C4214A"/>
    <w:rsid w:val="00C46399"/>
    <w:rsid w:val="00C46A36"/>
    <w:rsid w:val="00C47037"/>
    <w:rsid w:val="00C474A2"/>
    <w:rsid w:val="00C53625"/>
    <w:rsid w:val="00C602C1"/>
    <w:rsid w:val="00C60EC3"/>
    <w:rsid w:val="00C61AFE"/>
    <w:rsid w:val="00C62248"/>
    <w:rsid w:val="00C63FC0"/>
    <w:rsid w:val="00C66392"/>
    <w:rsid w:val="00C6647F"/>
    <w:rsid w:val="00C74C5E"/>
    <w:rsid w:val="00C81F28"/>
    <w:rsid w:val="00C827A2"/>
    <w:rsid w:val="00C82B69"/>
    <w:rsid w:val="00C83483"/>
    <w:rsid w:val="00C853A3"/>
    <w:rsid w:val="00C86146"/>
    <w:rsid w:val="00C8698F"/>
    <w:rsid w:val="00C91B28"/>
    <w:rsid w:val="00C91F3A"/>
    <w:rsid w:val="00C922DE"/>
    <w:rsid w:val="00CA165D"/>
    <w:rsid w:val="00CA6293"/>
    <w:rsid w:val="00CA66F0"/>
    <w:rsid w:val="00CB5797"/>
    <w:rsid w:val="00CC1202"/>
    <w:rsid w:val="00CC7D56"/>
    <w:rsid w:val="00CD09E1"/>
    <w:rsid w:val="00CD6202"/>
    <w:rsid w:val="00CE1E40"/>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879D1"/>
    <w:rsid w:val="00D93F76"/>
    <w:rsid w:val="00D96126"/>
    <w:rsid w:val="00DB1FFF"/>
    <w:rsid w:val="00DB4B1C"/>
    <w:rsid w:val="00DB5085"/>
    <w:rsid w:val="00DC1062"/>
    <w:rsid w:val="00DC132C"/>
    <w:rsid w:val="00DC4543"/>
    <w:rsid w:val="00DD1224"/>
    <w:rsid w:val="00DD2560"/>
    <w:rsid w:val="00DD43F0"/>
    <w:rsid w:val="00DD44DE"/>
    <w:rsid w:val="00DE09AB"/>
    <w:rsid w:val="00DE2B2D"/>
    <w:rsid w:val="00DE4A3F"/>
    <w:rsid w:val="00DE6121"/>
    <w:rsid w:val="00DF4367"/>
    <w:rsid w:val="00E0574A"/>
    <w:rsid w:val="00E07412"/>
    <w:rsid w:val="00E11F17"/>
    <w:rsid w:val="00E1243D"/>
    <w:rsid w:val="00E12742"/>
    <w:rsid w:val="00E13A25"/>
    <w:rsid w:val="00E146D4"/>
    <w:rsid w:val="00E20976"/>
    <w:rsid w:val="00E22B44"/>
    <w:rsid w:val="00E30ACD"/>
    <w:rsid w:val="00E32735"/>
    <w:rsid w:val="00E450C0"/>
    <w:rsid w:val="00E662C9"/>
    <w:rsid w:val="00E667C6"/>
    <w:rsid w:val="00E66E36"/>
    <w:rsid w:val="00E66FE7"/>
    <w:rsid w:val="00E702ED"/>
    <w:rsid w:val="00E709A4"/>
    <w:rsid w:val="00E726ED"/>
    <w:rsid w:val="00E73822"/>
    <w:rsid w:val="00E772DB"/>
    <w:rsid w:val="00E81B8B"/>
    <w:rsid w:val="00E86012"/>
    <w:rsid w:val="00E86BAB"/>
    <w:rsid w:val="00E918F7"/>
    <w:rsid w:val="00E91B84"/>
    <w:rsid w:val="00E94E10"/>
    <w:rsid w:val="00E9502E"/>
    <w:rsid w:val="00E96743"/>
    <w:rsid w:val="00E96A42"/>
    <w:rsid w:val="00EA0A36"/>
    <w:rsid w:val="00EA49C5"/>
    <w:rsid w:val="00EA5107"/>
    <w:rsid w:val="00EA5D8A"/>
    <w:rsid w:val="00EA5F3B"/>
    <w:rsid w:val="00EB0C34"/>
    <w:rsid w:val="00EB5027"/>
    <w:rsid w:val="00EC1836"/>
    <w:rsid w:val="00EC3990"/>
    <w:rsid w:val="00EC484B"/>
    <w:rsid w:val="00EC65B0"/>
    <w:rsid w:val="00ED15FA"/>
    <w:rsid w:val="00ED45E5"/>
    <w:rsid w:val="00EE275B"/>
    <w:rsid w:val="00EE6E9A"/>
    <w:rsid w:val="00EF0BF1"/>
    <w:rsid w:val="00EF2AC4"/>
    <w:rsid w:val="00EF38E4"/>
    <w:rsid w:val="00EF397E"/>
    <w:rsid w:val="00EF5FC8"/>
    <w:rsid w:val="00F06F68"/>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1D8D"/>
    <w:rsid w:val="00F634AD"/>
    <w:rsid w:val="00F63677"/>
    <w:rsid w:val="00F75B81"/>
    <w:rsid w:val="00F75D8A"/>
    <w:rsid w:val="00F804C4"/>
    <w:rsid w:val="00F82F83"/>
    <w:rsid w:val="00F82FED"/>
    <w:rsid w:val="00F832E5"/>
    <w:rsid w:val="00F87D65"/>
    <w:rsid w:val="00F92B30"/>
    <w:rsid w:val="00F933B9"/>
    <w:rsid w:val="00F94674"/>
    <w:rsid w:val="00F94919"/>
    <w:rsid w:val="00F94A59"/>
    <w:rsid w:val="00FA25B6"/>
    <w:rsid w:val="00FA2FAF"/>
    <w:rsid w:val="00FA573B"/>
    <w:rsid w:val="00FA64B1"/>
    <w:rsid w:val="00FA70F3"/>
    <w:rsid w:val="00FA71CD"/>
    <w:rsid w:val="00FB0453"/>
    <w:rsid w:val="00FB0C07"/>
    <w:rsid w:val="00FB298D"/>
    <w:rsid w:val="00FC1439"/>
    <w:rsid w:val="00FC724B"/>
    <w:rsid w:val="00FC7910"/>
    <w:rsid w:val="00FF0DA7"/>
    <w:rsid w:val="00FF1022"/>
    <w:rsid w:val="00FF44E0"/>
    <w:rsid w:val="00FF624C"/>
    <w:rsid w:val="00FF6C72"/>
    <w:rsid w:val="00FF783A"/>
    <w:rsid w:val="01621FDB"/>
    <w:rsid w:val="01B03BEA"/>
    <w:rsid w:val="02BF6C59"/>
    <w:rsid w:val="048802D5"/>
    <w:rsid w:val="04B765A2"/>
    <w:rsid w:val="05717C88"/>
    <w:rsid w:val="059321F1"/>
    <w:rsid w:val="05AF72A0"/>
    <w:rsid w:val="05B42F17"/>
    <w:rsid w:val="05EE32AE"/>
    <w:rsid w:val="061E4FDD"/>
    <w:rsid w:val="06287461"/>
    <w:rsid w:val="08414ECC"/>
    <w:rsid w:val="0866535E"/>
    <w:rsid w:val="086A1DB6"/>
    <w:rsid w:val="0954653B"/>
    <w:rsid w:val="09734E97"/>
    <w:rsid w:val="0A0236B4"/>
    <w:rsid w:val="0A5C407D"/>
    <w:rsid w:val="0ADC290F"/>
    <w:rsid w:val="0B3655F3"/>
    <w:rsid w:val="0B510EC7"/>
    <w:rsid w:val="0C0E0A28"/>
    <w:rsid w:val="0C5C2F82"/>
    <w:rsid w:val="0CC86361"/>
    <w:rsid w:val="0D262A20"/>
    <w:rsid w:val="0F8347BD"/>
    <w:rsid w:val="0FC30BF6"/>
    <w:rsid w:val="0FE9248E"/>
    <w:rsid w:val="101C5764"/>
    <w:rsid w:val="10E8616A"/>
    <w:rsid w:val="119E52F8"/>
    <w:rsid w:val="11CD084A"/>
    <w:rsid w:val="11F052D6"/>
    <w:rsid w:val="125E1788"/>
    <w:rsid w:val="12BF694C"/>
    <w:rsid w:val="145C4675"/>
    <w:rsid w:val="1475265D"/>
    <w:rsid w:val="14CA2036"/>
    <w:rsid w:val="14D2451C"/>
    <w:rsid w:val="150C08C6"/>
    <w:rsid w:val="157B6A2B"/>
    <w:rsid w:val="15D65C30"/>
    <w:rsid w:val="16C60CFC"/>
    <w:rsid w:val="16CF07A1"/>
    <w:rsid w:val="17E91507"/>
    <w:rsid w:val="18031DFC"/>
    <w:rsid w:val="180F1FC9"/>
    <w:rsid w:val="18633FE4"/>
    <w:rsid w:val="19A32436"/>
    <w:rsid w:val="1A7B316A"/>
    <w:rsid w:val="1BD44E29"/>
    <w:rsid w:val="1CD93E41"/>
    <w:rsid w:val="1D864D41"/>
    <w:rsid w:val="1DDA6DF1"/>
    <w:rsid w:val="1E8A0F92"/>
    <w:rsid w:val="1F04109E"/>
    <w:rsid w:val="1F244811"/>
    <w:rsid w:val="1F9711FA"/>
    <w:rsid w:val="20126D60"/>
    <w:rsid w:val="21030661"/>
    <w:rsid w:val="211654D1"/>
    <w:rsid w:val="214D4F9D"/>
    <w:rsid w:val="218D5DCC"/>
    <w:rsid w:val="21A00E17"/>
    <w:rsid w:val="21C422DC"/>
    <w:rsid w:val="21C85928"/>
    <w:rsid w:val="21F7445F"/>
    <w:rsid w:val="21F7620D"/>
    <w:rsid w:val="226326A4"/>
    <w:rsid w:val="22763AFE"/>
    <w:rsid w:val="23286581"/>
    <w:rsid w:val="23576714"/>
    <w:rsid w:val="23663C2F"/>
    <w:rsid w:val="242A2846"/>
    <w:rsid w:val="245943B5"/>
    <w:rsid w:val="247C1540"/>
    <w:rsid w:val="25754019"/>
    <w:rsid w:val="25F018F1"/>
    <w:rsid w:val="26AF5025"/>
    <w:rsid w:val="278B4F71"/>
    <w:rsid w:val="28251390"/>
    <w:rsid w:val="28CE2356"/>
    <w:rsid w:val="290A2CCA"/>
    <w:rsid w:val="295A2A3F"/>
    <w:rsid w:val="29F63606"/>
    <w:rsid w:val="2A1B7069"/>
    <w:rsid w:val="2A2A21AD"/>
    <w:rsid w:val="2AAD7DB1"/>
    <w:rsid w:val="2C7C57CA"/>
    <w:rsid w:val="2E141EF5"/>
    <w:rsid w:val="2E1A575D"/>
    <w:rsid w:val="2E36227F"/>
    <w:rsid w:val="2E8E4CE9"/>
    <w:rsid w:val="2EA339A5"/>
    <w:rsid w:val="2F3C3432"/>
    <w:rsid w:val="3038636F"/>
    <w:rsid w:val="30A754DF"/>
    <w:rsid w:val="322B48DA"/>
    <w:rsid w:val="337E5DD0"/>
    <w:rsid w:val="33D161E8"/>
    <w:rsid w:val="34B2511B"/>
    <w:rsid w:val="352C2916"/>
    <w:rsid w:val="371847E2"/>
    <w:rsid w:val="37BF2AC2"/>
    <w:rsid w:val="38675A43"/>
    <w:rsid w:val="39185E60"/>
    <w:rsid w:val="3B214C05"/>
    <w:rsid w:val="3B6732A7"/>
    <w:rsid w:val="3B796242"/>
    <w:rsid w:val="3CEF068E"/>
    <w:rsid w:val="3D6E29D8"/>
    <w:rsid w:val="3DAC0EE9"/>
    <w:rsid w:val="3E314816"/>
    <w:rsid w:val="3E55633E"/>
    <w:rsid w:val="3E691DE9"/>
    <w:rsid w:val="3E9512FD"/>
    <w:rsid w:val="3EBE2135"/>
    <w:rsid w:val="3F42428E"/>
    <w:rsid w:val="3F823162"/>
    <w:rsid w:val="3FB84DD6"/>
    <w:rsid w:val="402F520E"/>
    <w:rsid w:val="41250249"/>
    <w:rsid w:val="41377F7D"/>
    <w:rsid w:val="413A09E6"/>
    <w:rsid w:val="41471C8C"/>
    <w:rsid w:val="41676AB4"/>
    <w:rsid w:val="436037BB"/>
    <w:rsid w:val="44046D3B"/>
    <w:rsid w:val="44F24093"/>
    <w:rsid w:val="45D715E1"/>
    <w:rsid w:val="45F45FF3"/>
    <w:rsid w:val="465F740E"/>
    <w:rsid w:val="4A3825B9"/>
    <w:rsid w:val="4A3F618E"/>
    <w:rsid w:val="4A6D07B9"/>
    <w:rsid w:val="4B497F7A"/>
    <w:rsid w:val="4BB75CCC"/>
    <w:rsid w:val="4BD9233D"/>
    <w:rsid w:val="4BE12910"/>
    <w:rsid w:val="4CDC7AA1"/>
    <w:rsid w:val="4F2E78B5"/>
    <w:rsid w:val="51233DD7"/>
    <w:rsid w:val="52377F97"/>
    <w:rsid w:val="53110BF4"/>
    <w:rsid w:val="53310ADA"/>
    <w:rsid w:val="53CE4739"/>
    <w:rsid w:val="543C1CC1"/>
    <w:rsid w:val="54866DF9"/>
    <w:rsid w:val="5607799E"/>
    <w:rsid w:val="5696684F"/>
    <w:rsid w:val="58F509F1"/>
    <w:rsid w:val="59C4319E"/>
    <w:rsid w:val="59E4582B"/>
    <w:rsid w:val="59FC4F8A"/>
    <w:rsid w:val="5A4D7877"/>
    <w:rsid w:val="5A6804AB"/>
    <w:rsid w:val="5C372975"/>
    <w:rsid w:val="5C740423"/>
    <w:rsid w:val="5C7F166A"/>
    <w:rsid w:val="5E554AD3"/>
    <w:rsid w:val="5E5B12F6"/>
    <w:rsid w:val="5F42525F"/>
    <w:rsid w:val="5FBF7663"/>
    <w:rsid w:val="5FDF6AB4"/>
    <w:rsid w:val="604D40FC"/>
    <w:rsid w:val="60D70DF6"/>
    <w:rsid w:val="622D7DE6"/>
    <w:rsid w:val="625E3163"/>
    <w:rsid w:val="62791362"/>
    <w:rsid w:val="629D2560"/>
    <w:rsid w:val="644E6FB5"/>
    <w:rsid w:val="644F31D5"/>
    <w:rsid w:val="64EC6D10"/>
    <w:rsid w:val="66197A87"/>
    <w:rsid w:val="6623097E"/>
    <w:rsid w:val="67126006"/>
    <w:rsid w:val="674A241E"/>
    <w:rsid w:val="67BB0B3F"/>
    <w:rsid w:val="682F07AA"/>
    <w:rsid w:val="68751207"/>
    <w:rsid w:val="68807C64"/>
    <w:rsid w:val="688C69CF"/>
    <w:rsid w:val="68CD5DAB"/>
    <w:rsid w:val="68E777C5"/>
    <w:rsid w:val="69C21C42"/>
    <w:rsid w:val="6A570167"/>
    <w:rsid w:val="6AC61574"/>
    <w:rsid w:val="6B087209"/>
    <w:rsid w:val="6B3E7572"/>
    <w:rsid w:val="6BE2044C"/>
    <w:rsid w:val="6EDB6611"/>
    <w:rsid w:val="6FBC2114"/>
    <w:rsid w:val="705F607C"/>
    <w:rsid w:val="70902932"/>
    <w:rsid w:val="70F56BEF"/>
    <w:rsid w:val="71533028"/>
    <w:rsid w:val="71946328"/>
    <w:rsid w:val="71BF33D8"/>
    <w:rsid w:val="71DC79A6"/>
    <w:rsid w:val="735D4003"/>
    <w:rsid w:val="73D56FFD"/>
    <w:rsid w:val="73FA265E"/>
    <w:rsid w:val="740C0C71"/>
    <w:rsid w:val="74714F78"/>
    <w:rsid w:val="748C2191"/>
    <w:rsid w:val="74D745B8"/>
    <w:rsid w:val="74F764D9"/>
    <w:rsid w:val="75C537CD"/>
    <w:rsid w:val="766377D4"/>
    <w:rsid w:val="76DE7671"/>
    <w:rsid w:val="76E73479"/>
    <w:rsid w:val="771D30BE"/>
    <w:rsid w:val="77FD363B"/>
    <w:rsid w:val="784E1FE2"/>
    <w:rsid w:val="78803D6C"/>
    <w:rsid w:val="7B0809BE"/>
    <w:rsid w:val="7C25495A"/>
    <w:rsid w:val="7C5173AC"/>
    <w:rsid w:val="7CCC5441"/>
    <w:rsid w:val="7DB52BB3"/>
    <w:rsid w:val="7DDC0B9A"/>
    <w:rsid w:val="7E490EF5"/>
    <w:rsid w:val="7E6E4733"/>
    <w:rsid w:val="7EAB4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6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63"/>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8"/>
    <w:autoRedefine/>
    <w:qFormat/>
    <w:uiPriority w:val="0"/>
    <w:pPr>
      <w:keepNext/>
      <w:keepLines/>
      <w:spacing w:before="280" w:after="290" w:line="376" w:lineRule="auto"/>
      <w:outlineLvl w:val="3"/>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18"/>
      <w:szCs w:val="18"/>
    </w:rPr>
  </w:style>
  <w:style w:type="paragraph" w:styleId="7">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60"/>
    <w:autoRedefine/>
    <w:qFormat/>
    <w:uiPriority w:val="0"/>
    <w:pPr>
      <w:jc w:val="left"/>
    </w:pPr>
    <w:rPr>
      <w:rFonts w:ascii="Arial" w:hAnsi="Arial" w:eastAsia="黑体" w:cs="Arial"/>
    </w:rPr>
  </w:style>
  <w:style w:type="paragraph" w:styleId="9">
    <w:name w:val="Body Text"/>
    <w:basedOn w:val="1"/>
    <w:autoRedefine/>
    <w:qFormat/>
    <w:uiPriority w:val="0"/>
    <w:pPr>
      <w:spacing w:after="120"/>
    </w:pPr>
    <w:rPr>
      <w:rFonts w:ascii="@微软简标宋" w:hAnsi="@微软简标宋" w:eastAsia="@微软简标宋" w:cs="@微软简标宋"/>
      <w:szCs w:val="24"/>
      <w:lang w:val="zh-CN"/>
    </w:rPr>
  </w:style>
  <w:style w:type="paragraph" w:styleId="10">
    <w:name w:val="Body Text Indent"/>
    <w:basedOn w:val="1"/>
    <w:autoRedefine/>
    <w:qFormat/>
    <w:uiPriority w:val="0"/>
    <w:pPr>
      <w:spacing w:after="120"/>
      <w:ind w:left="420" w:leftChars="200"/>
    </w:pPr>
  </w:style>
  <w:style w:type="paragraph" w:styleId="11">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2">
    <w:name w:val="Plain Text"/>
    <w:basedOn w:val="1"/>
    <w:link w:val="49"/>
    <w:autoRedefine/>
    <w:qFormat/>
    <w:uiPriority w:val="99"/>
    <w:rPr>
      <w:rFonts w:ascii="宋体" w:hAnsi="Courier New" w:eastAsiaTheme="minorEastAsia" w:cstheme="minorBidi"/>
      <w:szCs w:val="22"/>
    </w:rPr>
  </w:style>
  <w:style w:type="paragraph" w:styleId="13">
    <w:name w:val="Date"/>
    <w:basedOn w:val="1"/>
    <w:next w:val="1"/>
    <w:link w:val="56"/>
    <w:autoRedefine/>
    <w:qFormat/>
    <w:uiPriority w:val="0"/>
    <w:rPr>
      <w:rFonts w:ascii="Arial" w:hAnsi="Arial" w:eastAsia="宋体" w:cs="Arial"/>
      <w:b/>
      <w:sz w:val="28"/>
    </w:rPr>
  </w:style>
  <w:style w:type="paragraph" w:styleId="14">
    <w:name w:val="Body Text Indent 2"/>
    <w:basedOn w:val="1"/>
    <w:next w:val="1"/>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15">
    <w:name w:val="Balloon Text"/>
    <w:basedOn w:val="1"/>
    <w:link w:val="43"/>
    <w:autoRedefine/>
    <w:semiHidden/>
    <w:unhideWhenUsed/>
    <w:qFormat/>
    <w:uiPriority w:val="99"/>
    <w:rPr>
      <w:sz w:val="18"/>
      <w:szCs w:val="18"/>
    </w:rPr>
  </w:style>
  <w:style w:type="paragraph" w:styleId="16">
    <w:name w:val="footer"/>
    <w:basedOn w:val="1"/>
    <w:link w:val="48"/>
    <w:autoRedefine/>
    <w:unhideWhenUsed/>
    <w:qFormat/>
    <w:uiPriority w:val="99"/>
    <w:pPr>
      <w:tabs>
        <w:tab w:val="center" w:pos="4153"/>
        <w:tab w:val="right" w:pos="8306"/>
      </w:tabs>
      <w:snapToGrid w:val="0"/>
      <w:jc w:val="left"/>
    </w:pPr>
    <w:rPr>
      <w:sz w:val="18"/>
      <w:szCs w:val="18"/>
    </w:rPr>
  </w:style>
  <w:style w:type="paragraph" w:styleId="17">
    <w:name w:val="envelope return"/>
    <w:basedOn w:val="1"/>
    <w:next w:val="6"/>
    <w:qFormat/>
    <w:uiPriority w:val="0"/>
    <w:pPr>
      <w:snapToGrid w:val="0"/>
    </w:pPr>
    <w:rPr>
      <w:rFonts w:ascii="Arial" w:hAnsi="Arial"/>
    </w:rPr>
  </w:style>
  <w:style w:type="paragraph" w:styleId="18">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0">
    <w:name w:val="List"/>
    <w:basedOn w:val="1"/>
    <w:next w:val="1"/>
    <w:qFormat/>
    <w:uiPriority w:val="0"/>
    <w:pPr>
      <w:ind w:left="420" w:hanging="420"/>
    </w:pPr>
    <w:rPr>
      <w:rFonts w:ascii="Arial" w:hAnsi="Arial" w:eastAsia="楷体_GB2312"/>
      <w:sz w:val="28"/>
    </w:rPr>
  </w:style>
  <w:style w:type="paragraph" w:styleId="21">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2">
    <w:name w:val="Normal (Web)"/>
    <w:basedOn w:val="1"/>
    <w:autoRedefine/>
    <w:qFormat/>
    <w:uiPriority w:val="0"/>
    <w:pPr>
      <w:spacing w:before="100" w:beforeAutospacing="1" w:after="100" w:afterAutospacing="1"/>
      <w:jc w:val="left"/>
    </w:pPr>
    <w:rPr>
      <w:rFonts w:cs="Times New Roman"/>
      <w:kern w:val="0"/>
      <w:sz w:val="24"/>
    </w:rPr>
  </w:style>
  <w:style w:type="paragraph" w:styleId="23">
    <w:name w:val="index 1"/>
    <w:basedOn w:val="1"/>
    <w:next w:val="1"/>
    <w:autoRedefine/>
    <w:qFormat/>
    <w:uiPriority w:val="0"/>
    <w:pPr>
      <w:jc w:val="center"/>
    </w:pPr>
    <w:rPr>
      <w:rFonts w:ascii="Arial" w:hAnsi="Arial" w:eastAsia="Arial" w:cs="Arial"/>
      <w:b/>
      <w:bCs/>
      <w:sz w:val="28"/>
    </w:rPr>
  </w:style>
  <w:style w:type="paragraph" w:styleId="24">
    <w:name w:val="Body Text First Indent"/>
    <w:basedOn w:val="9"/>
    <w:autoRedefine/>
    <w:unhideWhenUsed/>
    <w:qFormat/>
    <w:uiPriority w:val="99"/>
    <w:pPr>
      <w:ind w:firstLine="420" w:firstLineChars="100"/>
    </w:pPr>
  </w:style>
  <w:style w:type="paragraph" w:styleId="25">
    <w:name w:val="Body Text First Indent 2"/>
    <w:basedOn w:val="10"/>
    <w:qFormat/>
    <w:uiPriority w:val="0"/>
    <w:pPr>
      <w:spacing w:line="360" w:lineRule="auto"/>
      <w:ind w:firstLine="200" w:firstLineChars="200"/>
    </w:pPr>
    <w:rPr>
      <w:rFonts w:ascii="宋体"/>
    </w:rPr>
  </w:style>
  <w:style w:type="table" w:styleId="27">
    <w:name w:val="Table Grid"/>
    <w:basedOn w:val="26"/>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0"/>
    <w:rPr>
      <w:b/>
      <w:bCs/>
    </w:rPr>
  </w:style>
  <w:style w:type="character" w:styleId="30">
    <w:name w:val="FollowedHyperlink"/>
    <w:basedOn w:val="28"/>
    <w:semiHidden/>
    <w:unhideWhenUsed/>
    <w:qFormat/>
    <w:uiPriority w:val="99"/>
    <w:rPr>
      <w:color w:val="5C5C5C"/>
      <w:u w:val="none"/>
    </w:rPr>
  </w:style>
  <w:style w:type="character" w:styleId="31">
    <w:name w:val="Emphasis"/>
    <w:basedOn w:val="28"/>
    <w:qFormat/>
    <w:uiPriority w:val="20"/>
    <w:rPr>
      <w:b/>
      <w:bCs/>
    </w:rPr>
  </w:style>
  <w:style w:type="character" w:styleId="32">
    <w:name w:val="HTML Definition"/>
    <w:basedOn w:val="28"/>
    <w:semiHidden/>
    <w:unhideWhenUsed/>
    <w:qFormat/>
    <w:uiPriority w:val="99"/>
  </w:style>
  <w:style w:type="character" w:styleId="33">
    <w:name w:val="HTML Typewriter"/>
    <w:basedOn w:val="28"/>
    <w:semiHidden/>
    <w:unhideWhenUsed/>
    <w:qFormat/>
    <w:uiPriority w:val="99"/>
    <w:rPr>
      <w:rFonts w:hint="default" w:ascii="monospace" w:hAnsi="monospace" w:eastAsia="monospace" w:cs="monospace"/>
      <w:sz w:val="20"/>
    </w:rPr>
  </w:style>
  <w:style w:type="character" w:styleId="34">
    <w:name w:val="HTML Acronym"/>
    <w:basedOn w:val="28"/>
    <w:semiHidden/>
    <w:unhideWhenUsed/>
    <w:qFormat/>
    <w:uiPriority w:val="99"/>
    <w:rPr>
      <w:bdr w:val="none" w:color="auto" w:sz="0" w:space="0"/>
    </w:rPr>
  </w:style>
  <w:style w:type="character" w:styleId="35">
    <w:name w:val="HTML Variable"/>
    <w:basedOn w:val="28"/>
    <w:semiHidden/>
    <w:unhideWhenUsed/>
    <w:qFormat/>
    <w:uiPriority w:val="99"/>
  </w:style>
  <w:style w:type="character" w:styleId="36">
    <w:name w:val="Hyperlink"/>
    <w:basedOn w:val="28"/>
    <w:autoRedefine/>
    <w:unhideWhenUsed/>
    <w:qFormat/>
    <w:uiPriority w:val="99"/>
    <w:rPr>
      <w:color w:val="0000FF" w:themeColor="hyperlink"/>
      <w:u w:val="single"/>
      <w14:textFill>
        <w14:solidFill>
          <w14:schemeClr w14:val="hlink"/>
        </w14:solidFill>
      </w14:textFill>
    </w:rPr>
  </w:style>
  <w:style w:type="character" w:styleId="37">
    <w:name w:val="HTML Code"/>
    <w:basedOn w:val="28"/>
    <w:semiHidden/>
    <w:unhideWhenUsed/>
    <w:qFormat/>
    <w:uiPriority w:val="99"/>
    <w:rPr>
      <w:rFonts w:hint="default" w:ascii="monospace" w:hAnsi="monospace" w:eastAsia="monospace" w:cs="monospace"/>
      <w:sz w:val="20"/>
    </w:rPr>
  </w:style>
  <w:style w:type="character" w:styleId="38">
    <w:name w:val="HTML Cite"/>
    <w:basedOn w:val="28"/>
    <w:semiHidden/>
    <w:unhideWhenUsed/>
    <w:qFormat/>
    <w:uiPriority w:val="99"/>
  </w:style>
  <w:style w:type="character" w:styleId="39">
    <w:name w:val="HTML Keyboard"/>
    <w:basedOn w:val="28"/>
    <w:semiHidden/>
    <w:unhideWhenUsed/>
    <w:qFormat/>
    <w:uiPriority w:val="99"/>
    <w:rPr>
      <w:rFonts w:hint="default" w:ascii="monospace" w:hAnsi="monospace" w:eastAsia="monospace" w:cs="monospace"/>
      <w:color w:val="D6D6D6"/>
      <w:sz w:val="20"/>
    </w:rPr>
  </w:style>
  <w:style w:type="character" w:styleId="40">
    <w:name w:val="HTML Sample"/>
    <w:basedOn w:val="28"/>
    <w:semiHidden/>
    <w:unhideWhenUsed/>
    <w:qFormat/>
    <w:uiPriority w:val="99"/>
    <w:rPr>
      <w:rFonts w:ascii="monospace" w:hAnsi="monospace" w:eastAsia="monospace" w:cs="monospace"/>
    </w:rPr>
  </w:style>
  <w:style w:type="paragraph" w:customStyle="1" w:styleId="41">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paragraph" w:customStyle="1" w:styleId="42">
    <w:name w:val="正文文字 8"/>
    <w:basedOn w:val="1"/>
    <w:next w:val="1"/>
    <w:qFormat/>
    <w:uiPriority w:val="0"/>
    <w:pPr>
      <w:ind w:left="240"/>
    </w:pPr>
    <w:rPr>
      <w:sz w:val="16"/>
    </w:rPr>
  </w:style>
  <w:style w:type="character" w:customStyle="1" w:styleId="43">
    <w:name w:val="批注框文本 Char"/>
    <w:basedOn w:val="28"/>
    <w:link w:val="15"/>
    <w:autoRedefine/>
    <w:semiHidden/>
    <w:qFormat/>
    <w:uiPriority w:val="99"/>
    <w:rPr>
      <w:rFonts w:ascii="@仿宋_GB2312" w:hAnsi="@仿宋_GB2312" w:eastAsia="@仿宋_GB2312" w:cs="@仿宋_GB2312"/>
      <w:sz w:val="18"/>
      <w:szCs w:val="18"/>
    </w:rPr>
  </w:style>
  <w:style w:type="paragraph" w:customStyle="1" w:styleId="44">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5">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6">
    <w:name w:val="D&amp;L"/>
    <w:basedOn w:val="1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7">
    <w:name w:val="页眉 Char"/>
    <w:basedOn w:val="28"/>
    <w:link w:val="18"/>
    <w:autoRedefine/>
    <w:qFormat/>
    <w:uiPriority w:val="0"/>
    <w:rPr>
      <w:rFonts w:ascii="@仿宋_GB2312" w:hAnsi="@仿宋_GB2312" w:eastAsia="@仿宋_GB2312" w:cs="@仿宋_GB2312"/>
      <w:sz w:val="18"/>
      <w:szCs w:val="18"/>
    </w:rPr>
  </w:style>
  <w:style w:type="character" w:customStyle="1" w:styleId="48">
    <w:name w:val="页脚 Char"/>
    <w:basedOn w:val="28"/>
    <w:link w:val="16"/>
    <w:autoRedefine/>
    <w:qFormat/>
    <w:uiPriority w:val="99"/>
    <w:rPr>
      <w:rFonts w:ascii="@仿宋_GB2312" w:hAnsi="@仿宋_GB2312" w:eastAsia="@仿宋_GB2312" w:cs="@仿宋_GB2312"/>
      <w:sz w:val="18"/>
      <w:szCs w:val="18"/>
    </w:rPr>
  </w:style>
  <w:style w:type="character" w:customStyle="1" w:styleId="49">
    <w:name w:val="纯文本 Char"/>
    <w:link w:val="12"/>
    <w:autoRedefine/>
    <w:qFormat/>
    <w:uiPriority w:val="0"/>
    <w:rPr>
      <w:rFonts w:ascii="宋体" w:hAnsi="Courier New"/>
    </w:rPr>
  </w:style>
  <w:style w:type="character" w:customStyle="1" w:styleId="50">
    <w:name w:val="纯文本 字符1"/>
    <w:basedOn w:val="28"/>
    <w:autoRedefine/>
    <w:semiHidden/>
    <w:qFormat/>
    <w:uiPriority w:val="99"/>
    <w:rPr>
      <w:rFonts w:hAnsi="Courier New" w:cs="Courier New" w:asciiTheme="minorEastAsia"/>
      <w:szCs w:val="20"/>
    </w:rPr>
  </w:style>
  <w:style w:type="character" w:customStyle="1" w:styleId="51">
    <w:name w:val="未处理的提及1"/>
    <w:basedOn w:val="28"/>
    <w:autoRedefine/>
    <w:semiHidden/>
    <w:unhideWhenUsed/>
    <w:qFormat/>
    <w:uiPriority w:val="99"/>
    <w:rPr>
      <w:color w:val="605E5C"/>
      <w:shd w:val="clear" w:color="auto" w:fill="E1DFDD"/>
    </w:rPr>
  </w:style>
  <w:style w:type="paragraph" w:styleId="52">
    <w:name w:val="List Paragraph"/>
    <w:basedOn w:val="1"/>
    <w:autoRedefine/>
    <w:qFormat/>
    <w:uiPriority w:val="34"/>
    <w:pPr>
      <w:ind w:firstLine="420" w:firstLineChars="200"/>
    </w:pPr>
  </w:style>
  <w:style w:type="paragraph" w:customStyle="1" w:styleId="53">
    <w:name w:val="Char Char Char Char Char Char Char1 Char"/>
    <w:basedOn w:val="1"/>
    <w:autoRedefine/>
    <w:qFormat/>
    <w:uiPriority w:val="0"/>
    <w:rPr>
      <w:rFonts w:ascii="Arial" w:hAnsi="Arial" w:eastAsia="宋体" w:cs="Arial"/>
      <w:sz w:val="24"/>
    </w:rPr>
  </w:style>
  <w:style w:type="table" w:customStyle="1" w:styleId="54">
    <w:name w:val="网格表 1 浅色1"/>
    <w:basedOn w:val="2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5">
    <w:name w:val="日期 字符"/>
    <w:basedOn w:val="28"/>
    <w:autoRedefine/>
    <w:semiHidden/>
    <w:qFormat/>
    <w:uiPriority w:val="99"/>
    <w:rPr>
      <w:rFonts w:ascii="@仿宋_GB2312" w:hAnsi="@仿宋_GB2312" w:eastAsia="@仿宋_GB2312" w:cs="@仿宋_GB2312"/>
      <w:szCs w:val="20"/>
    </w:rPr>
  </w:style>
  <w:style w:type="character" w:customStyle="1" w:styleId="56">
    <w:name w:val="日期 Char"/>
    <w:link w:val="13"/>
    <w:autoRedefine/>
    <w:qFormat/>
    <w:uiPriority w:val="0"/>
    <w:rPr>
      <w:rFonts w:ascii="Arial" w:hAnsi="Arial" w:eastAsia="宋体" w:cs="Arial"/>
      <w:b/>
      <w:sz w:val="28"/>
      <w:szCs w:val="20"/>
    </w:rPr>
  </w:style>
  <w:style w:type="character" w:customStyle="1" w:styleId="57">
    <w:name w:val="纯文本 Char1"/>
    <w:link w:val="58"/>
    <w:autoRedefine/>
    <w:qFormat/>
    <w:locked/>
    <w:uiPriority w:val="0"/>
    <w:rPr>
      <w:rFonts w:ascii="Arial" w:hAnsi="Arial" w:eastAsia="Arial"/>
      <w:kern w:val="2"/>
      <w:sz w:val="21"/>
      <w:lang w:val="en-US" w:eastAsia="zh-CN" w:bidi="ar-SA"/>
    </w:rPr>
  </w:style>
  <w:style w:type="paragraph" w:customStyle="1" w:styleId="58">
    <w:name w:val="纯文本1"/>
    <w:basedOn w:val="1"/>
    <w:link w:val="57"/>
    <w:autoRedefine/>
    <w:qFormat/>
    <w:uiPriority w:val="0"/>
    <w:rPr>
      <w:rFonts w:ascii="Arial" w:hAnsi="Arial" w:eastAsia="Arial" w:cstheme="minorBidi"/>
      <w:szCs w:val="22"/>
    </w:rPr>
  </w:style>
  <w:style w:type="character" w:customStyle="1" w:styleId="59">
    <w:name w:val="批注文字 Char"/>
    <w:basedOn w:val="28"/>
    <w:autoRedefine/>
    <w:semiHidden/>
    <w:qFormat/>
    <w:uiPriority w:val="99"/>
    <w:rPr>
      <w:rFonts w:ascii="@仿宋_GB2312" w:hAnsi="@仿宋_GB2312" w:eastAsia="@仿宋_GB2312" w:cs="@仿宋_GB2312"/>
      <w:szCs w:val="20"/>
    </w:rPr>
  </w:style>
  <w:style w:type="character" w:customStyle="1" w:styleId="60">
    <w:name w:val="批注文字 Char1"/>
    <w:link w:val="8"/>
    <w:autoRedefine/>
    <w:qFormat/>
    <w:uiPriority w:val="0"/>
    <w:rPr>
      <w:rFonts w:ascii="Arial" w:hAnsi="Arial" w:eastAsia="黑体" w:cs="Arial"/>
      <w:szCs w:val="20"/>
    </w:rPr>
  </w:style>
  <w:style w:type="character" w:customStyle="1" w:styleId="61">
    <w:name w:val="标题 1 Char"/>
    <w:basedOn w:val="28"/>
    <w:link w:val="2"/>
    <w:autoRedefine/>
    <w:qFormat/>
    <w:uiPriority w:val="9"/>
    <w:rPr>
      <w:rFonts w:ascii="@仿宋_GB2312" w:hAnsi="@仿宋_GB2312" w:eastAsia="@仿宋_GB2312" w:cs="@仿宋_GB2312"/>
      <w:b/>
      <w:bCs/>
      <w:kern w:val="44"/>
      <w:sz w:val="44"/>
      <w:szCs w:val="44"/>
    </w:rPr>
  </w:style>
  <w:style w:type="paragraph" w:customStyle="1" w:styleId="62">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3">
    <w:name w:val="标题 3 Char"/>
    <w:basedOn w:val="28"/>
    <w:link w:val="4"/>
    <w:autoRedefine/>
    <w:semiHidden/>
    <w:qFormat/>
    <w:uiPriority w:val="9"/>
    <w:rPr>
      <w:rFonts w:ascii="@仿宋_GB2312" w:hAnsi="@仿宋_GB2312" w:eastAsia="@仿宋_GB2312" w:cs="@仿宋_GB2312"/>
      <w:b/>
      <w:bCs/>
      <w:sz w:val="32"/>
      <w:szCs w:val="32"/>
    </w:rPr>
  </w:style>
  <w:style w:type="character" w:customStyle="1" w:styleId="64">
    <w:name w:val="fontstyle01"/>
    <w:basedOn w:val="28"/>
    <w:autoRedefine/>
    <w:qFormat/>
    <w:uiPriority w:val="0"/>
    <w:rPr>
      <w:rFonts w:hint="eastAsia" w:ascii="宋体" w:hAnsi="宋体" w:eastAsia="宋体"/>
      <w:color w:val="000000"/>
      <w:sz w:val="22"/>
      <w:szCs w:val="22"/>
    </w:rPr>
  </w:style>
  <w:style w:type="character" w:customStyle="1" w:styleId="65">
    <w:name w:val="fontstyle21"/>
    <w:basedOn w:val="28"/>
    <w:autoRedefine/>
    <w:qFormat/>
    <w:uiPriority w:val="0"/>
    <w:rPr>
      <w:rFonts w:hint="default" w:ascii="TimesNewRomanPSMT" w:hAnsi="TimesNewRomanPSMT"/>
      <w:color w:val="000000"/>
      <w:sz w:val="22"/>
      <w:szCs w:val="22"/>
    </w:rPr>
  </w:style>
  <w:style w:type="character" w:customStyle="1" w:styleId="66">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7">
    <w:name w:val="标题 4 字符"/>
    <w:basedOn w:val="28"/>
    <w:autoRedefine/>
    <w:semiHidden/>
    <w:qFormat/>
    <w:uiPriority w:val="9"/>
    <w:rPr>
      <w:rFonts w:asciiTheme="majorHAnsi" w:hAnsiTheme="majorHAnsi" w:eastAsiaTheme="majorEastAsia" w:cstheme="majorBidi"/>
      <w:b/>
      <w:bCs/>
      <w:sz w:val="28"/>
      <w:szCs w:val="28"/>
    </w:rPr>
  </w:style>
  <w:style w:type="character" w:customStyle="1" w:styleId="68">
    <w:name w:val="标题 4 Char"/>
    <w:link w:val="5"/>
    <w:autoRedefine/>
    <w:qFormat/>
    <w:uiPriority w:val="0"/>
    <w:rPr>
      <w:rFonts w:ascii="@仿宋_GB2312" w:hAnsi="@仿宋_GB2312" w:eastAsia="@仿宋_GB2312" w:cs="@仿宋_GB2312"/>
      <w:b/>
      <w:bCs/>
      <w:sz w:val="28"/>
      <w:szCs w:val="28"/>
    </w:rPr>
  </w:style>
  <w:style w:type="table" w:customStyle="1" w:styleId="69">
    <w:name w:val="Table Normal"/>
    <w:autoRedefine/>
    <w:semiHidden/>
    <w:unhideWhenUsed/>
    <w:qFormat/>
    <w:uiPriority w:val="0"/>
    <w:tblPr>
      <w:tblCellMar>
        <w:top w:w="0" w:type="dxa"/>
        <w:left w:w="0" w:type="dxa"/>
        <w:bottom w:w="0" w:type="dxa"/>
        <w:right w:w="0" w:type="dxa"/>
      </w:tblCellMar>
    </w:tblPr>
  </w:style>
  <w:style w:type="paragraph" w:customStyle="1" w:styleId="70">
    <w:name w:val="Table Text"/>
    <w:basedOn w:val="1"/>
    <w:autoRedefine/>
    <w:semiHidden/>
    <w:qFormat/>
    <w:uiPriority w:val="0"/>
    <w:rPr>
      <w:rFonts w:ascii="Arial" w:hAnsi="Arial" w:eastAsia="Arial" w:cs="Arial"/>
      <w:szCs w:val="21"/>
      <w:lang w:eastAsia="en-US"/>
    </w:rPr>
  </w:style>
  <w:style w:type="paragraph" w:customStyle="1" w:styleId="71">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列出段落1"/>
    <w:basedOn w:val="1"/>
    <w:autoRedefine/>
    <w:qFormat/>
    <w:uiPriority w:val="0"/>
    <w:pPr>
      <w:ind w:firstLine="420" w:firstLineChars="200"/>
    </w:pPr>
    <w:rPr>
      <w:szCs w:val="21"/>
    </w:rPr>
  </w:style>
  <w:style w:type="character" w:customStyle="1" w:styleId="73">
    <w:name w:val="hover"/>
    <w:basedOn w:val="28"/>
    <w:qFormat/>
    <w:uiPriority w:val="0"/>
    <w:rPr>
      <w:color w:val="2590EB"/>
      <w:shd w:val="clear" w:color="auto" w:fill="E9F4FD"/>
    </w:rPr>
  </w:style>
  <w:style w:type="character" w:customStyle="1" w:styleId="74">
    <w:name w:val="hover1"/>
    <w:basedOn w:val="28"/>
    <w:qFormat/>
    <w:uiPriority w:val="0"/>
    <w:rPr>
      <w:color w:val="2590EB"/>
    </w:rPr>
  </w:style>
  <w:style w:type="character" w:customStyle="1" w:styleId="75">
    <w:name w:val="hover2"/>
    <w:basedOn w:val="28"/>
    <w:qFormat/>
    <w:uiPriority w:val="0"/>
    <w:rPr>
      <w:color w:val="2590EB"/>
    </w:rPr>
  </w:style>
  <w:style w:type="character" w:customStyle="1" w:styleId="76">
    <w:name w:val="hover3"/>
    <w:basedOn w:val="28"/>
    <w:qFormat/>
    <w:uiPriority w:val="0"/>
  </w:style>
  <w:style w:type="character" w:customStyle="1" w:styleId="77">
    <w:name w:val="hover4"/>
    <w:basedOn w:val="28"/>
    <w:qFormat/>
    <w:uiPriority w:val="0"/>
    <w:rPr>
      <w:color w:val="2590EB"/>
      <w:shd w:val="clear" w:color="auto" w:fill="E9F4FD"/>
    </w:rPr>
  </w:style>
  <w:style w:type="character" w:customStyle="1" w:styleId="78">
    <w:name w:val="layui-this"/>
    <w:basedOn w:val="28"/>
    <w:qFormat/>
    <w:uiPriority w:val="0"/>
    <w:rPr>
      <w:bdr w:val="single" w:color="EEEEEE" w:sz="6" w:space="0"/>
      <w:shd w:val="clear" w:fill="FFFFFF"/>
    </w:rPr>
  </w:style>
  <w:style w:type="character" w:customStyle="1" w:styleId="79">
    <w:name w:val="first-child"/>
    <w:basedOn w:val="28"/>
    <w:qFormat/>
    <w:uiPriority w:val="0"/>
  </w:style>
  <w:style w:type="character" w:customStyle="1" w:styleId="80">
    <w:name w:val="font41"/>
    <w:basedOn w:val="28"/>
    <w:qFormat/>
    <w:uiPriority w:val="0"/>
    <w:rPr>
      <w:rFonts w:hint="eastAsia" w:ascii="宋体" w:hAnsi="宋体" w:eastAsia="宋体" w:cs="宋体"/>
      <w:color w:val="000000"/>
      <w:sz w:val="20"/>
      <w:szCs w:val="20"/>
      <w:u w:val="none"/>
    </w:rPr>
  </w:style>
  <w:style w:type="character" w:customStyle="1" w:styleId="81">
    <w:name w:val="font71"/>
    <w:basedOn w:val="28"/>
    <w:qFormat/>
    <w:uiPriority w:val="0"/>
    <w:rPr>
      <w:rFonts w:ascii="MS Sans Serif" w:hAnsi="MS Sans Serif" w:eastAsia="MS Sans Serif" w:cs="MS Sans Serif"/>
      <w:color w:val="000000"/>
      <w:sz w:val="20"/>
      <w:szCs w:val="20"/>
      <w:u w:val="none"/>
    </w:rPr>
  </w:style>
  <w:style w:type="character" w:customStyle="1" w:styleId="82">
    <w:name w:val="time"/>
    <w:basedOn w:val="28"/>
    <w:qFormat/>
    <w:uiPriority w:val="0"/>
  </w:style>
  <w:style w:type="character" w:customStyle="1" w:styleId="83">
    <w:name w:val="status"/>
    <w:basedOn w:val="28"/>
    <w:qFormat/>
    <w:uiPriority w:val="0"/>
    <w:rPr>
      <w:color w:val="0776DD"/>
    </w:rPr>
  </w:style>
  <w:style w:type="character" w:customStyle="1" w:styleId="84">
    <w:name w:val="font81"/>
    <w:basedOn w:val="28"/>
    <w:qFormat/>
    <w:uiPriority w:val="0"/>
    <w:rPr>
      <w:rFonts w:hint="eastAsia" w:ascii="宋体" w:hAnsi="宋体" w:eastAsia="宋体" w:cs="宋体"/>
      <w:b/>
      <w:bCs/>
      <w:color w:val="000000"/>
      <w:sz w:val="20"/>
      <w:szCs w:val="20"/>
      <w:u w:val="none"/>
    </w:rPr>
  </w:style>
  <w:style w:type="character" w:customStyle="1" w:styleId="85">
    <w:name w:val="font91"/>
    <w:basedOn w:val="28"/>
    <w:qFormat/>
    <w:uiPriority w:val="0"/>
    <w:rPr>
      <w:rFonts w:ascii="Calibri" w:hAnsi="Calibri" w:cs="Calibri"/>
      <w:color w:val="000000"/>
      <w:sz w:val="20"/>
      <w:szCs w:val="20"/>
      <w:u w:val="none"/>
    </w:rPr>
  </w:style>
  <w:style w:type="character" w:customStyle="1" w:styleId="86">
    <w:name w:val="font31"/>
    <w:basedOn w:val="28"/>
    <w:qFormat/>
    <w:uiPriority w:val="0"/>
    <w:rPr>
      <w:rFonts w:hint="eastAsia" w:ascii="宋体" w:hAnsi="宋体" w:eastAsia="宋体" w:cs="宋体"/>
      <w:color w:val="000000"/>
      <w:sz w:val="20"/>
      <w:szCs w:val="20"/>
      <w:u w:val="none"/>
    </w:rPr>
  </w:style>
  <w:style w:type="character" w:customStyle="1" w:styleId="87">
    <w:name w:val="font101"/>
    <w:basedOn w:val="28"/>
    <w:qFormat/>
    <w:uiPriority w:val="0"/>
    <w:rPr>
      <w:rFonts w:ascii="MS Sans Serif" w:hAnsi="MS Sans Serif" w:eastAsia="MS Sans Serif" w:cs="MS Sans Serif"/>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202E19-8E66-40F2-B87B-00A45F8FBF0F}">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46</Pages>
  <Words>6259</Words>
  <Characters>7010</Characters>
  <Lines>267</Lines>
  <Paragraphs>75</Paragraphs>
  <TotalTime>22</TotalTime>
  <ScaleCrop>false</ScaleCrop>
  <LinksUpToDate>false</LinksUpToDate>
  <CharactersWithSpaces>7137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2025-05-21T00:14:00Z</dcterms:created>
  <dc:creator>Anakin</dc:creator>
  <cp:lastModifiedBy>代理</cp:lastModifiedBy>
  <cp:lastPrinted>2019-12-07T15:22:00Z</cp:lastPrinted>
  <dcterms:modified xsi:type="dcterms:W3CDTF">2025-07-29T08:16:31Z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7E31A9DDB782428E8DA16AD659ACD7DE_13</vt:lpwstr>
  </property>
  <property fmtid="{D5CDD505-2E9C-101B-9397-08002B2CF9AE}" pid="4" name="KSOTemplateDocerSaveRecord">
    <vt:lpwstr>eyJoZGlkIjoiOTc5MDNjMmIyODczM2YwMGZkZTNjYWY1NjIxZTY5YjciLCJ1c2VySWQiOiI1MDM3MjkwOTMifQ==</vt:lpwstr>
  </property>
</Properties>
</file>