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87B7F">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52"/>
          <w:szCs w:val="52"/>
          <w:highlight w:val="none"/>
        </w:rPr>
      </w:pPr>
      <w:bookmarkStart w:id="96" w:name="_GoBack"/>
      <w:r>
        <w:rPr>
          <w:rFonts w:hint="eastAsia" w:ascii="宋体" w:hAnsi="宋体" w:eastAsia="宋体"/>
          <w:b/>
          <w:bCs/>
          <w:color w:val="auto"/>
          <w:sz w:val="52"/>
          <w:szCs w:val="52"/>
          <w:highlight w:val="none"/>
        </w:rPr>
        <w:t xml:space="preserve"> </w:t>
      </w:r>
    </w:p>
    <w:p w14:paraId="6725B9D7">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52"/>
          <w:szCs w:val="52"/>
          <w:highlight w:val="none"/>
        </w:rPr>
      </w:pPr>
    </w:p>
    <w:p w14:paraId="1ADDD8AC">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34C1B8CD">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（货物类）</w:t>
      </w:r>
    </w:p>
    <w:p w14:paraId="20B9F3B4">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（2026年版）</w:t>
      </w:r>
    </w:p>
    <w:p w14:paraId="27483BD5">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2A6A03D6">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4B01004E">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6A1633E1">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071E930E">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07FFA10E">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u w:val="single"/>
          <w:lang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滁州职业技术学院人工智能实验室项目</w:t>
      </w:r>
    </w:p>
    <w:p w14:paraId="3C8870C8">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czsjcg202609-050</w:t>
      </w:r>
    </w:p>
    <w:p w14:paraId="76A1B783">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rPr>
        <w:t>滁州职业技术学院</w:t>
      </w:r>
    </w:p>
    <w:p w14:paraId="092C3BD0">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rPr>
        <w:t>滁州市政府采购中心</w:t>
      </w:r>
    </w:p>
    <w:p w14:paraId="2993693E">
      <w:pPr>
        <w:tabs>
          <w:tab w:val="left" w:pos="315"/>
          <w:tab w:val="left" w:pos="8820"/>
        </w:tabs>
        <w:spacing w:before="317" w:beforeLines="100" w:after="158" w:afterLines="50" w:line="500" w:lineRule="exact"/>
        <w:ind w:right="267" w:rightChars="127"/>
        <w:jc w:val="center"/>
        <w:rPr>
          <w:rFonts w:hint="eastAsia" w:ascii="宋体" w:hAnsi="宋体" w:eastAsia="宋体"/>
          <w:b/>
          <w:bCs/>
          <w:color w:val="auto"/>
          <w:sz w:val="44"/>
          <w:szCs w:val="44"/>
          <w:highlight w:val="none"/>
        </w:rPr>
      </w:pPr>
    </w:p>
    <w:p w14:paraId="33E1F0E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9</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61384983">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6908259D">
      <w:pPr>
        <w:pStyle w:val="17"/>
        <w:tabs>
          <w:tab w:val="right" w:leader="dot" w:pos="8306"/>
        </w:tabs>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color w:val="auto"/>
          <w:highlight w:val="none"/>
        </w:rPr>
        <w:fldChar w:fldCharType="begin"/>
      </w:r>
      <w:r>
        <w:rPr>
          <w:color w:val="auto"/>
          <w:highlight w:val="none"/>
        </w:rPr>
        <w:instrText xml:space="preserve"> HYPERLINK \l "_Toc23443"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投标邀请</w:t>
      </w:r>
      <w:r>
        <w:rPr>
          <w:color w:val="auto"/>
          <w:highlight w:val="none"/>
        </w:rPr>
        <w:tab/>
      </w:r>
      <w:r>
        <w:rPr>
          <w:color w:val="auto"/>
          <w:highlight w:val="none"/>
        </w:rPr>
        <w:fldChar w:fldCharType="begin"/>
      </w:r>
      <w:r>
        <w:rPr>
          <w:color w:val="auto"/>
          <w:highlight w:val="none"/>
        </w:rPr>
        <w:instrText xml:space="preserve"> PAGEREF _Toc23443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38C6091F">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"_Toc31935"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w:t>
      </w:r>
      <w:r>
        <w:rPr>
          <w:rFonts w:asciiTheme="minorEastAsia" w:hAnsiTheme="minorEastAsia"/>
          <w:color w:val="auto"/>
          <w:highlight w:val="none"/>
        </w:rPr>
        <w:t>投标人须知</w:t>
      </w:r>
      <w:r>
        <w:rPr>
          <w:color w:val="auto"/>
          <w:highlight w:val="none"/>
        </w:rPr>
        <w:tab/>
      </w:r>
      <w:r>
        <w:rPr>
          <w:rFonts w:hint="eastAsia"/>
          <w:color w:val="auto"/>
          <w:highlight w:val="none"/>
          <w:lang w:val="en-US" w:eastAsia="zh-CN"/>
        </w:rPr>
        <w:t>4</w:t>
      </w:r>
      <w:r>
        <w:rPr>
          <w:rFonts w:hint="eastAsia"/>
          <w:color w:val="auto"/>
          <w:highlight w:val="none"/>
        </w:rPr>
        <w:fldChar w:fldCharType="end"/>
      </w:r>
    </w:p>
    <w:p w14:paraId="540DF2B9">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"_Toc10891"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rPr>
        <w:t>2</w:t>
      </w:r>
      <w:r>
        <w:rPr>
          <w:rFonts w:hint="eastAsia"/>
          <w:color w:val="auto"/>
          <w:highlight w:val="none"/>
        </w:rPr>
        <w:fldChar w:fldCharType="end"/>
      </w:r>
      <w:r>
        <w:rPr>
          <w:rFonts w:hint="eastAsia" w:asciiTheme="minorEastAsia" w:hAnsiTheme="minorEastAsia"/>
          <w:color w:val="auto"/>
          <w:szCs w:val="24"/>
          <w:highlight w:val="none"/>
        </w:rPr>
        <w:t>4</w:t>
      </w:r>
    </w:p>
    <w:p w14:paraId="2309FF48">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"_Toc16417" </w:instrText>
      </w:r>
      <w:r>
        <w:rPr>
          <w:color w:val="auto"/>
          <w:highlight w:val="none"/>
        </w:rPr>
        <w:fldChar w:fldCharType="separate"/>
      </w:r>
      <w:r>
        <w:rPr>
          <w:rFonts w:hint="eastAsia" w:asciiTheme="minorEastAsia" w:hAnsiTheme="minorEastAsia"/>
          <w:color w:val="auto"/>
          <w:highlight w:val="none"/>
        </w:rPr>
        <w:t>第四章  评标方法和标准（综合评分法）</w:t>
      </w:r>
      <w:r>
        <w:rPr>
          <w:color w:val="auto"/>
          <w:highlight w:val="none"/>
        </w:rPr>
        <w:tab/>
      </w:r>
      <w:r>
        <w:rPr>
          <w:color w:val="auto"/>
          <w:highlight w:val="none"/>
        </w:rPr>
        <w:fldChar w:fldCharType="end"/>
      </w:r>
      <w:r>
        <w:rPr>
          <w:rFonts w:hint="eastAsia" w:asciiTheme="minorEastAsia" w:hAnsiTheme="minorEastAsia"/>
          <w:color w:val="auto"/>
          <w:szCs w:val="24"/>
          <w:highlight w:val="none"/>
          <w:lang w:val="en-US" w:eastAsia="zh-CN"/>
        </w:rPr>
        <w:t>43</w:t>
      </w:r>
    </w:p>
    <w:p w14:paraId="59DCF857">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"_Toc4682"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政府采购合同</w:t>
      </w:r>
      <w:r>
        <w:rPr>
          <w:color w:val="auto"/>
          <w:highlight w:val="none"/>
        </w:rPr>
        <w:tab/>
      </w:r>
      <w:r>
        <w:rPr>
          <w:color w:val="auto"/>
          <w:highlight w:val="none"/>
        </w:rPr>
        <w:fldChar w:fldCharType="end"/>
      </w:r>
      <w:r>
        <w:rPr>
          <w:rFonts w:hint="eastAsia" w:asciiTheme="minorEastAsia" w:hAnsiTheme="minorEastAsia"/>
          <w:color w:val="auto"/>
          <w:szCs w:val="24"/>
          <w:highlight w:val="none"/>
          <w:lang w:val="en-US" w:eastAsia="zh-CN"/>
        </w:rPr>
        <w:t>52</w:t>
      </w:r>
    </w:p>
    <w:p w14:paraId="3A96B3E5">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"_Toc22492" </w:instrText>
      </w:r>
      <w:r>
        <w:rPr>
          <w:color w:val="auto"/>
          <w:highlight w:val="none"/>
        </w:rPr>
        <w:fldChar w:fldCharType="separate"/>
      </w:r>
      <w:r>
        <w:rPr>
          <w:rFonts w:hint="eastAsia" w:asciiTheme="minorEastAsia" w:hAnsiTheme="minorEastAsia"/>
          <w:color w:val="auto"/>
          <w:highlight w:val="none"/>
        </w:rPr>
        <w:t>第六章  投标文件格式</w:t>
      </w:r>
      <w:r>
        <w:rPr>
          <w:color w:val="auto"/>
          <w:highlight w:val="none"/>
        </w:rPr>
        <w:tab/>
      </w:r>
      <w:r>
        <w:rPr>
          <w:color w:val="auto"/>
          <w:highlight w:val="none"/>
        </w:rPr>
        <w:fldChar w:fldCharType="end"/>
      </w:r>
      <w:r>
        <w:rPr>
          <w:rFonts w:hint="eastAsia" w:asciiTheme="minorEastAsia" w:hAnsiTheme="minorEastAsia"/>
          <w:color w:val="auto"/>
          <w:szCs w:val="24"/>
          <w:highlight w:val="none"/>
          <w:lang w:val="en-US" w:eastAsia="zh-CN"/>
        </w:rPr>
        <w:t>72</w:t>
      </w:r>
    </w:p>
    <w:p w14:paraId="5E839302">
      <w:pPr>
        <w:pStyle w:val="17"/>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"_Toc18131" </w:instrText>
      </w:r>
      <w:r>
        <w:rPr>
          <w:color w:val="auto"/>
          <w:highlight w:val="none"/>
        </w:rPr>
        <w:fldChar w:fldCharType="separate"/>
      </w:r>
      <w:r>
        <w:rPr>
          <w:rFonts w:hint="eastAsia" w:asciiTheme="minorEastAsia" w:hAnsiTheme="minorEastAsia"/>
          <w:color w:val="auto"/>
          <w:highlight w:val="none"/>
        </w:rPr>
        <w:t>第七章</w:t>
      </w:r>
      <w:r>
        <w:rPr>
          <w:rFonts w:hint="eastAsia" w:ascii="宋体" w:hAnsi="宋体" w:eastAsia="宋体"/>
          <w:bCs/>
          <w:color w:val="auto"/>
          <w:highlight w:val="none"/>
        </w:rPr>
        <w:t xml:space="preserve">  政府采购</w:t>
      </w:r>
      <w:r>
        <w:rPr>
          <w:rFonts w:hint="eastAsia" w:asciiTheme="minorEastAsia" w:hAnsi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8</w:t>
      </w:r>
      <w:r>
        <w:rPr>
          <w:rFonts w:hint="eastAsia"/>
          <w:color w:val="auto"/>
          <w:highlight w:val="none"/>
        </w:rPr>
        <w:fldChar w:fldCharType="end"/>
      </w:r>
      <w:r>
        <w:rPr>
          <w:rFonts w:hint="eastAsia"/>
          <w:color w:val="auto"/>
          <w:highlight w:val="none"/>
          <w:lang w:val="en-US" w:eastAsia="zh-CN"/>
        </w:rPr>
        <w:t>5</w:t>
      </w:r>
    </w:p>
    <w:p w14:paraId="4F65E875">
      <w:pPr>
        <w:spacing w:line="360" w:lineRule="auto"/>
        <w:rPr>
          <w:rFonts w:hint="eastAsia"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2CC6E944">
      <w:pPr>
        <w:pStyle w:val="8"/>
        <w:rPr>
          <w:rFonts w:hint="eastAsia"/>
          <w:color w:val="auto"/>
          <w:highlight w:val="none"/>
        </w:rPr>
        <w:sectPr>
          <w:headerReference r:id="rId3" w:type="default"/>
          <w:footerReference r:id="rId4" w:type="default"/>
          <w:pgSz w:w="11905" w:h="16838"/>
          <w:pgMar w:top="1440" w:right="1417" w:bottom="1440" w:left="1417" w:header="850" w:footer="992" w:gutter="0"/>
          <w:cols w:space="0" w:num="1"/>
          <w:docGrid w:type="lines" w:linePitch="317" w:charSpace="0"/>
        </w:sectPr>
      </w:pPr>
    </w:p>
    <w:p w14:paraId="5720CCCC">
      <w:pPr>
        <w:spacing w:line="360" w:lineRule="auto"/>
        <w:jc w:val="center"/>
        <w:outlineLvl w:val="0"/>
        <w:rPr>
          <w:rFonts w:hint="eastAsia" w:asciiTheme="minorEastAsia" w:hAnsiTheme="minorEastAsia" w:eastAsiaTheme="minorEastAsia"/>
          <w:b/>
          <w:color w:val="auto"/>
          <w:sz w:val="28"/>
          <w:highlight w:val="none"/>
        </w:rPr>
      </w:pPr>
      <w:bookmarkStart w:id="1" w:name="_Toc2344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67B94087">
      <w:pPr>
        <w:spacing w:line="360" w:lineRule="auto"/>
        <w:ind w:firstLine="437"/>
        <w:outlineLvl w:val="1"/>
        <w:rPr>
          <w:rFonts w:hint="eastAsia" w:ascii="宋体" w:hAnsi="宋体" w:eastAsia="宋体"/>
          <w:b/>
          <w:bCs/>
          <w:color w:val="auto"/>
          <w:sz w:val="24"/>
          <w:szCs w:val="18"/>
          <w:highlight w:val="none"/>
        </w:rPr>
      </w:pPr>
      <w:bookmarkStart w:id="2" w:name="_Toc1381"/>
      <w:bookmarkStart w:id="3" w:name="_Toc5842"/>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6CF39A41">
      <w:pPr>
        <w:spacing w:line="360" w:lineRule="auto"/>
        <w:ind w:firstLine="435"/>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rPr>
        <w:t>1.项目编号：</w:t>
      </w:r>
      <w:r>
        <w:rPr>
          <w:rFonts w:hint="eastAsia" w:asciiTheme="minorEastAsia" w:hAnsiTheme="minorEastAsia" w:eastAsiaTheme="minorEastAsia"/>
          <w:color w:val="auto"/>
          <w:sz w:val="24"/>
          <w:highlight w:val="none"/>
          <w:u w:val="single"/>
          <w:lang w:val="en-US" w:eastAsia="zh-CN"/>
        </w:rPr>
        <w:t>czsjcg202609-050</w:t>
      </w:r>
    </w:p>
    <w:p w14:paraId="5CDF36A0">
      <w:pPr>
        <w:spacing w:line="360" w:lineRule="auto"/>
        <w:ind w:firstLine="435"/>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2.项目名称：</w:t>
      </w:r>
      <w:r>
        <w:rPr>
          <w:rFonts w:hint="eastAsia" w:asciiTheme="minorEastAsia" w:hAnsiTheme="minorEastAsia" w:eastAsiaTheme="minorEastAsia"/>
          <w:color w:val="auto"/>
          <w:sz w:val="24"/>
          <w:highlight w:val="none"/>
          <w:u w:val="single"/>
          <w:lang w:val="en-US" w:eastAsia="zh-CN"/>
        </w:rPr>
        <w:t>滁州职业技术学院人工智能实验室项目</w:t>
      </w:r>
    </w:p>
    <w:p w14:paraId="0286646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lang w:val="en-US" w:eastAsia="zh-CN"/>
        </w:rPr>
        <w:t>1000000</w:t>
      </w:r>
      <w:r>
        <w:rPr>
          <w:rFonts w:hint="eastAsia" w:ascii="宋体" w:hAnsi="宋体" w:eastAsia="宋体"/>
          <w:color w:val="auto"/>
          <w:sz w:val="24"/>
          <w:szCs w:val="18"/>
          <w:highlight w:val="none"/>
          <w:u w:val="single"/>
        </w:rPr>
        <w:t>元</w:t>
      </w:r>
    </w:p>
    <w:p w14:paraId="747D5EE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Theme="minorEastAsia" w:hAnsiTheme="minorEastAsia" w:eastAsiaTheme="minorEastAsia"/>
          <w:color w:val="auto"/>
          <w:sz w:val="24"/>
          <w:highlight w:val="none"/>
          <w:u w:val="single"/>
        </w:rPr>
        <w:t>本项目投标报价最高限价为</w:t>
      </w:r>
      <w:r>
        <w:rPr>
          <w:rFonts w:hint="eastAsia" w:asciiTheme="minorEastAsia" w:hAnsiTheme="minorEastAsia" w:eastAsiaTheme="minorEastAsia"/>
          <w:color w:val="auto"/>
          <w:sz w:val="24"/>
          <w:highlight w:val="none"/>
          <w:u w:val="single"/>
          <w:lang w:val="en-US" w:eastAsia="zh-CN"/>
        </w:rPr>
        <w:t>1000000</w:t>
      </w:r>
      <w:r>
        <w:rPr>
          <w:rFonts w:hint="eastAsia" w:asciiTheme="minorEastAsia" w:hAnsiTheme="minorEastAsia" w:eastAsiaTheme="minorEastAsia"/>
          <w:color w:val="auto"/>
          <w:sz w:val="24"/>
          <w:highlight w:val="none"/>
          <w:u w:val="single"/>
        </w:rPr>
        <w:t>元</w:t>
      </w:r>
      <w:r>
        <w:rPr>
          <w:rFonts w:hint="eastAsia" w:asciiTheme="minorEastAsia" w:hAnsiTheme="minorEastAsia" w:eastAsiaTheme="minorEastAsia"/>
          <w:color w:val="auto"/>
          <w:sz w:val="24"/>
          <w:highlight w:val="none"/>
          <w:u w:val="single"/>
        </w:rPr>
        <w:t>。投标报价不得高于最高限价，否则按无效标处理。</w:t>
      </w:r>
    </w:p>
    <w:p w14:paraId="1FF7CDA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Theme="minorEastAsia" w:hAnsiTheme="minorEastAsia" w:eastAsiaTheme="minorEastAsia"/>
          <w:color w:val="auto"/>
          <w:sz w:val="24"/>
          <w:highlight w:val="none"/>
          <w:u w:val="single"/>
        </w:rPr>
        <w:t>设备采购及安装</w:t>
      </w:r>
    </w:p>
    <w:p w14:paraId="2617F2D4">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6.合同履行期限：</w:t>
      </w:r>
      <w:r>
        <w:rPr>
          <w:rFonts w:hint="eastAsia" w:asciiTheme="minorEastAsia" w:hAnsiTheme="minorEastAsia" w:eastAsiaTheme="minorEastAsia"/>
          <w:color w:val="auto"/>
          <w:sz w:val="24"/>
          <w:highlight w:val="none"/>
          <w:u w:val="single"/>
        </w:rPr>
        <w:t>合同签订后，自接到采购人通知之日起</w:t>
      </w:r>
      <w:r>
        <w:rPr>
          <w:rFonts w:hint="eastAsia" w:asciiTheme="minorEastAsia" w:hAnsiTheme="minorEastAsia" w:eastAsiaTheme="minorEastAsia"/>
          <w:color w:val="auto"/>
          <w:sz w:val="24"/>
          <w:highlight w:val="none"/>
          <w:u w:val="single"/>
          <w:lang w:val="en-US" w:eastAsia="zh-CN"/>
        </w:rPr>
        <w:t>90</w:t>
      </w:r>
      <w:r>
        <w:rPr>
          <w:rFonts w:hint="eastAsia" w:asciiTheme="minorEastAsia" w:hAnsiTheme="minorEastAsia" w:eastAsiaTheme="minorEastAsia"/>
          <w:color w:val="auto"/>
          <w:sz w:val="24"/>
          <w:highlight w:val="none"/>
          <w:u w:val="single"/>
        </w:rPr>
        <w:t>个日历天内完成全部供货、安装、调试、运行工作</w:t>
      </w:r>
      <w:r>
        <w:rPr>
          <w:rFonts w:hint="eastAsia" w:asciiTheme="minorEastAsia" w:hAnsiTheme="minorEastAsia" w:eastAsiaTheme="minorEastAsia"/>
          <w:color w:val="auto"/>
          <w:sz w:val="24"/>
          <w:highlight w:val="none"/>
          <w:u w:val="single"/>
        </w:rPr>
        <w:t>。</w:t>
      </w:r>
    </w:p>
    <w:p w14:paraId="22848A5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7.本项目不接受联合体投标。</w:t>
      </w:r>
    </w:p>
    <w:p w14:paraId="07547E18">
      <w:pPr>
        <w:spacing w:line="360" w:lineRule="auto"/>
        <w:ind w:firstLine="437"/>
        <w:outlineLvl w:val="1"/>
        <w:rPr>
          <w:rFonts w:hint="eastAsia" w:ascii="宋体" w:hAnsi="宋体" w:eastAsia="宋体"/>
          <w:b/>
          <w:bCs/>
          <w:color w:val="auto"/>
          <w:sz w:val="24"/>
          <w:szCs w:val="18"/>
          <w:highlight w:val="none"/>
        </w:rPr>
      </w:pPr>
      <w:bookmarkStart w:id="4" w:name="_Toc13530"/>
      <w:bookmarkStart w:id="5" w:name="_Toc26178"/>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530FAEC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12327E6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2.落实政府采购政策需满足的资格要求：</w:t>
      </w:r>
    </w:p>
    <w:p w14:paraId="77D6357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w:t>
      </w:r>
    </w:p>
    <w:p w14:paraId="7670A2F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本项目不专门面向中小企业预留采购份额。按照财政部、工业和信息化部制定的第六条第三款（按照本办法规定预留采购份额无法确保充分供应、充分竞争，或者存在可能影响政府采购目标实现的情形）之规定，本项目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5FDD468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2.1.2□本项目专门面向</w:t>
      </w:r>
      <w:r>
        <w:rPr>
          <w:rFonts w:asciiTheme="minorEastAsia" w:hAnsiTheme="minorEastAsia" w:eastAsiaTheme="minorEastAsia"/>
          <w:color w:val="auto"/>
          <w:sz w:val="24"/>
          <w:highlight w:val="none"/>
        </w:rPr>
        <w:t>___________________</w:t>
      </w:r>
      <w:r>
        <w:rPr>
          <w:rFonts w:hint="eastAsia" w:asciiTheme="minorEastAsia" w:hAnsiTheme="minorEastAsia" w:eastAsiaTheme="minorEastAsia"/>
          <w:color w:val="auto"/>
          <w:sz w:val="24"/>
          <w:highlight w:val="none"/>
        </w:rPr>
        <w:t>采购。</w:t>
      </w:r>
    </w:p>
    <w:p w14:paraId="70156EC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2.1.3□本项目预留部分采购项目预算专门面向中小企业采购。对于预留份额，提供的货物由符合政策要求的中小企业制造。预留份额通过以下措施进行：</w:t>
      </w:r>
      <w:r>
        <w:rPr>
          <w:rFonts w:asciiTheme="minorEastAsia" w:hAnsiTheme="minorEastAsia" w:eastAsiaTheme="minorEastAsia"/>
          <w:color w:val="auto"/>
          <w:sz w:val="24"/>
          <w:highlight w:val="none"/>
        </w:rPr>
        <w:t>__________________</w:t>
      </w:r>
      <w:r>
        <w:rPr>
          <w:rFonts w:hint="eastAsia" w:asciiTheme="minorEastAsia" w:hAnsiTheme="minorEastAsia" w:eastAsiaTheme="minorEastAsia"/>
          <w:color w:val="auto"/>
          <w:sz w:val="24"/>
          <w:highlight w:val="none"/>
        </w:rPr>
        <w:t>。</w:t>
      </w:r>
    </w:p>
    <w:p w14:paraId="5EE4E042">
      <w:pPr>
        <w:spacing w:line="360" w:lineRule="auto"/>
        <w:ind w:firstLine="435"/>
        <w:rPr>
          <w:rFonts w:hint="eastAsia"/>
          <w:color w:val="auto"/>
          <w:highlight w:val="none"/>
        </w:rPr>
      </w:pPr>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w:t>
      </w:r>
      <w:r>
        <w:rPr>
          <w:rFonts w:hint="eastAsia" w:asciiTheme="minorEastAsia" w:hAnsiTheme="minorEastAsia" w:eastAsiaTheme="minorEastAsia"/>
          <w:i/>
          <w:iCs/>
          <w:color w:val="auto"/>
          <w:sz w:val="24"/>
          <w:highlight w:val="none"/>
        </w:rPr>
        <w:t>（如有）</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w:t>
      </w:r>
    </w:p>
    <w:p w14:paraId="6E86A6A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w:t>
      </w:r>
      <w:r>
        <w:rPr>
          <w:rFonts w:hint="eastAsia" w:asciiTheme="minorEastAsia" w:hAnsiTheme="minorEastAsia" w:eastAsiaTheme="minorEastAsia"/>
          <w:color w:val="auto"/>
          <w:sz w:val="24"/>
          <w:highlight w:val="none"/>
          <w:u w:val="single"/>
        </w:rPr>
        <w:t>无</w:t>
      </w:r>
      <w:r>
        <w:rPr>
          <w:rFonts w:hint="eastAsia" w:asciiTheme="minorEastAsia" w:hAnsiTheme="minorEastAsia" w:eastAsiaTheme="minorEastAsia"/>
          <w:color w:val="auto"/>
          <w:sz w:val="24"/>
          <w:highlight w:val="none"/>
        </w:rPr>
        <w:t>。</w:t>
      </w:r>
    </w:p>
    <w:p w14:paraId="3C4AAEE9">
      <w:pPr>
        <w:spacing w:line="360" w:lineRule="auto"/>
        <w:ind w:firstLine="437"/>
        <w:outlineLvl w:val="1"/>
        <w:rPr>
          <w:rFonts w:hint="eastAsia" w:ascii="宋体" w:hAnsi="宋体" w:eastAsia="宋体"/>
          <w:b/>
          <w:bCs/>
          <w:color w:val="auto"/>
          <w:sz w:val="24"/>
          <w:szCs w:val="18"/>
          <w:highlight w:val="none"/>
        </w:rPr>
      </w:pPr>
      <w:bookmarkStart w:id="6" w:name="_Toc30110"/>
      <w:bookmarkStart w:id="7" w:name="_Toc32089"/>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7D496128">
      <w:pPr>
        <w:spacing w:line="360" w:lineRule="auto"/>
        <w:ind w:firstLine="540"/>
        <w:rPr>
          <w:rFonts w:hint="eastAsia" w:asciiTheme="minorEastAsia" w:hAnsiTheme="minorEastAsia" w:eastAsiaTheme="minorEastAsia" w:cstheme="minorEastAsia"/>
          <w:i/>
          <w:iCs/>
          <w:color w:val="auto"/>
          <w:sz w:val="24"/>
          <w:szCs w:val="24"/>
          <w:highlight w:val="none"/>
        </w:rPr>
      </w:pPr>
      <w:bookmarkStart w:id="8" w:name="_Toc7957"/>
      <w:r>
        <w:rPr>
          <w:rFonts w:hint="eastAsia" w:asciiTheme="minorEastAsia" w:hAnsiTheme="minorEastAsia" w:eastAsiaTheme="minorEastAsia" w:cstheme="minorEastAsia"/>
          <w:color w:val="auto"/>
          <w:sz w:val="24"/>
          <w:szCs w:val="24"/>
          <w:highlight w:val="none"/>
        </w:rPr>
        <w:t>时间：</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28</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19</w:t>
      </w:r>
      <w:r>
        <w:rPr>
          <w:rFonts w:hint="eastAsia" w:ascii="宋体" w:hAnsi="宋体" w:eastAsia="宋体" w:cs="宋体"/>
          <w:color w:val="auto"/>
          <w:sz w:val="24"/>
          <w:szCs w:val="24"/>
          <w:highlight w:val="none"/>
        </w:rPr>
        <w:t>日</w:t>
      </w:r>
      <w:r>
        <w:rPr>
          <w:rFonts w:hint="eastAsia" w:asciiTheme="minorEastAsia" w:hAnsiTheme="minorEastAsia" w:eastAsiaTheme="minorEastAsia" w:cstheme="minorEastAsia"/>
          <w:iCs/>
          <w:color w:val="auto"/>
          <w:sz w:val="24"/>
          <w:szCs w:val="24"/>
          <w:highlight w:val="none"/>
        </w:rPr>
        <w:t>（</w:t>
      </w:r>
      <w:r>
        <w:rPr>
          <w:rFonts w:hint="eastAsia" w:asciiTheme="minorEastAsia" w:hAnsiTheme="minorEastAsia" w:eastAsiaTheme="minorEastAsia" w:cstheme="minorEastAsia"/>
          <w:i/>
          <w:color w:val="auto"/>
          <w:sz w:val="24"/>
          <w:szCs w:val="24"/>
          <w:highlight w:val="none"/>
        </w:rPr>
        <w:t>提供期限自本公告发布之日起不得少于5个工作日</w:t>
      </w:r>
      <w:r>
        <w:rPr>
          <w:rFonts w:hint="eastAsia" w:asciiTheme="minorEastAsia" w:hAnsiTheme="minorEastAsia" w:eastAsiaTheme="minorEastAsia" w:cstheme="minorEastAsia"/>
          <w:iCs/>
          <w:color w:val="auto"/>
          <w:sz w:val="24"/>
          <w:szCs w:val="24"/>
          <w:highlight w:val="none"/>
        </w:rPr>
        <w:t>）</w:t>
      </w:r>
    </w:p>
    <w:p w14:paraId="674C18F0">
      <w:pPr>
        <w:spacing w:line="360" w:lineRule="auto"/>
        <w:ind w:firstLine="540"/>
        <w:rPr>
          <w:rFonts w:hint="eastAsia" w:ascii="宋体" w:hAnsi="宋体" w:eastAsia="宋体"/>
          <w:color w:val="auto"/>
          <w:sz w:val="24"/>
          <w:szCs w:val="18"/>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s="宋体"/>
          <w:color w:val="auto"/>
          <w:sz w:val="24"/>
          <w:szCs w:val="18"/>
          <w:highlight w:val="none"/>
          <w:u w:val="single"/>
        </w:rPr>
        <w:t>滁州市公共资源交易中心网</w:t>
      </w:r>
    </w:p>
    <w:p w14:paraId="1FFED869">
      <w:pPr>
        <w:spacing w:line="360" w:lineRule="auto"/>
        <w:ind w:firstLine="54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方式：</w:t>
      </w:r>
      <w:r>
        <w:rPr>
          <w:rFonts w:hint="eastAsia" w:ascii="宋体" w:hAnsi="宋体" w:eastAsia="宋体" w:cs="宋体"/>
          <w:color w:val="auto"/>
          <w:sz w:val="24"/>
          <w:szCs w:val="18"/>
          <w:highlight w:val="none"/>
          <w:u w:val="single"/>
        </w:rPr>
        <w:t>网上下载</w:t>
      </w:r>
    </w:p>
    <w:p w14:paraId="2C8EDA05">
      <w:pPr>
        <w:spacing w:line="360" w:lineRule="auto"/>
        <w:ind w:firstLine="437"/>
        <w:outlineLvl w:val="1"/>
        <w:rPr>
          <w:rFonts w:hint="eastAsia" w:ascii="宋体" w:hAnsi="宋体" w:eastAsia="宋体"/>
          <w:b/>
          <w:bCs/>
          <w:color w:val="auto"/>
          <w:sz w:val="24"/>
          <w:szCs w:val="18"/>
          <w:highlight w:val="none"/>
        </w:rPr>
      </w:pPr>
      <w:bookmarkStart w:id="9" w:name="_Toc19726"/>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481EDE4E">
      <w:pPr>
        <w:spacing w:line="360" w:lineRule="auto"/>
        <w:ind w:firstLine="480" w:firstLineChars="200"/>
        <w:rPr>
          <w:rFonts w:hint="eastAsia" w:asciiTheme="minorEastAsia" w:hAnsiTheme="minorEastAsia" w:eastAsiaTheme="minorEastAsia" w:cstheme="minorEastAsia"/>
          <w:bCs/>
          <w:color w:val="auto"/>
          <w:sz w:val="24"/>
          <w:szCs w:val="24"/>
          <w:highlight w:val="none"/>
        </w:rPr>
      </w:pPr>
      <w:bookmarkStart w:id="10" w:name="_Toc5082"/>
      <w:r>
        <w:rPr>
          <w:rFonts w:hint="eastAsia" w:asciiTheme="minorEastAsia" w:hAnsiTheme="minorEastAsia" w:eastAsiaTheme="minorEastAsia" w:cstheme="minorEastAsia"/>
          <w:bCs/>
          <w:color w:val="auto"/>
          <w:sz w:val="24"/>
          <w:szCs w:val="24"/>
          <w:highlight w:val="none"/>
          <w:u w:val="single"/>
        </w:rPr>
        <w:t>2026</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u w:val="single"/>
          <w:lang w:val="en-US" w:eastAsia="zh-CN"/>
        </w:rPr>
        <w:t>19</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u w:val="single"/>
        </w:rPr>
        <w:t>8</w:t>
      </w:r>
      <w:r>
        <w:rPr>
          <w:rFonts w:hint="eastAsia" w:asciiTheme="minorEastAsia" w:hAnsiTheme="minorEastAsia" w:eastAsiaTheme="minorEastAsia" w:cstheme="minorEastAsia"/>
          <w:bCs/>
          <w:color w:val="auto"/>
          <w:sz w:val="24"/>
          <w:szCs w:val="24"/>
          <w:highlight w:val="none"/>
        </w:rPr>
        <w:t>点</w:t>
      </w:r>
      <w:r>
        <w:rPr>
          <w:rFonts w:hint="eastAsia" w:asciiTheme="minorEastAsia" w:hAnsiTheme="minorEastAsia" w:eastAsiaTheme="minorEastAsia" w:cstheme="minorEastAsia"/>
          <w:bCs/>
          <w:color w:val="auto"/>
          <w:sz w:val="24"/>
          <w:szCs w:val="24"/>
          <w:highlight w:val="none"/>
          <w:u w:val="single"/>
        </w:rPr>
        <w:t>30</w:t>
      </w:r>
      <w:r>
        <w:rPr>
          <w:rFonts w:hint="eastAsia" w:asciiTheme="minorEastAsia" w:hAnsiTheme="minorEastAsia" w:eastAsiaTheme="minorEastAsia" w:cstheme="minorEastAsia"/>
          <w:bCs/>
          <w:color w:val="auto"/>
          <w:sz w:val="24"/>
          <w:szCs w:val="24"/>
          <w:highlight w:val="none"/>
        </w:rPr>
        <w:t>分（北京时间）</w:t>
      </w:r>
      <w:r>
        <w:rPr>
          <w:rFonts w:hint="eastAsia" w:asciiTheme="minorEastAsia" w:hAnsiTheme="minorEastAsia" w:eastAsiaTheme="minorEastAsia" w:cstheme="minorEastAsia"/>
          <w:iCs/>
          <w:color w:val="auto"/>
          <w:sz w:val="24"/>
          <w:szCs w:val="24"/>
          <w:highlight w:val="none"/>
        </w:rPr>
        <w:t>（</w:t>
      </w:r>
      <w:r>
        <w:rPr>
          <w:rFonts w:hint="eastAsia" w:asciiTheme="minorEastAsia" w:hAnsiTheme="minorEastAsia" w:eastAsiaTheme="minorEastAsia" w:cstheme="minorEastAsia"/>
          <w:i/>
          <w:color w:val="auto"/>
          <w:sz w:val="24"/>
          <w:szCs w:val="24"/>
          <w:highlight w:val="none"/>
        </w:rPr>
        <w:t>自招标文件开始发出之日起至投标人提交投标文件截止之日止，不得少于20日</w:t>
      </w:r>
      <w:r>
        <w:rPr>
          <w:rFonts w:hint="eastAsia" w:asciiTheme="minorEastAsia" w:hAnsiTheme="minorEastAsia" w:eastAsiaTheme="minorEastAsia" w:cstheme="minorEastAsia"/>
          <w:iCs/>
          <w:color w:val="auto"/>
          <w:sz w:val="24"/>
          <w:szCs w:val="24"/>
          <w:highlight w:val="none"/>
        </w:rPr>
        <w:t>）</w:t>
      </w:r>
    </w:p>
    <w:p w14:paraId="77C4031F">
      <w:pPr>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s="宋体"/>
          <w:color w:val="auto"/>
          <w:sz w:val="24"/>
          <w:szCs w:val="24"/>
          <w:highlight w:val="none"/>
          <w:u w:val="single"/>
        </w:rPr>
        <w:t>滁州市公共资源交易平台电子交易系统</w:t>
      </w:r>
    </w:p>
    <w:p w14:paraId="5E0C0E8E">
      <w:pPr>
        <w:spacing w:line="360" w:lineRule="auto"/>
        <w:ind w:firstLine="437"/>
        <w:outlineLvl w:val="1"/>
        <w:rPr>
          <w:rFonts w:hint="eastAsia" w:ascii="宋体" w:hAnsi="宋体" w:eastAsia="宋体"/>
          <w:b/>
          <w:bCs/>
          <w:color w:val="auto"/>
          <w:sz w:val="24"/>
          <w:szCs w:val="18"/>
          <w:highlight w:val="none"/>
        </w:rPr>
      </w:pPr>
      <w:bookmarkStart w:id="11" w:name="_Toc28531"/>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65085C72">
      <w:pPr>
        <w:spacing w:line="360" w:lineRule="auto"/>
        <w:ind w:firstLine="437"/>
        <w:rPr>
          <w:rFonts w:hint="eastAsia" w:ascii="宋体" w:hAnsi="宋体" w:eastAsia="宋体"/>
          <w:color w:val="auto"/>
          <w:sz w:val="24"/>
          <w:szCs w:val="18"/>
          <w:highlight w:val="none"/>
        </w:rPr>
      </w:pPr>
      <w:bookmarkStart w:id="12" w:name="_Toc1215"/>
      <w:r>
        <w:rPr>
          <w:rFonts w:hint="eastAsia" w:ascii="宋体" w:hAnsi="宋体" w:eastAsia="宋体"/>
          <w:color w:val="auto"/>
          <w:sz w:val="24"/>
          <w:szCs w:val="18"/>
          <w:highlight w:val="none"/>
        </w:rPr>
        <w:t>自本公告发布之日起5个工作日。</w:t>
      </w:r>
    </w:p>
    <w:p w14:paraId="565A1032">
      <w:pPr>
        <w:spacing w:line="360" w:lineRule="auto"/>
        <w:ind w:firstLine="437"/>
        <w:outlineLvl w:val="1"/>
        <w:rPr>
          <w:rFonts w:hint="eastAsia" w:ascii="宋体" w:hAnsi="宋体" w:eastAsia="宋体"/>
          <w:b/>
          <w:bCs/>
          <w:color w:val="auto"/>
          <w:sz w:val="24"/>
          <w:szCs w:val="18"/>
          <w:highlight w:val="none"/>
        </w:rPr>
      </w:pPr>
      <w:bookmarkStart w:id="13" w:name="_Toc35393626"/>
      <w:bookmarkStart w:id="14" w:name="_Toc35393795"/>
      <w:bookmarkStart w:id="15" w:name="_Toc8807"/>
      <w:r>
        <w:rPr>
          <w:rFonts w:hint="eastAsia" w:ascii="宋体" w:hAnsi="宋体" w:eastAsia="宋体"/>
          <w:b/>
          <w:bCs/>
          <w:color w:val="auto"/>
          <w:sz w:val="24"/>
          <w:szCs w:val="18"/>
          <w:highlight w:val="none"/>
        </w:rPr>
        <w:t>六、其他补充事宜</w:t>
      </w:r>
      <w:bookmarkEnd w:id="13"/>
      <w:bookmarkEnd w:id="14"/>
      <w:bookmarkEnd w:id="15"/>
    </w:p>
    <w:p w14:paraId="1854125F">
      <w:pPr>
        <w:pStyle w:val="8"/>
        <w:wordWrap w:val="0"/>
        <w:spacing w:after="0" w:line="360" w:lineRule="auto"/>
        <w:ind w:firstLine="480" w:firstLineChars="200"/>
        <w:rPr>
          <w:rFonts w:hint="eastAsia" w:ascii="宋体" w:hAnsi="宋体" w:eastAsia="宋体" w:cs="宋体"/>
          <w:color w:val="auto"/>
          <w:sz w:val="24"/>
          <w:szCs w:val="18"/>
          <w:highlight w:val="none"/>
          <w:lang w:val="en-US"/>
        </w:rPr>
      </w:pPr>
      <w:r>
        <w:rPr>
          <w:rFonts w:hint="eastAsia" w:ascii="宋体" w:hAnsi="宋体" w:eastAsia="宋体" w:cs="宋体"/>
          <w:color w:val="auto"/>
          <w:sz w:val="24"/>
          <w:szCs w:val="18"/>
          <w:highlight w:val="none"/>
          <w:lang w:val="en-US"/>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0478D2D0">
      <w:pPr>
        <w:pStyle w:val="8"/>
        <w:wordWrap w:val="0"/>
        <w:spacing w:after="0" w:line="360" w:lineRule="auto"/>
        <w:ind w:firstLine="480" w:firstLineChars="200"/>
        <w:rPr>
          <w:rFonts w:hint="eastAsia" w:ascii="宋体" w:hAnsi="宋体" w:eastAsia="宋体" w:cs="宋体"/>
          <w:color w:val="auto"/>
          <w:sz w:val="24"/>
          <w:szCs w:val="18"/>
          <w:highlight w:val="none"/>
          <w:lang w:val="en-US"/>
        </w:rPr>
      </w:pPr>
      <w:r>
        <w:rPr>
          <w:rFonts w:hint="eastAsia" w:ascii="宋体" w:hAnsi="宋体" w:eastAsia="宋体" w:cs="宋体"/>
          <w:color w:val="auto"/>
          <w:sz w:val="24"/>
          <w:szCs w:val="18"/>
          <w:highlight w:val="none"/>
          <w:lang w:val="en-US"/>
        </w:rPr>
        <w:t>2.请投标人登录滁州市公共资源交易中心网站查看参加本项目的程序。（具体操作步骤和程序请参见服务指南&gt;交易须知&gt;投标人填写投标信息、下载文件及网上提问操作手册）。</w:t>
      </w:r>
    </w:p>
    <w:p w14:paraId="7E50247E">
      <w:pPr>
        <w:pStyle w:val="8"/>
        <w:wordWrap w:val="0"/>
        <w:spacing w:after="0" w:line="360" w:lineRule="auto"/>
        <w:ind w:firstLine="480" w:firstLineChars="200"/>
        <w:rPr>
          <w:rFonts w:hint="eastAsia" w:ascii="宋体" w:hAnsi="宋体" w:eastAsia="宋体" w:cs="宋体"/>
          <w:color w:val="auto"/>
          <w:sz w:val="24"/>
          <w:szCs w:val="18"/>
          <w:highlight w:val="none"/>
          <w:lang w:val="en-US"/>
        </w:rPr>
      </w:pPr>
      <w:r>
        <w:rPr>
          <w:rFonts w:hint="eastAsia" w:ascii="宋体" w:hAnsi="宋体" w:eastAsia="宋体" w:cs="宋体"/>
          <w:color w:val="auto"/>
          <w:sz w:val="24"/>
          <w:szCs w:val="18"/>
          <w:highlight w:val="none"/>
          <w:lang w:val="en-US"/>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78D953FD">
      <w:pPr>
        <w:pStyle w:val="8"/>
        <w:wordWrap w:val="0"/>
        <w:spacing w:after="0" w:line="360" w:lineRule="auto"/>
        <w:ind w:firstLine="480" w:firstLineChars="200"/>
        <w:rPr>
          <w:rFonts w:hint="eastAsia" w:ascii="宋体" w:hAnsi="宋体" w:eastAsia="宋体"/>
          <w:color w:val="auto"/>
          <w:sz w:val="24"/>
          <w:szCs w:val="18"/>
          <w:highlight w:val="none"/>
          <w:lang w:val="en-US"/>
        </w:rPr>
      </w:pPr>
      <w:r>
        <w:rPr>
          <w:rFonts w:hint="eastAsia" w:ascii="宋体" w:hAnsi="宋体" w:eastAsia="宋体" w:cs="宋体"/>
          <w:color w:val="auto"/>
          <w:sz w:val="24"/>
          <w:szCs w:val="18"/>
          <w:highlight w:val="none"/>
          <w:lang w:val="en-US"/>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12"/>
    <w:p w14:paraId="1A07881E">
      <w:pPr>
        <w:spacing w:line="360" w:lineRule="auto"/>
        <w:ind w:firstLine="437"/>
        <w:outlineLvl w:val="1"/>
        <w:rPr>
          <w:rFonts w:hint="eastAsia" w:ascii="宋体" w:hAnsi="宋体" w:eastAsia="宋体"/>
          <w:b/>
          <w:bCs/>
          <w:color w:val="auto"/>
          <w:sz w:val="24"/>
          <w:szCs w:val="18"/>
          <w:highlight w:val="none"/>
        </w:rPr>
      </w:pPr>
      <w:bookmarkStart w:id="16" w:name="_Toc7265"/>
      <w:bookmarkStart w:id="17" w:name="_Toc3854"/>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17163C33">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7B51F399">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名称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滁州职业技术学院</w:t>
      </w:r>
    </w:p>
    <w:p w14:paraId="6BDF3C29">
      <w:pPr>
        <w:spacing w:line="360" w:lineRule="auto"/>
        <w:ind w:firstLine="435"/>
        <w:rPr>
          <w:rFonts w:hint="eastAsia" w:ascii="宋体" w:hAnsi="宋体" w:eastAsia="宋体"/>
          <w:color w:val="auto"/>
          <w:sz w:val="24"/>
          <w:szCs w:val="18"/>
          <w:highlight w:val="none"/>
        </w:rPr>
      </w:pPr>
      <w:r>
        <w:rPr>
          <w:rFonts w:ascii="宋体" w:hAnsi="宋体" w:eastAsia="宋体"/>
          <w:color w:val="auto"/>
          <w:sz w:val="24"/>
          <w:szCs w:val="18"/>
          <w:highlight w:val="none"/>
        </w:rPr>
        <w:t>地址：</w:t>
      </w:r>
      <w:r>
        <w:rPr>
          <w:rFonts w:ascii="宋体" w:hAnsi="宋体" w:eastAsia="宋体"/>
          <w:color w:val="auto"/>
          <w:sz w:val="24"/>
          <w:szCs w:val="18"/>
          <w:highlight w:val="none"/>
          <w:u w:val="single"/>
        </w:rPr>
        <w:t>滁州市南谯区丰乐大道2188号</w:t>
      </w:r>
    </w:p>
    <w:p w14:paraId="5AFAFCE0">
      <w:pPr>
        <w:spacing w:line="360" w:lineRule="auto"/>
        <w:ind w:firstLine="435"/>
        <w:rPr>
          <w:rFonts w:hint="eastAsia" w:ascii="宋体" w:hAnsi="宋体" w:eastAsia="宋体"/>
          <w:color w:val="auto"/>
          <w:sz w:val="24"/>
          <w:szCs w:val="18"/>
          <w:highlight w:val="none"/>
        </w:rPr>
      </w:pPr>
      <w:r>
        <w:rPr>
          <w:rFonts w:ascii="宋体" w:hAnsi="宋体" w:eastAsia="宋体"/>
          <w:color w:val="auto"/>
          <w:sz w:val="24"/>
          <w:szCs w:val="18"/>
          <w:highlight w:val="none"/>
        </w:rPr>
        <w:t>联系人：</w:t>
      </w:r>
      <w:r>
        <w:rPr>
          <w:rFonts w:ascii="宋体" w:hAnsi="宋体" w:eastAsia="宋体"/>
          <w:color w:val="auto"/>
          <w:sz w:val="24"/>
          <w:szCs w:val="18"/>
          <w:highlight w:val="none"/>
          <w:u w:val="single"/>
        </w:rPr>
        <w:t>陈老师、李老师</w:t>
      </w:r>
    </w:p>
    <w:p w14:paraId="587E6107">
      <w:pPr>
        <w:spacing w:line="360" w:lineRule="auto"/>
        <w:ind w:firstLine="435"/>
        <w:rPr>
          <w:rFonts w:hint="eastAsia" w:ascii="宋体" w:hAnsi="宋体" w:eastAsia="宋体"/>
          <w:color w:val="auto"/>
          <w:sz w:val="24"/>
          <w:szCs w:val="18"/>
          <w:highlight w:val="none"/>
        </w:rPr>
      </w:pPr>
      <w:r>
        <w:rPr>
          <w:rFonts w:ascii="宋体" w:hAnsi="宋体" w:eastAsia="宋体"/>
          <w:color w:val="auto"/>
          <w:sz w:val="24"/>
          <w:szCs w:val="18"/>
          <w:highlight w:val="none"/>
        </w:rPr>
        <w:t>联系方式：</w:t>
      </w:r>
      <w:r>
        <w:rPr>
          <w:rFonts w:ascii="宋体" w:hAnsi="宋体" w:eastAsia="宋体"/>
          <w:color w:val="auto"/>
          <w:sz w:val="24"/>
          <w:szCs w:val="18"/>
          <w:highlight w:val="none"/>
          <w:u w:val="single"/>
        </w:rPr>
        <w:t>0550-3854662</w:t>
      </w:r>
    </w:p>
    <w:p w14:paraId="72CE88C6">
      <w:pPr>
        <w:spacing w:line="360" w:lineRule="auto"/>
        <w:ind w:firstLine="437"/>
        <w:outlineLvl w:val="2"/>
        <w:rPr>
          <w:rFonts w:hint="eastAsia" w:ascii="宋体" w:hAnsi="宋体" w:eastAsia="宋体"/>
          <w:color w:val="auto"/>
          <w:sz w:val="24"/>
          <w:szCs w:val="18"/>
          <w:highlight w:val="none"/>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rPr>
        <w:t>信息</w:t>
      </w:r>
    </w:p>
    <w:p w14:paraId="153A5225">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名称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滁州市政府采购中心</w:t>
      </w:r>
    </w:p>
    <w:p w14:paraId="6330F5D7">
      <w:pPr>
        <w:spacing w:line="360" w:lineRule="auto"/>
        <w:ind w:firstLine="435"/>
        <w:rPr>
          <w:rFonts w:hint="eastAsia"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址：</w:t>
      </w:r>
      <w:r>
        <w:rPr>
          <w:rFonts w:hint="eastAsia" w:ascii="宋体" w:hAnsi="宋体" w:eastAsia="宋体" w:cs="宋体"/>
          <w:color w:val="auto"/>
          <w:sz w:val="24"/>
          <w:szCs w:val="18"/>
          <w:highlight w:val="none"/>
          <w:u w:val="single"/>
        </w:rPr>
        <w:t>滁州市龙蟠大道109号房产商务大厦2楼</w:t>
      </w:r>
    </w:p>
    <w:p w14:paraId="16569BBF">
      <w:pPr>
        <w:spacing w:line="360" w:lineRule="auto"/>
        <w:ind w:firstLine="435"/>
        <w:rPr>
          <w:rFonts w:hint="eastAsia" w:eastAsia="宋体"/>
          <w:color w:val="auto"/>
          <w:highlight w:val="none"/>
        </w:rPr>
      </w:pPr>
      <w:r>
        <w:rPr>
          <w:rFonts w:hint="eastAsia" w:ascii="宋体" w:hAnsi="宋体" w:eastAsia="宋体"/>
          <w:color w:val="auto"/>
          <w:sz w:val="24"/>
          <w:szCs w:val="18"/>
          <w:highlight w:val="none"/>
        </w:rPr>
        <w:t>联系人：</w:t>
      </w:r>
      <w:r>
        <w:rPr>
          <w:rFonts w:hint="eastAsia" w:ascii="宋体" w:hAnsi="宋体" w:eastAsia="宋体"/>
          <w:color w:val="auto"/>
          <w:sz w:val="24"/>
          <w:szCs w:val="18"/>
          <w:highlight w:val="none"/>
          <w:u w:val="single"/>
        </w:rPr>
        <w:t>关勤勤</w:t>
      </w:r>
    </w:p>
    <w:p w14:paraId="23D72F95">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s="宋体"/>
          <w:color w:val="auto"/>
          <w:sz w:val="24"/>
          <w:szCs w:val="18"/>
          <w:highlight w:val="none"/>
          <w:u w:val="single"/>
        </w:rPr>
        <w:t>0550-3519590、13866523085</w:t>
      </w:r>
    </w:p>
    <w:p w14:paraId="154F4FDE">
      <w:pPr>
        <w:spacing w:line="360" w:lineRule="auto"/>
        <w:ind w:firstLine="437"/>
        <w:outlineLvl w:val="2"/>
        <w:rPr>
          <w:rFonts w:hint="eastAsia" w:ascii="宋体" w:hAnsi="宋体" w:eastAsia="宋体"/>
          <w:b/>
          <w:color w:val="auto"/>
          <w:sz w:val="24"/>
          <w:szCs w:val="18"/>
          <w:highlight w:val="none"/>
        </w:rPr>
      </w:pPr>
      <w:r>
        <w:rPr>
          <w:rFonts w:hint="eastAsia" w:ascii="宋体" w:hAnsi="宋体" w:eastAsia="宋体"/>
          <w:bCs/>
          <w:color w:val="auto"/>
          <w:sz w:val="24"/>
          <w:szCs w:val="18"/>
          <w:highlight w:val="none"/>
        </w:rPr>
        <w:t>3</w:t>
      </w:r>
      <w:r>
        <w:rPr>
          <w:rFonts w:hint="eastAsia" w:ascii="宋体" w:hAnsi="宋体" w:eastAsia="宋体"/>
          <w:b/>
          <w:color w:val="auto"/>
          <w:sz w:val="24"/>
          <w:szCs w:val="18"/>
          <w:highlight w:val="none"/>
        </w:rPr>
        <w:t>.</w:t>
      </w:r>
      <w:r>
        <w:rPr>
          <w:rFonts w:hint="eastAsia" w:ascii="宋体" w:hAnsi="宋体" w:eastAsia="宋体"/>
          <w:color w:val="auto"/>
          <w:sz w:val="24"/>
          <w:szCs w:val="18"/>
          <w:highlight w:val="none"/>
        </w:rPr>
        <w:t>政府采购监督管理部门信息</w:t>
      </w:r>
    </w:p>
    <w:p w14:paraId="461A317E">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名称</w:t>
      </w:r>
      <w:r>
        <w:rPr>
          <w:rFonts w:hint="eastAsia" w:ascii="宋体" w:hAnsi="宋体" w:eastAsia="宋体"/>
          <w:color w:val="auto"/>
          <w:sz w:val="24"/>
          <w:szCs w:val="18"/>
          <w:highlight w:val="none"/>
        </w:rPr>
        <w:t>：</w:t>
      </w:r>
      <w:r>
        <w:rPr>
          <w:rFonts w:hint="eastAsia" w:ascii="宋体" w:hAnsi="宋体" w:eastAsia="宋体" w:cs="宋体"/>
          <w:color w:val="auto"/>
          <w:sz w:val="24"/>
          <w:szCs w:val="18"/>
          <w:highlight w:val="none"/>
          <w:u w:val="single"/>
        </w:rPr>
        <w:t>滁州市公共资源交易监督管理局</w:t>
      </w:r>
    </w:p>
    <w:p w14:paraId="748FB2C4">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地址：</w:t>
      </w:r>
      <w:r>
        <w:rPr>
          <w:rFonts w:hint="eastAsia" w:ascii="宋体" w:hAnsi="宋体" w:eastAsia="宋体" w:cs="宋体"/>
          <w:color w:val="auto"/>
          <w:sz w:val="24"/>
          <w:szCs w:val="18"/>
          <w:highlight w:val="none"/>
          <w:u w:val="single"/>
        </w:rPr>
        <w:t>滁州市龙蟠大道109号房产大厦3楼</w:t>
      </w:r>
    </w:p>
    <w:p w14:paraId="00606153">
      <w:pPr>
        <w:spacing w:line="360" w:lineRule="auto"/>
        <w:ind w:firstLine="435"/>
        <w:rPr>
          <w:rFonts w:hint="eastAsia" w:ascii="宋体" w:hAnsi="宋体" w:eastAsia="宋体"/>
          <w:color w:val="auto"/>
          <w:sz w:val="24"/>
          <w:szCs w:val="18"/>
          <w:highlight w:val="none"/>
          <w:u w:val="single"/>
        </w:rPr>
      </w:pPr>
      <w:r>
        <w:rPr>
          <w:rFonts w:hint="eastAsia" w:ascii="宋体" w:hAnsi="宋体" w:eastAsia="宋体"/>
          <w:color w:val="auto"/>
          <w:sz w:val="24"/>
          <w:szCs w:val="18"/>
          <w:highlight w:val="none"/>
        </w:rPr>
        <w:t>联系方式：</w:t>
      </w:r>
      <w:r>
        <w:rPr>
          <w:rFonts w:hint="eastAsia" w:ascii="宋体" w:hAnsi="宋体" w:eastAsia="宋体" w:cs="宋体"/>
          <w:color w:val="auto"/>
          <w:sz w:val="24"/>
          <w:szCs w:val="18"/>
          <w:highlight w:val="none"/>
          <w:u w:val="single"/>
        </w:rPr>
        <w:t>0550-3801656</w:t>
      </w:r>
    </w:p>
    <w:p w14:paraId="6E44BB6D">
      <w:pPr>
        <w:widowControl/>
        <w:jc w:val="left"/>
        <w:rPr>
          <w:rFonts w:hint="eastAsia" w:ascii="宋体" w:hAnsi="宋体" w:eastAsia="宋体"/>
          <w:color w:val="auto"/>
          <w:sz w:val="24"/>
          <w:szCs w:val="18"/>
          <w:highlight w:val="none"/>
        </w:rPr>
      </w:pPr>
      <w:r>
        <w:rPr>
          <w:rFonts w:ascii="宋体" w:hAnsi="宋体" w:eastAsia="宋体"/>
          <w:color w:val="auto"/>
          <w:sz w:val="24"/>
          <w:szCs w:val="18"/>
          <w:highlight w:val="none"/>
        </w:rPr>
        <w:br w:type="page"/>
      </w:r>
    </w:p>
    <w:p w14:paraId="17281442">
      <w:pPr>
        <w:spacing w:line="360" w:lineRule="auto"/>
        <w:jc w:val="center"/>
        <w:outlineLvl w:val="0"/>
        <w:rPr>
          <w:rFonts w:hint="eastAsia" w:asciiTheme="minorEastAsia" w:hAnsiTheme="minorEastAsia" w:eastAsiaTheme="minorEastAsia"/>
          <w:b/>
          <w:color w:val="auto"/>
          <w:sz w:val="28"/>
          <w:highlight w:val="none"/>
        </w:rPr>
      </w:pPr>
      <w:bookmarkStart w:id="18" w:name="_Toc31935"/>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18"/>
    </w:p>
    <w:p w14:paraId="1C2B44DB">
      <w:pPr>
        <w:spacing w:line="360" w:lineRule="auto"/>
        <w:jc w:val="center"/>
        <w:outlineLvl w:val="1"/>
        <w:rPr>
          <w:rFonts w:hint="eastAsia" w:asciiTheme="minorEastAsia" w:hAnsiTheme="minorEastAsia" w:eastAsiaTheme="minorEastAsia"/>
          <w:b/>
          <w:color w:val="auto"/>
          <w:sz w:val="24"/>
          <w:highlight w:val="none"/>
        </w:rPr>
      </w:pPr>
      <w:bookmarkStart w:id="19" w:name="_Toc3114"/>
      <w:bookmarkStart w:id="20"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19"/>
      <w:bookmarkEnd w:id="20"/>
    </w:p>
    <w:p w14:paraId="13C5CDE9">
      <w:pPr>
        <w:spacing w:line="360" w:lineRule="auto"/>
        <w:ind w:firstLine="435"/>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3"/>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22"/>
      </w:tblGrid>
      <w:tr w14:paraId="37E4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16F6B5C">
            <w:pPr>
              <w:pStyle w:val="41"/>
              <w:widowControl w:val="0"/>
              <w:spacing w:before="0" w:beforeAutospacing="0" w:after="0" w:afterAutospacing="0"/>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6B4D4B7D">
            <w:pPr>
              <w:pStyle w:val="41"/>
              <w:widowControl w:val="0"/>
              <w:spacing w:before="0" w:beforeAutospacing="0" w:after="0" w:afterAutospacing="0"/>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467D9BEB">
            <w:pPr>
              <w:pStyle w:val="41"/>
              <w:widowControl w:val="0"/>
              <w:spacing w:before="0" w:beforeAutospacing="0" w:after="0" w:afterAutospacing="0"/>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248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EB3A31A">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2B65B3B9">
            <w:pPr>
              <w:pStyle w:val="41"/>
              <w:widowControl w:val="0"/>
              <w:spacing w:before="0" w:beforeAutospacing="0" w:after="0" w:afterAutospacing="0" w:line="360" w:lineRule="auto"/>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3244" w:type="pct"/>
            <w:vAlign w:val="center"/>
          </w:tcPr>
          <w:p w14:paraId="3BA8AFBF">
            <w:pPr>
              <w:spacing w:line="360" w:lineRule="auto"/>
              <w:rPr>
                <w:rFonts w:hint="eastAsia"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3C0A8BF0">
            <w:pPr>
              <w:spacing w:line="360" w:lineRule="auto"/>
              <w:rPr>
                <w:rFonts w:hint="eastAsia"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43E4B47F">
            <w:pPr>
              <w:spacing w:line="360" w:lineRule="auto"/>
              <w:rPr>
                <w:rFonts w:hint="eastAsia"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6398A99C">
            <w:pPr>
              <w:spacing w:line="360" w:lineRule="auto"/>
              <w:rPr>
                <w:rFonts w:hint="eastAsia"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66C26085">
            <w:pPr>
              <w:spacing w:line="360" w:lineRule="auto"/>
              <w:rPr>
                <w:rFonts w:hint="eastAsia"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1B94A396">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4229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020AE6E">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1174" w:type="pct"/>
            <w:vAlign w:val="center"/>
          </w:tcPr>
          <w:p w14:paraId="6A4467E4">
            <w:pPr>
              <w:pStyle w:val="41"/>
              <w:widowControl w:val="0"/>
              <w:spacing w:before="0" w:beforeAutospacing="0" w:after="0" w:afterAutospacing="0"/>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06B28AA9">
            <w:pPr>
              <w:pStyle w:val="41"/>
              <w:widowControl w:val="0"/>
              <w:spacing w:before="0" w:beforeAutospacing="0" w:after="0" w:afterAutospacing="0"/>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日</w:t>
            </w:r>
            <w:r>
              <w:rPr>
                <w:rFonts w:hint="eastAsia" w:ascii="宋体" w:hAnsi="宋体" w:eastAsia="宋体"/>
                <w:b w:val="0"/>
                <w:color w:val="auto"/>
                <w:sz w:val="24"/>
                <w:highlight w:val="none"/>
                <w:u w:val="single"/>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rPr>
              <w:t>30</w:t>
            </w:r>
            <w:r>
              <w:rPr>
                <w:rFonts w:hint="eastAsia" w:ascii="宋体" w:hAnsi="宋体" w:eastAsia="宋体"/>
                <w:b w:val="0"/>
                <w:color w:val="auto"/>
                <w:sz w:val="24"/>
                <w:highlight w:val="none"/>
              </w:rPr>
              <w:t>分</w:t>
            </w:r>
          </w:p>
        </w:tc>
      </w:tr>
      <w:tr w14:paraId="359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7231623">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1174" w:type="pct"/>
            <w:vAlign w:val="center"/>
          </w:tcPr>
          <w:p w14:paraId="7D418D49">
            <w:pPr>
              <w:pStyle w:val="41"/>
              <w:widowControl w:val="0"/>
              <w:spacing w:before="0" w:beforeAutospacing="0" w:after="0" w:afterAutospacing="0"/>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05C2A4AD">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  个包</w:t>
            </w:r>
          </w:p>
          <w:p w14:paraId="7D8B005F">
            <w:pPr>
              <w:pStyle w:val="41"/>
              <w:widowControl w:val="0"/>
              <w:spacing w:before="0" w:beforeAutospacing="0" w:after="0" w:afterAutospacing="0"/>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p>
        </w:tc>
      </w:tr>
      <w:tr w14:paraId="579B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01E07874">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1174" w:type="pct"/>
            <w:vAlign w:val="center"/>
          </w:tcPr>
          <w:p w14:paraId="65E9DB8A">
            <w:pPr>
              <w:pStyle w:val="41"/>
              <w:widowControl w:val="0"/>
              <w:spacing w:before="0" w:beforeAutospacing="0" w:after="0" w:afterAutospacing="0" w:line="360" w:lineRule="auto"/>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722B02DC">
            <w:pPr>
              <w:spacing w:line="360" w:lineRule="auto"/>
              <w:rPr>
                <w:rFonts w:hint="eastAsia"/>
                <w:color w:val="auto"/>
                <w:highlight w:val="none"/>
              </w:rPr>
            </w:pPr>
            <w:r>
              <w:rPr>
                <w:rFonts w:hint="eastAsia" w:ascii="宋体" w:hAnsi="宋体" w:eastAsia="宋体"/>
                <w:bCs/>
                <w:color w:val="auto"/>
                <w:kern w:val="0"/>
                <w:sz w:val="24"/>
                <w:szCs w:val="28"/>
                <w:highlight w:val="none"/>
              </w:rPr>
              <w:t>不收取</w:t>
            </w:r>
          </w:p>
        </w:tc>
      </w:tr>
      <w:tr w14:paraId="2C4B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278B6A">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1174" w:type="pct"/>
            <w:vAlign w:val="center"/>
          </w:tcPr>
          <w:p w14:paraId="49DD7E96">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4DC007A3">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90</w:t>
            </w:r>
            <w:r>
              <w:rPr>
                <w:rFonts w:hint="eastAsia" w:ascii="宋体" w:hAnsi="宋体" w:eastAsia="宋体"/>
                <w:b w:val="0"/>
                <w:color w:val="auto"/>
                <w:sz w:val="24"/>
                <w:highlight w:val="none"/>
              </w:rPr>
              <w:t>日历日</w:t>
            </w:r>
          </w:p>
        </w:tc>
      </w:tr>
      <w:tr w14:paraId="6337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5EE5787">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65AB8947">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6280D24C">
            <w:pPr>
              <w:pStyle w:val="41"/>
              <w:widowControl w:val="0"/>
              <w:spacing w:before="0" w:beforeAutospacing="0" w:after="0" w:afterAutospacing="0" w:line="360" w:lineRule="auto"/>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投标截止时间后</w:t>
            </w:r>
            <w:r>
              <w:rPr>
                <w:rFonts w:hint="eastAsia" w:ascii="宋体" w:hAnsi="宋体" w:eastAsia="宋体"/>
                <w:b w:val="0"/>
                <w:color w:val="auto"/>
                <w:sz w:val="24"/>
                <w:highlight w:val="none"/>
                <w:u w:val="single"/>
              </w:rPr>
              <w:t xml:space="preserve"> 60 </w:t>
            </w:r>
            <w:r>
              <w:rPr>
                <w:rFonts w:hint="eastAsia" w:ascii="宋体" w:hAnsi="宋体" w:eastAsia="宋体"/>
                <w:b w:val="0"/>
                <w:color w:val="auto"/>
                <w:sz w:val="24"/>
                <w:highlight w:val="none"/>
              </w:rPr>
              <w:t>分钟内</w:t>
            </w:r>
          </w:p>
        </w:tc>
      </w:tr>
      <w:tr w14:paraId="65C2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5005F3">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1174" w:type="pct"/>
            <w:vAlign w:val="center"/>
          </w:tcPr>
          <w:p w14:paraId="096C4419">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7B7A520C">
            <w:pPr>
              <w:pStyle w:val="41"/>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0769FA36">
            <w:pPr>
              <w:pStyle w:val="41"/>
              <w:widowControl w:val="0"/>
              <w:spacing w:before="0" w:beforeAutospacing="0" w:after="0" w:afterAutospacing="0" w:line="360" w:lineRule="auto"/>
              <w:jc w:val="both"/>
              <w:rPr>
                <w:rFonts w:hint="eastAsia" w:ascii="宋体" w:hAnsi="宋体" w:eastAsia="宋体"/>
                <w:b w:val="0"/>
                <w:color w:val="auto"/>
                <w:sz w:val="24"/>
                <w:highlight w:val="none"/>
                <w:u w:val="singl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采购人出具委托函委托采购代理机构进行审查</w:t>
            </w:r>
          </w:p>
        </w:tc>
      </w:tr>
      <w:tr w14:paraId="342B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7544248">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1174" w:type="pct"/>
            <w:vAlign w:val="center"/>
          </w:tcPr>
          <w:p w14:paraId="14361BC6">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CDCAA6">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30D5F750">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6085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65042D2">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1174" w:type="pct"/>
            <w:vAlign w:val="center"/>
          </w:tcPr>
          <w:p w14:paraId="7A48F42F">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报价扣除</w:t>
            </w:r>
          </w:p>
          <w:p w14:paraId="24282B9F">
            <w:pPr>
              <w:pStyle w:val="41"/>
              <w:widowControl w:val="0"/>
              <w:spacing w:before="0" w:beforeAutospacing="0" w:after="0" w:afterAutospacing="0" w:line="360" w:lineRule="auto"/>
              <w:jc w:val="both"/>
              <w:rPr>
                <w:rFonts w:hint="eastAsia"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244" w:type="pct"/>
            <w:vAlign w:val="center"/>
          </w:tcPr>
          <w:p w14:paraId="41948DD5">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698FF84C">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EC25D5B">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1930B1B1">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rPr>
              <w:t>。</w:t>
            </w:r>
          </w:p>
          <w:p w14:paraId="7FDE3FD5">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rPr>
              <w:t>。</w:t>
            </w:r>
          </w:p>
        </w:tc>
      </w:tr>
      <w:tr w14:paraId="62FA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62B97303">
            <w:pPr>
              <w:pStyle w:val="42"/>
              <w:pBdr>
                <w:bottom w:val="none" w:color="auto" w:sz="0" w:space="0"/>
              </w:pBdr>
              <w:tabs>
                <w:tab w:val="clear" w:pos="4153"/>
                <w:tab w:val="clear" w:pos="8306"/>
              </w:tabs>
              <w:adjustRightInd/>
              <w:spacing w:line="36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17.4</w:t>
            </w:r>
          </w:p>
        </w:tc>
        <w:tc>
          <w:tcPr>
            <w:tcW w:w="2033" w:type="dxa"/>
            <w:vAlign w:val="center"/>
          </w:tcPr>
          <w:p w14:paraId="0526B8E0">
            <w:pPr>
              <w:spacing w:line="360" w:lineRule="auto"/>
              <w:rPr>
                <w:rFonts w:hint="eastAsia" w:ascii="宋体" w:hAnsi="宋体" w:eastAsia="宋体"/>
                <w:i/>
                <w:color w:val="auto"/>
                <w:sz w:val="24"/>
                <w:highlight w:val="none"/>
              </w:rPr>
            </w:pPr>
            <w:r>
              <w:rPr>
                <w:rFonts w:hint="eastAsia" w:ascii="宋体" w:hAnsi="宋体" w:eastAsia="宋体"/>
                <w:color w:val="auto"/>
                <w:sz w:val="24"/>
                <w:highlight w:val="none"/>
              </w:rPr>
              <w:t>本国产品价格扣除</w:t>
            </w:r>
            <w:r>
              <w:rPr>
                <w:rFonts w:hint="eastAsia" w:ascii="宋体" w:hAnsi="宋体" w:eastAsia="宋体" w:cs="Times New Roman"/>
                <w:i/>
                <w:iCs/>
                <w:color w:val="auto"/>
                <w:sz w:val="24"/>
                <w:highlight w:val="none"/>
              </w:rPr>
              <w:t>（适用于</w:t>
            </w:r>
            <w:r>
              <w:rPr>
                <w:rFonts w:hint="eastAsia" w:ascii="宋体" w:hAnsi="宋体" w:eastAsia="宋体" w:cs="宋体"/>
                <w:i/>
                <w:iCs/>
                <w:color w:val="auto"/>
                <w:sz w:val="24"/>
                <w:szCs w:val="24"/>
                <w:highlight w:val="none"/>
                <w:shd w:val="clear" w:color="auto" w:fill="FFFFFF"/>
              </w:rPr>
              <w:t>既有本国产品又有非本国产品参与竞争的货物项目</w:t>
            </w:r>
            <w:r>
              <w:rPr>
                <w:rFonts w:hint="eastAsia" w:ascii="宋体" w:hAnsi="宋体" w:eastAsia="宋体" w:cs="Times New Roman"/>
                <w:i/>
                <w:iCs/>
                <w:color w:val="auto"/>
                <w:sz w:val="24"/>
                <w:highlight w:val="none"/>
              </w:rPr>
              <w:t>）</w:t>
            </w:r>
          </w:p>
        </w:tc>
        <w:tc>
          <w:tcPr>
            <w:tcW w:w="5618" w:type="dxa"/>
            <w:vAlign w:val="center"/>
          </w:tcPr>
          <w:p w14:paraId="08D09935">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（1）项目或者采购包中采购内容为单一产品的，既有本国产品又有非本国产品参与竞争的，对本国产品给予价格扣除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p w14:paraId="4C6E1350">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（2）项目或者采购包中含有多种产品的，符合本国产品标准的产品成本之和占该投标人提供的全部产品成本之和的比例≥80%，所有产品价格扣除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tc>
      </w:tr>
      <w:tr w14:paraId="456E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63C61">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6422F33F">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5289A58C">
            <w:pPr>
              <w:pStyle w:val="41"/>
              <w:widowControl w:val="0"/>
              <w:spacing w:before="0" w:beforeAutospacing="0" w:after="0" w:afterAutospacing="0" w:line="360" w:lineRule="auto"/>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评标委员会推荐3名中标候选人。</w:t>
            </w:r>
          </w:p>
        </w:tc>
      </w:tr>
      <w:tr w14:paraId="2B5E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857674C">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4140DBC8">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755F9CDB">
            <w:pPr>
              <w:spacing w:line="360" w:lineRule="auto"/>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2F273207">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5B4F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6926625">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1174" w:type="pct"/>
            <w:vAlign w:val="center"/>
          </w:tcPr>
          <w:p w14:paraId="4F1035C0">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3244" w:type="pct"/>
            <w:vAlign w:val="center"/>
          </w:tcPr>
          <w:p w14:paraId="3BF38972">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（1）中小企业声明函；</w:t>
            </w:r>
            <w:r>
              <w:rPr>
                <w:rFonts w:hint="eastAsia" w:ascii="宋体" w:hAnsi="宋体" w:eastAsia="宋体"/>
                <w:b w:val="0"/>
                <w:i/>
                <w:iCs/>
                <w:color w:val="auto"/>
                <w:sz w:val="24"/>
                <w:highlight w:val="none"/>
              </w:rPr>
              <w:t>（如有）</w:t>
            </w:r>
          </w:p>
          <w:p w14:paraId="5F190F5E">
            <w:pPr>
              <w:pStyle w:val="41"/>
              <w:widowControl w:val="0"/>
              <w:spacing w:before="0" w:beforeAutospacing="0" w:after="0" w:afterAutospacing="0" w:line="360" w:lineRule="auto"/>
              <w:jc w:val="both"/>
              <w:rPr>
                <w:rFonts w:hint="eastAsia" w:ascii="宋体" w:hAnsi="宋体" w:eastAsia="宋体"/>
                <w:b w:val="0"/>
                <w:i/>
                <w:color w:val="auto"/>
                <w:sz w:val="24"/>
                <w:highlight w:val="none"/>
              </w:rPr>
            </w:pPr>
            <w:r>
              <w:rPr>
                <w:rFonts w:hint="eastAsia" w:ascii="宋体" w:hAnsi="宋体" w:eastAsia="宋体"/>
                <w:b w:val="0"/>
                <w:color w:val="auto"/>
                <w:sz w:val="24"/>
                <w:highlight w:val="none"/>
              </w:rPr>
              <w:t>（2）残疾人福利性单位声明函；</w:t>
            </w:r>
            <w:r>
              <w:rPr>
                <w:rFonts w:hint="eastAsia" w:ascii="宋体" w:hAnsi="宋体" w:eastAsia="宋体"/>
                <w:b w:val="0"/>
                <w:i/>
                <w:iCs/>
                <w:color w:val="auto"/>
                <w:sz w:val="24"/>
                <w:highlight w:val="none"/>
              </w:rPr>
              <w:t>（如有）</w:t>
            </w:r>
          </w:p>
          <w:p w14:paraId="70CF9A9E">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（3）中标（成交）供应商的评审总得分</w:t>
            </w:r>
          </w:p>
          <w:p w14:paraId="3A99AF53">
            <w:pPr>
              <w:pStyle w:val="41"/>
              <w:widowControl w:val="0"/>
              <w:spacing w:before="0" w:beforeAutospacing="0" w:after="0" w:afterAutospacing="0" w:line="360" w:lineRule="auto"/>
              <w:jc w:val="both"/>
              <w:rPr>
                <w:rFonts w:hint="eastAsia" w:ascii="宋体" w:hAnsi="宋体" w:eastAsia="宋体"/>
                <w:b w:val="0"/>
                <w:bCs w:val="0"/>
                <w:color w:val="auto"/>
                <w:sz w:val="24"/>
                <w:szCs w:val="24"/>
                <w:highlight w:val="none"/>
              </w:rPr>
            </w:pPr>
            <w:r>
              <w:rPr>
                <w:rFonts w:hint="eastAsia" w:ascii="宋体" w:hAnsi="宋体" w:eastAsia="宋体"/>
                <w:b w:val="0"/>
                <w:color w:val="auto"/>
                <w:sz w:val="24"/>
                <w:highlight w:val="none"/>
              </w:rPr>
              <w:t>（4）</w:t>
            </w:r>
            <w:r>
              <w:rPr>
                <w:rFonts w:hint="eastAsia" w:ascii="宋体" w:hAnsi="宋体" w:eastAsia="宋体"/>
                <w:b w:val="0"/>
                <w:bCs w:val="0"/>
                <w:color w:val="auto"/>
                <w:sz w:val="24"/>
                <w:szCs w:val="20"/>
                <w:highlight w:val="none"/>
              </w:rPr>
              <w:t>符合本国产品标准的声明函；</w:t>
            </w:r>
            <w:r>
              <w:rPr>
                <w:rFonts w:hint="eastAsia" w:ascii="宋体" w:hAnsi="宋体" w:eastAsia="宋体"/>
                <w:b w:val="0"/>
                <w:bCs w:val="0"/>
                <w:i/>
                <w:iCs/>
                <w:color w:val="auto"/>
                <w:sz w:val="24"/>
                <w:szCs w:val="20"/>
                <w:highlight w:val="none"/>
              </w:rPr>
              <w:t>（如有）</w:t>
            </w:r>
          </w:p>
        </w:tc>
      </w:tr>
      <w:tr w14:paraId="1A71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5B88ED">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1174" w:type="pct"/>
            <w:vAlign w:val="center"/>
          </w:tcPr>
          <w:p w14:paraId="2999B215">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331BFCC4">
            <w:pPr>
              <w:pStyle w:val="41"/>
              <w:widowControl w:val="0"/>
              <w:spacing w:before="0" w:beforeAutospacing="0" w:after="0" w:afterAutospacing="0" w:line="360" w:lineRule="auto"/>
              <w:jc w:val="both"/>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6793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5D0FDD1">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1174" w:type="pct"/>
            <w:vAlign w:val="center"/>
          </w:tcPr>
          <w:p w14:paraId="66EEB43F">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5D19F76D">
            <w:pPr>
              <w:spacing w:line="360" w:lineRule="auto"/>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Theme="minorEastAsia" w:hAnsiTheme="minorEastAsia" w:eastAsiaTheme="minorEastAsia"/>
                <w:color w:val="auto"/>
                <w:kern w:val="0"/>
                <w:sz w:val="24"/>
                <w:szCs w:val="24"/>
                <w:highlight w:val="none"/>
              </w:rPr>
              <w:t>系统查看</w:t>
            </w:r>
          </w:p>
          <w:p w14:paraId="661F44BA">
            <w:pPr>
              <w:pStyle w:val="41"/>
              <w:widowControl w:val="0"/>
              <w:spacing w:before="0" w:beforeAutospacing="0" w:after="0" w:afterAutospacing="0" w:line="360" w:lineRule="auto"/>
              <w:jc w:val="both"/>
              <w:rPr>
                <w:rFonts w:hint="eastAsia" w:asciiTheme="minorEastAsia" w:hAnsiTheme="minorEastAsia" w:eastAsiaTheme="minorEastAsia"/>
                <w:b w:val="0"/>
                <w:bCs w:val="0"/>
                <w:color w:val="auto"/>
                <w:kern w:val="2"/>
                <w:sz w:val="24"/>
                <w:szCs w:val="24"/>
                <w:highlight w:val="none"/>
              </w:rPr>
            </w:pPr>
            <w:r>
              <w:rPr>
                <w:rFonts w:hint="eastAsia" w:asciiTheme="minorEastAsia" w:hAnsiTheme="minorEastAsia" w:eastAsiaTheme="minorEastAsia"/>
                <w:b w:val="0"/>
                <w:bCs w:val="0"/>
                <w:color w:val="auto"/>
                <w:kern w:val="2"/>
                <w:sz w:val="24"/>
                <w:szCs w:val="24"/>
                <w:highlight w:val="none"/>
              </w:rPr>
              <w:t>□评标现场告知</w:t>
            </w:r>
          </w:p>
        </w:tc>
      </w:tr>
      <w:tr w14:paraId="6623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71FB9405">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1174" w:type="pct"/>
            <w:vAlign w:val="center"/>
          </w:tcPr>
          <w:p w14:paraId="0EDB3267">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1FEF7071">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69F9B66">
            <w:pPr>
              <w:spacing w:line="360" w:lineRule="auto"/>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免收</w:t>
            </w:r>
          </w:p>
          <w:p w14:paraId="4146FF9E">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00595823">
            <w:pPr>
              <w:spacing w:line="360" w:lineRule="auto"/>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4927A143">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4C085E0F">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EF6E8F6">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另行通知   </w:t>
            </w:r>
            <w:r>
              <w:rPr>
                <w:rFonts w:hint="eastAsia" w:ascii="宋体" w:hAnsi="宋体" w:eastAsia="宋体"/>
                <w:bCs/>
                <w:color w:val="auto"/>
                <w:kern w:val="0"/>
                <w:sz w:val="24"/>
                <w:szCs w:val="28"/>
                <w:highlight w:val="none"/>
              </w:rPr>
              <w:t xml:space="preserve">              </w:t>
            </w:r>
          </w:p>
          <w:p w14:paraId="44A14F0B">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另行通知   </w:t>
            </w:r>
          </w:p>
          <w:p w14:paraId="2626978E">
            <w:pPr>
              <w:spacing w:line="360" w:lineRule="auto"/>
              <w:rPr>
                <w:rFonts w:hint="eastAsia"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①采用银行转账方式：政府采购验收合格后，一次性退还；②采用支票、汇票、本票、保函等方式：有效期为自合同签订之日起至供货期满后止。</w:t>
            </w:r>
          </w:p>
          <w:p w14:paraId="56DFA4AA">
            <w:pPr>
              <w:spacing w:line="360" w:lineRule="auto"/>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5B830159">
            <w:pPr>
              <w:spacing w:line="360" w:lineRule="auto"/>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0DF45511">
            <w:pPr>
              <w:spacing w:line="360" w:lineRule="auto"/>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0505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91C91A2">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1174" w:type="pct"/>
            <w:vAlign w:val="center"/>
          </w:tcPr>
          <w:p w14:paraId="1919AE48">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44" w:type="pct"/>
          </w:tcPr>
          <w:p w14:paraId="75CA5ABA">
            <w:pPr>
              <w:pStyle w:val="19"/>
              <w:widowControl/>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（1）采购人与中标人应当自发出中标通知书之日起7个工作日内签订合同，采购合同签订之日起2个工作日内完成政府采购合同公开。</w:t>
            </w:r>
          </w:p>
          <w:p w14:paraId="3398A2F7">
            <w:pPr>
              <w:pStyle w:val="19"/>
              <w:widowControl/>
              <w:spacing w:before="0" w:beforeAutospacing="0" w:after="0" w:afterAutospacing="0" w:line="360" w:lineRule="auto"/>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ascii="宋体" w:hAnsi="宋体" w:eastAsia="宋体" w:cs="宋体"/>
                <w:color w:val="auto"/>
                <w:szCs w:val="24"/>
                <w:highlight w:val="none"/>
              </w:rPr>
              <w:t>不得擅自变更合同，依照政府采购法确需变更政府采购合同内容的，采购人应当自合同变更之日起2个工作日内</w:t>
            </w:r>
            <w:r>
              <w:rPr>
                <w:rFonts w:hint="eastAsia" w:ascii="宋体" w:hAnsi="宋体" w:eastAsia="宋体" w:cs="宋体"/>
                <w:color w:val="auto"/>
                <w:szCs w:val="24"/>
                <w:highlight w:val="none"/>
              </w:rPr>
              <w:t>在安徽省政府采购网</w:t>
            </w:r>
            <w:r>
              <w:rPr>
                <w:rFonts w:ascii="宋体" w:hAnsi="宋体" w:eastAsia="宋体" w:cs="宋体"/>
                <w:color w:val="auto"/>
                <w:szCs w:val="24"/>
                <w:highlight w:val="none"/>
              </w:rPr>
              <w:t>发布政府采购合同变更公告</w:t>
            </w:r>
            <w:r>
              <w:rPr>
                <w:rFonts w:hint="eastAsia" w:ascii="宋体" w:hAnsi="宋体" w:eastAsia="宋体" w:cs="宋体"/>
                <w:color w:val="auto"/>
                <w:szCs w:val="24"/>
                <w:highlight w:val="none"/>
              </w:rPr>
              <w:t>，</w:t>
            </w:r>
            <w:r>
              <w:rPr>
                <w:rFonts w:ascii="宋体" w:hAnsi="宋体" w:eastAsia="宋体" w:cs="宋体"/>
                <w:color w:val="auto"/>
                <w:szCs w:val="24"/>
                <w:highlight w:val="none"/>
              </w:rPr>
              <w:t>但涉及国家秘密、商业秘密的信息和其他依法不得公开的信息除外。</w:t>
            </w:r>
          </w:p>
        </w:tc>
      </w:tr>
      <w:tr w14:paraId="4F43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9C4D0DD">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1174" w:type="pct"/>
            <w:vAlign w:val="center"/>
          </w:tcPr>
          <w:p w14:paraId="1A987307">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44" w:type="pct"/>
            <w:vAlign w:val="center"/>
          </w:tcPr>
          <w:p w14:paraId="6A116EFE">
            <w:pPr>
              <w:spacing w:before="39" w:line="360" w:lineRule="auto"/>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中标人</w:t>
            </w:r>
          </w:p>
          <w:p w14:paraId="0DE6A3B7">
            <w:pPr>
              <w:spacing w:before="24"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本项目不向采购人及中标人收取代理费用。</w:t>
            </w:r>
          </w:p>
          <w:p w14:paraId="694DC627">
            <w:pPr>
              <w:pStyle w:val="41"/>
              <w:widowControl w:val="0"/>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b w:val="0"/>
                <w:color w:val="auto"/>
                <w:sz w:val="24"/>
                <w:highlight w:val="none"/>
                <w:u w:val="single"/>
              </w:rPr>
              <w:t>代理费服务费</w:t>
            </w:r>
            <w:r>
              <w:rPr>
                <w:rFonts w:hint="eastAsia" w:ascii="宋体" w:hAnsi="宋体" w:eastAsia="宋体" w:cs="宋体"/>
                <w:b w:val="0"/>
                <w:color w:val="auto"/>
                <w:sz w:val="24"/>
                <w:highlight w:val="none"/>
                <w:u w:val="single"/>
                <w:lang w:val="en-US" w:eastAsia="zh-CN"/>
              </w:rPr>
              <w:t>7500</w:t>
            </w:r>
            <w:r>
              <w:rPr>
                <w:rFonts w:hint="eastAsia" w:ascii="宋体" w:hAnsi="宋体" w:eastAsia="宋体" w:cs="宋体"/>
                <w:b w:val="0"/>
                <w:color w:val="auto"/>
                <w:sz w:val="24"/>
                <w:highlight w:val="none"/>
                <w:u w:val="single"/>
              </w:rPr>
              <w:t>元。参考《关于进一步明确代理费计取标准的通知》（滁公管综〔2023〕19号）标准</w:t>
            </w:r>
            <w:r>
              <w:rPr>
                <w:rFonts w:hint="eastAsia" w:ascii="宋体" w:hAnsi="宋体" w:eastAsia="宋体" w:cs="宋体"/>
                <w:b w:val="0"/>
                <w:color w:val="auto"/>
                <w:sz w:val="24"/>
                <w:highlight w:val="none"/>
                <w:u w:val="single"/>
                <w:lang w:val="en-US" w:eastAsia="zh-CN"/>
              </w:rPr>
              <w:t>。</w:t>
            </w:r>
          </w:p>
        </w:tc>
      </w:tr>
      <w:tr w14:paraId="07A8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6EC6AE">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1174" w:type="pct"/>
            <w:vAlign w:val="center"/>
          </w:tcPr>
          <w:p w14:paraId="56604392">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649CA5BF">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cs="宋体"/>
                <w:b w:val="0"/>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1445BDB6">
            <w:pPr>
              <w:pStyle w:val="41"/>
              <w:widowControl w:val="0"/>
              <w:spacing w:before="0" w:beforeAutospacing="0" w:after="0" w:afterAutospacing="0" w:line="360" w:lineRule="auto"/>
              <w:jc w:val="both"/>
              <w:rPr>
                <w:rFonts w:hint="eastAsia"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u w:val="single"/>
              </w:rPr>
              <w:t>滁州职业技术学院</w:t>
            </w:r>
            <w:r>
              <w:rPr>
                <w:rFonts w:hint="eastAsia" w:ascii="宋体" w:hAnsi="宋体" w:eastAsia="宋体" w:cs="宋体"/>
                <w:b w:val="0"/>
                <w:color w:val="auto"/>
                <w:sz w:val="24"/>
                <w:highlight w:val="none"/>
                <w:u w:val="single"/>
              </w:rPr>
              <w:t>、滁州市政府采购中心</w:t>
            </w:r>
          </w:p>
          <w:p w14:paraId="0AE196BB">
            <w:pPr>
              <w:pStyle w:val="41"/>
              <w:widowControl w:val="0"/>
              <w:spacing w:before="0" w:beforeAutospacing="0" w:after="0" w:afterAutospacing="0" w:line="360" w:lineRule="auto"/>
              <w:jc w:val="both"/>
              <w:rPr>
                <w:rFonts w:hint="eastAsia"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cs="宋体"/>
                <w:b w:val="0"/>
                <w:color w:val="auto"/>
                <w:sz w:val="24"/>
                <w:highlight w:val="none"/>
                <w:u w:val="single"/>
              </w:rPr>
              <w:t>0550-3854662、0550-3519590</w:t>
            </w:r>
          </w:p>
          <w:p w14:paraId="454D68B2">
            <w:pPr>
              <w:wordWrap w:val="0"/>
              <w:spacing w:line="360" w:lineRule="auto"/>
              <w:jc w:val="left"/>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s="宋体"/>
                <w:bCs/>
                <w:color w:val="auto"/>
                <w:kern w:val="0"/>
                <w:sz w:val="24"/>
                <w:szCs w:val="28"/>
                <w:highlight w:val="none"/>
                <w:u w:val="single"/>
              </w:rPr>
              <w:t>滁州市南谯区丰乐大道2188号、滁州市龙蟠大道</w:t>
            </w:r>
            <w:r>
              <w:rPr>
                <w:rFonts w:hint="eastAsia" w:ascii="宋体" w:hAnsi="宋体" w:eastAsia="宋体" w:cs="宋体"/>
                <w:color w:val="auto"/>
                <w:sz w:val="24"/>
                <w:highlight w:val="none"/>
                <w:u w:val="single"/>
              </w:rPr>
              <w:t>109号房产商务大厦6楼620</w:t>
            </w:r>
          </w:p>
        </w:tc>
      </w:tr>
      <w:tr w14:paraId="65AF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D80F19C">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1174" w:type="pct"/>
            <w:vAlign w:val="center"/>
          </w:tcPr>
          <w:p w14:paraId="746E8AD2">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44" w:type="pct"/>
            <w:vAlign w:val="center"/>
          </w:tcPr>
          <w:p w14:paraId="23ADAA09">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4EFA775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6B2FF78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07D71DD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DD43B1B">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6FE872C5">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p w14:paraId="2BEEF0F0">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56E101F0">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3、电子保函指引：中标人可访问安徽省政府采购网“融资/保函”栏目，申请办理电子保函（包括：履约保函、预付款保函）。</w:t>
            </w:r>
          </w:p>
          <w:p w14:paraId="2CAB6BF4">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4、</w:t>
            </w:r>
            <w:r>
              <w:rPr>
                <w:rFonts w:hint="eastAsia" w:ascii="宋体" w:hAnsi="宋体" w:eastAsia="宋体" w:cs="宋体"/>
                <w:b w:val="0"/>
                <w:color w:val="auto"/>
                <w:kern w:val="2"/>
                <w:sz w:val="24"/>
                <w:szCs w:val="24"/>
                <w:highlight w:val="none"/>
              </w:rPr>
              <w:t>部分可提供线下政府采购合同融资的部分金融机构</w:t>
            </w:r>
          </w:p>
          <w:p w14:paraId="70F7E517">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38F059F5">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16F2451E">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09F99EF">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俞冉：18256950224</w:t>
            </w:r>
          </w:p>
          <w:p w14:paraId="0319A84D">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5、系统中提供的表格与招标文件中不一致时，以招标文件中提供的表格格式为准。</w:t>
            </w:r>
          </w:p>
          <w:p w14:paraId="460ADB64">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6、特别提示：</w:t>
            </w:r>
          </w:p>
          <w:p w14:paraId="280DBEE8">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B5CC7CC">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4E450954">
            <w:pPr>
              <w:pStyle w:val="41"/>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400-615-8899。</w:t>
            </w:r>
          </w:p>
          <w:p w14:paraId="5615295D">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15C75C64">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03BBE91D">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3738F823">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2EE07DC5">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039EE3D5">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5C956BD3">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60AD7716">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6EE8FAD8">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7、评标过程中的澄清、说明或补正：</w:t>
            </w:r>
          </w:p>
          <w:p w14:paraId="6B6B8A5C">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32601730">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5B93369">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8、同义词语：</w:t>
            </w:r>
          </w:p>
          <w:p w14:paraId="43491F5D">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  投标文件格式、附件1“关于联合惩戒失信行为 加强信用查询管理的通知”等章节中 “招标人”、“供应商”，等同于“采购人”、“投标人”。</w:t>
            </w:r>
          </w:p>
          <w:p w14:paraId="2D1CD95D">
            <w:pPr>
              <w:pStyle w:val="41"/>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Theme="minorEastAsia" w:hAnsiTheme="minorEastAsia" w:eastAsiaTheme="minorEastAsia"/>
                <w:b w:val="0"/>
                <w:color w:val="auto"/>
                <w:kern w:val="2"/>
                <w:sz w:val="24"/>
                <w:szCs w:val="24"/>
                <w:highlight w:val="none"/>
              </w:rPr>
            </w:pPr>
            <w:r>
              <w:rPr>
                <w:rFonts w:hint="eastAsia" w:ascii="宋体" w:hAnsi="宋体" w:eastAsia="宋体" w:cs="宋体"/>
                <w:b w:val="0"/>
                <w:color w:val="auto"/>
                <w:kern w:val="2"/>
                <w:sz w:val="24"/>
                <w:szCs w:val="24"/>
                <w:highlight w:val="none"/>
              </w:rPr>
              <w:t>9、落实政府采购支持节能产品、环境标志产品政策。</w:t>
            </w:r>
          </w:p>
        </w:tc>
      </w:tr>
    </w:tbl>
    <w:p w14:paraId="5DC4CF9D">
      <w:pPr>
        <w:spacing w:line="360" w:lineRule="auto"/>
        <w:jc w:val="center"/>
        <w:outlineLvl w:val="1"/>
        <w:rPr>
          <w:rFonts w:hint="eastAsia"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1" w:name="_Toc14880"/>
      <w:bookmarkStart w:id="22"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21"/>
      <w:bookmarkEnd w:id="22"/>
    </w:p>
    <w:p w14:paraId="1BF44B3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6447FD2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45B9DC9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5422A99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174AD00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7EB5FA6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2D5D32B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以采购代理机构认可的方式获得本项目的招标文件。</w:t>
      </w:r>
    </w:p>
    <w:p w14:paraId="348DA65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59D57FE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543ADC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8AB86BF">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0D5552E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3AC83EF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6CBBC58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44326D0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65024E8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3F3C491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66A5B6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3AF83CA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21683B0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ABFDD1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70F1B9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833B6B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3CBE5DC4">
      <w:pPr>
        <w:spacing w:line="360" w:lineRule="auto"/>
        <w:ind w:firstLine="435"/>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6751937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0778BD5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4BA1FAD3">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5DE63B80">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6F799221">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038F698">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1F50D0F">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AE12362">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626B4731">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F1B6A6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22F13DC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4A616D0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0E44888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22E0112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6466F50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593F48F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2064E36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1E10D61D">
      <w:pPr>
        <w:spacing w:line="360" w:lineRule="auto"/>
        <w:ind w:firstLine="435"/>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2EC030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681763A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5A35AAF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9E23BA5">
      <w:pPr>
        <w:spacing w:line="360" w:lineRule="auto"/>
        <w:ind w:firstLine="435"/>
        <w:rPr>
          <w:rFonts w:hint="eastAsia"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23"/>
    <w:p w14:paraId="2CE9092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2B000BC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3F5AC4E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25B2925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54CF7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rPr>
        <w:t>等。</w:t>
      </w:r>
    </w:p>
    <w:bookmarkEnd w:id="24"/>
    <w:p w14:paraId="3482246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7B3C4DA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2380048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08F5879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1FF7AA1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323B79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436AE6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2B006C8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0405A4D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52B8EBE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473D222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4BC8B80">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9B2825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458F10A0">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B85D6BC">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6184B10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BF0DE5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78BC47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680C78F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2E08B26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3C118CB9">
      <w:pPr>
        <w:spacing w:line="360" w:lineRule="auto"/>
        <w:ind w:firstLine="435"/>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78EA473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7B96823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772527BE">
      <w:pPr>
        <w:wordWrap w:val="0"/>
        <w:spacing w:line="360" w:lineRule="auto"/>
        <w:ind w:firstLine="437"/>
        <w:rPr>
          <w:rFonts w:hint="eastAsia"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15CDAB1E">
      <w:pPr>
        <w:wordWrap w:val="0"/>
        <w:spacing w:line="360" w:lineRule="auto"/>
        <w:ind w:firstLine="4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793C52B">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32CF1F0F">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1677CDB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55060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1ECDC98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4B6A6FA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84ED16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10BFB16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中载明核心产品，多家投标人提供的核心产品品牌相同的，按第</w:t>
      </w: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3AC51D0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1B14E30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13B7E9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A1124F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20B8299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1668303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5投标文件报价出现前后不一致的，按照下列规定修正：</w:t>
      </w:r>
    </w:p>
    <w:p w14:paraId="5A45EFDF">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DD6BC84">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0C911C7E">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29D58767">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FB71949">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45727384">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CAFD64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0B4310A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482CA25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5BA0AD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2BBE37E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632826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7075D2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9C0C8A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4BEDABA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755B073D">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7B4BAE0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2684790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w:t>
      </w:r>
      <w:r>
        <w:rPr>
          <w:rFonts w:hint="eastAsia" w:ascii="宋体" w:hAnsi="宋体" w:eastAsia="宋体" w:cs="Times New Roman"/>
          <w:color w:val="auto"/>
          <w:sz w:val="24"/>
          <w:highlight w:val="none"/>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656220C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7DA9149C">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17638C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7F8A21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405BDA3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635B00E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1"/>
        <w:widowControl w:val="0"/>
        <w:spacing w:before="0" w:beforeAutospacing="0" w:after="0" w:afterAutospacing="0" w:line="360" w:lineRule="auto"/>
        <w:ind w:firstLine="480" w:firstLineChars="200"/>
        <w:jc w:val="both"/>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1"/>
        <w:widowControl w:val="0"/>
        <w:spacing w:before="0" w:beforeAutospacing="0" w:after="0" w:afterAutospacing="0" w:line="360" w:lineRule="auto"/>
        <w:ind w:firstLine="480" w:firstLineChars="200"/>
        <w:jc w:val="both"/>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1"/>
        <w:widowControl w:val="0"/>
        <w:spacing w:before="0" w:beforeAutospacing="0" w:after="0" w:afterAutospacing="0" w:line="360" w:lineRule="auto"/>
        <w:ind w:firstLine="240" w:firstLineChars="100"/>
        <w:jc w:val="both"/>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8A746B">
      <w:pPr>
        <w:pStyle w:val="41"/>
        <w:widowControl w:val="0"/>
        <w:spacing w:before="0" w:beforeAutospacing="0" w:after="0" w:afterAutospacing="0" w:line="360" w:lineRule="auto"/>
        <w:ind w:firstLine="240" w:firstLineChars="100"/>
        <w:jc w:val="both"/>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17.5同时符合17.3和17.4的价格评审优惠时，评标价为投标报价分别扣除促进中小企业发展政策的价格评审优惠和本国产品支持政策的价格评审优惠后的价格。</w:t>
      </w:r>
    </w:p>
    <w:p w14:paraId="5CC32B44">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6E0650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2A56F4AA">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1EDF639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500D309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8EB54C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1962E13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57C254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3A7D17E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2248A9B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487A3EE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2B9163E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0F65F2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64DA52B1">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291D26D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16E9C88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03106BD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4B7C341">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363C65E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147137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1A0A21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4A55E31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22E267C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064D10D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06D9CACA">
      <w:pPr>
        <w:wordWrap w:val="0"/>
        <w:spacing w:line="360" w:lineRule="auto"/>
        <w:ind w:firstLine="437"/>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自中标人确定之日起2个工作日内，采购代理机构将在安徽省政府采购网（www.ccgp-anhui.gov.cn）上发布中标结果公告。</w:t>
      </w:r>
    </w:p>
    <w:p w14:paraId="3BC6F6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Theme="minorEastAsia" w:hAnsiTheme="minorEastAsia" w:eastAsiaTheme="minorEastAsia"/>
          <w:color w:val="auto"/>
          <w:sz w:val="24"/>
          <w:highlight w:val="none"/>
        </w:rPr>
        <w:t>品牌、</w:t>
      </w:r>
      <w:r>
        <w:rPr>
          <w:rFonts w:asciiTheme="minorEastAsia" w:hAnsiTheme="minorEastAsia" w:eastAsiaTheme="minorEastAsia"/>
          <w:color w:val="auto"/>
          <w:sz w:val="24"/>
          <w:highlight w:val="none"/>
        </w:rPr>
        <w:t>规格型号、数量、</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7C12106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52DE7CD3">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3A9F6F22">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33F4987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1CC1499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1E4AE37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6C808E8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0A18F8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55F6B442">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38D95CA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5383EA1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60CF480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4216231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65C36CF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2909804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254764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7926190C">
      <w:pPr>
        <w:spacing w:line="360" w:lineRule="auto"/>
        <w:ind w:firstLine="437"/>
        <w:outlineLvl w:val="2"/>
        <w:rPr>
          <w:rFonts w:hint="eastAsia" w:asciiTheme="minorEastAsia" w:hAnsiTheme="minorEastAsia" w:eastAsiaTheme="minorEastAsia"/>
          <w:b/>
          <w:color w:val="auto"/>
          <w:sz w:val="24"/>
          <w:highlight w:val="none"/>
        </w:rPr>
      </w:pPr>
      <w:bookmarkStart w:id="26" w:name="_Toc518923100"/>
      <w:bookmarkStart w:id="27"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26"/>
      <w:bookmarkEnd w:id="27"/>
    </w:p>
    <w:p w14:paraId="18C4DC0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0322836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2C59DE8">
      <w:pPr>
        <w:spacing w:line="360" w:lineRule="auto"/>
        <w:ind w:firstLine="437"/>
        <w:outlineLvl w:val="2"/>
        <w:rPr>
          <w:rFonts w:hint="eastAsia" w:asciiTheme="minorEastAsia" w:hAnsiTheme="minorEastAsia" w:eastAsiaTheme="minorEastAsia"/>
          <w:b/>
          <w:color w:val="auto"/>
          <w:sz w:val="24"/>
          <w:highlight w:val="none"/>
        </w:rPr>
      </w:pPr>
      <w:bookmarkStart w:id="28" w:name="_Toc518923101"/>
      <w:bookmarkStart w:id="29" w:name="_Toc2583662"/>
      <w:r>
        <w:rPr>
          <w:rFonts w:hint="eastAsia" w:asciiTheme="minorEastAsia" w:hAnsiTheme="minorEastAsia" w:eastAsiaTheme="minorEastAsia"/>
          <w:b/>
          <w:color w:val="auto"/>
          <w:sz w:val="24"/>
          <w:highlight w:val="none"/>
        </w:rPr>
        <w:t>30.人员回避</w:t>
      </w:r>
      <w:bookmarkEnd w:id="28"/>
      <w:bookmarkEnd w:id="29"/>
    </w:p>
    <w:p w14:paraId="0B1192DE">
      <w:pPr>
        <w:spacing w:line="360" w:lineRule="auto"/>
        <w:ind w:firstLine="435"/>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471F1918">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6DF9776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03AEA0C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24D3F21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CCC8C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2FB51928">
      <w:pPr>
        <w:wordWrap w:val="0"/>
        <w:spacing w:line="360" w:lineRule="auto"/>
        <w:ind w:firstLine="437"/>
        <w:outlineLvl w:val="2"/>
        <w:rPr>
          <w:rFonts w:hint="eastAsia" w:ascii="宋体" w:hAnsi="宋体" w:eastAsia="宋体"/>
          <w:b/>
          <w:color w:val="auto"/>
          <w:sz w:val="24"/>
          <w:szCs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宋体" w:hAnsi="宋体" w:eastAsia="宋体" w:cs="宋体"/>
          <w:b/>
          <w:color w:val="auto"/>
          <w:sz w:val="24"/>
          <w:szCs w:val="24"/>
          <w:highlight w:val="none"/>
          <w:lang w:bidi="ar"/>
        </w:rPr>
        <w:t>投诉</w:t>
      </w:r>
    </w:p>
    <w:p w14:paraId="69CABEA1">
      <w:pPr>
        <w:wordWrap w:val="0"/>
        <w:autoSpaceDE w:val="0"/>
        <w:spacing w:line="360" w:lineRule="auto"/>
        <w:ind w:firstLine="437"/>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2ABB4EEE">
      <w:pPr>
        <w:wordWrap w:val="0"/>
        <w:autoSpaceDE w:val="0"/>
        <w:spacing w:line="360" w:lineRule="auto"/>
        <w:ind w:firstLine="437"/>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043FA5B2">
      <w:pPr>
        <w:wordWrap w:val="0"/>
        <w:autoSpaceDE w:val="0"/>
        <w:spacing w:line="360" w:lineRule="auto"/>
        <w:ind w:firstLine="437"/>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32.3政府采购监督管理部门在处理投诉事项期间，可以视具体情况书面通知采购人暂停采购活动，但暂停时间最长不得超过30日。</w:t>
      </w:r>
    </w:p>
    <w:p w14:paraId="2258F86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33.需要补充的其他内容</w:t>
      </w:r>
    </w:p>
    <w:p w14:paraId="1432393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7084582A">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46B29A95">
      <w:pPr>
        <w:spacing w:line="360" w:lineRule="auto"/>
        <w:jc w:val="center"/>
        <w:outlineLvl w:val="0"/>
        <w:rPr>
          <w:rFonts w:hint="eastAsia" w:asciiTheme="minorEastAsia" w:hAnsiTheme="minorEastAsia" w:eastAsiaTheme="minorEastAsia"/>
          <w:b/>
          <w:color w:val="auto"/>
          <w:sz w:val="28"/>
          <w:highlight w:val="none"/>
        </w:rPr>
      </w:pPr>
      <w:bookmarkStart w:id="30" w:name="_Toc10891"/>
      <w:r>
        <w:rPr>
          <w:rFonts w:hint="eastAsia" w:asciiTheme="minorEastAsia" w:hAnsiTheme="minorEastAsia" w:eastAsiaTheme="minorEastAsia"/>
          <w:b/>
          <w:color w:val="auto"/>
          <w:sz w:val="28"/>
          <w:highlight w:val="none"/>
        </w:rPr>
        <w:t>第三章  采购需求</w:t>
      </w:r>
      <w:bookmarkEnd w:id="30"/>
    </w:p>
    <w:p w14:paraId="0D9E3639">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48A9894">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D19009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w:t>
      </w:r>
    </w:p>
    <w:p w14:paraId="471EC60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bCs/>
          <w:color w:val="auto"/>
          <w:sz w:val="24"/>
          <w:szCs w:val="24"/>
          <w:highlight w:val="none"/>
        </w:rPr>
        <w:t>如属于《节能产品政府采购品目清单》中政府强制采购的节能产品，则投标人所投产品投标时须提供市场监管总局公布的《参与实施政府采购节能产品认证机构目录》中的认证机构出具的、处于有效期内的节能产品认证证书，否则按无效标处理</w:t>
      </w:r>
      <w:r>
        <w:rPr>
          <w:rFonts w:hint="eastAsia" w:ascii="宋体" w:hAnsi="宋体" w:eastAsia="宋体" w:cs="宋体"/>
          <w:color w:val="auto"/>
          <w:sz w:val="24"/>
          <w:szCs w:val="24"/>
          <w:highlight w:val="none"/>
        </w:rPr>
        <w:t>。</w:t>
      </w:r>
    </w:p>
    <w:p w14:paraId="799BB42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rFonts w:hint="eastAsia"/>
          <w:color w:val="auto"/>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30B0ED33">
      <w:pPr>
        <w:spacing w:line="360" w:lineRule="auto"/>
        <w:ind w:firstLine="437"/>
        <w:outlineLvl w:val="1"/>
        <w:rPr>
          <w:rFonts w:hint="eastAsia" w:ascii="宋体" w:hAnsi="宋体" w:eastAsia="宋体"/>
          <w:b/>
          <w:color w:val="auto"/>
          <w:sz w:val="24"/>
          <w:szCs w:val="18"/>
          <w:highlight w:val="none"/>
        </w:rPr>
      </w:pPr>
      <w:bookmarkStart w:id="31" w:name="_Toc2554"/>
      <w:bookmarkStart w:id="32" w:name="_Toc32151"/>
      <w:r>
        <w:rPr>
          <w:rFonts w:hint="eastAsia" w:ascii="宋体" w:hAnsi="宋体" w:eastAsia="宋体"/>
          <w:b/>
          <w:color w:val="auto"/>
          <w:sz w:val="24"/>
          <w:szCs w:val="18"/>
          <w:highlight w:val="none"/>
        </w:rPr>
        <w:t>一、采购需求前附表</w:t>
      </w:r>
      <w:bookmarkEnd w:id="31"/>
      <w:bookmarkEnd w:id="32"/>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980"/>
        <w:gridCol w:w="6458"/>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7" w:type="pct"/>
            <w:vAlign w:val="center"/>
          </w:tcPr>
          <w:p w14:paraId="0F188398">
            <w:pPr>
              <w:pStyle w:val="4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6" w:type="pct"/>
            <w:vAlign w:val="center"/>
          </w:tcPr>
          <w:p w14:paraId="200C6B67">
            <w:pPr>
              <w:pStyle w:val="4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476" w:type="pct"/>
            <w:vAlign w:val="center"/>
          </w:tcPr>
          <w:p w14:paraId="1E08E055">
            <w:pPr>
              <w:pStyle w:val="4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7" w:type="pct"/>
            <w:vAlign w:val="center"/>
          </w:tcPr>
          <w:p w14:paraId="44D6A7A7">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066" w:type="pct"/>
            <w:vAlign w:val="center"/>
          </w:tcPr>
          <w:p w14:paraId="7EA999D1">
            <w:pPr>
              <w:pStyle w:val="4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476" w:type="pct"/>
            <w:vAlign w:val="center"/>
          </w:tcPr>
          <w:p w14:paraId="62B8C4E7">
            <w:pPr>
              <w:pStyle w:val="41"/>
              <w:widowControl w:val="0"/>
              <w:spacing w:before="0" w:beforeAutospacing="0" w:after="0" w:afterAutospacing="0" w:line="360" w:lineRule="auto"/>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合同签订且具备实施条件后，支付合同价的40%预付款（预付款支付前，中标人须提供同等金额的见索即付保函），全部供货安装调试运行完毕并由采购人验收合格后，一次性付清。</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7" w:type="pct"/>
            <w:vAlign w:val="center"/>
          </w:tcPr>
          <w:p w14:paraId="1BFF4145">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066" w:type="pct"/>
            <w:vAlign w:val="center"/>
          </w:tcPr>
          <w:p w14:paraId="400801A7">
            <w:pPr>
              <w:pStyle w:val="4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476" w:type="pct"/>
            <w:vAlign w:val="center"/>
          </w:tcPr>
          <w:p w14:paraId="008E1630">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滁州职业技术学院</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7" w:type="pct"/>
            <w:vAlign w:val="center"/>
          </w:tcPr>
          <w:p w14:paraId="79C64E8A">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066" w:type="pct"/>
            <w:vAlign w:val="center"/>
          </w:tcPr>
          <w:p w14:paraId="28D0729D">
            <w:pPr>
              <w:pStyle w:val="4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476" w:type="pct"/>
            <w:vAlign w:val="center"/>
          </w:tcPr>
          <w:p w14:paraId="64A45A16">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合同签订后，自接到采购人通知之日起</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个日历天内完成全部供货、安装、调试、运行工作。</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7" w:type="pct"/>
            <w:vAlign w:val="center"/>
          </w:tcPr>
          <w:p w14:paraId="0A86A6BE">
            <w:pPr>
              <w:pStyle w:val="42"/>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066" w:type="pct"/>
            <w:vAlign w:val="center"/>
          </w:tcPr>
          <w:p w14:paraId="6BA5A37C">
            <w:pPr>
              <w:pStyle w:val="4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476" w:type="pct"/>
            <w:vAlign w:val="center"/>
          </w:tcPr>
          <w:p w14:paraId="0D94A51E">
            <w:pPr>
              <w:pStyle w:val="41"/>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至少</w:t>
            </w:r>
            <w:r>
              <w:rPr>
                <w:rFonts w:hint="eastAsia" w:ascii="宋体" w:hAnsi="宋体" w:eastAsia="宋体"/>
                <w:b w:val="0"/>
                <w:color w:val="auto"/>
                <w:sz w:val="24"/>
                <w:highlight w:val="none"/>
                <w:u w:val="single"/>
              </w:rPr>
              <w:t>提供</w:t>
            </w:r>
            <w:r>
              <w:rPr>
                <w:rFonts w:hint="eastAsia" w:ascii="宋体" w:hAnsi="宋体" w:eastAsia="宋体"/>
                <w:b w:val="0"/>
                <w:color w:val="auto"/>
                <w:sz w:val="24"/>
                <w:highlight w:val="none"/>
                <w:u w:val="single"/>
                <w:lang w:val="en-US" w:eastAsia="zh-CN"/>
              </w:rPr>
              <w:t>3</w:t>
            </w:r>
            <w:r>
              <w:rPr>
                <w:rFonts w:hint="eastAsia" w:ascii="宋体" w:hAnsi="宋体" w:eastAsia="宋体"/>
                <w:b w:val="0"/>
                <w:color w:val="auto"/>
                <w:sz w:val="24"/>
                <w:highlight w:val="none"/>
                <w:u w:val="single"/>
              </w:rPr>
              <w:t>年的免费质保</w:t>
            </w:r>
            <w:r>
              <w:rPr>
                <w:rFonts w:hint="eastAsia" w:ascii="宋体" w:hAnsi="宋体" w:eastAsia="宋体"/>
                <w:b w:val="0"/>
                <w:color w:val="auto"/>
                <w:sz w:val="24"/>
                <w:highlight w:val="none"/>
                <w:u w:val="single"/>
                <w:lang w:val="en-US" w:eastAsia="zh-CN"/>
              </w:rPr>
              <w:t>服务（自验收合格之日起）</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lang w:val="en-US" w:eastAsia="zh-CN"/>
              </w:rPr>
              <w:t>具体年限以投标人投标文件承诺为准</w:t>
            </w:r>
            <w:r>
              <w:rPr>
                <w:rFonts w:hint="eastAsia" w:ascii="宋体" w:hAnsi="宋体" w:eastAsia="宋体"/>
                <w:b w:val="0"/>
                <w:color w:val="auto"/>
                <w:sz w:val="24"/>
                <w:highlight w:val="none"/>
                <w:u w:val="single"/>
                <w:lang w:eastAsia="zh-CN"/>
              </w:rPr>
              <w:t>）</w:t>
            </w:r>
          </w:p>
        </w:tc>
      </w:tr>
    </w:tbl>
    <w:p w14:paraId="36B88BE0">
      <w:pPr>
        <w:spacing w:line="360" w:lineRule="auto"/>
        <w:ind w:firstLine="437"/>
        <w:outlineLvl w:val="1"/>
        <w:rPr>
          <w:rFonts w:hint="eastAsia" w:ascii="宋体" w:hAnsi="宋体" w:eastAsia="宋体"/>
          <w:b/>
          <w:bCs/>
          <w:color w:val="auto"/>
          <w:sz w:val="24"/>
          <w:szCs w:val="18"/>
          <w:highlight w:val="none"/>
        </w:rPr>
      </w:pPr>
      <w:bookmarkStart w:id="33" w:name="_Toc5944"/>
      <w:bookmarkStart w:id="34" w:name="_Toc7671"/>
    </w:p>
    <w:p w14:paraId="3BF97234">
      <w:pPr>
        <w:spacing w:line="360" w:lineRule="auto"/>
        <w:ind w:firstLine="437"/>
        <w:outlineLvl w:val="1"/>
        <w:rPr>
          <w:rFonts w:hint="eastAsia" w:ascii="宋体" w:hAnsi="宋体" w:eastAsia="宋体"/>
          <w:b/>
          <w:bCs/>
          <w:color w:val="auto"/>
          <w:sz w:val="24"/>
          <w:szCs w:val="18"/>
          <w:highlight w:val="none"/>
        </w:rPr>
        <w:sectPr>
          <w:headerReference r:id="rId5" w:type="default"/>
          <w:footerReference r:id="rId6" w:type="default"/>
          <w:pgSz w:w="11905" w:h="16838"/>
          <w:pgMar w:top="1440" w:right="1417" w:bottom="1440" w:left="1417" w:header="850" w:footer="992" w:gutter="0"/>
          <w:pgNumType w:start="1"/>
          <w:cols w:space="0" w:num="1"/>
          <w:docGrid w:type="lines" w:linePitch="317" w:charSpace="0"/>
        </w:sectPr>
      </w:pPr>
    </w:p>
    <w:p w14:paraId="3E806DB2">
      <w:pPr>
        <w:numPr>
          <w:ilvl w:val="0"/>
          <w:numId w:val="1"/>
        </w:num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3"/>
      <w:bookmarkEnd w:id="34"/>
    </w:p>
    <w:tbl>
      <w:tblPr>
        <w:tblStyle w:val="2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253"/>
        <w:gridCol w:w="7921"/>
        <w:gridCol w:w="723"/>
        <w:gridCol w:w="589"/>
        <w:gridCol w:w="756"/>
        <w:gridCol w:w="1250"/>
        <w:gridCol w:w="928"/>
      </w:tblGrid>
      <w:tr w14:paraId="5AB9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4AECDD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序号</w:t>
            </w:r>
          </w:p>
        </w:tc>
        <w:tc>
          <w:tcPr>
            <w:tcW w:w="442" w:type="pct"/>
            <w:vAlign w:val="center"/>
          </w:tcPr>
          <w:p w14:paraId="079C23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货物名称</w:t>
            </w:r>
          </w:p>
        </w:tc>
        <w:tc>
          <w:tcPr>
            <w:tcW w:w="2796" w:type="pct"/>
            <w:vAlign w:val="center"/>
          </w:tcPr>
          <w:p w14:paraId="4668DD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技术参数及要求</w:t>
            </w:r>
          </w:p>
        </w:tc>
        <w:tc>
          <w:tcPr>
            <w:tcW w:w="255" w:type="pct"/>
            <w:vAlign w:val="center"/>
          </w:tcPr>
          <w:p w14:paraId="0C6890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数量</w:t>
            </w:r>
          </w:p>
        </w:tc>
        <w:tc>
          <w:tcPr>
            <w:tcW w:w="207" w:type="pct"/>
            <w:vAlign w:val="center"/>
          </w:tcPr>
          <w:p w14:paraId="41EB44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单位</w:t>
            </w:r>
          </w:p>
        </w:tc>
        <w:tc>
          <w:tcPr>
            <w:tcW w:w="266" w:type="pct"/>
            <w:vAlign w:val="center"/>
          </w:tcPr>
          <w:p w14:paraId="5C3B9E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所属</w:t>
            </w:r>
          </w:p>
          <w:p w14:paraId="61BCDA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行业</w:t>
            </w:r>
          </w:p>
        </w:tc>
        <w:tc>
          <w:tcPr>
            <w:tcW w:w="441" w:type="pct"/>
            <w:vAlign w:val="center"/>
          </w:tcPr>
          <w:p w14:paraId="343A33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是否为核心产品</w:t>
            </w:r>
          </w:p>
        </w:tc>
        <w:tc>
          <w:tcPr>
            <w:tcW w:w="327" w:type="pct"/>
            <w:vAlign w:val="center"/>
          </w:tcPr>
          <w:p w14:paraId="462384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备注</w:t>
            </w:r>
          </w:p>
        </w:tc>
      </w:tr>
      <w:tr w14:paraId="54A7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262" w:type="pct"/>
            <w:vAlign w:val="center"/>
          </w:tcPr>
          <w:p w14:paraId="08516CE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442" w:type="pct"/>
            <w:vAlign w:val="center"/>
          </w:tcPr>
          <w:p w14:paraId="2FF3AE92">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教师终端</w:t>
            </w:r>
          </w:p>
        </w:tc>
        <w:tc>
          <w:tcPr>
            <w:tcW w:w="2796" w:type="pct"/>
            <w:vAlign w:val="center"/>
          </w:tcPr>
          <w:p w14:paraId="151F9D22">
            <w:pPr>
              <w:widowControl/>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类别：商用工作站产品，在官网或产品认证中证明投标机型为工作站产品</w:t>
            </w:r>
          </w:p>
          <w:p w14:paraId="4138E28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★1、处理器：</w:t>
            </w:r>
            <w:r>
              <w:rPr>
                <w:rFonts w:hint="eastAsia" w:ascii="宋体" w:hAnsi="宋体" w:eastAsia="宋体" w:cs="宋体"/>
                <w:color w:val="auto"/>
                <w:kern w:val="0"/>
                <w:sz w:val="21"/>
                <w:szCs w:val="21"/>
                <w:highlight w:val="none"/>
                <w:lang w:val="en-US" w:eastAsia="zh-CN"/>
              </w:rPr>
              <w:t>基础主频≥ 2.1GHZ，核心数≥16，线程≥28，末级缓存≥30MB</w:t>
            </w:r>
            <w:r>
              <w:rPr>
                <w:rFonts w:hint="eastAsia" w:ascii="宋体" w:hAnsi="宋体" w:eastAsia="宋体" w:cs="宋体"/>
                <w:color w:val="auto"/>
                <w:kern w:val="0"/>
                <w:sz w:val="21"/>
                <w:szCs w:val="21"/>
                <w:highlight w:val="none"/>
                <w:lang w:eastAsia="zh-CN"/>
              </w:rPr>
              <w:t>；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内存：≥32G DDR5内存，单条容量不低于16G，内存频率≥5600MHz，提供≥4个内存插槽，支持扩展；</w:t>
            </w:r>
            <w:r>
              <w:rPr>
                <w:rFonts w:hint="eastAsia" w:ascii="宋体" w:hAnsi="宋体" w:eastAsia="宋体" w:cs="宋体"/>
                <w:color w:val="auto"/>
                <w:kern w:val="0"/>
                <w:sz w:val="21"/>
                <w:szCs w:val="21"/>
                <w:highlight w:val="none"/>
                <w:lang w:eastAsia="zh-CN"/>
              </w:rPr>
              <w:t>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eastAsia="zh-CN"/>
              </w:rPr>
              <w:t>、硬盘：</w:t>
            </w:r>
            <w:r>
              <w:rPr>
                <w:rFonts w:hint="eastAsia" w:ascii="宋体" w:hAnsi="宋体" w:eastAsia="宋体" w:cs="宋体"/>
                <w:color w:val="auto"/>
                <w:kern w:val="0"/>
                <w:sz w:val="21"/>
                <w:szCs w:val="21"/>
                <w:highlight w:val="none"/>
                <w:lang w:val="en-US" w:eastAsia="zh-CN"/>
              </w:rPr>
              <w:t>≥1T M.2 NVME SSD</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、显卡：</w:t>
            </w:r>
            <w:r>
              <w:rPr>
                <w:rFonts w:hint="eastAsia" w:ascii="宋体" w:hAnsi="宋体" w:eastAsia="宋体" w:cs="宋体"/>
                <w:color w:val="auto"/>
                <w:kern w:val="0"/>
                <w:sz w:val="21"/>
                <w:szCs w:val="21"/>
                <w:highlight w:val="none"/>
                <w:lang w:val="en-US" w:eastAsia="zh-CN"/>
              </w:rPr>
              <w:t>独立显卡，CUDA核心数量：≥4600，显存配置：≥16 GB GDDR7，基础频率≥2400MHZ，显存位宽：≥128 位，支持 CUDA 并行计算框架，满足深度学习与图形计算应用需求</w:t>
            </w:r>
            <w:r>
              <w:rPr>
                <w:rFonts w:hint="eastAsia" w:ascii="宋体" w:hAnsi="宋体" w:eastAsia="宋体" w:cs="宋体"/>
                <w:color w:val="auto"/>
                <w:kern w:val="0"/>
                <w:sz w:val="21"/>
                <w:szCs w:val="21"/>
                <w:highlight w:val="none"/>
                <w:lang w:eastAsia="zh-CN"/>
              </w:rPr>
              <w:t>；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、显示屏：</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lang w:val="en-US" w:eastAsia="zh-CN"/>
              </w:rPr>
              <w:t>7英</w:t>
            </w:r>
            <w:r>
              <w:rPr>
                <w:rFonts w:hint="eastAsia" w:ascii="宋体" w:hAnsi="宋体" w:eastAsia="宋体" w:cs="宋体"/>
                <w:color w:val="auto"/>
                <w:kern w:val="0"/>
                <w:sz w:val="21"/>
                <w:szCs w:val="21"/>
                <w:highlight w:val="none"/>
                <w:lang w:eastAsia="zh-CN"/>
              </w:rPr>
              <w:t>寸宽LED液晶屏；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、音频设备：</w:t>
            </w:r>
            <w:r>
              <w:rPr>
                <w:rFonts w:hint="eastAsia" w:ascii="宋体" w:hAnsi="宋体" w:eastAsia="宋体" w:cs="宋体"/>
                <w:color w:val="auto"/>
                <w:kern w:val="0"/>
                <w:sz w:val="21"/>
                <w:szCs w:val="21"/>
                <w:highlight w:val="none"/>
                <w:lang w:val="en-US" w:eastAsia="zh-CN"/>
              </w:rPr>
              <w:t>集成或独立声卡，支持5.1声道，音频接口≥5个；</w:t>
            </w:r>
          </w:p>
          <w:p w14:paraId="0AC76EE3">
            <w:pPr>
              <w:widowControl/>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、端口：</w:t>
            </w:r>
            <w:r>
              <w:rPr>
                <w:rFonts w:hint="eastAsia" w:ascii="宋体" w:hAnsi="宋体" w:eastAsia="宋体" w:cs="宋体"/>
                <w:color w:val="auto"/>
                <w:kern w:val="0"/>
                <w:sz w:val="21"/>
                <w:szCs w:val="21"/>
                <w:highlight w:val="none"/>
                <w:lang w:val="en-US" w:eastAsia="zh-CN"/>
              </w:rPr>
              <w:t>≥8 个 USB 接口，其中 ≥6 个 USB 3.2 接口，至少 1 个 Type-C 接口</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不少于 3 个视频接口（含 HDMI、DisplayPort），支持多屏显示输出；</w:t>
            </w:r>
          </w:p>
          <w:p w14:paraId="51CB5418">
            <w:pPr>
              <w:widowControl/>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8、安全：BIOS级别USB端口单独开关，智能USB数据保护(可设置仅识别鼠标键盘，不识别USB存储设备)；</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eastAsia="zh-CN"/>
              </w:rPr>
              <w:t>、键鼠：防水抗菌键盘、USB光电鼠标；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lang w:eastAsia="zh-CN"/>
              </w:rPr>
              <w:t>、电源：</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500W</w:t>
            </w:r>
            <w:r>
              <w:rPr>
                <w:rFonts w:hint="eastAsia" w:ascii="宋体" w:hAnsi="宋体" w:eastAsia="宋体" w:cs="宋体"/>
                <w:color w:val="auto"/>
                <w:kern w:val="0"/>
                <w:sz w:val="21"/>
                <w:szCs w:val="21"/>
                <w:highlight w:val="none"/>
                <w:lang w:val="en-US" w:eastAsia="zh-CN"/>
              </w:rPr>
              <w:t>高转换率电源</w:t>
            </w:r>
            <w:r>
              <w:rPr>
                <w:rFonts w:hint="eastAsia" w:ascii="宋体" w:hAnsi="宋体" w:eastAsia="宋体" w:cs="宋体"/>
                <w:color w:val="auto"/>
                <w:kern w:val="0"/>
                <w:sz w:val="21"/>
                <w:szCs w:val="21"/>
                <w:highlight w:val="none"/>
                <w:lang w:eastAsia="zh-CN"/>
              </w:rPr>
              <w:t>； </w:t>
            </w:r>
            <w:r>
              <w:rPr>
                <w:rFonts w:hint="eastAsia" w:ascii="宋体" w:hAnsi="宋体" w:eastAsia="宋体" w:cs="宋体"/>
                <w:color w:val="auto"/>
                <w:kern w:val="0"/>
                <w:sz w:val="21"/>
                <w:szCs w:val="21"/>
                <w:highlight w:val="none"/>
                <w:lang w:eastAsia="zh-CN"/>
              </w:rPr>
              <w:br w:type="textWrapping"/>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、塔式标准机箱≥17L；</w:t>
            </w:r>
          </w:p>
          <w:p w14:paraId="5143143B">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、服务：</w:t>
            </w:r>
            <w:r>
              <w:rPr>
                <w:rFonts w:hint="eastAsia" w:ascii="宋体" w:hAnsi="宋体" w:eastAsia="宋体" w:cs="宋体"/>
                <w:strike w:val="0"/>
                <w:dstrike w:val="0"/>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eastAsia="zh-CN"/>
              </w:rPr>
              <w:t>需提供闪修及数据拯救服务；闪修：当日下午4点前报修，下一自然日24点前修复，若没有完成修复，则为客户免费赠送延迟日数对应的月度延保服务；数据拯救服务：3年之内，面向HDD/SSD，针对其软件原因或硬件原因导致数据丢失的情况，</w:t>
            </w:r>
            <w:r>
              <w:rPr>
                <w:rFonts w:hint="eastAsia" w:ascii="宋体" w:hAnsi="宋体" w:eastAsia="宋体" w:cs="宋体"/>
                <w:strike w:val="0"/>
                <w:dstrike w:val="0"/>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eastAsia="zh-CN"/>
              </w:rPr>
              <w:t>将提供1次免费的尝试性故障硬盘（单盘）数据拯救服务，若未恢复则不计次数。</w:t>
            </w:r>
          </w:p>
        </w:tc>
        <w:tc>
          <w:tcPr>
            <w:tcW w:w="255" w:type="pct"/>
            <w:vAlign w:val="center"/>
          </w:tcPr>
          <w:p w14:paraId="3399B9C7">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2B0E2D2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04EF2C14">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7685FB22">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41C7A337">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511A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2" w:type="pct"/>
            <w:vAlign w:val="center"/>
          </w:tcPr>
          <w:p w14:paraId="5E6A4C1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442" w:type="pct"/>
            <w:vAlign w:val="center"/>
          </w:tcPr>
          <w:p w14:paraId="108544D6">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学生终端</w:t>
            </w:r>
          </w:p>
        </w:tc>
        <w:tc>
          <w:tcPr>
            <w:tcW w:w="2796" w:type="pct"/>
            <w:vAlign w:val="top"/>
          </w:tcPr>
          <w:p w14:paraId="4BC96B6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类别：</w:t>
            </w:r>
            <w:r>
              <w:rPr>
                <w:rFonts w:hint="eastAsia" w:ascii="宋体" w:hAnsi="宋体" w:eastAsia="宋体" w:cs="宋体"/>
                <w:color w:val="auto"/>
                <w:kern w:val="0"/>
                <w:sz w:val="21"/>
                <w:szCs w:val="21"/>
                <w:highlight w:val="none"/>
                <w:lang w:val="en-US" w:eastAsia="zh-CN"/>
              </w:rPr>
              <w:t>商</w:t>
            </w:r>
            <w:r>
              <w:rPr>
                <w:rFonts w:hint="eastAsia" w:ascii="宋体" w:hAnsi="宋体" w:eastAsia="宋体" w:cs="宋体"/>
                <w:color w:val="auto"/>
                <w:kern w:val="0"/>
                <w:sz w:val="21"/>
                <w:szCs w:val="21"/>
                <w:highlight w:val="none"/>
                <w:lang w:eastAsia="zh-CN"/>
              </w:rPr>
              <w:t>用台式机，在官网或产品认证中证明投标机型为台式机</w:t>
            </w:r>
          </w:p>
          <w:p w14:paraId="79C0337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处理器：</w:t>
            </w:r>
            <w:r>
              <w:rPr>
                <w:rFonts w:hint="eastAsia" w:ascii="宋体" w:hAnsi="宋体" w:eastAsia="宋体" w:cs="宋体"/>
                <w:color w:val="auto"/>
                <w:kern w:val="0"/>
                <w:sz w:val="21"/>
                <w:szCs w:val="21"/>
                <w:highlight w:val="none"/>
                <w:lang w:val="en-US" w:eastAsia="zh-CN"/>
              </w:rPr>
              <w:t>基础主频≥ 2.1GHZ，核心数≥16，线程≥28，末级缓存≥30MB</w:t>
            </w:r>
            <w:r>
              <w:rPr>
                <w:rFonts w:hint="eastAsia" w:ascii="宋体" w:hAnsi="宋体" w:eastAsia="宋体" w:cs="宋体"/>
                <w:color w:val="auto"/>
                <w:kern w:val="0"/>
                <w:sz w:val="21"/>
                <w:szCs w:val="21"/>
                <w:highlight w:val="none"/>
                <w:lang w:eastAsia="zh-CN"/>
              </w:rPr>
              <w:t>； </w:t>
            </w:r>
          </w:p>
          <w:p w14:paraId="0C6F2CE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2、内存：≥16G 内存，单条容量不低于16G，提供≥2个内存插槽，支持扩展；</w:t>
            </w:r>
            <w:r>
              <w:rPr>
                <w:rFonts w:hint="eastAsia" w:ascii="宋体" w:hAnsi="宋体" w:eastAsia="宋体" w:cs="宋体"/>
                <w:color w:val="auto"/>
                <w:kern w:val="0"/>
                <w:sz w:val="21"/>
                <w:szCs w:val="21"/>
                <w:highlight w:val="none"/>
                <w:lang w:eastAsia="zh-CN"/>
              </w:rPr>
              <w:t> </w:t>
            </w:r>
            <w:r>
              <w:rPr>
                <w:rFonts w:hint="eastAsia" w:ascii="宋体" w:hAnsi="宋体" w:eastAsia="宋体" w:cs="宋体"/>
                <w:color w:val="auto"/>
                <w:kern w:val="0"/>
                <w:sz w:val="21"/>
                <w:szCs w:val="21"/>
                <w:highlight w:val="none"/>
                <w:lang w:val="en-US" w:eastAsia="zh-CN"/>
              </w:rPr>
              <w:t> </w:t>
            </w:r>
          </w:p>
          <w:p w14:paraId="627A1B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3、硬盘：≥1T M.2 NVME SSD；</w:t>
            </w:r>
          </w:p>
          <w:p w14:paraId="32DDD52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显卡：</w:t>
            </w:r>
            <w:r>
              <w:rPr>
                <w:rFonts w:hint="eastAsia" w:ascii="宋体" w:hAnsi="宋体" w:eastAsia="宋体" w:cs="宋体"/>
                <w:color w:val="auto"/>
                <w:kern w:val="0"/>
                <w:sz w:val="21"/>
                <w:szCs w:val="21"/>
                <w:highlight w:val="none"/>
                <w:lang w:val="en-US" w:eastAsia="zh-CN"/>
              </w:rPr>
              <w:t>独立显卡，CUDA核心数量：≥4600，显存配置：≥8 GB GDDR7，基础频率≥2400MHZ，显存位宽：≥128 位，支持 CUDA 并行计算框架，满足深度学习与图形计算应用需求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 </w:t>
            </w:r>
          </w:p>
          <w:p w14:paraId="480C588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5、显示屏：≥27英寸宽LED液晶屏； </w:t>
            </w:r>
          </w:p>
          <w:p w14:paraId="77AD763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6、音频设备：集成声卡，配置5.1声道（不少于5个音频接口）； </w:t>
            </w:r>
          </w:p>
          <w:p w14:paraId="4EA9F272">
            <w:pPr>
              <w:widowControl/>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端口：</w:t>
            </w:r>
            <w:r>
              <w:rPr>
                <w:rFonts w:hint="eastAsia" w:ascii="宋体" w:hAnsi="宋体" w:eastAsia="宋体" w:cs="宋体"/>
                <w:color w:val="auto"/>
                <w:kern w:val="0"/>
                <w:sz w:val="21"/>
                <w:szCs w:val="21"/>
                <w:highlight w:val="none"/>
                <w:lang w:val="en-US" w:eastAsia="zh-CN"/>
              </w:rPr>
              <w:t>≥8 个 USB 接口，其中 ≥6 个 USB 3.2 接口，至少 1 个 Type-C 接口</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不少于 3 个视频接口（含 HDMI、DisplayPort），支持多屏显示输出；</w:t>
            </w:r>
          </w:p>
          <w:p w14:paraId="516A2D71">
            <w:pPr>
              <w:widowControl/>
              <w:jc w:val="left"/>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▲8、扩展槽：2个以上PCIE槽位，≥1个 PCIe x16 Gen5；</w:t>
            </w:r>
            <w:r>
              <w:rPr>
                <w:rFonts w:hint="eastAsia" w:ascii="宋体" w:hAnsi="宋体" w:eastAsia="宋体" w:cs="宋体"/>
                <w:b/>
                <w:bCs/>
                <w:color w:val="auto"/>
                <w:kern w:val="0"/>
                <w:sz w:val="21"/>
                <w:szCs w:val="21"/>
                <w:highlight w:val="none"/>
                <w:lang w:val="en-US" w:eastAsia="zh-CN"/>
              </w:rPr>
              <w:t>（提供该功能的产品彩页或官网截图）；</w:t>
            </w:r>
          </w:p>
          <w:p w14:paraId="0B23520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9、键鼠：防水抗菌键盘、USB光电鼠标； </w:t>
            </w:r>
          </w:p>
          <w:p w14:paraId="3BF4D07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10、电源：≥500W高转换率电源； </w:t>
            </w:r>
          </w:p>
          <w:p w14:paraId="0D4F9D2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▲11、风扇：光触媒风扇，有效降解甲醛、净化空气、改善环境</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 xml:space="preserve">； </w:t>
            </w:r>
          </w:p>
          <w:p w14:paraId="1217F91A">
            <w:pPr>
              <w:widowControl/>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12、服务：</w:t>
            </w:r>
            <w:r>
              <w:rPr>
                <w:rFonts w:hint="eastAsia" w:ascii="宋体" w:hAnsi="宋体" w:eastAsia="宋体" w:cs="宋体"/>
                <w:strike w:val="0"/>
                <w:dstrike w:val="0"/>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需提供闪修及数据拯救服务；闪修：当日下午4点前报修，下一自然日24点前修复，若没有完成修复，则为客户免费赠送延迟日数对应的月度延保服务；数据拯救服务：3年之内，面向HDD/SSD，针对其软件原因或硬件原因导致数据丢失的情况，</w:t>
            </w:r>
            <w:r>
              <w:rPr>
                <w:rFonts w:hint="eastAsia" w:ascii="宋体" w:hAnsi="宋体" w:eastAsia="宋体" w:cs="宋体"/>
                <w:strike w:val="0"/>
                <w:dstrike w:val="0"/>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将提供1次免费的尝试性故障硬盘（单盘）数据拯救服务，若未恢复则不计次数（官网可查）。</w:t>
            </w:r>
          </w:p>
        </w:tc>
        <w:tc>
          <w:tcPr>
            <w:tcW w:w="255" w:type="pct"/>
            <w:vAlign w:val="center"/>
          </w:tcPr>
          <w:p w14:paraId="1A3FC914">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60</w:t>
            </w:r>
          </w:p>
        </w:tc>
        <w:tc>
          <w:tcPr>
            <w:tcW w:w="207" w:type="pct"/>
            <w:vAlign w:val="center"/>
          </w:tcPr>
          <w:p w14:paraId="55242038">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25E9FEE5">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工业</w:t>
            </w:r>
          </w:p>
        </w:tc>
        <w:tc>
          <w:tcPr>
            <w:tcW w:w="441" w:type="pct"/>
            <w:vAlign w:val="center"/>
          </w:tcPr>
          <w:p w14:paraId="4EC2C6E5">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w:t>
            </w:r>
          </w:p>
        </w:tc>
        <w:tc>
          <w:tcPr>
            <w:tcW w:w="327" w:type="pct"/>
            <w:vAlign w:val="center"/>
          </w:tcPr>
          <w:p w14:paraId="22559665">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681B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23943E1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442" w:type="pct"/>
            <w:vAlign w:val="center"/>
          </w:tcPr>
          <w:p w14:paraId="7021E136">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教室管理软件</w:t>
            </w:r>
          </w:p>
        </w:tc>
        <w:tc>
          <w:tcPr>
            <w:tcW w:w="2796" w:type="pct"/>
            <w:vAlign w:val="top"/>
          </w:tcPr>
          <w:p w14:paraId="60CEA8F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1、管理软件支持快速部署与集中安装，安装过程简便，能够在管理端完成统一配置并投入使用，无需复杂的多系统协同部署；</w:t>
            </w:r>
          </w:p>
          <w:p w14:paraId="227EFEA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为保证平台的易用性和便捷性，不需要记录多种平台地址、账号、密码，可以进行统一管理整合，让用户的操作界面、计算/存储/网络资源、桌面、模板、数据等在同一管理平台打通，实现平台单一视图的管理平台；</w:t>
            </w:r>
          </w:p>
          <w:p w14:paraId="66DD799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▲3、为方便用户进行资产管理，管理员能可视化的实时查看终端数量和分布、安全运行时间、终端硬件资产信息、镜像使用情况等数据信息；</w:t>
            </w:r>
            <w:r>
              <w:rPr>
                <w:rFonts w:hint="eastAsia" w:ascii="宋体" w:hAnsi="宋体" w:eastAsia="宋体" w:cs="宋体"/>
                <w:b/>
                <w:bCs/>
                <w:color w:val="auto"/>
                <w:kern w:val="0"/>
                <w:sz w:val="21"/>
                <w:szCs w:val="21"/>
                <w:highlight w:val="none"/>
                <w:lang w:val="en-US" w:eastAsia="zh-CN"/>
              </w:rPr>
              <w:t>（提供此功能界面截图证明）</w:t>
            </w:r>
          </w:p>
          <w:p w14:paraId="636A9A3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▲4、集成灵活的镜像管理方式，支持基于快照的扩展镜像、多个镜像还原点、镜像扩容、镜像导入导出到U盘和网盘、批量部署和镜像增量更新；</w:t>
            </w:r>
            <w:r>
              <w:rPr>
                <w:rFonts w:hint="eastAsia" w:ascii="宋体" w:hAnsi="宋体" w:eastAsia="宋体" w:cs="宋体"/>
                <w:b/>
                <w:bCs/>
                <w:color w:val="auto"/>
                <w:kern w:val="0"/>
                <w:sz w:val="21"/>
                <w:szCs w:val="21"/>
                <w:highlight w:val="none"/>
                <w:lang w:val="en-US" w:eastAsia="zh-CN"/>
              </w:rPr>
              <w:t>（提供此功能界面截图证明）</w:t>
            </w:r>
          </w:p>
          <w:p w14:paraId="29CF640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5、支持使用U盘及PXE网络引导进行批量化部署，支持三层网络多VLAN、WIFI、多校区等复杂网络环境安装；</w:t>
            </w:r>
          </w:p>
          <w:p w14:paraId="604F690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6、支持（BS架构）多重管理结构，使用浏览器远程访问管理主机和终端机，服务器终端机均有独立配置界面，两端均可进行桌面管理和底层OS升级；</w:t>
            </w:r>
          </w:p>
          <w:p w14:paraId="7403073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支持三种镜像更新方式：浏览器中利用管理端虚拟机进行更新、管理机进入镜像编辑模式、管理机端一键更新。其中管理端一键更新不需要在管理平台进行任何操作，也不需要主机进入特定的运行模式，主机可以在正常使用过程中随时从Windows将本地镜像的当前状态一键更新到服务器；</w:t>
            </w:r>
          </w:p>
          <w:p w14:paraId="0C81FA5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▲8、支持底层远程协助功能；当学生端系统启动失败、蓝屏等故障情况下，依然能够使用管理端带外远程显示功能查看到系统加载过程及启动过程画面，对学生端进行远程操作运维，方便检查系统故障；</w:t>
            </w:r>
            <w:r>
              <w:rPr>
                <w:rFonts w:hint="eastAsia" w:ascii="宋体" w:hAnsi="宋体" w:eastAsia="宋体" w:cs="宋体"/>
                <w:b/>
                <w:bCs/>
                <w:color w:val="auto"/>
                <w:kern w:val="0"/>
                <w:sz w:val="21"/>
                <w:szCs w:val="21"/>
                <w:highlight w:val="none"/>
                <w:lang w:val="en-US" w:eastAsia="zh-CN"/>
              </w:rPr>
              <w:t>（提供此功能界面截图证明）</w:t>
            </w:r>
          </w:p>
          <w:p w14:paraId="6E8AC3A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支持管理端多网卡配置，可统一管理不同网段的学生机并且共享镜像。管理平台自带多网卡聚合功能，用于提高网络带宽和可靠性，可配置round-robin、active-backup、XOR、boroadcast、802.3ad、balance-tlb和balance-alb七种聚合模式。采用P2P传输方式进行快速部署和更新；</w:t>
            </w:r>
          </w:p>
          <w:p w14:paraId="1BECDFA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桌面管理功能：a.桌面状态查看：可以查看所有桌面的当前运行状态，硬件配置等信息。b.全体主机管理：可以一键对全体桌面进行开机或关机操作。c.单独主机管理：可以选择单台主机进行开关机操作，主机删除、配置文件变更，硬件信息查看等。d.群组管理功能：可添加，删除和修改分组，统一管理多台终端，对所有终端进行开关机，批量配置USB安全功能、虚拟设备等操作；</w:t>
            </w:r>
            <w:r>
              <w:rPr>
                <w:rFonts w:hint="eastAsia" w:ascii="宋体" w:hAnsi="宋体" w:eastAsia="宋体" w:cs="宋体"/>
                <w:b/>
                <w:bCs/>
                <w:color w:val="auto"/>
                <w:kern w:val="0"/>
                <w:sz w:val="21"/>
                <w:szCs w:val="21"/>
                <w:highlight w:val="none"/>
                <w:lang w:val="en-US" w:eastAsia="zh-CN"/>
              </w:rPr>
              <w:t>（提供此功能界面截图证明）</w:t>
            </w:r>
          </w:p>
          <w:p w14:paraId="153071E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平台需提供两种管理方式：服务端统一管理模式与自维护模式，确保管理端故障或者管理端网络连接失败时，任意终端也能对教学环境进行镜像导入导出到U盘和网盘、模板配置、还原开关、镜像重置等运维操作，保障业务连续；</w:t>
            </w:r>
          </w:p>
          <w:p w14:paraId="7C82D9D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支持自动分配计算机名、IP地址、Windows用户名、Windows密码，支持对使用Windows系统的终端，统一部署相同的用户名，也支持按照规则，统一设置群组的计算机名和用户名，也支持单独设置群组内某一计算机的用户名和计算机名；支持统一删除群组内对Windows IP、计算机名、用户名和密码的配置；</w:t>
            </w:r>
          </w:p>
          <w:p w14:paraId="04B1A3A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13、支持批量执行Windows命令、分发文件、发送提示消息、安装软件；</w:t>
            </w:r>
          </w:p>
          <w:p w14:paraId="174ADE3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14、支持完善的日志信息管理，对主机，终端，操作信息进行汇总，提供系统日常环境中的警告提醒与错误提示，方便对常见问题的判断追查；</w:t>
            </w:r>
          </w:p>
          <w:p w14:paraId="50BB748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15、提供教师机控制功能：方便教师对当前教室所有终端一键上下课、开关机、重启、教学环境切换等功能；</w:t>
            </w:r>
          </w:p>
          <w:p w14:paraId="3931CA3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16、计划任务管理，支持按照群组，设置群组终端每日进行重启、关机、开机操作，并可设置某时间单次进行重启、关机、开机操作。支持定时自动切换到特定的系统模板；</w:t>
            </w:r>
          </w:p>
          <w:p w14:paraId="5B54406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17、集成Windows数据重定向工具，用户可自由选择将我的文档、桌面、收藏夹、下载、Cookies、历史记录和最近文档等类型中的一个或多个个性化数据重定向到任意盘符；</w:t>
            </w:r>
          </w:p>
          <w:p w14:paraId="7196D76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18、系统自带分布式防火墙功能，可批量配置主机的防火墙规则。防火墙软件由主机端虚拟化层实现，与上层系统无关 ，无论上层系统是Windows、Linux还是安卓都能正常生效；</w:t>
            </w:r>
          </w:p>
          <w:p w14:paraId="73AAB5D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▲19、USB安全管理功能支持黑白名单两种模式，支持对不同类型的USB设备进行单独管理。USB安全功能由主机端虚拟化层实现，与上层系统无关，无论上层系统是Windows、Linux还是安卓都能正常生效；</w:t>
            </w:r>
            <w:r>
              <w:rPr>
                <w:rFonts w:hint="eastAsia" w:ascii="宋体" w:hAnsi="宋体" w:eastAsia="宋体" w:cs="宋体"/>
                <w:b/>
                <w:bCs/>
                <w:color w:val="auto"/>
                <w:kern w:val="0"/>
                <w:sz w:val="21"/>
                <w:szCs w:val="21"/>
                <w:highlight w:val="none"/>
                <w:lang w:val="en-US" w:eastAsia="zh-CN"/>
              </w:rPr>
              <w:t>（提供此功能界面截图证明）</w:t>
            </w:r>
          </w:p>
          <w:p w14:paraId="4F7D24A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20、支持多硬盘管理。管理端和主机端都支持管理≥4个物理硬盘，每个硬盘均能用于存储镜像文件，实现镜像管理的全部功能；</w:t>
            </w:r>
          </w:p>
          <w:p w14:paraId="29631A5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21、本地需使用物理GPU穿透技术，能够让系统调用物理显卡的硬件加速功能，支持Intel核显、NVIDIA或AMD显卡使用，支持Solidworks、AutoCAD、3DMax等高性能软件渲染操作；</w:t>
            </w:r>
          </w:p>
          <w:p w14:paraId="4572856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22、为保证客户业务系统能够持续使用，避免因为操作系统升级造成停用，客户端需支持主流发行版的Windows/Linux/安卓系统，在Intel 8代及以上CPU硬件环境上运行Windows 7和Windows 11系统；</w:t>
            </w:r>
          </w:p>
          <w:p w14:paraId="6F7DB0A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23、客户端采用终端本地运算方式：支持离线运行模式，即在服务器网络断开、或服务器宕机的情况下，客户端可离线运行与在线状态下一致的操作系统及软件，保证业务过程不中断；</w:t>
            </w:r>
          </w:p>
          <w:p w14:paraId="613302B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24、客户端不依赖网络和服务端可自我还原，支持还原与不还原方式；</w:t>
            </w:r>
          </w:p>
          <w:p w14:paraId="603FC09B">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25、客户端可以使用单一启动引导程序，来启动不同的作业系统平台，实现了多系统菜单功能的易操作性，大大减轻了系统在复杂环境中部署和应用的困扰；需支持≥10个系统镜像选择菜单。</w:t>
            </w:r>
          </w:p>
        </w:tc>
        <w:tc>
          <w:tcPr>
            <w:tcW w:w="255" w:type="pct"/>
            <w:vAlign w:val="center"/>
          </w:tcPr>
          <w:p w14:paraId="52589240">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5F741E98">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266" w:type="pct"/>
            <w:vAlign w:val="center"/>
          </w:tcPr>
          <w:p w14:paraId="6F300961">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软件和信息技术服务业</w:t>
            </w:r>
          </w:p>
        </w:tc>
        <w:tc>
          <w:tcPr>
            <w:tcW w:w="441" w:type="pct"/>
            <w:vAlign w:val="center"/>
          </w:tcPr>
          <w:p w14:paraId="16A53716">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否</w:t>
            </w:r>
          </w:p>
        </w:tc>
        <w:tc>
          <w:tcPr>
            <w:tcW w:w="327" w:type="pct"/>
            <w:vAlign w:val="center"/>
          </w:tcPr>
          <w:p w14:paraId="7011D6EE">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7CD3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592E3B52">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442" w:type="pct"/>
            <w:vAlign w:val="center"/>
          </w:tcPr>
          <w:p w14:paraId="0CB6F2E3">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24口交换机</w:t>
            </w:r>
          </w:p>
        </w:tc>
        <w:tc>
          <w:tcPr>
            <w:tcW w:w="2796" w:type="pct"/>
            <w:vAlign w:val="center"/>
          </w:tcPr>
          <w:p w14:paraId="44A9C6A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1、三层交换机，交换容量≥396Gbps/3.96Tbps ，包转发率≥96Mpps/144Mpps；</w:t>
            </w:r>
          </w:p>
          <w:p w14:paraId="60369A5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2、≥24个10/100/1000M自适应电口,≥4个SFP光口；</w:t>
            </w:r>
          </w:p>
          <w:p w14:paraId="48BACDB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3、支持RIP，OSPF等路由协议；</w:t>
            </w:r>
          </w:p>
          <w:p w14:paraId="3770C81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4、支持DHCP server；</w:t>
            </w:r>
          </w:p>
          <w:p w14:paraId="16F0A161">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5、支持虚拟化。</w:t>
            </w:r>
          </w:p>
        </w:tc>
        <w:tc>
          <w:tcPr>
            <w:tcW w:w="255" w:type="pct"/>
            <w:vAlign w:val="center"/>
          </w:tcPr>
          <w:p w14:paraId="696F3D85">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45FBC90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7AA0ACC0">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500B438C">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7DAD5C8D">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55F2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262" w:type="pct"/>
            <w:vAlign w:val="center"/>
          </w:tcPr>
          <w:p w14:paraId="41B3A99F">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442" w:type="pct"/>
            <w:vAlign w:val="center"/>
          </w:tcPr>
          <w:p w14:paraId="5A1ED5F1">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48口交换机</w:t>
            </w:r>
          </w:p>
        </w:tc>
        <w:tc>
          <w:tcPr>
            <w:tcW w:w="2796" w:type="pct"/>
            <w:vAlign w:val="top"/>
          </w:tcPr>
          <w:p w14:paraId="00B8EA9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1、三层交换机，交换容量≥758Gbps/7.58Tbps，包转发率≥148Mpps/222Mpps；</w:t>
            </w:r>
          </w:p>
          <w:p w14:paraId="22C0E4C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2、≥48个10/100/1000M自适应电口,≥4个SFP光口；</w:t>
            </w:r>
          </w:p>
          <w:p w14:paraId="5AAF2C4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3、支持RIP，OSPF等路由协议；</w:t>
            </w:r>
          </w:p>
          <w:p w14:paraId="6F6E54B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4、支持DHCP server；</w:t>
            </w:r>
          </w:p>
          <w:p w14:paraId="1B5BC120">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5、支持虚拟化</w:t>
            </w:r>
            <w:r>
              <w:rPr>
                <w:rFonts w:hint="eastAsia" w:ascii="宋体" w:hAnsi="宋体" w:eastAsia="宋体" w:cs="宋体"/>
                <w:color w:val="auto"/>
                <w:kern w:val="0"/>
                <w:sz w:val="21"/>
                <w:szCs w:val="21"/>
                <w:highlight w:val="none"/>
                <w:lang w:val="en-US" w:eastAsia="zh-CN"/>
              </w:rPr>
              <w:t>。</w:t>
            </w:r>
          </w:p>
        </w:tc>
        <w:tc>
          <w:tcPr>
            <w:tcW w:w="255" w:type="pct"/>
            <w:vAlign w:val="center"/>
          </w:tcPr>
          <w:p w14:paraId="08FF147E">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497BF4E7">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70EE0D2B">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23022CD9">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137E6D5D">
            <w:pPr>
              <w:keepNext w:val="0"/>
              <w:keepLines w:val="0"/>
              <w:pageBreakBefore w:val="0"/>
              <w:kinsoku/>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1"/>
                <w:szCs w:val="21"/>
                <w:highlight w:val="none"/>
                <w:lang w:val="en-US" w:eastAsia="zh-CN"/>
              </w:rPr>
            </w:pPr>
          </w:p>
        </w:tc>
      </w:tr>
      <w:tr w14:paraId="1BAA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66CD3247">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442" w:type="pct"/>
            <w:vAlign w:val="center"/>
          </w:tcPr>
          <w:p w14:paraId="49BADF5E">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22U机柜</w:t>
            </w:r>
          </w:p>
        </w:tc>
        <w:tc>
          <w:tcPr>
            <w:tcW w:w="2796" w:type="pct"/>
            <w:vAlign w:val="top"/>
          </w:tcPr>
          <w:p w14:paraId="3DD5330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1、22U网络机柜，规格：≥600*1200*600mm；</w:t>
            </w:r>
          </w:p>
          <w:p w14:paraId="47B01EC3">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2、冷轧钢板制作，脱脂，磷化，静电喷塑。</w:t>
            </w:r>
          </w:p>
        </w:tc>
        <w:tc>
          <w:tcPr>
            <w:tcW w:w="255" w:type="pct"/>
            <w:vAlign w:val="center"/>
          </w:tcPr>
          <w:p w14:paraId="4F5EF27A">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7CBB095E">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671FC049">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01A7B364">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0ED0E7D4">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1BAA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3886B18F">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442" w:type="pct"/>
            <w:vAlign w:val="center"/>
          </w:tcPr>
          <w:p w14:paraId="7F24B1B1">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86寸智慧黑板</w:t>
            </w:r>
          </w:p>
        </w:tc>
        <w:tc>
          <w:tcPr>
            <w:tcW w:w="2796" w:type="pct"/>
            <w:vAlign w:val="top"/>
          </w:tcPr>
          <w:p w14:paraId="1C48401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一、屏体及触控技术要求</w:t>
            </w:r>
          </w:p>
          <w:p w14:paraId="35992EA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1、智能交互黑板显示尺寸≥86英寸，刷新率：60Hz，分辨率：3840*2160，采用电容触控技术，在双系统下均支持50点触控及50点书写划线；</w:t>
            </w:r>
          </w:p>
          <w:p w14:paraId="2E5D5B8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2、智能交互黑板表面玻璃采用高强度钢化玻璃，AG防眩光，厚度≤3.2mm，硬度≥莫氏7级，石墨硬度≥9H；</w:t>
            </w:r>
          </w:p>
          <w:p w14:paraId="5DBE511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3、为确保教学有更大的使用面积，智能交互黑板整体宽度≥4200mm；</w:t>
            </w:r>
          </w:p>
          <w:p w14:paraId="00040C3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智能交互黑板需采用全贴合设计，屏体表面无可见金属条纹，以45度角观察屏幕，钢化玻璃和液晶显示层无间隙密贴合，无水雾/水汽，减少显示面板与玻璃间的偏光、散射，画面显示更加清晰通透；178度可见屏体图像。</w:t>
            </w:r>
          </w:p>
          <w:p w14:paraId="64C08AD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二、安全及能效要求</w:t>
            </w:r>
          </w:p>
          <w:p w14:paraId="7D1372D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1、智能交互黑板背光系统支持DC调光方式，多级亮度调节，拍摄时画面无条纹闪烁。光源稳定无频闪，防止眼睛疲劳；</w:t>
            </w:r>
          </w:p>
          <w:p w14:paraId="047EAD1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2、智能交互黑板全通道支持纸质护眼模式，可实现画面纹理的实时调整；支持纸质纹理：素描纸、宣纸、水彩纸、牛皮纸、水纹纸；支持透明度调节与色温调节；显示画面各像素点灰度不规则，减少背景干扰；</w:t>
            </w:r>
          </w:p>
          <w:p w14:paraId="5E14FEA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3、智能交互黑板可进行硬件自检，包括对系统内存、存储、触控系统、光感系统、内置电脑、屏体信息、主板型号、CPU型号、CPU使用率、设备名称等进行状态提示及故障提示；</w:t>
            </w:r>
          </w:p>
          <w:p w14:paraId="2D26838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4、智能交互黑板具备屏体温度实时监控、高温预警及断电保护等功能；</w:t>
            </w:r>
          </w:p>
          <w:p w14:paraId="2D2F3AE5">
            <w:pPr>
              <w:widowControl/>
              <w:jc w:val="left"/>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▲5、能效等级达到1级。</w:t>
            </w:r>
            <w:r>
              <w:rPr>
                <w:rFonts w:hint="eastAsia" w:ascii="宋体" w:hAnsi="宋体" w:eastAsia="宋体" w:cs="宋体"/>
                <w:b/>
                <w:bCs/>
                <w:color w:val="auto"/>
                <w:kern w:val="0"/>
                <w:sz w:val="21"/>
                <w:szCs w:val="21"/>
                <w:highlight w:val="none"/>
                <w:lang w:val="en-US" w:eastAsia="zh-CN"/>
              </w:rPr>
              <w:t>投标时提供产品节能证书扫描件。</w:t>
            </w:r>
          </w:p>
          <w:p w14:paraId="06A9209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三、教学要求</w:t>
            </w:r>
          </w:p>
          <w:p w14:paraId="61A51F3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智能交互黑板前置面板至少具备1路HDMI接口（非转接），2路USB3.0接口，1路全功能的Type-C接口（全功能接口具备音频、4K视频、数据、触控、充电等功能，外接电脑可调用屏体麦克风、音响、摄像头等数据）；</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p>
          <w:p w14:paraId="6AB0EE7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2、为方便用户外接拓展设备，智能交互黑板非转接 HDMI输入≥2路，HDMI输出≥1路（支持安卓及其他通道信号输出）；</w:t>
            </w:r>
          </w:p>
          <w:p w14:paraId="1951A0A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3、智能交互黑板具有通屏笔槽结构，可放置书写笔、粉笔、水性笔等，笔槽具有漏灰孔设计；</w:t>
            </w:r>
          </w:p>
          <w:p w14:paraId="1B4125B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4、为方便维护，智能交互黑板具有前掀式维护功能，主屏向上掀起角度≥30°；</w:t>
            </w:r>
          </w:p>
          <w:p w14:paraId="5C5416A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▲5、智能交互黑板前置按键≥7个，可实现音量加减、窗口关闭、触控开关等功能，且按键均支持功能复用；</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p>
          <w:p w14:paraId="625C7D5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6、前置按键采用钢琴式按键设计，向上倾斜，提升直立可视角度，符合人体工学；</w:t>
            </w:r>
          </w:p>
          <w:p w14:paraId="4FFBFFD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7、智能交互黑板接口具备丝印中文标识，符合各学科教师使用需求；</w:t>
            </w:r>
          </w:p>
          <w:p w14:paraId="6CE0F18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▲8、智能交互黑板采用≥12核国产化驱动芯片，8核CPU、4核GPU。 Android 系统版本≥14.0，内存≥4G，存储≥32G；</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p>
          <w:p w14:paraId="7FF1F1E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9、采用针孔阵列发声设计，2.2声道，下边框具有6个发声单元，最大功率≥80W, 扬声器在100%音量下，1米处声压级≥90dB，10米处声压级≥80dB；最低谐振频率不高于100Hz；</w:t>
            </w:r>
          </w:p>
          <w:p w14:paraId="6A840D8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▲10、内置一体化超高清摄像头，单颗摄像头有效像素≥1900W，可输出最大分辨率5104*3864的图片与视频，支持搭配AI软件实现自动点名点数功能，支持远程巡课功能，具备指示灯工作状态提示；</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p>
          <w:p w14:paraId="6B84DC2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11、智能交互黑板内置8阵列麦克风，拾音角度≥180°，可用于对教室环境音频进行采集；</w:t>
            </w:r>
          </w:p>
          <w:p w14:paraId="2B5B7E7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▲12、智能交互黑板具备前置组合式针孔电脑还原按键，无需专业人员即可轻松解决电脑系统故障；</w:t>
            </w:r>
            <w:r>
              <w:rPr>
                <w:rFonts w:hint="eastAsia" w:ascii="宋体" w:hAnsi="宋体" w:eastAsia="宋体" w:cs="宋体"/>
                <w:b/>
                <w:bCs/>
                <w:color w:val="auto"/>
                <w:kern w:val="0"/>
                <w:sz w:val="21"/>
                <w:szCs w:val="21"/>
                <w:highlight w:val="none"/>
                <w:lang w:val="en-US" w:eastAsia="zh-CN"/>
              </w:rPr>
              <w:t>（投标时提供接口照片佐证该项功能）</w:t>
            </w:r>
          </w:p>
          <w:p w14:paraId="026EF9D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13、只需一根网线连接，即可实现Windows和Andriod双系统同时上网；</w:t>
            </w:r>
          </w:p>
          <w:p w14:paraId="632DEDB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14、具备无线（包括Wi-Fi和Bluetooth蓝牙）独立模块，支持单独拆卸；</w:t>
            </w:r>
          </w:p>
          <w:p w14:paraId="600E1B0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15、智能交互黑板内置Wi-Fi6无线网卡，支持2.4G、5G双频，支持无线设备同时连接数量≥20个。在Android连接Wi-Fi上网（STA）的情况下，Windows会同步连接网络；</w:t>
            </w:r>
          </w:p>
          <w:p w14:paraId="6A41666E">
            <w:pPr>
              <w:widowControl/>
              <w:jc w:val="left"/>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▲16、无需打开智能交互黑板背板，前置接口面板支持单独前拆维护。</w:t>
            </w:r>
            <w:r>
              <w:rPr>
                <w:rFonts w:hint="eastAsia" w:ascii="宋体" w:hAnsi="宋体" w:eastAsia="宋体" w:cs="宋体"/>
                <w:b/>
                <w:bCs/>
                <w:color w:val="auto"/>
                <w:kern w:val="0"/>
                <w:sz w:val="21"/>
                <w:szCs w:val="21"/>
                <w:highlight w:val="none"/>
                <w:lang w:val="en-US" w:eastAsia="zh-CN"/>
              </w:rPr>
              <w:t>（投标时提供接口面板单独拆卸照片佐证该项功能）</w:t>
            </w:r>
          </w:p>
          <w:p w14:paraId="70C03BB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四、应用功能要求</w:t>
            </w:r>
          </w:p>
          <w:p w14:paraId="5D7218D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整机左右两侧可提供与教学应用密切相关的快捷键，数量各不少于15个，并支持自定义开关，可设置自动隐藏时间，支持单侧显示、双侧同时显示，至少具有关闭窗口、展台、桌面、多屏互动等教学常用按键。整机具有悬浮菜单，两指可快速移动悬浮菜单至按压位置，悬浮菜单可进行自定义分组，可添加AI互动软件等不少于30个应用；</w:t>
            </w:r>
          </w:p>
          <w:p w14:paraId="2159BAD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2、在任意信号源下，从屏幕下方任意位置向上滑动，可调用快捷设置菜单无需切换系统，可快速调节Windows 和Android 的设置，并支持拖拽到屏幕任意位置；</w:t>
            </w:r>
          </w:p>
          <w:p w14:paraId="2366A0B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3、支持智能手势，可通过多指长按屏幕实现悬浮窗快速调用、屏幕息屏或亮屏、屏幕下移、多任务等功能，方便教学操作；</w:t>
            </w:r>
          </w:p>
          <w:p w14:paraId="5EFDBE5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4、为节约用电，具备自动待机功能，在无操作或无信号输入时，自动进入待机节能状态，时间间隔可自定义；</w:t>
            </w:r>
          </w:p>
          <w:p w14:paraId="2EAD2FF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5、智能节电，可自定义设置，在无操作或无信号输入15分钟或更长时间,出现关机提示倒计时；</w:t>
            </w:r>
          </w:p>
          <w:p w14:paraId="6AAA8AE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6、设备处于关机通电状态，外接电脑、机顶盒等设备接入交互黑板时，智能交互黑板可识别到外接设备的输入信号后自动开机；</w:t>
            </w:r>
          </w:p>
          <w:p w14:paraId="1555B83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7、可自动识别新接入的信号源，并自动切换到该信号源显示，在断开连接后，弹出确认，10秒后返回之前信号源；</w:t>
            </w:r>
          </w:p>
          <w:p w14:paraId="25AD891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8、设备支持远程升级，及时给用户推送新版应用；</w:t>
            </w:r>
          </w:p>
          <w:p w14:paraId="3288F31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9、安卓界面采用4K UI设计，图标与按钮边角显示无锯齿，字体渲染平滑，提升用户体验；</w:t>
            </w:r>
          </w:p>
          <w:p w14:paraId="5E2A630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10、无PC状态下，安卓系统支持白板授课，可以实现书写、擦除、撤销、恢复、插入工具及分享等多项功能，同时支持对白板进行初始设置，如背景、笔迹颜色、粗细及橡皮等功能的预设；</w:t>
            </w:r>
          </w:p>
          <w:p w14:paraId="676F25B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无PC状态下，白板背景支持颜色背景和图案背景设置，颜色背景提供不少于6种预设颜色，并支持自定义更多颜色；图案设置包括拼音格、四线三格、音符、五线谱、信纸、田字格、篮球场地、足球场地等不少于8种类型，同时支持用户自定义背景图案；</w:t>
            </w:r>
          </w:p>
          <w:p w14:paraId="5A9E385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12、支持预设仅允许用细笔书写模式或允许用细笔或手指书写模式，细笔可用于书写，手指可用于拖动漫游，实现手笔分离的教学效果；</w:t>
            </w:r>
          </w:p>
          <w:p w14:paraId="7ED4604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13、无PC状态下，白板支持漫游功能，可无限延伸白板空间，满足更大空间的板书需求。在漫游功能下，支持对当前页面进行自由缩放，双击漫游可一键恢复画布至原始位置和大小；</w:t>
            </w:r>
          </w:p>
          <w:p w14:paraId="21D3F5A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14、无PC状态下，白板支持背景漫游设置：白板上批注书写的内容既可与背景画布同步无限漫游，也可设置为批注内容独立漫游而背景画布保持固定，以满足不同的场景使用；</w:t>
            </w:r>
          </w:p>
          <w:p w14:paraId="185655B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15、支持全选页面或部分页面进行二维码分享，支持PNG、JPEG、PDF等多种格式，支持加密分享，支持快速保存到USB设备；</w:t>
            </w:r>
          </w:p>
          <w:p w14:paraId="487BD35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16、可将手写文字、句子、英文单词识别为印刷体，支持自定义颜色;手写识别支持设置中文、英文、日语、韩语等不少于 19 种语言包，满足多语言教学需求。识别后的内容支持颜色修改、复制、剪切、图层置顶、图层置底、删除、锁定，文字内容还支持转至会议纪要；</w:t>
            </w:r>
          </w:p>
          <w:p w14:paraId="7D0A9CC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会议纪要支持手写输入文本，每项会议纪要都能根据笔迹书写范围和文本内容自动调整窗口大小，灵活适应。书写笔迹可轻松使用橡皮擦进行擦除，每项会议纪要可随意删除或调整顺序；会议纪要支持一键生成二维码分享，扫码即可快速获取内容，扫码显示的会议纪要内容会自动过滤空白项；</w:t>
            </w:r>
          </w:p>
          <w:p w14:paraId="05AB6B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无PC状态下，白板具备智能图形识别功能，能够自动识别绘制的矩形、三角形、圆形、椭圆形、箭头等不少于5种常见平面图形。识别后的图形支持颜色修改、复制、剪切、图层置顶、图层置底、删除、锁定等功能；</w:t>
            </w:r>
          </w:p>
          <w:p w14:paraId="2C36FD9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无PC状态下，白板具备批注和擦除功能，支持硬笔、软笔、荧光笔等多种笔型选择，支持笔迹颜色和粗细设置。支持橡皮擦、选中文字擦除以及一键清页功能，进行一键清页操作时会有二次确认提示，有效避免误操作；</w:t>
            </w:r>
          </w:p>
          <w:p w14:paraId="331BDDB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20、无PC状态下，白板支持二维及三维图形的灵活调用，支持设置图形的线条颜色和填充颜色，可以对线条和填充颜色的透明度进行设置；</w:t>
            </w:r>
          </w:p>
          <w:p w14:paraId="6E69272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无PC状态下，白板支持插入文档、文本框、便利贴、图片、浏览器、尺子、表格、思维导图、会议纪要、截屏等多种教学辅助工具，支持通过手写添加便利贴内容，移动便利贴时，所写内容会随便利贴同步移动；</w:t>
            </w:r>
          </w:p>
          <w:p w14:paraId="240469F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22、无PC状态下，白板支持页面预览功能，可一键全选所有页面或单独选择特定页面进行保存。</w:t>
            </w:r>
          </w:p>
          <w:p w14:paraId="4606A9B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五、侧边黑板</w:t>
            </w:r>
          </w:p>
          <w:p w14:paraId="38E96BA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1、支持磁性材质教具吸附；</w:t>
            </w:r>
          </w:p>
          <w:p w14:paraId="1F9FC81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2、板面光泽度需符合 GB28231-2011 标准，不高于8光泽度以免产生眩光；</w:t>
            </w:r>
          </w:p>
          <w:p w14:paraId="725F506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3、板面符合 GB/T9286-2021标准，支持色漆和清漆漆膜的划格试验，脱漆面积不明显大于 5%达到 0 级标准；</w:t>
            </w:r>
          </w:p>
          <w:p w14:paraId="79E23A5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4、板面抗冲击性需符合GB/T 1732-2020标准，漆膜耐冲击无裂纹现象。</w:t>
            </w:r>
          </w:p>
          <w:p w14:paraId="3EF79C4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六、内置电脑</w:t>
            </w:r>
          </w:p>
          <w:p w14:paraId="1FEADF6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1、采用80 Pin Intel通用标准接口，模块化即插即用，易于维护；</w:t>
            </w:r>
          </w:p>
          <w:p w14:paraId="597D699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2、CPU采用不低于12代i5处理器；</w:t>
            </w:r>
          </w:p>
          <w:p w14:paraId="6BF1806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3、内存：≥8G DDR4；</w:t>
            </w:r>
          </w:p>
          <w:p w14:paraId="0CBD658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4、硬盘：≥256G SSD固态硬盘；</w:t>
            </w:r>
          </w:p>
          <w:p w14:paraId="5F3D1BF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5、接口：非外扩展具备6个USB接口（其中包含3路USB 3.0），具有独立非外扩展的视频输出接口：≥1路HDMI；</w:t>
            </w:r>
          </w:p>
          <w:p w14:paraId="7B638CAE">
            <w:pPr>
              <w:widowControl/>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6、万兆级接口，传输速率≥10Gbps。</w:t>
            </w:r>
          </w:p>
        </w:tc>
        <w:tc>
          <w:tcPr>
            <w:tcW w:w="255" w:type="pct"/>
            <w:vAlign w:val="center"/>
          </w:tcPr>
          <w:p w14:paraId="1DA387A5">
            <w:pPr>
              <w:widowControl/>
              <w:jc w:val="center"/>
              <w:rPr>
                <w:rFonts w:hint="eastAsia" w:ascii="宋体" w:hAnsi="宋体" w:eastAsia="宋体" w:cs="宋体"/>
                <w:bCs/>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22613230">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606FF13A">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751B5AE8">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2838BA60">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7EB1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030D9D60">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442" w:type="pct"/>
            <w:vAlign w:val="center"/>
          </w:tcPr>
          <w:p w14:paraId="624214E7">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四足仿生智能机器人</w:t>
            </w:r>
          </w:p>
        </w:tc>
        <w:tc>
          <w:tcPr>
            <w:tcW w:w="2796" w:type="pct"/>
            <w:vAlign w:val="top"/>
          </w:tcPr>
          <w:p w14:paraId="7B7BE88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1、机身尺寸：长*宽*高≥266mm*149mm*350mm；</w:t>
            </w:r>
          </w:p>
          <w:p w14:paraId="27F9BAA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2、机体重量：≥820g；</w:t>
            </w:r>
          </w:p>
          <w:p w14:paraId="2A296D5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3、四足仿生形态，带机械臂，全身自由度≥11DOF；</w:t>
            </w:r>
          </w:p>
          <w:p w14:paraId="567412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4、电源：≥7.4V 2200mAh 10C锂电池；</w:t>
            </w:r>
          </w:p>
          <w:p w14:paraId="6E6273E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5、机身材质：结构采用6061轻硬铝合金材料，阳极氧化处理，脚底有橡胶防滑皮套；</w:t>
            </w:r>
          </w:p>
          <w:p w14:paraId="2EFB340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▲6、上位机软件：可以图形编辑机器人动作组，支持末端坐标模式和舵机角度模式，支持偏差调整；</w:t>
            </w:r>
            <w:r>
              <w:rPr>
                <w:rFonts w:hint="eastAsia" w:ascii="宋体" w:hAnsi="宋体" w:eastAsia="宋体" w:cs="宋体"/>
                <w:b/>
                <w:bCs/>
                <w:color w:val="auto"/>
                <w:kern w:val="0"/>
                <w:sz w:val="21"/>
                <w:szCs w:val="21"/>
                <w:highlight w:val="none"/>
                <w:lang w:val="en-US" w:eastAsia="zh-CN"/>
              </w:rPr>
              <w:t>（提供功能截图作为佐证材料）</w:t>
            </w:r>
          </w:p>
          <w:p w14:paraId="1D517A3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7、APP软件：支持安卓和IOS双系统，内置机体遥控模式、表演模式、目标追踪模式、标签识别模式、人脸检测模式。</w:t>
            </w:r>
          </w:p>
          <w:p w14:paraId="38675AF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8、控制系统：</w:t>
            </w:r>
          </w:p>
          <w:p w14:paraId="6C87E3B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8.1.CPU：64位 2.4GHz四核；</w:t>
            </w:r>
          </w:p>
          <w:p w14:paraId="53E8D00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8.2.GPU：工作频率≥800MHz；</w:t>
            </w:r>
          </w:p>
          <w:p w14:paraId="53202A9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8.3.运行内存：≥16GB；</w:t>
            </w:r>
          </w:p>
          <w:p w14:paraId="71362CC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8.4.USB接口：同时具备2个USB2.0和2个USB3.0；</w:t>
            </w:r>
          </w:p>
          <w:p w14:paraId="7DBB135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8.5.舵机接口：≥11个PWM舵机接口；</w:t>
            </w:r>
          </w:p>
          <w:p w14:paraId="225DBCB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8.6.拓展接口：≥4个IIC接口、2个GPIO口，支持IIC协议通信；</w:t>
            </w:r>
          </w:p>
          <w:p w14:paraId="051CFB4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8.7.输入：≥6轴加速度传感器、具有防跌倒功能，2路可编程按键；</w:t>
            </w:r>
          </w:p>
          <w:p w14:paraId="738F34C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8.8.输出：2个LED、蜂鸣器，可作为信号指示；</w:t>
            </w:r>
          </w:p>
          <w:p w14:paraId="774A7D3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8.9.开关：板载独立开关和DC充电接口。</w:t>
            </w:r>
          </w:p>
          <w:p w14:paraId="2AECC60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9、舵机：</w:t>
            </w:r>
          </w:p>
          <w:p w14:paraId="4C3490D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9.1.马达：空心杯电机；</w:t>
            </w:r>
          </w:p>
          <w:p w14:paraId="52DEDEE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9.2.堵转扭矩：≥6kg.cm 8.4V；</w:t>
            </w:r>
          </w:p>
          <w:p w14:paraId="25EF6A7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9.3.转动范围：≥180°。</w:t>
            </w:r>
          </w:p>
          <w:p w14:paraId="1AEAA88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10、摄像头：</w:t>
            </w:r>
          </w:p>
          <w:p w14:paraId="1B58045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10.1.可视角度：≥120°广角，可探测角度视野大；</w:t>
            </w:r>
          </w:p>
          <w:p w14:paraId="65BA714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10.2.系统支持：Windows、Linux、Openwrt；</w:t>
            </w:r>
          </w:p>
          <w:p w14:paraId="705F58D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10.3.分辨率：≥480P。</w:t>
            </w:r>
          </w:p>
          <w:p w14:paraId="560F440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11、激光雷达参数：</w:t>
            </w:r>
          </w:p>
          <w:p w14:paraId="1303D0C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11.1.扫描角度：360°；</w:t>
            </w:r>
          </w:p>
          <w:p w14:paraId="309673A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11.2.测距频率：≥4500Hz；</w:t>
            </w:r>
          </w:p>
          <w:p w14:paraId="77D5AC3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11.3.扫描频率：≥10Hz；</w:t>
            </w:r>
          </w:p>
          <w:p w14:paraId="3D7E4C9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11.4.技术特征：单线激光、DTOF技术。</w:t>
            </w:r>
          </w:p>
          <w:p w14:paraId="235EB66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12、机械臂参数:</w:t>
            </w:r>
          </w:p>
          <w:p w14:paraId="5C9A2E3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12.1.关节数量：≥3DOF；</w:t>
            </w:r>
          </w:p>
          <w:p w14:paraId="2199478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12.2.机械臂重量：≤120g；</w:t>
            </w:r>
          </w:p>
          <w:p w14:paraId="288DD0B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12.3.末端负载：≥30g；</w:t>
            </w:r>
          </w:p>
          <w:p w14:paraId="25C357B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12.4.机械臂臂长：≥185mm；</w:t>
            </w:r>
          </w:p>
          <w:p w14:paraId="7E367E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12.5.爪子开合距离：≥145mm。</w:t>
            </w:r>
          </w:p>
          <w:p w14:paraId="23C4F4D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13、传感器拓展：需包含AI语音交互盒、发光超声波模块、点阵模块、触摸传感器、温湿度传感器；</w:t>
            </w:r>
          </w:p>
          <w:p w14:paraId="0443CCD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▲14、课程资料：提供≥460节原创资料课程；</w:t>
            </w:r>
            <w:r>
              <w:rPr>
                <w:rFonts w:hint="eastAsia" w:ascii="宋体" w:hAnsi="宋体" w:eastAsia="宋体" w:cs="宋体"/>
                <w:b/>
                <w:bCs/>
                <w:color w:val="auto"/>
                <w:kern w:val="0"/>
                <w:sz w:val="21"/>
                <w:szCs w:val="21"/>
                <w:highlight w:val="none"/>
                <w:lang w:val="en-US" w:eastAsia="zh-CN"/>
              </w:rPr>
              <w:t>（提供资源列表截图作为佐证材料）</w:t>
            </w:r>
          </w:p>
          <w:p w14:paraId="2C40174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▲15、讲解教程：提供≥80节真人视频讲解教程；</w:t>
            </w:r>
            <w:r>
              <w:rPr>
                <w:rFonts w:hint="eastAsia" w:ascii="宋体" w:hAnsi="宋体" w:eastAsia="宋体" w:cs="宋体"/>
                <w:b/>
                <w:bCs/>
                <w:color w:val="auto"/>
                <w:kern w:val="0"/>
                <w:sz w:val="21"/>
                <w:szCs w:val="21"/>
                <w:highlight w:val="none"/>
                <w:lang w:val="en-US" w:eastAsia="zh-CN"/>
              </w:rPr>
              <w:t>（提供资源列表截图作为佐证材料）</w:t>
            </w:r>
          </w:p>
          <w:p w14:paraId="10A9352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16、功能：</w:t>
            </w:r>
          </w:p>
          <w:p w14:paraId="304B84C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16.1.语音控制：通过大语言模型的语义理解，能够解析用户的指令，并执行对应的行为动作实现自然流畅的语音控制；</w:t>
            </w:r>
          </w:p>
          <w:p w14:paraId="283DD65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16.2.场景理解：通过视觉大模型，能理解视野内的场景，根据数据库模型判断环境明暗度、物品名称与特征，并通过大语言模型输出文本或语音反馈；</w:t>
            </w:r>
          </w:p>
          <w:p w14:paraId="196A5B9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16.3.追踪踢球：通过大语言模型的语义理解，能根据指令锁定目标，实时调整机身姿态精准完成追踪踢球动作；</w:t>
            </w:r>
          </w:p>
          <w:p w14:paraId="6ACD210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16.4.自主巡航：通过大语言模型的语义理解，能够精准识别并实时追踪各种颜色的线条，同时自动跨越路径上的障碍，实现自主巡航；</w:t>
            </w:r>
          </w:p>
          <w:p w14:paraId="1AAC480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16.5.SLAM建图导航：通过激光雷达完成SLAM建图并导航行驶；</w:t>
            </w:r>
          </w:p>
          <w:p w14:paraId="62054C5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16.6.雷达追踪与避障：通过激光雷达对环境进行勘测，实现移动物品追踪和避障行驶；</w:t>
            </w:r>
          </w:p>
          <w:p w14:paraId="624245B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16.7.温度播报：结合温湿度传感器，PuppyPi可获取当前环境状况，实时获取温湿度数据，并结合大语言模型，进行语义理解，播报环境信息；</w:t>
            </w:r>
          </w:p>
          <w:p w14:paraId="0A71EAC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16.8.自主搬运抓取：通过AI视觉识别目标的位置，结合机械臂的逆运动学函数，可以实现自主识别抓取；</w:t>
            </w:r>
          </w:p>
          <w:p w14:paraId="027C833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16.9.SLAM导航搬运：结合TOF激光雷达，搭配SLAM导航技术，可以将物品搬运至目标地点，并通过AI视觉识别出放置区域，精准实现导航搬运。</w:t>
            </w:r>
          </w:p>
          <w:p w14:paraId="5D48DF59">
            <w:pPr>
              <w:widowControl/>
              <w:jc w:val="left"/>
              <w:rPr>
                <w:rFonts w:hint="default" w:ascii="宋体" w:hAnsi="宋体" w:eastAsia="宋体" w:cs="宋体"/>
                <w:b/>
                <w:bCs/>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▲17、系统开源且支持二次开发，同时可在虚拟环境中进行机器狗的控制及算法的验证。</w:t>
            </w:r>
            <w:r>
              <w:rPr>
                <w:rFonts w:hint="eastAsia" w:ascii="宋体" w:hAnsi="宋体" w:eastAsia="宋体" w:cs="宋体"/>
                <w:b/>
                <w:bCs/>
                <w:color w:val="auto"/>
                <w:kern w:val="0"/>
                <w:sz w:val="21"/>
                <w:szCs w:val="21"/>
                <w:highlight w:val="none"/>
                <w:lang w:val="en-US" w:eastAsia="zh-CN"/>
              </w:rPr>
              <w:t>（提供功能截图作为佐证材料）</w:t>
            </w:r>
          </w:p>
        </w:tc>
        <w:tc>
          <w:tcPr>
            <w:tcW w:w="255" w:type="pct"/>
            <w:vAlign w:val="center"/>
          </w:tcPr>
          <w:p w14:paraId="1DB505A0">
            <w:pPr>
              <w:widowControl/>
              <w:jc w:val="center"/>
              <w:rPr>
                <w:rFonts w:hint="eastAsia" w:ascii="宋体" w:hAnsi="宋体" w:eastAsia="宋体" w:cs="宋体"/>
                <w:bCs/>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207" w:type="pct"/>
            <w:vAlign w:val="center"/>
          </w:tcPr>
          <w:p w14:paraId="7FE96EA7">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132E26B1">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41EDBABD">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4E76AD87">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65D8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2B0E8F08">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442" w:type="pct"/>
            <w:vAlign w:val="center"/>
          </w:tcPr>
          <w:p w14:paraId="78C13559">
            <w:pPr>
              <w:widowControl/>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多媒体音频设备</w:t>
            </w:r>
          </w:p>
        </w:tc>
        <w:tc>
          <w:tcPr>
            <w:tcW w:w="2796" w:type="pct"/>
            <w:vAlign w:val="top"/>
          </w:tcPr>
          <w:p w14:paraId="750FDA4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一、有源音箱2对</w:t>
            </w:r>
          </w:p>
          <w:p w14:paraId="1D5FFFC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1、主副箱采用高密度木质箱体，铁板冲孔面网（孔径≤3mm，透声率≥85%）；</w:t>
            </w:r>
          </w:p>
          <w:p w14:paraId="6F27DC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2、扬声器单元：5.5英寸航天磁路全频扬声器单元一个，无高音单元设计；</w:t>
            </w:r>
          </w:p>
          <w:p w14:paraId="3C36217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3、宽电压适配：支持 100V-260V~50/60Hz 全球通用电压，内置 EMI 滤波模块，适应复杂电网环境；</w:t>
            </w:r>
          </w:p>
          <w:p w14:paraId="026A104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4、数字功放2×50W（8Ω，THD+N≤0.1%），低温低噪稳定运行，具有欠压及过载保护控制功能；</w:t>
            </w:r>
          </w:p>
          <w:p w14:paraId="1FF539A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5、两路立体声 RCA 线路输入（阻抗 10kΩ，增益范围0-12dB），独立音量调节（旋钮式 ±10dB）；</w:t>
            </w:r>
          </w:p>
          <w:p w14:paraId="7480704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6、一路 6.35mm 直插麦克风接口，支持幻象供电，一路 TYPE-A 外置无线话筒扩展接口（5V/500mA 供电），一路RJ45接口）；</w:t>
            </w:r>
          </w:p>
          <w:p w14:paraId="319F64F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二、麦克风2套</w:t>
            </w:r>
          </w:p>
          <w:p w14:paraId="772AD2D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1、智能通信技术架构，超高频段通信系统：采用 UHF 专业级无线传输频段，构建全域抗干扰通信链路，支持单话筒与任意接收机智能配对，实现无障碍 50 米超距稳定传输与40cm 超广拾音半径，满足多场景复杂环境下的音频采集需求；</w:t>
            </w:r>
          </w:p>
          <w:p w14:paraId="30F6ECF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▲2、精准对频与抗干扰设计，主动式 NFC 近场耦合技术：创新集成智能近场感应配对系统，通过毫米级距离识别算法，确保 100% 杜绝跨区域信号串扰，实现0.5 秒极速无感对频，为多设备协同场景提供零差错的信号匹配保障</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w:t>
            </w:r>
          </w:p>
          <w:p w14:paraId="5B288F1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3、能效优化与续航，低功耗能源管理系统：内置≥600mAH 高密度锂聚合物电池，搭载 OLED 量子节能显示屏，结合动态功率调节算法，实现6小时以上连续作业续航，满足全天候高强度使用需求，构建高效能无线音频生态；</w:t>
            </w:r>
          </w:p>
          <w:p w14:paraId="4C63286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4、专业级音质处理模块，89dB 高信噪比音频链路：构建纯净信号传输通道，有效隔离环境底噪，85dB 宽动态范围采集：精准捕捉声音细节，还原全频段音频动态，64KHz 超高清采样率：实现 CD 级无损音质采集，满足广电级音频处理标准；</w:t>
            </w:r>
          </w:p>
          <w:p w14:paraId="60EE4A2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▲5、灵活协同工作模式，多接收机协同技术平台：支持先进的 "一发多收" 分布式工作架构，单话筒可同步连接≥32 台接收机，构建全方位音频覆盖网络，适用于大型会议、舞台演出等多终端协同场景</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w:t>
            </w:r>
          </w:p>
          <w:p w14:paraId="76CC3D7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6、人体工学佩戴，集成磁吸式智能背夹系统，支持领夹式、手持握、头戴麦外接及胸前悬挂四种佩戴模式；</w:t>
            </w:r>
          </w:p>
          <w:p w14:paraId="7970A85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7、双重音频防护系统，AGC 动态增益控制：搭载自适应音量调节芯片，实时监测输入信号强度，自动维持 85-90dB 安全听音区间；</w:t>
            </w:r>
          </w:p>
          <w:p w14:paraId="33736191">
            <w:pPr>
              <w:widowControl/>
              <w:jc w:val="left"/>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▲8、具有人声还原度处理功能及主动动态反馈抑制功能,最大限度还原人声及有效防止啸叫；</w:t>
            </w:r>
            <w:r>
              <w:rPr>
                <w:rFonts w:hint="eastAsia" w:ascii="宋体" w:hAnsi="宋体" w:eastAsia="宋体" w:cs="宋体"/>
                <w:b/>
                <w:bCs/>
                <w:color w:val="auto"/>
                <w:kern w:val="0"/>
                <w:sz w:val="21"/>
                <w:szCs w:val="21"/>
                <w:highlight w:val="none"/>
                <w:lang w:val="en-US" w:eastAsia="zh-CN"/>
              </w:rPr>
              <w:t>（提供带主动动态反馈抑制技术及人声还原度功能类证书或软件功能截图）</w:t>
            </w:r>
          </w:p>
          <w:p w14:paraId="6234A70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三、接收器1套</w:t>
            </w:r>
          </w:p>
          <w:p w14:paraId="09ED3EB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1、UHF 频段设计：采用UHF 频段，精准避开最新手机工作频率，有效降低信号干扰，保障传输稳定性；</w:t>
            </w:r>
          </w:p>
          <w:p w14:paraId="27799AE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2、频率响应：具备 20Hz-20KHz 宽广频率响应范围，完整覆盖人耳可听声域，呈现高保真音质； </w:t>
            </w:r>
          </w:p>
          <w:p w14:paraId="6A7FFD8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3、输出方式：支持模拟、数字可配置音频输出方式，适配不同音频设备与场景需求。 </w:t>
            </w:r>
          </w:p>
          <w:p w14:paraId="0726C7A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▲4、接口支持：配备 3.5mm 音频输出接口，满足常见音频设备连接， USB 接口输出，适配多样安装形式，USB 接口可按需预置为供电 + 模拟音频或标准 USB 音频输出，免驱动即插即用</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 xml:space="preserve">； </w:t>
            </w:r>
          </w:p>
          <w:p w14:paraId="787F64E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▲5、OLED 显示屏：配备 OLED 显示屏，清晰显示频道、对频状态、电量及信号强度等信息</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 xml:space="preserve">； </w:t>
            </w:r>
          </w:p>
          <w:p w14:paraId="2068CE7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6、外接显示：支持外接数码管，实现频道信息的拓展显示，满足多方位查看需求。 </w:t>
            </w:r>
          </w:p>
          <w:p w14:paraId="21B6F02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7、按键控制：配备两个可设置接收频道的按键，便于快速切换和设置常用频道。 </w:t>
            </w:r>
          </w:p>
          <w:p w14:paraId="51610BC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▲8、多功能扩展：接收器集成 PPT 翻页接收模块功能，免驱动设计，轻松适配主流翻页笔，为会议、教学演示提供便利</w:t>
            </w:r>
            <w:r>
              <w:rPr>
                <w:rFonts w:hint="eastAsia" w:ascii="宋体" w:hAnsi="宋体" w:eastAsia="宋体" w:cs="宋体"/>
                <w:b/>
                <w:bCs/>
                <w:color w:val="auto"/>
                <w:kern w:val="0"/>
                <w:sz w:val="21"/>
                <w:szCs w:val="21"/>
                <w:highlight w:val="none"/>
                <w:lang w:val="en-US" w:eastAsia="zh-CN"/>
              </w:rPr>
              <w:t>(提供有效的第三方检测机构出具的检测报告扫描件</w:t>
            </w:r>
            <w:r>
              <w:rPr>
                <w:rFonts w:hint="eastAsia" w:ascii="宋体" w:hAnsi="宋体" w:eastAsia="宋体" w:cs="宋体"/>
                <w:b/>
                <w:bCs/>
                <w:color w:val="auto"/>
                <w:kern w:val="0"/>
                <w:sz w:val="21"/>
                <w:szCs w:val="21"/>
                <w:highlight w:val="none"/>
                <w:lang w:val="en-US" w:eastAsia="zh-CN"/>
              </w:rPr>
              <w:t>或产品彩页或产品白皮书或官网截图</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 xml:space="preserve">； </w:t>
            </w:r>
          </w:p>
          <w:p w14:paraId="05DBB04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9、供电方式：采用 Type-C 接口供电，插拔便捷，性能稳定耐用，广泛兼容各类充电器与移动电源；</w:t>
            </w:r>
          </w:p>
          <w:p w14:paraId="7A3F3962">
            <w:pPr>
              <w:widowControl/>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四、双领夹麦智能消毒充电仓1台</w:t>
            </w:r>
          </w:p>
          <w:p w14:paraId="4F5A8D3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1、双充电位无线话筒充电仓，可同时为两支无线麦克风充电和消毒；</w:t>
            </w:r>
          </w:p>
          <w:p w14:paraId="399B95B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2、为实现防尘效果，麦克风在充电时应完全收纳于充电仓内，无暴露在外的部分；</w:t>
            </w:r>
          </w:p>
          <w:p w14:paraId="770B633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3、为避免忘记关机造成的设备损坏或频道占用，麦克风插入充电仓进行充电时，充电仓应能自动控制无线麦克风关机；</w:t>
            </w:r>
          </w:p>
          <w:p w14:paraId="09623D6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4、为避免细菌病毒交叉感染，充电仓应具备消毒功能，如采用紫外线进行消毒的，应采用260-265nm波长的高效UVC波段。任何消毒方式均不能对使用人员造成潜在健康危害；</w:t>
            </w:r>
          </w:p>
          <w:p w14:paraId="1D9DA29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5、充电仓应采用阻燃材质生产，避免起火风险；</w:t>
            </w:r>
          </w:p>
          <w:p w14:paraId="12C936D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6、充电仓应能明确指示通电及充电状态；</w:t>
            </w:r>
          </w:p>
          <w:p w14:paraId="6E4AD4A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7、带一个按压式的手动解锁按键，按下后可弹开上盖解锁；</w:t>
            </w:r>
          </w:p>
          <w:p w14:paraId="7ADB588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8、充电触点及活动部件，使用寿命应不低于一万次。</w:t>
            </w:r>
          </w:p>
        </w:tc>
        <w:tc>
          <w:tcPr>
            <w:tcW w:w="255" w:type="pct"/>
            <w:vAlign w:val="center"/>
          </w:tcPr>
          <w:p w14:paraId="3619A39C">
            <w:pPr>
              <w:widowControl/>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2C195BB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7301317D">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3038CB46">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4FC3C889">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038B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7AF03FB8">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442" w:type="pct"/>
            <w:vAlign w:val="center"/>
          </w:tcPr>
          <w:p w14:paraId="25A14A45">
            <w:pPr>
              <w:widowControl/>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双人位桌椅</w:t>
            </w:r>
          </w:p>
        </w:tc>
        <w:tc>
          <w:tcPr>
            <w:tcW w:w="2796" w:type="pct"/>
            <w:vAlign w:val="top"/>
          </w:tcPr>
          <w:p w14:paraId="41EDB63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1、规格：1400*600*750mm(±10mm)（双人位）钢木结构；</w:t>
            </w:r>
          </w:p>
          <w:p w14:paraId="57C6D22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2、桌面采用≥25mm 厚 E1 级三聚氰胺饰面刨花板；</w:t>
            </w:r>
          </w:p>
          <w:p w14:paraId="71DF51A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3、钢架约60*30*1.2mm扁管，钢架需经过酸洗磷化，环氧树脂高温静电喷涂；</w:t>
            </w:r>
          </w:p>
          <w:p w14:paraId="1B97B0F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4、桌面下面带专用走线槽，可安装信息和电源面板；</w:t>
            </w:r>
          </w:p>
          <w:p w14:paraId="20D0AA3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5、含配套凳子，防污，带静音、防滑脚垫套。</w:t>
            </w:r>
          </w:p>
        </w:tc>
        <w:tc>
          <w:tcPr>
            <w:tcW w:w="255" w:type="pct"/>
            <w:vAlign w:val="center"/>
          </w:tcPr>
          <w:p w14:paraId="7EA2A356">
            <w:pPr>
              <w:widowControl/>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30</w:t>
            </w:r>
          </w:p>
        </w:tc>
        <w:tc>
          <w:tcPr>
            <w:tcW w:w="207" w:type="pct"/>
            <w:vAlign w:val="center"/>
          </w:tcPr>
          <w:p w14:paraId="6FE5E5B5">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266" w:type="pct"/>
            <w:vAlign w:val="center"/>
          </w:tcPr>
          <w:p w14:paraId="3EFF9DA7">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67C9F21A">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749C1DDE">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2202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6F05B6FA">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442" w:type="pct"/>
            <w:vAlign w:val="center"/>
          </w:tcPr>
          <w:p w14:paraId="4B8D41D4">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操作台</w:t>
            </w:r>
          </w:p>
        </w:tc>
        <w:tc>
          <w:tcPr>
            <w:tcW w:w="2796" w:type="pct"/>
            <w:vAlign w:val="top"/>
          </w:tcPr>
          <w:p w14:paraId="318C80CA">
            <w:pPr>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1、规格尺寸：≥1800mm（长）×800mm（宽）×750mm（高）</w:t>
            </w:r>
            <w:r>
              <w:rPr>
                <w:rFonts w:hint="eastAsia" w:ascii="宋体" w:hAnsi="宋体" w:eastAsia="宋体" w:cs="宋体"/>
                <w:color w:val="auto"/>
                <w:sz w:val="21"/>
                <w:szCs w:val="21"/>
                <w:highlight w:val="none"/>
                <w:lang w:eastAsia="zh-CN"/>
              </w:rPr>
              <w:t>，具体尺寸可根据现场情况定制；</w:t>
            </w:r>
          </w:p>
          <w:p w14:paraId="5D44FFFA">
            <w:pPr>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2、基材要求：采用厚度≥15mm的高密度板，环保性能符合国家E1级及以上标准。板材所有切面须进行全封闭封边处理，具备防潮功能；</w:t>
            </w:r>
          </w:p>
          <w:p w14:paraId="5D5069DB">
            <w:pPr>
              <w:bidi w:val="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3、饰面工艺：饰面采用环保PU漆喷涂工艺，漆膜涂布均匀、饱满，具备优良的耐磨及抗划伤性能。整体饰面材料与工艺须符合国家相关环保标准。</w:t>
            </w:r>
          </w:p>
        </w:tc>
        <w:tc>
          <w:tcPr>
            <w:tcW w:w="255" w:type="pct"/>
            <w:vAlign w:val="center"/>
          </w:tcPr>
          <w:p w14:paraId="751BD6E5">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w:t>
            </w:r>
          </w:p>
        </w:tc>
        <w:tc>
          <w:tcPr>
            <w:tcW w:w="207" w:type="pct"/>
            <w:vAlign w:val="center"/>
          </w:tcPr>
          <w:p w14:paraId="004A6F50">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266" w:type="pct"/>
            <w:vAlign w:val="center"/>
          </w:tcPr>
          <w:p w14:paraId="160E8EA8">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2D1B6DBC">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5773989B">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3AAA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1CFAA752">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442" w:type="pct"/>
            <w:vAlign w:val="center"/>
          </w:tcPr>
          <w:p w14:paraId="2BE3D3B6">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储物柜</w:t>
            </w:r>
          </w:p>
        </w:tc>
        <w:tc>
          <w:tcPr>
            <w:tcW w:w="2796" w:type="pct"/>
            <w:vAlign w:val="top"/>
          </w:tcPr>
          <w:p w14:paraId="0D07EEEF">
            <w:pPr>
              <w:widowControl/>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1、规格尺寸：≥ 850mm（长）×390mm（宽）×1800mm（高），具体尺寸可根据现场情况定制；</w:t>
            </w:r>
          </w:p>
          <w:p w14:paraId="59F0DBD4">
            <w:pPr>
              <w:widowControl/>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2、材质：加厚冷轧钢板，厚度：≥</w:t>
            </w:r>
            <w:r>
              <w:rPr>
                <w:rFonts w:hint="eastAsia" w:ascii="宋体" w:hAnsi="宋体" w:eastAsia="宋体" w:cs="宋体"/>
                <w:color w:val="auto"/>
                <w:sz w:val="21"/>
                <w:szCs w:val="21"/>
                <w:highlight w:val="none"/>
                <w:lang w:eastAsia="zh-CN"/>
              </w:rPr>
              <w:t>0.7m</w:t>
            </w:r>
            <w:r>
              <w:rPr>
                <w:rFonts w:hint="eastAsia" w:ascii="宋体" w:hAnsi="宋体" w:eastAsia="宋体" w:cs="宋体"/>
                <w:color w:val="auto"/>
                <w:sz w:val="21"/>
                <w:szCs w:val="21"/>
                <w:highlight w:val="none"/>
              </w:rPr>
              <w:t>m；</w:t>
            </w:r>
          </w:p>
          <w:p w14:paraId="77BA4AC6">
            <w:pPr>
              <w:widowControl/>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3、锁具要求：配备安全锁具，采用钥匙开启方式，锁具牢固可靠，具备防撬性能；</w:t>
            </w:r>
          </w:p>
          <w:p w14:paraId="5348476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4、表面处理：采用环保喷涂工艺，涂层均匀、附着力强，整体具备优良的防腐、防锈性能，符合国家相关环保标准。</w:t>
            </w:r>
          </w:p>
        </w:tc>
        <w:tc>
          <w:tcPr>
            <w:tcW w:w="255" w:type="pct"/>
            <w:vAlign w:val="center"/>
          </w:tcPr>
          <w:p w14:paraId="35120999">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5FDCAE82">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266" w:type="pct"/>
            <w:vAlign w:val="center"/>
          </w:tcPr>
          <w:p w14:paraId="35EB2E26">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6D427349">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4A8CDF9C">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13FE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2E71AC42">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442" w:type="pct"/>
            <w:vAlign w:val="center"/>
          </w:tcPr>
          <w:p w14:paraId="159D247F">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多媒体讲台</w:t>
            </w:r>
          </w:p>
        </w:tc>
        <w:tc>
          <w:tcPr>
            <w:tcW w:w="2796" w:type="pct"/>
            <w:vAlign w:val="top"/>
          </w:tcPr>
          <w:p w14:paraId="65374AD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1、尺寸：≥1000mm*700mm*1000mm。 </w:t>
            </w:r>
          </w:p>
          <w:p w14:paraId="15EDE3D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2、钢木结合，一体成型，桌面黄色木质耐划台面，防水防火，实木扶手。柜体桌面采用的1.0-1.2MM优质冷轧钢板，经过酸洗，磷化，防腐防锈处理，结实耐用。桌面宽大，带抽屉，方便储物。</w:t>
            </w:r>
          </w:p>
          <w:p w14:paraId="3BF6241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3、分体式结构设计，外型大方美观，根据人体力学设计，上柜体全封闭式结构，无接缝，边缘及拐角均采用圆弧设计，确保学生安全，耐冲击性强，防盗性能优越。</w:t>
            </w:r>
          </w:p>
          <w:p w14:paraId="5054084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4、桌体内部可安装放置多媒体设备，或储存环保书写套装，墨水瓶等不常用教具。 讲桌抽屉和桌体柜门用同一把锁匙开启和关闭。</w:t>
            </w:r>
          </w:p>
          <w:p w14:paraId="066A43ED">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5、颜色选用哑光灰白色。 </w:t>
            </w:r>
          </w:p>
          <w:p w14:paraId="640E2DFB">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6、桌体下层内部采用标准机柜设计，带层板，可任意调节。</w:t>
            </w:r>
          </w:p>
          <w:p w14:paraId="40AB2790">
            <w:pPr>
              <w:widowControl/>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7、配套1把优质靠背椅。</w:t>
            </w:r>
          </w:p>
        </w:tc>
        <w:tc>
          <w:tcPr>
            <w:tcW w:w="255" w:type="pct"/>
            <w:vAlign w:val="center"/>
          </w:tcPr>
          <w:p w14:paraId="6695E584">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26F616E0">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台</w:t>
            </w:r>
          </w:p>
        </w:tc>
        <w:tc>
          <w:tcPr>
            <w:tcW w:w="266" w:type="pct"/>
            <w:vAlign w:val="center"/>
          </w:tcPr>
          <w:p w14:paraId="0743A8F0">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工业</w:t>
            </w:r>
          </w:p>
        </w:tc>
        <w:tc>
          <w:tcPr>
            <w:tcW w:w="441" w:type="pct"/>
            <w:vAlign w:val="center"/>
          </w:tcPr>
          <w:p w14:paraId="6EC8F41D">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否</w:t>
            </w:r>
          </w:p>
        </w:tc>
        <w:tc>
          <w:tcPr>
            <w:tcW w:w="327" w:type="pct"/>
            <w:vAlign w:val="center"/>
          </w:tcPr>
          <w:p w14:paraId="35FE1772">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r w14:paraId="2CC0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5F96FD74">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14</w:t>
            </w:r>
          </w:p>
        </w:tc>
        <w:tc>
          <w:tcPr>
            <w:tcW w:w="442" w:type="pct"/>
            <w:vAlign w:val="center"/>
          </w:tcPr>
          <w:p w14:paraId="717B7529">
            <w:pPr>
              <w:widowControl/>
              <w:jc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rPr>
              <w:t>综合布线及文化墙</w:t>
            </w:r>
          </w:p>
        </w:tc>
        <w:tc>
          <w:tcPr>
            <w:tcW w:w="2796" w:type="pct"/>
            <w:vAlign w:val="top"/>
          </w:tcPr>
          <w:p w14:paraId="0F6BE006">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一、综合布线</w:t>
            </w:r>
          </w:p>
          <w:p w14:paraId="1023004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强弱电点位布点≥61位，分开走线，采用六类非屏蔽双绞线，执行标准：国标；长度：305M/箱；满足此项目以内所有六类非屏蔽双绞线铺设，要千兆到桌面；含水晶头制作，打标签，机柜安装，实训教学终端组装扎线等；</w:t>
            </w:r>
          </w:p>
          <w:p w14:paraId="662FAA4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2、电源线：采用塑铜线材，铜芯直径确保电源负荷需要；</w:t>
            </w:r>
          </w:p>
          <w:p w14:paraId="18AF0BD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3、线管、桥架：所有线管均为阻燃管，镀锌喷塑桥架；</w:t>
            </w:r>
          </w:p>
          <w:p w14:paraId="7FECE80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4、电箱改造：电箱改造移位，新电箱及断路器安装；</w:t>
            </w:r>
          </w:p>
          <w:p w14:paraId="7A31E76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5、插座：工位配备相应的国标插座；</w:t>
            </w:r>
          </w:p>
          <w:p w14:paraId="6579096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6、辅料、脚手架、人工。</w:t>
            </w:r>
          </w:p>
          <w:p w14:paraId="6A4FA387">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二、文化墙</w:t>
            </w:r>
          </w:p>
          <w:p w14:paraId="5E19DAEA">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1、室内文化建设：根据现场实际情况定制文化挂牌、造型字、图案等产业文化用品；</w:t>
            </w:r>
          </w:p>
          <w:p w14:paraId="305E6211">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2、整体项目开始前，将原有房间内物品移至采购人指定位置，及施工时对原有地面的保护；结束后进行完工保洁，装修产生垃圾自行清理出校外；整体项目结束后进行完工保洁，装修产生垃圾自行清理出校外；</w:t>
            </w:r>
          </w:p>
          <w:p w14:paraId="2CA547C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3、辅料、脚手架、人工。</w:t>
            </w:r>
          </w:p>
          <w:p w14:paraId="109CE4D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三、设备安装调试</w:t>
            </w:r>
          </w:p>
          <w:p w14:paraId="6013BAAC">
            <w:pPr>
              <w:widowControl/>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含整体项目中的设备安装调试及培训。</w:t>
            </w:r>
          </w:p>
        </w:tc>
        <w:tc>
          <w:tcPr>
            <w:tcW w:w="255" w:type="pct"/>
            <w:vAlign w:val="center"/>
          </w:tcPr>
          <w:p w14:paraId="0744213F">
            <w:pPr>
              <w:widowControl/>
              <w:jc w:val="center"/>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1</w:t>
            </w:r>
          </w:p>
        </w:tc>
        <w:tc>
          <w:tcPr>
            <w:tcW w:w="207" w:type="pct"/>
            <w:vAlign w:val="center"/>
          </w:tcPr>
          <w:p w14:paraId="3081B104">
            <w:pPr>
              <w:keepNext w:val="0"/>
              <w:keepLines w:val="0"/>
              <w:pageBreakBefore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项</w:t>
            </w:r>
          </w:p>
        </w:tc>
        <w:tc>
          <w:tcPr>
            <w:tcW w:w="266" w:type="pct"/>
            <w:vAlign w:val="center"/>
          </w:tcPr>
          <w:p w14:paraId="77A2F1EC">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工业</w:t>
            </w:r>
          </w:p>
        </w:tc>
        <w:tc>
          <w:tcPr>
            <w:tcW w:w="441" w:type="pct"/>
            <w:vAlign w:val="center"/>
          </w:tcPr>
          <w:p w14:paraId="28B2C964">
            <w:pPr>
              <w:keepNext w:val="0"/>
              <w:keepLines w:val="0"/>
              <w:pageBreakBefore w:val="0"/>
              <w:widowControl/>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否</w:t>
            </w:r>
          </w:p>
        </w:tc>
        <w:tc>
          <w:tcPr>
            <w:tcW w:w="327" w:type="pct"/>
            <w:vAlign w:val="center"/>
          </w:tcPr>
          <w:p w14:paraId="3D4473A4">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p>
        </w:tc>
      </w:tr>
    </w:tbl>
    <w:p w14:paraId="3BAC5F37">
      <w:pPr>
        <w:spacing w:line="360" w:lineRule="auto"/>
        <w:ind w:firstLine="437"/>
        <w:outlineLvl w:val="1"/>
        <w:rPr>
          <w:rFonts w:hint="eastAsia" w:ascii="宋体" w:hAnsi="宋体" w:eastAsia="宋体"/>
          <w:b/>
          <w:bCs/>
          <w:color w:val="auto"/>
          <w:sz w:val="24"/>
          <w:szCs w:val="18"/>
          <w:highlight w:val="none"/>
        </w:rPr>
        <w:sectPr>
          <w:pgSz w:w="16838" w:h="11905" w:orient="landscape"/>
          <w:pgMar w:top="1417" w:right="1440" w:bottom="1417" w:left="1440" w:header="850" w:footer="992" w:gutter="0"/>
          <w:cols w:space="0" w:num="1"/>
          <w:docGrid w:type="lines" w:linePitch="317" w:charSpace="0"/>
        </w:sectPr>
      </w:pPr>
      <w:bookmarkStart w:id="35" w:name="_Toc7421"/>
      <w:bookmarkStart w:id="36" w:name="_Toc4843"/>
      <w:r>
        <w:rPr>
          <w:rFonts w:hint="eastAsia" w:ascii="宋体" w:hAnsi="宋体" w:eastAsia="宋体"/>
          <w:b/>
          <w:bCs/>
          <w:color w:val="auto"/>
          <w:sz w:val="24"/>
          <w:szCs w:val="18"/>
          <w:highlight w:val="none"/>
        </w:rPr>
        <w:t>属于《节能产品政府采购品目清单》中政府强制采购的节能产品，则投标人所投产品投标时须提供市场监管总局公布的《参与实施政府采购节能产品认证机构目录》中的认证机构出具的、处于有效期内的节能产品认证证书，否则按无效标处理。</w:t>
      </w:r>
    </w:p>
    <w:p w14:paraId="7211EA8A">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bookmarkEnd w:id="35"/>
      <w:bookmarkEnd w:id="36"/>
    </w:p>
    <w:p w14:paraId="6015AA15">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投标报价包括对应本项目需求的全部货物及所需附件购置费、包装费、运输费、人工费、保险费、安装调试费、各种税费、资料费、售后服务费及完成项目应有的全部费用。采购人后期不予追加任何费用，请投标人综合考虑各种风险，谨慎报价。</w:t>
      </w:r>
    </w:p>
    <w:p w14:paraId="0C00EC5F">
      <w:pPr>
        <w:spacing w:line="360" w:lineRule="auto"/>
        <w:ind w:firstLine="437"/>
        <w:outlineLvl w:val="1"/>
        <w:rPr>
          <w:rFonts w:hint="eastAsia" w:ascii="宋体" w:hAnsi="宋体" w:eastAsia="宋体"/>
          <w:b/>
          <w:bCs/>
          <w:color w:val="auto"/>
          <w:sz w:val="24"/>
          <w:szCs w:val="18"/>
          <w:highlight w:val="none"/>
        </w:rPr>
      </w:pPr>
      <w:bookmarkStart w:id="37" w:name="_Toc15293"/>
      <w:bookmarkStart w:id="38" w:name="_Toc14698"/>
      <w:r>
        <w:rPr>
          <w:rFonts w:hint="eastAsia" w:ascii="宋体" w:hAnsi="宋体" w:eastAsia="宋体"/>
          <w:b/>
          <w:bCs/>
          <w:color w:val="auto"/>
          <w:sz w:val="24"/>
          <w:szCs w:val="18"/>
          <w:highlight w:val="none"/>
        </w:rPr>
        <w:t>四、其他要求</w:t>
      </w:r>
      <w:bookmarkEnd w:id="37"/>
      <w:bookmarkEnd w:id="38"/>
    </w:p>
    <w:p w14:paraId="37517848">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（一）货物的生产、安装、维修、检验、验收等按照以下原则执行：有国家标准的执行国家标准；无国家标准的执行行业标准；无行业标准的执行地方标准；无地方标准的执行企业标准。</w:t>
      </w:r>
    </w:p>
    <w:p w14:paraId="4A0041EC">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65D95BFA">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三）供货时所有货物（包括零部件）须为全新的、未使用过的原装正品，并完全符合国家质量标准，提供厂家出具的合格证书、有国家强制性认证要求的产品须提供相应证书，货物的技术参数及配置情况必须由投标人提供国家相关检测机构出具的检验报告、生产厂家公开发布的印刷资料等技术资料予以支持。没有技术资料支持的技术参数及配置不能视为响应。 (厂家出具的合格证书供货时提供)</w:t>
      </w:r>
    </w:p>
    <w:p w14:paraId="469B8743">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（四）技术支持</w:t>
      </w:r>
    </w:p>
    <w:p w14:paraId="19C79127">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1.中标人应向采购人提供全方位、及时而有效的技术支持和服务。</w:t>
      </w:r>
    </w:p>
    <w:p w14:paraId="3C7CA19D">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2.中标人负责供货、安装、调试。</w:t>
      </w:r>
    </w:p>
    <w:p w14:paraId="32173307">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3.中标人负责将货物的全部有关技术文件（外文应提供中文翻译资料，下同）、施工图纸、资料、测试、验收报告等汇集成册交付采购人，涉及进口的产品或部件配件软件等须提供中国海关进口货物报关单、完税证明及商检证明等材料。</w:t>
      </w:r>
    </w:p>
    <w:p w14:paraId="256E0B1B">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（五）质保及售后服务：</w:t>
      </w:r>
    </w:p>
    <w:p w14:paraId="5FB9BC28">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u w:val="none"/>
        </w:rPr>
        <w:t>中标人</w:t>
      </w:r>
      <w:r>
        <w:rPr>
          <w:rFonts w:hint="eastAsia" w:ascii="宋体" w:hAnsi="宋体" w:eastAsia="宋体"/>
          <w:b w:val="0"/>
          <w:color w:val="auto"/>
          <w:sz w:val="24"/>
          <w:highlight w:val="none"/>
          <w:u w:val="none"/>
          <w:lang w:val="en-US" w:eastAsia="zh-CN"/>
        </w:rPr>
        <w:t>至少</w:t>
      </w:r>
      <w:r>
        <w:rPr>
          <w:rFonts w:hint="eastAsia" w:ascii="宋体" w:hAnsi="宋体" w:eastAsia="宋体"/>
          <w:b w:val="0"/>
          <w:color w:val="auto"/>
          <w:sz w:val="24"/>
          <w:highlight w:val="none"/>
          <w:u w:val="none"/>
        </w:rPr>
        <w:t>提供</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年的免费质保</w:t>
      </w:r>
      <w:r>
        <w:rPr>
          <w:rFonts w:hint="eastAsia" w:ascii="宋体" w:hAnsi="宋体" w:eastAsia="宋体"/>
          <w:b w:val="0"/>
          <w:color w:val="auto"/>
          <w:sz w:val="24"/>
          <w:highlight w:val="none"/>
          <w:u w:val="none"/>
          <w:lang w:val="en-US" w:eastAsia="zh-CN"/>
        </w:rPr>
        <w:t>服务（自验收合格之日起）</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具体年限以投标人投标文件承诺为准</w:t>
      </w:r>
      <w:r>
        <w:rPr>
          <w:rFonts w:hint="eastAsia" w:ascii="宋体" w:hAnsi="宋体" w:eastAsia="宋体"/>
          <w:b w:val="0"/>
          <w:color w:val="auto"/>
          <w:sz w:val="24"/>
          <w:highlight w:val="none"/>
          <w:u w:val="none"/>
          <w:lang w:eastAsia="zh-CN"/>
        </w:rPr>
        <w:t>）</w:t>
      </w:r>
      <w:r>
        <w:rPr>
          <w:rFonts w:hint="eastAsia" w:ascii="宋体" w:hAnsi="宋体" w:eastAsia="宋体"/>
          <w:bCs/>
          <w:color w:val="auto"/>
          <w:sz w:val="24"/>
          <w:szCs w:val="18"/>
          <w:highlight w:val="none"/>
        </w:rPr>
        <w:t>。所有质保费用均已包含在投标报价中，质保期满后，应提供优先的有偿售后服务及按不高于投标文件中主要配件、易损件清单所报价格供应原厂零配件等。软件终身免费升级服务。</w:t>
      </w:r>
    </w:p>
    <w:p w14:paraId="5DCDBCD9">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2.中标人须设有维修服务电话，负责解答用户在货物使用中遇到的问题，及时提出解决问题的建议和操作方法。</w:t>
      </w:r>
    </w:p>
    <w:p w14:paraId="5A654A76">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3.售后服务响应时间：如货物出现故障，电话响应无法解决，中标人必须在接报修电话 24 小时内到现场并解决问题。</w:t>
      </w:r>
    </w:p>
    <w:p w14:paraId="74B7EE1C">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（六）培训：中标人负责为采购人操作人员提供操作及维护培训，直至其能熟练独立操作及日常维护与保养，简单故障诊断与排除。</w:t>
      </w:r>
    </w:p>
    <w:p w14:paraId="75C4A298">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（七）交货地点：滁州职业技术学院。</w:t>
      </w:r>
    </w:p>
    <w:p w14:paraId="05AA00AA">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（八）验收：</w:t>
      </w:r>
    </w:p>
    <w:p w14:paraId="0B439B83">
      <w:pPr>
        <w:wordWrap w:val="0"/>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采购人和相关部门按照国家规定标准验收，没有国家标准的按行业标准验收，无行业标准的按地方或企业标准验收，中标人予以配合。涉及安全、消防、环保等其他需要由质检或行业主管部门验收的项目，采购人须约请相关部门和专家参加项目验收。</w:t>
      </w:r>
    </w:p>
    <w:p w14:paraId="48AA30BB">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2.货物在验收时，投标人应提供发票、制造厂家出具的产品合格证书、装箱清单等, 涉及进口的产品、部件、配件等须提供中国海关进口货物报关单、完税证明及商检证明等材料；提供有关货物的操作规程和使用说明书，维护手册、保养修理所需的各种随机工具及相关设计、制造、检验、安装、技术性指导等文件和应由投标人提供的必要文件。</w:t>
      </w:r>
    </w:p>
    <w:p w14:paraId="15D04563">
      <w:pPr>
        <w:spacing w:line="360" w:lineRule="auto"/>
        <w:ind w:firstLine="437"/>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9C25AF">
      <w:pPr>
        <w:spacing w:line="360" w:lineRule="auto"/>
        <w:jc w:val="center"/>
        <w:outlineLvl w:val="0"/>
        <w:rPr>
          <w:rFonts w:hint="eastAsia" w:asciiTheme="minorEastAsia" w:hAnsiTheme="minorEastAsia" w:eastAsiaTheme="minorEastAsia"/>
          <w:b/>
          <w:color w:val="auto"/>
          <w:sz w:val="28"/>
          <w:highlight w:val="none"/>
        </w:rPr>
      </w:pPr>
      <w:bookmarkStart w:id="39" w:name="_Toc16417"/>
      <w:r>
        <w:rPr>
          <w:rFonts w:hint="eastAsia" w:asciiTheme="minorEastAsia" w:hAnsiTheme="minorEastAsia" w:eastAsiaTheme="minorEastAsia"/>
          <w:b/>
          <w:color w:val="auto"/>
          <w:sz w:val="28"/>
          <w:highlight w:val="none"/>
        </w:rPr>
        <w:t>第四章  评标方法和标准（综合评分法）</w:t>
      </w:r>
      <w:bookmarkEnd w:id="39"/>
    </w:p>
    <w:p w14:paraId="36FB348D">
      <w:pPr>
        <w:spacing w:line="360" w:lineRule="auto"/>
        <w:ind w:firstLine="437"/>
        <w:outlineLvl w:val="1"/>
        <w:rPr>
          <w:rFonts w:hint="eastAsia" w:asciiTheme="minorEastAsia" w:hAnsiTheme="minorEastAsia" w:eastAsiaTheme="minorEastAsia"/>
          <w:b/>
          <w:color w:val="auto"/>
          <w:sz w:val="24"/>
          <w:highlight w:val="none"/>
        </w:rPr>
      </w:pPr>
      <w:bookmarkStart w:id="40" w:name="_Toc1246"/>
      <w:bookmarkStart w:id="41" w:name="_Toc11823"/>
      <w:r>
        <w:rPr>
          <w:rFonts w:hint="eastAsia" w:asciiTheme="minorEastAsia" w:hAnsiTheme="minorEastAsia" w:eastAsiaTheme="minorEastAsia"/>
          <w:b/>
          <w:color w:val="auto"/>
          <w:sz w:val="24"/>
          <w:highlight w:val="none"/>
        </w:rPr>
        <w:t>一、总则</w:t>
      </w:r>
      <w:bookmarkEnd w:id="40"/>
      <w:bookmarkEnd w:id="41"/>
    </w:p>
    <w:p w14:paraId="19F1BC4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7527F94B">
      <w:pPr>
        <w:spacing w:line="360" w:lineRule="auto"/>
        <w:ind w:firstLine="437"/>
        <w:outlineLvl w:val="1"/>
        <w:rPr>
          <w:rFonts w:hint="eastAsia" w:asciiTheme="minorEastAsia" w:hAnsiTheme="minorEastAsia" w:eastAsiaTheme="minorEastAsia"/>
          <w:b/>
          <w:color w:val="auto"/>
          <w:sz w:val="24"/>
          <w:highlight w:val="none"/>
        </w:rPr>
      </w:pPr>
      <w:bookmarkStart w:id="42" w:name="_Toc31871"/>
      <w:bookmarkStart w:id="43" w:name="_Toc13117"/>
      <w:r>
        <w:rPr>
          <w:rFonts w:hint="eastAsia" w:asciiTheme="minorEastAsia" w:hAnsiTheme="minorEastAsia" w:eastAsiaTheme="minorEastAsia"/>
          <w:b/>
          <w:color w:val="auto"/>
          <w:sz w:val="24"/>
          <w:highlight w:val="none"/>
        </w:rPr>
        <w:t>二、评标方法</w:t>
      </w:r>
      <w:bookmarkEnd w:id="42"/>
      <w:bookmarkEnd w:id="43"/>
    </w:p>
    <w:p w14:paraId="40AD420F">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3"/>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796"/>
        <w:gridCol w:w="4964"/>
        <w:gridCol w:w="2062"/>
      </w:tblGrid>
      <w:tr w14:paraId="7F0E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AE99113">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5ED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6EF5068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941" w:type="pct"/>
            <w:tcBorders>
              <w:bottom w:val="single" w:color="auto" w:sz="4" w:space="0"/>
            </w:tcBorders>
            <w:vAlign w:val="center"/>
          </w:tcPr>
          <w:p w14:paraId="11869532">
            <w:pPr>
              <w:pStyle w:val="42"/>
              <w:pBdr>
                <w:bottom w:val="none" w:color="auto" w:sz="0" w:space="0"/>
              </w:pBdr>
              <w:tabs>
                <w:tab w:val="clear" w:pos="4153"/>
                <w:tab w:val="clear" w:pos="8306"/>
              </w:tabs>
              <w:snapToGrid w:val="0"/>
              <w:spacing w:line="360" w:lineRule="auto"/>
              <w:ind w:right="-10"/>
              <w:textAlignment w:val="auto"/>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2601" w:type="pct"/>
            <w:tcBorders>
              <w:bottom w:val="single" w:color="auto" w:sz="4" w:space="0"/>
            </w:tcBorders>
            <w:vAlign w:val="center"/>
          </w:tcPr>
          <w:p w14:paraId="42B470F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审查内容</w:t>
            </w:r>
          </w:p>
        </w:tc>
        <w:tc>
          <w:tcPr>
            <w:tcW w:w="1078" w:type="pct"/>
            <w:tcBorders>
              <w:bottom w:val="single" w:color="auto" w:sz="4" w:space="0"/>
            </w:tcBorders>
            <w:vAlign w:val="center"/>
          </w:tcPr>
          <w:p w14:paraId="55DEE12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629B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8" w:type="pct"/>
            <w:tcBorders>
              <w:bottom w:val="single" w:color="auto" w:sz="4" w:space="0"/>
            </w:tcBorders>
            <w:vAlign w:val="center"/>
          </w:tcPr>
          <w:p w14:paraId="694D4209">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941" w:type="pct"/>
            <w:tcBorders>
              <w:bottom w:val="single" w:color="auto" w:sz="4" w:space="0"/>
            </w:tcBorders>
            <w:vAlign w:val="center"/>
          </w:tcPr>
          <w:p w14:paraId="07E3D5CB">
            <w:pPr>
              <w:spacing w:after="50" w:line="360" w:lineRule="auto"/>
              <w:ind w:right="-10"/>
              <w:jc w:val="center"/>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1" w:type="pct"/>
            <w:tcBorders>
              <w:bottom w:val="single" w:color="auto" w:sz="4" w:space="0"/>
            </w:tcBorders>
            <w:vAlign w:val="center"/>
          </w:tcPr>
          <w:p w14:paraId="2D206A20">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1AD42113">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6E619164">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1D3135A">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29D30936">
            <w:pPr>
              <w:spacing w:after="50" w:line="360" w:lineRule="auto"/>
              <w:ind w:right="-1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1078" w:type="pct"/>
            <w:vAlign w:val="center"/>
          </w:tcPr>
          <w:p w14:paraId="6B7C513F">
            <w:pPr>
              <w:spacing w:line="360" w:lineRule="auto"/>
              <w:jc w:val="left"/>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5B23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8" w:type="pct"/>
            <w:tcBorders>
              <w:bottom w:val="single" w:color="auto" w:sz="4" w:space="0"/>
            </w:tcBorders>
            <w:vAlign w:val="center"/>
          </w:tcPr>
          <w:p w14:paraId="02DEF09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941" w:type="pct"/>
            <w:tcBorders>
              <w:bottom w:val="single" w:color="auto" w:sz="4" w:space="0"/>
            </w:tcBorders>
            <w:vAlign w:val="center"/>
          </w:tcPr>
          <w:p w14:paraId="4FE2BB42">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2601" w:type="pct"/>
            <w:tcBorders>
              <w:bottom w:val="single" w:color="auto" w:sz="4" w:space="0"/>
            </w:tcBorders>
            <w:vAlign w:val="center"/>
          </w:tcPr>
          <w:p w14:paraId="696248A5">
            <w:pPr>
              <w:spacing w:after="50" w:line="360" w:lineRule="auto"/>
              <w:ind w:right="-1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078" w:type="pct"/>
            <w:vAlign w:val="center"/>
          </w:tcPr>
          <w:p w14:paraId="75138E7F">
            <w:pPr>
              <w:spacing w:line="360" w:lineRule="auto"/>
              <w:jc w:val="left"/>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773D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7FF1CBD9">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941" w:type="pct"/>
            <w:tcBorders>
              <w:bottom w:val="single" w:color="auto" w:sz="4" w:space="0"/>
            </w:tcBorders>
            <w:vAlign w:val="center"/>
          </w:tcPr>
          <w:p w14:paraId="0E70A6B6">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1" w:type="pct"/>
            <w:tcBorders>
              <w:bottom w:val="single" w:color="auto" w:sz="4" w:space="0"/>
            </w:tcBorders>
            <w:vAlign w:val="center"/>
          </w:tcPr>
          <w:p w14:paraId="090CE335">
            <w:pPr>
              <w:spacing w:after="50" w:line="360" w:lineRule="auto"/>
              <w:ind w:right="-10"/>
              <w:jc w:val="left"/>
              <w:rPr>
                <w:rFonts w:hint="eastAsia"/>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8" w:type="pct"/>
            <w:tcBorders>
              <w:bottom w:val="single" w:color="auto" w:sz="4" w:space="0"/>
            </w:tcBorders>
            <w:vAlign w:val="center"/>
          </w:tcPr>
          <w:p w14:paraId="5CD1505C">
            <w:pPr>
              <w:spacing w:line="360" w:lineRule="auto"/>
              <w:jc w:val="left"/>
              <w:rPr>
                <w:rFonts w:hint="eastAsia"/>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7254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tcBorders>
              <w:bottom w:val="single" w:color="auto" w:sz="4" w:space="0"/>
            </w:tcBorders>
            <w:vAlign w:val="center"/>
          </w:tcPr>
          <w:p w14:paraId="77C33C4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4</w:t>
            </w:r>
          </w:p>
        </w:tc>
        <w:tc>
          <w:tcPr>
            <w:tcW w:w="941" w:type="pct"/>
            <w:tcBorders>
              <w:bottom w:val="single" w:color="auto" w:sz="4" w:space="0"/>
            </w:tcBorders>
            <w:vAlign w:val="center"/>
          </w:tcPr>
          <w:p w14:paraId="2F5FD024">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601" w:type="pct"/>
            <w:tcBorders>
              <w:bottom w:val="single" w:color="auto" w:sz="4" w:space="0"/>
            </w:tcBorders>
            <w:vAlign w:val="center"/>
          </w:tcPr>
          <w:p w14:paraId="18FF0883">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8" w:type="pct"/>
            <w:tcBorders>
              <w:bottom w:val="single" w:color="auto" w:sz="4" w:space="0"/>
            </w:tcBorders>
            <w:vAlign w:val="center"/>
          </w:tcPr>
          <w:p w14:paraId="7E76CF47">
            <w:pPr>
              <w:spacing w:after="50" w:line="360" w:lineRule="auto"/>
              <w:ind w:right="-10"/>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6F1F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1E140DA6">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5</w:t>
            </w:r>
          </w:p>
        </w:tc>
        <w:tc>
          <w:tcPr>
            <w:tcW w:w="941" w:type="pct"/>
            <w:vAlign w:val="center"/>
          </w:tcPr>
          <w:p w14:paraId="34D8973F">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本项目的特定资格要求</w:t>
            </w:r>
          </w:p>
        </w:tc>
        <w:tc>
          <w:tcPr>
            <w:tcW w:w="2601" w:type="pct"/>
            <w:vAlign w:val="center"/>
          </w:tcPr>
          <w:p w14:paraId="6E4DCC4D">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8" w:type="pct"/>
            <w:vAlign w:val="center"/>
          </w:tcPr>
          <w:p w14:paraId="7EAB58B4">
            <w:pPr>
              <w:spacing w:after="50" w:line="360" w:lineRule="auto"/>
              <w:ind w:right="-10"/>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7CF6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2D6C799E">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6</w:t>
            </w:r>
          </w:p>
        </w:tc>
        <w:tc>
          <w:tcPr>
            <w:tcW w:w="1798" w:type="dxa"/>
            <w:vAlign w:val="center"/>
          </w:tcPr>
          <w:p w14:paraId="0F691441">
            <w:pPr>
              <w:wordWrap w:val="0"/>
              <w:spacing w:after="50" w:line="360" w:lineRule="auto"/>
              <w:ind w:right="-10"/>
              <w:jc w:val="center"/>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诚信投标承诺书</w:t>
            </w:r>
          </w:p>
        </w:tc>
        <w:tc>
          <w:tcPr>
            <w:tcW w:w="4967" w:type="dxa"/>
            <w:vAlign w:val="center"/>
          </w:tcPr>
          <w:p w14:paraId="359AB29F">
            <w:pPr>
              <w:wordWrap w:val="0"/>
              <w:spacing w:after="50" w:line="360" w:lineRule="auto"/>
              <w:ind w:right="-10"/>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格式、填写要求符合招标文件规定并加盖投标人电子签章</w:t>
            </w:r>
          </w:p>
        </w:tc>
        <w:tc>
          <w:tcPr>
            <w:tcW w:w="2058" w:type="dxa"/>
            <w:vAlign w:val="center"/>
          </w:tcPr>
          <w:p w14:paraId="27D8274A">
            <w:pPr>
              <w:wordWrap w:val="0"/>
              <w:spacing w:after="50" w:line="360" w:lineRule="auto"/>
              <w:ind w:right="-10"/>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bl>
    <w:p w14:paraId="5C0F0F0D">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2D1D94D0">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129ACA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3"/>
        <w:tblW w:w="50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713"/>
        <w:gridCol w:w="3995"/>
        <w:gridCol w:w="2922"/>
      </w:tblGrid>
      <w:tr w14:paraId="7A2D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725C2C4F">
            <w:pPr>
              <w:adjustRightInd w:val="0"/>
              <w:snapToGrid w:val="0"/>
              <w:spacing w:line="360" w:lineRule="auto"/>
              <w:ind w:right="-10"/>
              <w:jc w:val="center"/>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04A3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440" w:type="pct"/>
            <w:tcBorders>
              <w:bottom w:val="single" w:color="auto" w:sz="4" w:space="0"/>
            </w:tcBorders>
            <w:vAlign w:val="center"/>
          </w:tcPr>
          <w:p w14:paraId="37E0F440">
            <w:pPr>
              <w:adjustRightInd w:val="0"/>
              <w:snapToGrid w:val="0"/>
              <w:spacing w:line="480" w:lineRule="exact"/>
              <w:ind w:right="-11"/>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905" w:type="pct"/>
            <w:tcBorders>
              <w:bottom w:val="single" w:color="auto" w:sz="4" w:space="0"/>
            </w:tcBorders>
            <w:vAlign w:val="center"/>
          </w:tcPr>
          <w:p w14:paraId="7EEA7CDE">
            <w:pPr>
              <w:pStyle w:val="42"/>
              <w:pBdr>
                <w:bottom w:val="none" w:color="auto" w:sz="0" w:space="0"/>
              </w:pBdr>
              <w:tabs>
                <w:tab w:val="clear" w:pos="4153"/>
                <w:tab w:val="clear" w:pos="8306"/>
              </w:tabs>
              <w:snapToGrid w:val="0"/>
              <w:spacing w:line="480" w:lineRule="exact"/>
              <w:ind w:right="-11"/>
              <w:textAlignment w:val="auto"/>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2111" w:type="pct"/>
            <w:tcBorders>
              <w:bottom w:val="single" w:color="auto" w:sz="4" w:space="0"/>
            </w:tcBorders>
            <w:vAlign w:val="center"/>
          </w:tcPr>
          <w:p w14:paraId="66528796">
            <w:pPr>
              <w:adjustRightInd w:val="0"/>
              <w:snapToGrid w:val="0"/>
              <w:spacing w:line="480" w:lineRule="exact"/>
              <w:ind w:right="-11"/>
              <w:jc w:val="center"/>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541" w:type="pct"/>
            <w:tcBorders>
              <w:bottom w:val="single" w:color="auto" w:sz="4" w:space="0"/>
            </w:tcBorders>
            <w:vAlign w:val="center"/>
          </w:tcPr>
          <w:p w14:paraId="275F9489">
            <w:pPr>
              <w:adjustRightInd w:val="0"/>
              <w:snapToGrid w:val="0"/>
              <w:spacing w:line="480" w:lineRule="exact"/>
              <w:ind w:right="-11"/>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05CA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3D38D85B">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05" w:type="pct"/>
            <w:vAlign w:val="center"/>
          </w:tcPr>
          <w:p w14:paraId="1AD2D96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2111" w:type="pct"/>
            <w:vAlign w:val="center"/>
          </w:tcPr>
          <w:p w14:paraId="5FFB2C96">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541" w:type="pct"/>
            <w:vAlign w:val="center"/>
          </w:tcPr>
          <w:p w14:paraId="2F9F3473">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5B69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CBA361A">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05" w:type="pct"/>
            <w:vAlign w:val="center"/>
          </w:tcPr>
          <w:p w14:paraId="4E436A99">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2111" w:type="pct"/>
            <w:vAlign w:val="center"/>
          </w:tcPr>
          <w:p w14:paraId="71B88ED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541" w:type="pct"/>
            <w:vAlign w:val="center"/>
          </w:tcPr>
          <w:p w14:paraId="4FA487B3">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2B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58DB2FC">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905" w:type="pct"/>
            <w:vAlign w:val="center"/>
          </w:tcPr>
          <w:p w14:paraId="7495C389">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111" w:type="pct"/>
            <w:vAlign w:val="center"/>
          </w:tcPr>
          <w:p w14:paraId="12C2E3FA">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541" w:type="pct"/>
            <w:vAlign w:val="center"/>
          </w:tcPr>
          <w:p w14:paraId="2D906B26">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3EF1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9BE6863">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05" w:type="pct"/>
            <w:vAlign w:val="center"/>
          </w:tcPr>
          <w:p w14:paraId="7DAECA49">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2111" w:type="pct"/>
            <w:vAlign w:val="center"/>
          </w:tcPr>
          <w:p w14:paraId="12C4EB26">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1541" w:type="pct"/>
            <w:vAlign w:val="center"/>
          </w:tcPr>
          <w:p w14:paraId="20712899">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5ECD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255A013">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905" w:type="pct"/>
            <w:vAlign w:val="center"/>
          </w:tcPr>
          <w:p w14:paraId="4D1992A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111" w:type="pct"/>
            <w:vAlign w:val="center"/>
          </w:tcPr>
          <w:p w14:paraId="6CD21DB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1541" w:type="pct"/>
            <w:vAlign w:val="center"/>
          </w:tcPr>
          <w:p w14:paraId="002ED430">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3F87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35C6D096">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905" w:type="pct"/>
            <w:vAlign w:val="center"/>
          </w:tcPr>
          <w:p w14:paraId="5A915EFD">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111" w:type="pct"/>
            <w:vAlign w:val="center"/>
          </w:tcPr>
          <w:p w14:paraId="67394AE6">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1541" w:type="pct"/>
            <w:vAlign w:val="center"/>
          </w:tcPr>
          <w:p w14:paraId="4DF86823">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CAB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0796BB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905" w:type="pct"/>
            <w:vAlign w:val="center"/>
          </w:tcPr>
          <w:p w14:paraId="3AAE0128">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111" w:type="pct"/>
            <w:vAlign w:val="center"/>
          </w:tcPr>
          <w:p w14:paraId="21D46057">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541" w:type="pct"/>
            <w:vAlign w:val="center"/>
          </w:tcPr>
          <w:p w14:paraId="63368BCE">
            <w:pPr>
              <w:adjustRightInd w:val="0"/>
              <w:snapToGrid w:val="0"/>
              <w:spacing w:line="360" w:lineRule="auto"/>
              <w:ind w:right="-10"/>
              <w:jc w:val="center"/>
              <w:rPr>
                <w:rFonts w:hint="eastAsia" w:asciiTheme="minorEastAsia" w:hAnsiTheme="minorEastAsia" w:eastAsiaTheme="minorEastAsia"/>
                <w:color w:val="auto"/>
                <w:sz w:val="24"/>
                <w:highlight w:val="none"/>
              </w:rPr>
            </w:pPr>
          </w:p>
        </w:tc>
      </w:tr>
    </w:tbl>
    <w:p w14:paraId="37A7818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37A2601D">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2.3异常低价投标审查</w:t>
      </w:r>
    </w:p>
    <w:tbl>
      <w:tblPr>
        <w:tblStyle w:val="23"/>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38B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490FDD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s="Times New Roman"/>
                <w:b/>
                <w:bCs/>
                <w:color w:val="auto"/>
                <w:sz w:val="24"/>
                <w:highlight w:val="none"/>
              </w:rPr>
              <w:t>异常低价投标审查表</w:t>
            </w:r>
          </w:p>
        </w:tc>
      </w:tr>
      <w:tr w14:paraId="0B91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3D11B06C">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序号</w:t>
            </w:r>
          </w:p>
        </w:tc>
        <w:tc>
          <w:tcPr>
            <w:tcW w:w="1450" w:type="dxa"/>
            <w:tcBorders>
              <w:bottom w:val="single" w:color="auto" w:sz="4" w:space="0"/>
            </w:tcBorders>
            <w:vAlign w:val="center"/>
          </w:tcPr>
          <w:p w14:paraId="1685EC71">
            <w:pPr>
              <w:spacing w:line="360" w:lineRule="auto"/>
              <w:ind w:firstLine="240" w:firstLineChars="100"/>
              <w:jc w:val="center"/>
              <w:rPr>
                <w:rFonts w:hint="eastAsia" w:ascii="宋体" w:hAnsi="宋体" w:eastAsia="宋体"/>
                <w:color w:val="auto"/>
                <w:szCs w:val="24"/>
                <w:highlight w:val="none"/>
              </w:rPr>
            </w:pPr>
            <w:r>
              <w:rPr>
                <w:rFonts w:hint="eastAsia" w:ascii="宋体" w:hAnsi="宋体" w:eastAsia="宋体" w:cs="Times New Roman"/>
                <w:color w:val="auto"/>
                <w:sz w:val="24"/>
                <w:highlight w:val="none"/>
              </w:rPr>
              <w:t>评审指标</w:t>
            </w:r>
          </w:p>
        </w:tc>
        <w:tc>
          <w:tcPr>
            <w:tcW w:w="4439" w:type="dxa"/>
            <w:tcBorders>
              <w:bottom w:val="single" w:color="auto" w:sz="4" w:space="0"/>
            </w:tcBorders>
            <w:vAlign w:val="center"/>
          </w:tcPr>
          <w:p w14:paraId="48227F1E">
            <w:pPr>
              <w:spacing w:line="360" w:lineRule="auto"/>
              <w:ind w:firstLine="240" w:firstLineChars="100"/>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评审标准</w:t>
            </w:r>
          </w:p>
        </w:tc>
        <w:tc>
          <w:tcPr>
            <w:tcW w:w="2260" w:type="dxa"/>
            <w:tcBorders>
              <w:bottom w:val="single" w:color="auto" w:sz="4" w:space="0"/>
            </w:tcBorders>
            <w:vAlign w:val="center"/>
          </w:tcPr>
          <w:p w14:paraId="75A52B50">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格式及材料要求</w:t>
            </w:r>
          </w:p>
        </w:tc>
      </w:tr>
      <w:tr w14:paraId="398B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05" w:type="dxa"/>
            <w:tcBorders>
              <w:bottom w:val="single" w:color="auto" w:sz="4" w:space="0"/>
            </w:tcBorders>
            <w:vAlign w:val="center"/>
          </w:tcPr>
          <w:p w14:paraId="03712B20">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450" w:type="dxa"/>
            <w:tcBorders>
              <w:bottom w:val="single" w:color="auto" w:sz="4" w:space="0"/>
            </w:tcBorders>
            <w:vAlign w:val="center"/>
          </w:tcPr>
          <w:p w14:paraId="6544B483">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异常低价投标审查</w:t>
            </w:r>
          </w:p>
        </w:tc>
        <w:tc>
          <w:tcPr>
            <w:tcW w:w="4439" w:type="dxa"/>
            <w:tcBorders>
              <w:bottom w:val="single" w:color="auto" w:sz="4" w:space="0"/>
            </w:tcBorders>
            <w:vAlign w:val="center"/>
          </w:tcPr>
          <w:p w14:paraId="2B9A75F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（1）投标报价＜全部通过符合性审查投标人投标报价平均值×</w:t>
            </w:r>
            <w:r>
              <w:rPr>
                <w:rFonts w:hint="eastAsia" w:ascii="宋体" w:hAnsi="宋体" w:eastAsia="宋体" w:cs="宋体"/>
                <w:color w:val="auto"/>
                <w:sz w:val="24"/>
                <w:szCs w:val="24"/>
                <w:highlight w:val="none"/>
                <w:u w:val="single"/>
                <w:lang w:val="en-US" w:eastAsia="zh-CN"/>
              </w:rPr>
              <w:t>65</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388BFE3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（2）投标报价＜通过符合性审查的次低报价投标人投标报价×</w:t>
            </w:r>
            <w:r>
              <w:rPr>
                <w:rFonts w:hint="eastAsia" w:ascii="宋体" w:hAnsi="宋体" w:eastAsia="宋体" w:cs="宋体"/>
                <w:color w:val="auto"/>
                <w:sz w:val="24"/>
                <w:szCs w:val="24"/>
                <w:highlight w:val="none"/>
                <w:u w:val="single"/>
                <w:lang w:val="en-US" w:eastAsia="zh-CN"/>
              </w:rPr>
              <w:t>65</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6A29628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（3）投标报价＜采购项目最高限价（</w:t>
            </w:r>
            <w:r>
              <w:rPr>
                <w:rFonts w:hint="eastAsia" w:ascii="宋体" w:hAnsi="宋体" w:eastAsia="宋体" w:cs="宋体"/>
                <w:color w:val="auto"/>
                <w:sz w:val="24"/>
                <w:highlight w:val="none"/>
              </w:rPr>
              <w:t>如采购项目未设定最高限价的，以采购项目预算金额作为最高限价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65%</w:t>
            </w:r>
            <w:r>
              <w:rPr>
                <w:rFonts w:hint="eastAsia" w:ascii="宋体" w:hAnsi="宋体" w:eastAsia="宋体" w:cs="宋体"/>
                <w:color w:val="auto"/>
                <w:sz w:val="24"/>
                <w:szCs w:val="24"/>
                <w:highlight w:val="none"/>
              </w:rPr>
              <w:t>；</w:t>
            </w:r>
          </w:p>
          <w:p w14:paraId="2AF026C8">
            <w:pPr>
              <w:pStyle w:val="7"/>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（4）评标委员会基于专业判断，认为投标人报价过低，有可能影响产品质量或者不能诚信履约的其他情形。</w:t>
            </w:r>
          </w:p>
          <w:p w14:paraId="23C179B8">
            <w:pPr>
              <w:pStyle w:val="7"/>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提醒：</w:t>
            </w:r>
          </w:p>
          <w:p w14:paraId="0B014BAB">
            <w:pPr>
              <w:pStyle w:val="7"/>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上述</w:t>
            </w:r>
            <w:r>
              <w:rPr>
                <w:rFonts w:hint="eastAsia" w:ascii="宋体" w:hAnsi="宋体" w:eastAsia="宋体"/>
                <w:color w:val="auto"/>
                <w:sz w:val="24"/>
                <w:highlight w:val="none"/>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83833C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4F028160">
      <w:pPr>
        <w:spacing w:line="360" w:lineRule="auto"/>
        <w:rPr>
          <w:rFonts w:hint="eastAsia" w:ascii="宋体" w:hAnsi="宋体" w:eastAsia="宋体" w:cs="Arial"/>
          <w:color w:val="auto"/>
          <w:sz w:val="24"/>
          <w:highlight w:val="none"/>
        </w:rPr>
      </w:pPr>
      <w:r>
        <w:rPr>
          <w:rFonts w:hint="eastAsia" w:ascii="宋体" w:hAnsi="宋体" w:eastAsia="宋体" w:cs="Times New Roman"/>
          <w:color w:val="auto"/>
          <w:sz w:val="24"/>
          <w:highlight w:val="none"/>
        </w:rPr>
        <w:t>注：</w:t>
      </w:r>
    </w:p>
    <w:p w14:paraId="7B457B81">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w:t>
      </w:r>
      <w:r>
        <w:rPr>
          <w:rFonts w:ascii="宋体" w:hAnsi="宋体" w:eastAsia="宋体"/>
          <w:color w:val="auto"/>
          <w:sz w:val="24"/>
          <w:highlight w:val="none"/>
        </w:rPr>
        <w:t>202</w:t>
      </w:r>
      <w:r>
        <w:rPr>
          <w:rFonts w:hint="eastAsia" w:ascii="宋体" w:hAnsi="宋体" w:eastAsia="宋体"/>
          <w:color w:val="auto"/>
          <w:sz w:val="24"/>
          <w:highlight w:val="none"/>
        </w:rPr>
        <w:t>6</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号</w:t>
      </w:r>
      <w:r>
        <w:rPr>
          <w:rFonts w:hint="eastAsia" w:ascii="宋体" w:hAnsi="宋体" w:eastAsia="宋体"/>
          <w:color w:val="auto"/>
          <w:sz w:val="24"/>
          <w:highlight w:val="none"/>
        </w:rPr>
        <w:t>），采购人可以结合具体项目实际情况，提高上述</w:t>
      </w:r>
      <w:r>
        <w:rPr>
          <w:rFonts w:hint="eastAsia" w:ascii="宋体" w:hAnsi="宋体" w:eastAsia="宋体" w:cs="Times New Roman"/>
          <w:color w:val="auto"/>
          <w:sz w:val="24"/>
          <w:highlight w:val="none"/>
        </w:rPr>
        <w:t>评审标准</w:t>
      </w:r>
      <w:r>
        <w:rPr>
          <w:rFonts w:hint="eastAsia" w:ascii="宋体" w:hAnsi="宋体" w:eastAsia="宋体"/>
          <w:color w:val="auto"/>
          <w:sz w:val="24"/>
          <w:highlight w:val="none"/>
        </w:rPr>
        <w:t>第（1）项至第（3）项中的数值标准，但是最高不得超过65%。</w:t>
      </w:r>
    </w:p>
    <w:p w14:paraId="1A071BDD">
      <w:pPr>
        <w:spacing w:line="360" w:lineRule="auto"/>
        <w:ind w:firstLine="480" w:firstLineChars="200"/>
        <w:rPr>
          <w:rFonts w:hint="eastAsia"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1CABF238">
      <w:pPr>
        <w:pStyle w:val="7"/>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262C0784">
      <w:pPr>
        <w:pStyle w:val="7"/>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49D55E2D">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2.4详细审查</w:t>
      </w:r>
    </w:p>
    <w:p w14:paraId="285FBC7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784909A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rPr>
        <w:t>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rPr>
        <w:t>30</w:t>
      </w:r>
      <w:r>
        <w:rPr>
          <w:rFonts w:asciiTheme="minorEastAsia" w:hAnsiTheme="minorEastAsia" w:eastAsiaTheme="minorEastAsia"/>
          <w:color w:val="auto"/>
          <w:sz w:val="24"/>
          <w:highlight w:val="none"/>
        </w:rPr>
        <w:t>%。具体评分细则如下：</w:t>
      </w:r>
    </w:p>
    <w:tbl>
      <w:tblPr>
        <w:tblStyle w:val="23"/>
        <w:tblW w:w="52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1414"/>
        <w:gridCol w:w="5977"/>
        <w:gridCol w:w="1169"/>
      </w:tblGrid>
      <w:tr w14:paraId="210E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27" w:type="pct"/>
            <w:tcBorders>
              <w:top w:val="single" w:color="auto" w:sz="4" w:space="0"/>
              <w:left w:val="single" w:color="auto" w:sz="4" w:space="0"/>
              <w:bottom w:val="single" w:color="auto" w:sz="4" w:space="0"/>
              <w:right w:val="single" w:color="auto" w:sz="4" w:space="0"/>
            </w:tcBorders>
            <w:vAlign w:val="center"/>
          </w:tcPr>
          <w:p w14:paraId="3A893938">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722" w:type="pct"/>
            <w:tcBorders>
              <w:top w:val="single" w:color="auto" w:sz="4" w:space="0"/>
              <w:left w:val="single" w:color="auto" w:sz="4" w:space="0"/>
              <w:bottom w:val="single" w:color="auto" w:sz="4" w:space="0"/>
              <w:right w:val="single" w:color="auto" w:sz="4" w:space="0"/>
            </w:tcBorders>
            <w:vAlign w:val="center"/>
          </w:tcPr>
          <w:p w14:paraId="14068F5B">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53" w:type="pct"/>
            <w:tcBorders>
              <w:top w:val="single" w:color="auto" w:sz="4" w:space="0"/>
              <w:left w:val="single" w:color="auto" w:sz="4" w:space="0"/>
              <w:bottom w:val="single" w:color="auto" w:sz="4" w:space="0"/>
              <w:right w:val="single" w:color="auto" w:sz="4" w:space="0"/>
            </w:tcBorders>
            <w:vAlign w:val="center"/>
          </w:tcPr>
          <w:p w14:paraId="2F9E0AE8">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96" w:type="pct"/>
            <w:tcBorders>
              <w:top w:val="single" w:color="auto" w:sz="4" w:space="0"/>
              <w:left w:val="single" w:color="auto" w:sz="4" w:space="0"/>
              <w:bottom w:val="single" w:color="auto" w:sz="4" w:space="0"/>
              <w:right w:val="single" w:color="auto" w:sz="4" w:space="0"/>
            </w:tcBorders>
            <w:vAlign w:val="center"/>
          </w:tcPr>
          <w:p w14:paraId="204AEBE6">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5615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jc w:val="center"/>
        </w:trPr>
        <w:tc>
          <w:tcPr>
            <w:tcW w:w="627" w:type="pct"/>
            <w:vMerge w:val="restart"/>
            <w:tcBorders>
              <w:top w:val="single" w:color="auto" w:sz="4" w:space="0"/>
              <w:left w:val="single" w:color="auto" w:sz="4" w:space="0"/>
              <w:right w:val="single" w:color="auto" w:sz="4" w:space="0"/>
            </w:tcBorders>
            <w:vAlign w:val="center"/>
          </w:tcPr>
          <w:p w14:paraId="5C7CD238">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技术资信分</w:t>
            </w:r>
          </w:p>
          <w:p w14:paraId="127C554B">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70</w:t>
            </w:r>
            <w:r>
              <w:rPr>
                <w:rFonts w:hint="eastAsia" w:asciiTheme="minorEastAsia" w:hAnsiTheme="minorEastAsia" w:eastAsiaTheme="minorEastAsia"/>
                <w:color w:val="auto"/>
                <w:sz w:val="24"/>
                <w:highlight w:val="none"/>
              </w:rPr>
              <w:t>分）</w:t>
            </w:r>
          </w:p>
        </w:tc>
        <w:tc>
          <w:tcPr>
            <w:tcW w:w="722" w:type="pct"/>
            <w:tcBorders>
              <w:top w:val="single" w:color="auto" w:sz="4" w:space="0"/>
              <w:left w:val="single" w:color="auto" w:sz="4" w:space="0"/>
              <w:right w:val="single" w:color="auto" w:sz="4" w:space="0"/>
            </w:tcBorders>
            <w:vAlign w:val="center"/>
          </w:tcPr>
          <w:p w14:paraId="0BE8B62D">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投标人业绩</w:t>
            </w:r>
          </w:p>
        </w:tc>
        <w:tc>
          <w:tcPr>
            <w:tcW w:w="3053" w:type="pct"/>
            <w:tcBorders>
              <w:top w:val="single" w:color="auto" w:sz="4" w:space="0"/>
              <w:left w:val="single" w:color="auto" w:sz="4" w:space="0"/>
              <w:right w:val="single" w:color="auto" w:sz="4" w:space="0"/>
            </w:tcBorders>
            <w:vAlign w:val="center"/>
          </w:tcPr>
          <w:p w14:paraId="463D51A9">
            <w:pPr>
              <w:keepNext w:val="0"/>
              <w:keepLines/>
              <w:pageBreakBefore w:val="0"/>
              <w:widowControl w:val="0"/>
              <w:kinsoku w:val="0"/>
              <w:wordWrap w:val="0"/>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自2021年1月1日以来(以合同签订时间为准)，投标人具有实训室建设项目（合同内容中含人工智能相关产品）业绩，每提供一个业绩得2分，满分4分。</w:t>
            </w:r>
          </w:p>
          <w:p w14:paraId="5DCBEF53">
            <w:pPr>
              <w:keepNext w:val="0"/>
              <w:keepLines/>
              <w:pageBreakBefore w:val="0"/>
              <w:widowControl w:val="0"/>
              <w:kinsoku w:val="0"/>
              <w:wordWrap w:val="0"/>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bCs/>
                <w:color w:val="auto"/>
                <w:sz w:val="24"/>
                <w:highlight w:val="none"/>
              </w:rPr>
            </w:pPr>
            <w:r>
              <w:rPr>
                <w:rFonts w:hint="eastAsia" w:asciiTheme="minorEastAsia" w:hAnsiTheme="minorEastAsia" w:eastAsiaTheme="minorEastAsia"/>
                <w:b/>
                <w:bCs w:val="0"/>
                <w:color w:val="auto"/>
                <w:sz w:val="24"/>
                <w:highlight w:val="none"/>
              </w:rPr>
              <w:t>注：提供合同扫描件，业绩时间以合同签订时间为准，若以上证明材料无法体现项目内容等关键评审因素的，须同时提供业主（合同甲方）出具的证明材料扫描件。</w:t>
            </w:r>
          </w:p>
        </w:tc>
        <w:tc>
          <w:tcPr>
            <w:tcW w:w="596" w:type="pct"/>
            <w:tcBorders>
              <w:top w:val="single" w:color="auto" w:sz="4" w:space="0"/>
              <w:left w:val="single" w:color="auto" w:sz="4" w:space="0"/>
              <w:bottom w:val="single" w:color="auto" w:sz="4" w:space="0"/>
              <w:right w:val="single" w:color="auto" w:sz="4" w:space="0"/>
            </w:tcBorders>
            <w:vAlign w:val="center"/>
          </w:tcPr>
          <w:p w14:paraId="34053CF9">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0-4分</w:t>
            </w:r>
          </w:p>
        </w:tc>
      </w:tr>
      <w:tr w14:paraId="6289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jc w:val="center"/>
        </w:trPr>
        <w:tc>
          <w:tcPr>
            <w:tcW w:w="627" w:type="pct"/>
            <w:vMerge w:val="continue"/>
            <w:tcBorders>
              <w:left w:val="single" w:color="auto" w:sz="4" w:space="0"/>
              <w:right w:val="single" w:color="auto" w:sz="4" w:space="0"/>
            </w:tcBorders>
            <w:vAlign w:val="center"/>
          </w:tcPr>
          <w:p w14:paraId="3C6CA775">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p>
        </w:tc>
        <w:tc>
          <w:tcPr>
            <w:tcW w:w="722" w:type="pct"/>
            <w:tcBorders>
              <w:top w:val="single" w:color="auto" w:sz="4" w:space="0"/>
              <w:left w:val="single" w:color="auto" w:sz="4" w:space="0"/>
              <w:right w:val="single" w:color="auto" w:sz="4" w:space="0"/>
            </w:tcBorders>
            <w:vAlign w:val="center"/>
          </w:tcPr>
          <w:p w14:paraId="6E697E69">
            <w:pPr>
              <w:spacing w:line="360" w:lineRule="auto"/>
              <w:jc w:val="center"/>
              <w:rPr>
                <w:rFonts w:hint="eastAsia" w:asciiTheme="minorEastAsia" w:hAnsiTheme="minorEastAsia" w:eastAsiaTheme="minorEastAsia"/>
                <w:bCs/>
                <w:color w:val="auto"/>
                <w:sz w:val="24"/>
                <w:highlight w:val="none"/>
              </w:rPr>
            </w:pPr>
            <w:r>
              <w:rPr>
                <w:rFonts w:hint="eastAsia" w:ascii="宋体" w:hAnsi="宋体" w:eastAsia="宋体"/>
                <w:color w:val="auto"/>
                <w:sz w:val="24"/>
                <w:highlight w:val="none"/>
              </w:rPr>
              <w:t>免费质保承诺</w:t>
            </w:r>
          </w:p>
        </w:tc>
        <w:tc>
          <w:tcPr>
            <w:tcW w:w="3053" w:type="pct"/>
            <w:tcBorders>
              <w:top w:val="single" w:color="auto" w:sz="4" w:space="0"/>
              <w:left w:val="single" w:color="auto" w:sz="4" w:space="0"/>
              <w:right w:val="single" w:color="auto" w:sz="4" w:space="0"/>
            </w:tcBorders>
            <w:vAlign w:val="center"/>
          </w:tcPr>
          <w:p w14:paraId="462FE35C">
            <w:pPr>
              <w:spacing w:line="360" w:lineRule="auto"/>
              <w:jc w:val="left"/>
              <w:rPr>
                <w:rFonts w:hint="eastAsia" w:ascii="宋体" w:hAnsi="宋体" w:eastAsia="宋体"/>
                <w:color w:val="auto"/>
                <w:sz w:val="24"/>
                <w:highlight w:val="none"/>
              </w:rPr>
            </w:pPr>
            <w:r>
              <w:rPr>
                <w:rFonts w:ascii="宋体" w:hAnsi="宋体" w:eastAsia="宋体"/>
                <w:color w:val="auto"/>
                <w:sz w:val="24"/>
                <w:highlight w:val="none"/>
              </w:rPr>
              <w:t>投标人在满足招标文件要求的免费质保期（</w:t>
            </w:r>
            <w:r>
              <w:rPr>
                <w:rFonts w:hint="eastAsia" w:ascii="宋体" w:hAnsi="宋体" w:eastAsia="宋体"/>
                <w:color w:val="auto"/>
                <w:sz w:val="24"/>
                <w:highlight w:val="none"/>
              </w:rPr>
              <w:t>3</w:t>
            </w:r>
            <w:r>
              <w:rPr>
                <w:rFonts w:ascii="宋体" w:hAnsi="宋体" w:eastAsia="宋体"/>
                <w:color w:val="auto"/>
                <w:sz w:val="24"/>
                <w:highlight w:val="none"/>
              </w:rPr>
              <w:t>年）的基础上，承诺</w:t>
            </w:r>
            <w:r>
              <w:rPr>
                <w:rFonts w:hint="eastAsia" w:ascii="宋体" w:hAnsi="宋体" w:eastAsia="宋体"/>
                <w:color w:val="auto"/>
                <w:sz w:val="24"/>
                <w:highlight w:val="none"/>
              </w:rPr>
              <w:t>每</w:t>
            </w:r>
            <w:r>
              <w:rPr>
                <w:rFonts w:ascii="宋体" w:hAnsi="宋体" w:eastAsia="宋体"/>
                <w:color w:val="auto"/>
                <w:sz w:val="24"/>
                <w:highlight w:val="none"/>
              </w:rPr>
              <w:t>增加一年的免费质保期的加</w:t>
            </w:r>
            <w:r>
              <w:rPr>
                <w:rFonts w:hint="eastAsia" w:ascii="宋体" w:hAnsi="宋体" w:eastAsia="宋体"/>
                <w:color w:val="auto"/>
                <w:sz w:val="24"/>
                <w:highlight w:val="none"/>
              </w:rPr>
              <w:t>2</w:t>
            </w:r>
            <w:r>
              <w:rPr>
                <w:rFonts w:ascii="宋体" w:hAnsi="宋体" w:eastAsia="宋体"/>
                <w:color w:val="auto"/>
                <w:sz w:val="24"/>
                <w:highlight w:val="none"/>
              </w:rPr>
              <w:t>分，本项最多得</w:t>
            </w:r>
            <w:r>
              <w:rPr>
                <w:rFonts w:hint="eastAsia" w:ascii="宋体" w:hAnsi="宋体" w:eastAsia="宋体"/>
                <w:color w:val="auto"/>
                <w:sz w:val="24"/>
                <w:highlight w:val="none"/>
                <w:lang w:val="en-US" w:eastAsia="zh-CN"/>
              </w:rPr>
              <w:t>4</w:t>
            </w:r>
            <w:r>
              <w:rPr>
                <w:rFonts w:ascii="宋体" w:hAnsi="宋体" w:eastAsia="宋体"/>
                <w:color w:val="auto"/>
                <w:sz w:val="24"/>
                <w:highlight w:val="none"/>
              </w:rPr>
              <w:t>分（质保期限增加时间不满一个整年度的不计分），提供承诺书</w:t>
            </w:r>
            <w:r>
              <w:rPr>
                <w:rFonts w:hint="eastAsia" w:ascii="宋体" w:hAnsi="宋体" w:eastAsia="宋体"/>
                <w:color w:val="auto"/>
                <w:sz w:val="24"/>
                <w:highlight w:val="none"/>
              </w:rPr>
              <w:t>并加盖投标人公章</w:t>
            </w:r>
            <w:r>
              <w:rPr>
                <w:rFonts w:ascii="宋体" w:hAnsi="宋体" w:eastAsia="宋体"/>
                <w:color w:val="auto"/>
                <w:sz w:val="24"/>
                <w:highlight w:val="none"/>
              </w:rPr>
              <w:t>，写明质保年限，格式自拟。</w:t>
            </w:r>
          </w:p>
          <w:p w14:paraId="61371192">
            <w:pPr>
              <w:spacing w:line="360" w:lineRule="auto"/>
              <w:jc w:val="left"/>
              <w:rPr>
                <w:rFonts w:hint="eastAsia" w:asciiTheme="minorEastAsia" w:hAnsiTheme="minorEastAsia" w:eastAsiaTheme="minorEastAsia"/>
                <w:bCs/>
                <w:color w:val="auto"/>
                <w:sz w:val="24"/>
                <w:highlight w:val="none"/>
              </w:rPr>
            </w:pPr>
            <w:r>
              <w:rPr>
                <w:rFonts w:ascii="宋体" w:hAnsi="宋体" w:eastAsia="宋体"/>
                <w:b/>
                <w:bCs/>
                <w:color w:val="auto"/>
                <w:sz w:val="24"/>
                <w:highlight w:val="none"/>
              </w:rPr>
              <w:t>注：以投标文件中投标人承诺的免费质保期为评审依据</w:t>
            </w:r>
            <w:r>
              <w:rPr>
                <w:rFonts w:hint="eastAsia" w:ascii="宋体" w:hAnsi="宋体" w:eastAsia="宋体"/>
                <w:b/>
                <w:bCs/>
                <w:color w:val="auto"/>
                <w:sz w:val="24"/>
                <w:highlight w:val="none"/>
              </w:rPr>
              <w:t>，未提供或不符合要求的不得分</w:t>
            </w:r>
            <w:r>
              <w:rPr>
                <w:rFonts w:ascii="宋体" w:hAnsi="宋体" w:eastAsia="宋体"/>
                <w:b/>
                <w:bCs/>
                <w:color w:val="auto"/>
                <w:sz w:val="24"/>
                <w:highlight w:val="none"/>
              </w:rPr>
              <w:t>。</w:t>
            </w:r>
          </w:p>
        </w:tc>
        <w:tc>
          <w:tcPr>
            <w:tcW w:w="596" w:type="pct"/>
            <w:tcBorders>
              <w:top w:val="single" w:color="auto" w:sz="4" w:space="0"/>
              <w:left w:val="single" w:color="auto" w:sz="4" w:space="0"/>
              <w:bottom w:val="single" w:color="auto" w:sz="4" w:space="0"/>
              <w:right w:val="single" w:color="auto" w:sz="4" w:space="0"/>
            </w:tcBorders>
            <w:vAlign w:val="center"/>
          </w:tcPr>
          <w:p w14:paraId="159F2B0B">
            <w:pPr>
              <w:spacing w:line="360" w:lineRule="auto"/>
              <w:jc w:val="center"/>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0-4分</w:t>
            </w:r>
          </w:p>
        </w:tc>
      </w:tr>
      <w:tr w14:paraId="47B2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0" w:hRule="atLeast"/>
          <w:jc w:val="center"/>
        </w:trPr>
        <w:tc>
          <w:tcPr>
            <w:tcW w:w="627" w:type="pct"/>
            <w:vMerge w:val="continue"/>
            <w:tcBorders>
              <w:left w:val="single" w:color="auto" w:sz="4" w:space="0"/>
              <w:right w:val="single" w:color="auto" w:sz="4" w:space="0"/>
            </w:tcBorders>
            <w:vAlign w:val="center"/>
          </w:tcPr>
          <w:p w14:paraId="11769134">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p>
        </w:tc>
        <w:tc>
          <w:tcPr>
            <w:tcW w:w="722" w:type="pct"/>
            <w:tcBorders>
              <w:top w:val="single" w:color="auto" w:sz="4" w:space="0"/>
              <w:left w:val="single" w:color="auto" w:sz="4" w:space="0"/>
              <w:right w:val="single" w:color="auto" w:sz="4" w:space="0"/>
            </w:tcBorders>
            <w:vAlign w:val="center"/>
          </w:tcPr>
          <w:p w14:paraId="5A1A57AE">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Cs/>
                <w:color w:val="auto"/>
                <w:sz w:val="24"/>
                <w:highlight w:val="none"/>
              </w:rPr>
            </w:pPr>
            <w:r>
              <w:rPr>
                <w:rFonts w:hint="eastAsia" w:asciiTheme="minorEastAsia" w:hAnsiTheme="minorEastAsia" w:eastAsiaTheme="minorEastAsia"/>
                <w:color w:val="auto"/>
                <w:sz w:val="24"/>
                <w:highlight w:val="none"/>
              </w:rPr>
              <w:t>产品技术参数</w:t>
            </w:r>
          </w:p>
        </w:tc>
        <w:tc>
          <w:tcPr>
            <w:tcW w:w="3053" w:type="pct"/>
            <w:tcBorders>
              <w:top w:val="single" w:color="auto" w:sz="4" w:space="0"/>
              <w:left w:val="single" w:color="auto" w:sz="4" w:space="0"/>
              <w:right w:val="single" w:color="auto" w:sz="4" w:space="0"/>
            </w:tcBorders>
            <w:vAlign w:val="center"/>
          </w:tcPr>
          <w:p w14:paraId="7E1DA3E3">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Theme="minorEastAsia" w:hAnsiTheme="minorEastAsia" w:eastAsiaTheme="minorEastAsia"/>
                <w:bCs/>
                <w:color w:val="auto"/>
                <w:sz w:val="24"/>
                <w:highlight w:val="none"/>
                <w:lang w:val="en-US" w:eastAsia="zh-CN"/>
              </w:rPr>
            </w:pPr>
            <w:r>
              <w:rPr>
                <w:rFonts w:hint="eastAsia" w:asciiTheme="minorEastAsia" w:hAnsiTheme="minorEastAsia" w:eastAsiaTheme="minorEastAsia"/>
                <w:color w:val="auto"/>
                <w:sz w:val="24"/>
                <w:highlight w:val="none"/>
              </w:rPr>
              <w:t>根据投标人所提供</w:t>
            </w:r>
            <w:r>
              <w:rPr>
                <w:rFonts w:hint="eastAsia" w:asciiTheme="minorEastAsia" w:hAnsiTheme="minorEastAsia" w:eastAsiaTheme="minorEastAsia"/>
                <w:color w:val="auto"/>
                <w:sz w:val="24"/>
                <w:highlight w:val="none"/>
                <w:lang w:eastAsia="zh-CN"/>
              </w:rPr>
              <w:t>货物</w:t>
            </w:r>
            <w:r>
              <w:rPr>
                <w:rFonts w:hint="eastAsia" w:asciiTheme="minorEastAsia" w:hAnsiTheme="minorEastAsia" w:eastAsiaTheme="minorEastAsia"/>
                <w:color w:val="auto"/>
                <w:sz w:val="24"/>
                <w:highlight w:val="none"/>
              </w:rPr>
              <w:t>参数，对应招标文件中</w:t>
            </w:r>
            <w:r>
              <w:rPr>
                <w:rFonts w:hint="eastAsia" w:asciiTheme="minorEastAsia" w:hAnsiTheme="minorEastAsia" w:eastAsiaTheme="minorEastAsia"/>
                <w:color w:val="auto"/>
                <w:sz w:val="24"/>
                <w:highlight w:val="none"/>
                <w:lang w:eastAsia="zh-CN"/>
              </w:rPr>
              <w:t>货物需求中</w:t>
            </w:r>
            <w:r>
              <w:rPr>
                <w:rFonts w:hint="eastAsia" w:asciiTheme="minorEastAsia" w:hAnsiTheme="minorEastAsia" w:eastAsiaTheme="minorEastAsia"/>
                <w:color w:val="auto"/>
                <w:sz w:val="24"/>
                <w:highlight w:val="none"/>
              </w:rPr>
              <w:t>要求进行评分：</w:t>
            </w:r>
          </w:p>
          <w:p w14:paraId="595EC661">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default" w:ascii="宋体" w:hAnsi="宋体" w:eastAsia="宋体"/>
                <w:bCs/>
                <w:color w:val="auto"/>
                <w:sz w:val="24"/>
                <w:highlight w:val="none"/>
                <w:lang w:val="en-US"/>
              </w:rPr>
            </w:pPr>
            <w:r>
              <w:rPr>
                <w:rFonts w:hint="eastAsia" w:asciiTheme="minorEastAsia" w:hAnsiTheme="minorEastAsia" w:eastAsiaTheme="minorEastAsia"/>
                <w:bCs/>
                <w:color w:val="auto"/>
                <w:sz w:val="24"/>
                <w:highlight w:val="none"/>
                <w:lang w:val="en-US" w:eastAsia="zh-CN"/>
              </w:rPr>
              <w:t>1.技术参数中标注“★”的须全部满足，</w:t>
            </w:r>
            <w:r>
              <w:rPr>
                <w:rFonts w:hint="eastAsia" w:asciiTheme="minorEastAsia" w:hAnsiTheme="minorEastAsia" w:eastAsiaTheme="minorEastAsia"/>
                <w:color w:val="auto"/>
                <w:sz w:val="24"/>
                <w:highlight w:val="none"/>
                <w:lang w:val="en-US" w:eastAsia="zh-CN"/>
              </w:rPr>
              <w:t>不得负偏离，否则投标无效</w:t>
            </w:r>
            <w:r>
              <w:rPr>
                <w:rFonts w:hint="eastAsia" w:ascii="宋体" w:hAnsi="宋体" w:eastAsia="宋体"/>
                <w:b/>
                <w:color w:val="auto"/>
                <w:sz w:val="24"/>
                <w:highlight w:val="none"/>
              </w:rPr>
              <w:t>。</w:t>
            </w:r>
          </w:p>
          <w:p w14:paraId="1007EFFC">
            <w:pPr>
              <w:keepNext w:val="0"/>
              <w:keepLines/>
              <w:pageBreakBefore w:val="0"/>
              <w:widowControl w:val="0"/>
              <w:suppressLineNumbers w:val="0"/>
              <w:pBdr>
                <w:top w:val="none" w:color="auto" w:sz="0" w:space="0"/>
                <w:left w:val="none" w:color="auto" w:sz="0" w:space="0"/>
                <w:bottom w:val="none" w:color="auto" w:sz="0" w:space="0"/>
                <w:right w:val="none" w:color="auto" w:sz="0" w:space="0"/>
              </w:pBdr>
              <w:shd w:val="clear" w:fill="FFFFFF"/>
              <w:kinsoku w:val="0"/>
              <w:wordWrap w:val="0"/>
              <w:overflowPunct/>
              <w:topLinePunct w:val="0"/>
              <w:autoSpaceDE/>
              <w:autoSpaceDN/>
              <w:bidi w:val="0"/>
              <w:adjustRightInd/>
              <w:snapToGrid w:val="0"/>
              <w:spacing w:before="0" w:beforeAutospacing="0" w:after="0" w:afterAutospacing="0" w:line="440" w:lineRule="exact"/>
              <w:ind w:left="0" w:right="0" w:firstLine="0"/>
              <w:jc w:val="both"/>
              <w:textAlignment w:val="auto"/>
              <w:rPr>
                <w:rFonts w:hint="default" w:ascii="宋体" w:hAnsi="宋体" w:eastAsia="宋体" w:cs="宋体"/>
                <w:b w:val="0"/>
                <w:bCs/>
                <w:color w:val="auto"/>
                <w:kern w:val="0"/>
                <w:sz w:val="24"/>
                <w:szCs w:val="24"/>
                <w:highlight w:val="none"/>
                <w:lang w:val="en-US" w:eastAsia="zh-CN" w:bidi="ar"/>
              </w:rPr>
            </w:pPr>
            <w:r>
              <w:rPr>
                <w:rFonts w:hint="eastAsia" w:ascii="宋体" w:hAnsi="宋体" w:eastAsia="宋体"/>
                <w:bCs/>
                <w:color w:val="auto"/>
                <w:sz w:val="24"/>
                <w:highlight w:val="none"/>
                <w:lang w:val="en-US" w:eastAsia="zh-CN"/>
              </w:rPr>
              <w:t>2.</w:t>
            </w:r>
            <w:r>
              <w:rPr>
                <w:rFonts w:hint="eastAsia" w:ascii="宋体" w:hAnsi="宋体" w:eastAsia="宋体" w:cs="宋体"/>
                <w:b w:val="0"/>
                <w:bCs/>
                <w:color w:val="auto"/>
                <w:kern w:val="0"/>
                <w:sz w:val="24"/>
                <w:szCs w:val="24"/>
                <w:highlight w:val="none"/>
                <w:lang w:val="en-US" w:eastAsia="zh-CN" w:bidi="ar"/>
              </w:rPr>
              <w:t>技术参数中标“</w:t>
            </w:r>
            <w:r>
              <w:rPr>
                <w:rFonts w:hint="eastAsia" w:ascii="宋体" w:hAnsi="宋体" w:eastAsia="宋体" w:cs="@仿宋_GB2312"/>
                <w:bCs/>
                <w:color w:val="auto"/>
                <w:szCs w:val="20"/>
                <w:highlight w:val="none"/>
              </w:rPr>
              <w:t>▲</w:t>
            </w:r>
            <w:r>
              <w:rPr>
                <w:rFonts w:hint="eastAsia" w:ascii="宋体" w:hAnsi="宋体" w:eastAsia="宋体" w:cs="宋体"/>
                <w:b w:val="0"/>
                <w:bCs/>
                <w:color w:val="auto"/>
                <w:kern w:val="0"/>
                <w:sz w:val="24"/>
                <w:szCs w:val="24"/>
                <w:highlight w:val="none"/>
                <w:lang w:val="en-US" w:eastAsia="zh-CN" w:bidi="ar"/>
              </w:rPr>
              <w:t>”号每满足或优于一项指标，得</w:t>
            </w:r>
            <w:r>
              <w:rPr>
                <w:rFonts w:hint="eastAsia" w:ascii="宋体" w:hAnsi="宋体" w:cs="宋体"/>
                <w:b w:val="0"/>
                <w:bCs/>
                <w:color w:val="auto"/>
                <w:kern w:val="0"/>
                <w:sz w:val="24"/>
                <w:szCs w:val="24"/>
                <w:highlight w:val="none"/>
                <w:lang w:val="en-US" w:eastAsia="zh-CN" w:bidi="ar"/>
              </w:rPr>
              <w:t>1.5</w:t>
            </w:r>
            <w:r>
              <w:rPr>
                <w:rFonts w:hint="eastAsia" w:ascii="宋体" w:hAnsi="宋体" w:eastAsia="宋体" w:cs="宋体"/>
                <w:b w:val="0"/>
                <w:bCs/>
                <w:color w:val="auto"/>
                <w:kern w:val="0"/>
                <w:sz w:val="24"/>
                <w:szCs w:val="24"/>
                <w:highlight w:val="none"/>
                <w:lang w:val="en-US" w:eastAsia="zh-CN" w:bidi="ar"/>
              </w:rPr>
              <w:t>分</w:t>
            </w:r>
            <w:r>
              <w:rPr>
                <w:rFonts w:hint="eastAsia" w:ascii="宋体" w:hAnsi="宋体" w:eastAsia="宋体" w:cs="宋体"/>
                <w:b w:val="0"/>
                <w:bCs/>
                <w:color w:val="auto"/>
                <w:kern w:val="0"/>
                <w:sz w:val="24"/>
                <w:szCs w:val="24"/>
                <w:highlight w:val="none"/>
                <w:lang w:val="en-US" w:eastAsia="zh-CN" w:bidi="ar"/>
              </w:rPr>
              <w:t>，</w:t>
            </w:r>
            <w:r>
              <w:rPr>
                <w:rFonts w:hint="eastAsia" w:ascii="宋体" w:hAnsi="宋体" w:eastAsia="宋体" w:cs="宋体"/>
                <w:b w:val="0"/>
                <w:bCs/>
                <w:color w:val="auto"/>
                <w:kern w:val="0"/>
                <w:sz w:val="24"/>
                <w:szCs w:val="24"/>
                <w:highlight w:val="none"/>
                <w:lang w:val="en-US" w:eastAsia="zh-CN" w:bidi="ar"/>
              </w:rPr>
              <w:t>共</w:t>
            </w:r>
            <w:r>
              <w:rPr>
                <w:rFonts w:hint="eastAsia" w:ascii="宋体" w:hAnsi="宋体" w:cs="宋体"/>
                <w:b w:val="0"/>
                <w:bCs/>
                <w:color w:val="auto"/>
                <w:kern w:val="0"/>
                <w:sz w:val="24"/>
                <w:szCs w:val="24"/>
                <w:highlight w:val="none"/>
                <w:lang w:val="en-US" w:eastAsia="zh-CN" w:bidi="ar"/>
              </w:rPr>
              <w:t>28</w:t>
            </w:r>
            <w:r>
              <w:rPr>
                <w:rFonts w:hint="eastAsia" w:ascii="宋体" w:hAnsi="宋体" w:eastAsia="宋体" w:cs="宋体"/>
                <w:b w:val="0"/>
                <w:bCs/>
                <w:color w:val="auto"/>
                <w:kern w:val="0"/>
                <w:sz w:val="24"/>
                <w:szCs w:val="24"/>
                <w:highlight w:val="none"/>
                <w:lang w:val="en-US" w:eastAsia="zh-CN" w:bidi="ar"/>
              </w:rPr>
              <w:t>项，共计</w:t>
            </w:r>
            <w:r>
              <w:rPr>
                <w:rFonts w:hint="eastAsia" w:ascii="宋体" w:hAnsi="宋体" w:cs="宋体"/>
                <w:b w:val="0"/>
                <w:bCs/>
                <w:color w:val="auto"/>
                <w:kern w:val="0"/>
                <w:sz w:val="24"/>
                <w:szCs w:val="24"/>
                <w:highlight w:val="none"/>
                <w:lang w:val="en-US" w:eastAsia="zh-CN" w:bidi="ar"/>
              </w:rPr>
              <w:t>42</w:t>
            </w:r>
            <w:r>
              <w:rPr>
                <w:rFonts w:hint="eastAsia" w:ascii="宋体" w:hAnsi="宋体" w:eastAsia="宋体" w:cs="宋体"/>
                <w:b w:val="0"/>
                <w:bCs/>
                <w:color w:val="auto"/>
                <w:kern w:val="0"/>
                <w:sz w:val="24"/>
                <w:szCs w:val="24"/>
                <w:highlight w:val="none"/>
                <w:lang w:val="en-US" w:eastAsia="zh-CN" w:bidi="ar"/>
              </w:rPr>
              <w:t>分</w:t>
            </w:r>
            <w:r>
              <w:rPr>
                <w:rFonts w:hint="eastAsia" w:ascii="宋体" w:hAnsi="宋体" w:eastAsia="宋体" w:cs="宋体"/>
                <w:b/>
                <w:bCs w:val="0"/>
                <w:color w:val="auto"/>
                <w:kern w:val="0"/>
                <w:sz w:val="24"/>
                <w:szCs w:val="24"/>
                <w:highlight w:val="none"/>
                <w:lang w:val="en-US" w:eastAsia="zh-CN" w:bidi="ar"/>
              </w:rPr>
              <w:t>（以采购内容及技术参数要求中提供的证明材料作为评审依据，如未要求提供证明材，则参数满足或优于即可</w:t>
            </w:r>
            <w:r>
              <w:rPr>
                <w:rFonts w:hint="eastAsia" w:ascii="宋体" w:hAnsi="宋体" w:eastAsia="宋体" w:cs="宋体"/>
                <w:b w:val="0"/>
                <w:bCs/>
                <w:color w:val="auto"/>
                <w:kern w:val="0"/>
                <w:sz w:val="24"/>
                <w:szCs w:val="24"/>
                <w:highlight w:val="none"/>
                <w:lang w:val="en-US" w:eastAsia="zh-CN" w:bidi="ar"/>
              </w:rPr>
              <w:t>）</w:t>
            </w:r>
            <w:r>
              <w:rPr>
                <w:rFonts w:hint="eastAsia" w:ascii="宋体" w:hAnsi="宋体" w:eastAsia="宋体"/>
                <w:b/>
                <w:color w:val="auto"/>
                <w:sz w:val="24"/>
                <w:highlight w:val="none"/>
              </w:rPr>
              <w:t>。</w:t>
            </w:r>
          </w:p>
          <w:p w14:paraId="17E57A39">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lang w:val="en-US" w:eastAsia="zh-CN"/>
              </w:rPr>
              <w:t>3.</w:t>
            </w:r>
            <w:r>
              <w:rPr>
                <w:rFonts w:hint="eastAsia" w:ascii="宋体" w:hAnsi="宋体" w:eastAsia="宋体"/>
                <w:bCs/>
                <w:color w:val="auto"/>
                <w:sz w:val="24"/>
                <w:highlight w:val="none"/>
              </w:rPr>
              <w:t>未标符号的为一般参数，投标文件中无需列明，但在合同签订后将作为履约验收的依据，</w:t>
            </w:r>
            <w:r>
              <w:rPr>
                <w:rFonts w:hint="eastAsia" w:ascii="宋体" w:hAnsi="宋体" w:eastAsia="宋体"/>
                <w:b/>
                <w:color w:val="auto"/>
                <w:sz w:val="24"/>
                <w:highlight w:val="none"/>
              </w:rPr>
              <w:t>投标人在投标文件中提供相关承诺函，承诺完全满足参数要求或逐条响应均可，承诺函格式自拟，否则投标无效。</w:t>
            </w:r>
          </w:p>
          <w:p w14:paraId="1C8DBA22">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rPr>
              <w:t>注：（1）如某项标识中包含多条技术参数或要求，则该项标识所含内容均需满足或优于招标文件要求，否则不予认可。</w:t>
            </w:r>
          </w:p>
          <w:p w14:paraId="6E5C1566">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Theme="minorEastAsia" w:hAnsiTheme="minorEastAsia" w:eastAsiaTheme="minorEastAsia"/>
                <w:bCs/>
                <w:color w:val="auto"/>
                <w:sz w:val="24"/>
                <w:highlight w:val="none"/>
              </w:rPr>
            </w:pPr>
            <w:r>
              <w:rPr>
                <w:rFonts w:hint="eastAsia" w:ascii="宋体" w:hAnsi="宋体" w:eastAsia="宋体"/>
                <w:bCs/>
                <w:color w:val="auto"/>
                <w:sz w:val="24"/>
                <w:highlight w:val="none"/>
              </w:rPr>
              <w:t>（2）本项内所有内容技术参数响应情况投标人须依据所投产品如实填写，若自填无偏离，供货时实际产品不响应或负偏离，采购人有权上报相关部门，按相关法律处理。</w:t>
            </w:r>
          </w:p>
        </w:tc>
        <w:tc>
          <w:tcPr>
            <w:tcW w:w="596" w:type="pct"/>
            <w:tcBorders>
              <w:top w:val="single" w:color="auto" w:sz="4" w:space="0"/>
              <w:left w:val="single" w:color="auto" w:sz="4" w:space="0"/>
              <w:bottom w:val="single" w:color="auto" w:sz="4" w:space="0"/>
              <w:right w:val="single" w:color="auto" w:sz="4" w:space="0"/>
            </w:tcBorders>
            <w:vAlign w:val="center"/>
          </w:tcPr>
          <w:p w14:paraId="315FED4F">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w:t>
            </w:r>
            <w:r>
              <w:rPr>
                <w:rFonts w:hint="eastAsia" w:asciiTheme="minorEastAsia" w:hAnsiTheme="minorEastAsia" w:eastAsiaTheme="minorEastAsia"/>
                <w:b/>
                <w:bCs/>
                <w:color w:val="auto"/>
                <w:sz w:val="24"/>
                <w:highlight w:val="none"/>
                <w:lang w:val="en-US" w:eastAsia="zh-CN"/>
              </w:rPr>
              <w:t>42</w:t>
            </w:r>
            <w:r>
              <w:rPr>
                <w:rFonts w:hint="eastAsia" w:asciiTheme="minorEastAsia" w:hAnsiTheme="minorEastAsia" w:eastAsiaTheme="minorEastAsia"/>
                <w:b/>
                <w:bCs/>
                <w:color w:val="auto"/>
                <w:sz w:val="24"/>
                <w:highlight w:val="none"/>
              </w:rPr>
              <w:t>分</w:t>
            </w:r>
          </w:p>
        </w:tc>
      </w:tr>
      <w:tr w14:paraId="0EF6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627" w:type="pct"/>
            <w:vMerge w:val="continue"/>
            <w:tcBorders>
              <w:left w:val="single" w:color="auto" w:sz="4" w:space="0"/>
              <w:right w:val="single" w:color="auto" w:sz="4" w:space="0"/>
            </w:tcBorders>
            <w:vAlign w:val="center"/>
          </w:tcPr>
          <w:p w14:paraId="22A4E41C">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p>
        </w:tc>
        <w:tc>
          <w:tcPr>
            <w:tcW w:w="722" w:type="pct"/>
            <w:tcBorders>
              <w:top w:val="single" w:color="auto" w:sz="4" w:space="0"/>
              <w:left w:val="single" w:color="auto" w:sz="4" w:space="0"/>
              <w:right w:val="single" w:color="auto" w:sz="4" w:space="0"/>
            </w:tcBorders>
            <w:vAlign w:val="center"/>
          </w:tcPr>
          <w:p w14:paraId="716D0E3F">
            <w:pPr>
              <w:keepNext w:val="0"/>
              <w:keepLines/>
              <w:pageBreakBefore w:val="0"/>
              <w:widowControl w:val="0"/>
              <w:kinsoku w:val="0"/>
              <w:wordWrap w:val="0"/>
              <w:overflowPunct/>
              <w:topLinePunct w:val="0"/>
              <w:autoSpaceDE/>
              <w:autoSpaceDN/>
              <w:bidi w:val="0"/>
              <w:adjustRightInd/>
              <w:snapToGrid w:val="0"/>
              <w:spacing w:line="276" w:lineRule="auto"/>
              <w:jc w:val="center"/>
              <w:textAlignment w:val="auto"/>
              <w:rPr>
                <w:rFonts w:hint="eastAsia" w:asciiTheme="minorEastAsia" w:hAnsiTheme="minorEastAsia" w:eastAsiaTheme="minorEastAsia"/>
                <w:color w:val="auto"/>
                <w:sz w:val="24"/>
                <w:highlight w:val="none"/>
              </w:rPr>
            </w:pPr>
            <w:r>
              <w:rPr>
                <w:rFonts w:hint="eastAsia" w:ascii="宋体" w:hAnsi="宋体" w:eastAsia="宋体" w:cs="宋体"/>
                <w:bCs/>
                <w:color w:val="auto"/>
                <w:sz w:val="24"/>
                <w:highlight w:val="none"/>
              </w:rPr>
              <w:t>供货安装（调试）方案</w:t>
            </w:r>
          </w:p>
        </w:tc>
        <w:tc>
          <w:tcPr>
            <w:tcW w:w="3053" w:type="pct"/>
            <w:tcBorders>
              <w:top w:val="single" w:color="auto" w:sz="4" w:space="0"/>
              <w:left w:val="single" w:color="auto" w:sz="4" w:space="0"/>
              <w:right w:val="single" w:color="auto" w:sz="4" w:space="0"/>
            </w:tcBorders>
            <w:vAlign w:val="center"/>
          </w:tcPr>
          <w:p w14:paraId="24ECDE79">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根据投标人投标文件中提供的供货安装（调试）方案（包括但不限于质量控制保障措施、供货运输、供货安装配合、现场环境保护和验收方案）情况，由评标委员会进行综合评审：</w:t>
            </w:r>
          </w:p>
          <w:p w14:paraId="437D9D49">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 供货安装方案内容详实完整，质量控制保障措施具体得力，供货运输及安装配合流程顺畅，现场环境保护措施周全，验收方案具有明确的阶段划分和标准，优于项目实际需求的，得5分；</w:t>
            </w:r>
          </w:p>
          <w:p w14:paraId="4D614B48">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 供货安装方案内容完整，质量控制保障措施合理，供货运输及安装配合流程清晰，有现场环境保护和验收方案，能够满足项目实施需求的，得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4A951740">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 供货安装方案内容完整，但质量控制、运输配合、环境保护或验收方案等部分环节描述笼统、不够具体，有待进一步细化完善的，得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79488FFB">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bCs/>
                <w:color w:val="auto"/>
                <w:sz w:val="24"/>
                <w:highlight w:val="none"/>
              </w:rPr>
            </w:pPr>
            <w:r>
              <w:rPr>
                <w:rFonts w:hint="eastAsia" w:ascii="宋体" w:hAnsi="宋体" w:eastAsia="宋体" w:cs="宋体"/>
                <w:color w:val="auto"/>
                <w:sz w:val="24"/>
                <w:szCs w:val="24"/>
                <w:highlight w:val="none"/>
              </w:rPr>
              <w:t>④ 未提供的不得分。</w:t>
            </w:r>
          </w:p>
        </w:tc>
        <w:tc>
          <w:tcPr>
            <w:tcW w:w="596" w:type="pct"/>
            <w:tcBorders>
              <w:top w:val="single" w:color="auto" w:sz="4" w:space="0"/>
              <w:left w:val="single" w:color="auto" w:sz="4" w:space="0"/>
              <w:bottom w:val="single" w:color="auto" w:sz="4" w:space="0"/>
              <w:right w:val="single" w:color="auto" w:sz="4" w:space="0"/>
            </w:tcBorders>
            <w:vAlign w:val="center"/>
          </w:tcPr>
          <w:p w14:paraId="252D18F4">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0-5分</w:t>
            </w:r>
          </w:p>
        </w:tc>
      </w:tr>
      <w:tr w14:paraId="2F36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6" w:hRule="atLeast"/>
          <w:jc w:val="center"/>
        </w:trPr>
        <w:tc>
          <w:tcPr>
            <w:tcW w:w="627" w:type="pct"/>
            <w:vMerge w:val="continue"/>
            <w:tcBorders>
              <w:left w:val="single" w:color="auto" w:sz="4" w:space="0"/>
              <w:right w:val="single" w:color="auto" w:sz="4" w:space="0"/>
            </w:tcBorders>
            <w:vAlign w:val="center"/>
          </w:tcPr>
          <w:p w14:paraId="2578097B">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p>
        </w:tc>
        <w:tc>
          <w:tcPr>
            <w:tcW w:w="722" w:type="pct"/>
            <w:tcBorders>
              <w:top w:val="single" w:color="auto" w:sz="4" w:space="0"/>
              <w:left w:val="single" w:color="auto" w:sz="4" w:space="0"/>
              <w:right w:val="single" w:color="auto" w:sz="4" w:space="0"/>
            </w:tcBorders>
            <w:vAlign w:val="center"/>
          </w:tcPr>
          <w:p w14:paraId="299FC289">
            <w:pPr>
              <w:keepNext w:val="0"/>
              <w:keepLines/>
              <w:pageBreakBefore w:val="0"/>
              <w:widowControl w:val="0"/>
              <w:kinsoku w:val="0"/>
              <w:wordWrap w:val="0"/>
              <w:overflowPunct/>
              <w:topLinePunct w:val="0"/>
              <w:autoSpaceDE/>
              <w:autoSpaceDN/>
              <w:bidi w:val="0"/>
              <w:adjustRightInd/>
              <w:snapToGrid w:val="0"/>
              <w:spacing w:line="276" w:lineRule="auto"/>
              <w:jc w:val="center"/>
              <w:textAlignment w:val="auto"/>
              <w:rPr>
                <w:rFonts w:hint="eastAsia" w:asciiTheme="minorEastAsia" w:hAnsiTheme="minorEastAsia" w:eastAsiaTheme="minorEastAsia"/>
                <w:color w:val="auto"/>
                <w:sz w:val="24"/>
                <w:highlight w:val="none"/>
              </w:rPr>
            </w:pPr>
            <w:r>
              <w:rPr>
                <w:rFonts w:hint="eastAsia" w:ascii="宋体" w:hAnsi="宋体" w:eastAsia="宋体" w:cs="宋体"/>
                <w:bCs/>
                <w:color w:val="auto"/>
                <w:sz w:val="24"/>
                <w:highlight w:val="none"/>
              </w:rPr>
              <w:t>进度保障服务方案</w:t>
            </w:r>
          </w:p>
        </w:tc>
        <w:tc>
          <w:tcPr>
            <w:tcW w:w="3053" w:type="pct"/>
            <w:tcBorders>
              <w:top w:val="single" w:color="auto" w:sz="4" w:space="0"/>
              <w:left w:val="single" w:color="auto" w:sz="4" w:space="0"/>
              <w:right w:val="single" w:color="auto" w:sz="4" w:space="0"/>
            </w:tcBorders>
            <w:vAlign w:val="center"/>
          </w:tcPr>
          <w:p w14:paraId="379D2389">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按照项目需求提供进度保障措施方案（包括进度管理原则、进度安排、质量保证方案等）情况，由评标委员会进行综合评审：</w:t>
            </w:r>
          </w:p>
          <w:p w14:paraId="6567909E">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①进度管理原则明确，进度安排合理且完全响应工期要求，各阶段划分清晰、衔接紧凑，质量保证方案与进度计划结合紧密，能够有效保障项目按期高质完成的得5分；</w:t>
            </w:r>
          </w:p>
          <w:p w14:paraId="0BD28577">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②进度管理原则清晰，各阶段划分明确，质量保证方案完整，能够满足项目工期和质量要求的，得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42A60FE9">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③进度管理原则和进度安排可行，但各阶段划分不够清晰，或质量保证方案内容简单、针对性不强，有待进一步补充完善的，得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19704D22">
            <w:pPr>
              <w:keepNext w:val="0"/>
              <w:keepLines/>
              <w:pageBreakBefore w:val="0"/>
              <w:widowControl w:val="0"/>
              <w:kinsoku w:val="0"/>
              <w:wordWrap w:val="0"/>
              <w:overflowPunct/>
              <w:topLinePunct w:val="0"/>
              <w:autoSpaceDE/>
              <w:autoSpaceDN/>
              <w:bidi w:val="0"/>
              <w:adjustRightInd/>
              <w:snapToGrid w:val="0"/>
              <w:spacing w:line="440" w:lineRule="exact"/>
              <w:textAlignment w:val="auto"/>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④未提供的不得分。</w:t>
            </w:r>
          </w:p>
        </w:tc>
        <w:tc>
          <w:tcPr>
            <w:tcW w:w="596" w:type="pct"/>
            <w:tcBorders>
              <w:top w:val="single" w:color="auto" w:sz="4" w:space="0"/>
              <w:left w:val="single" w:color="auto" w:sz="4" w:space="0"/>
              <w:bottom w:val="single" w:color="auto" w:sz="4" w:space="0"/>
              <w:right w:val="single" w:color="auto" w:sz="4" w:space="0"/>
            </w:tcBorders>
            <w:vAlign w:val="center"/>
          </w:tcPr>
          <w:p w14:paraId="3C7A5A27">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0-5分</w:t>
            </w:r>
          </w:p>
        </w:tc>
      </w:tr>
      <w:tr w14:paraId="2641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pct"/>
            <w:vMerge w:val="continue"/>
            <w:tcBorders>
              <w:left w:val="single" w:color="auto" w:sz="4" w:space="0"/>
              <w:right w:val="single" w:color="auto" w:sz="4" w:space="0"/>
            </w:tcBorders>
            <w:vAlign w:val="center"/>
          </w:tcPr>
          <w:p w14:paraId="418050C9">
            <w:pPr>
              <w:keepNext w:val="0"/>
              <w:keepLines/>
              <w:pageBreakBefore w:val="0"/>
              <w:widowControl w:val="0"/>
              <w:kinsoku w:val="0"/>
              <w:wordWrap w:val="0"/>
              <w:overflowPunct/>
              <w:topLinePunct w:val="0"/>
              <w:autoSpaceDE/>
              <w:autoSpaceDN/>
              <w:bidi w:val="0"/>
              <w:adjustRightInd/>
              <w:snapToGrid w:val="0"/>
              <w:spacing w:line="360" w:lineRule="auto"/>
              <w:ind w:firstLine="435"/>
              <w:jc w:val="center"/>
              <w:textAlignment w:val="auto"/>
              <w:rPr>
                <w:rFonts w:hint="eastAsia" w:asciiTheme="minorEastAsia" w:hAnsiTheme="minorEastAsia" w:eastAsiaTheme="minorEastAsia"/>
                <w:b/>
                <w:bCs/>
                <w:color w:val="auto"/>
                <w:sz w:val="24"/>
                <w:highlight w:val="none"/>
              </w:rPr>
            </w:pPr>
          </w:p>
        </w:tc>
        <w:tc>
          <w:tcPr>
            <w:tcW w:w="722" w:type="pct"/>
            <w:tcBorders>
              <w:top w:val="single" w:color="auto" w:sz="4" w:space="0"/>
              <w:left w:val="single" w:color="auto" w:sz="4" w:space="0"/>
              <w:right w:val="single" w:color="auto" w:sz="4" w:space="0"/>
            </w:tcBorders>
            <w:vAlign w:val="center"/>
          </w:tcPr>
          <w:p w14:paraId="0A70C3DE">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r>
              <w:rPr>
                <w:rFonts w:hint="eastAsia" w:ascii="宋体" w:hAnsi="宋体" w:eastAsia="宋体"/>
                <w:bCs/>
                <w:color w:val="auto"/>
                <w:sz w:val="24"/>
                <w:highlight w:val="none"/>
              </w:rPr>
              <w:t>售后服务方案</w:t>
            </w:r>
          </w:p>
        </w:tc>
        <w:tc>
          <w:tcPr>
            <w:tcW w:w="3053" w:type="pct"/>
            <w:tcBorders>
              <w:top w:val="single" w:color="auto" w:sz="4" w:space="0"/>
              <w:left w:val="single" w:color="auto" w:sz="4" w:space="0"/>
              <w:right w:val="single" w:color="auto" w:sz="4" w:space="0"/>
            </w:tcBorders>
            <w:vAlign w:val="center"/>
          </w:tcPr>
          <w:p w14:paraId="0BDD385A">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rPr>
              <w:t>根据投标人提供的售后服务管理制度、保障措施、服务体系、服务内容、自查频率、维修响应时效等情况进行综合评审：</w:t>
            </w:r>
          </w:p>
          <w:p w14:paraId="6A2FCE18">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rPr>
              <w:t>①售后服务方案切合本项目实际，保障措施具体得力，服务内容全面完整（包括安装调试指导、故障维修、远程技术支持、备件供应等），维修响应时效优于招标文件要求，有明确的自查频率和备品备件保障方案，措施切实可行的得5分；</w:t>
            </w:r>
          </w:p>
          <w:p w14:paraId="7F91E218">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rPr>
              <w:t>②售后服务方案符合项目实际，保障措施合理，服务内容完整，维修响应时效满足招标文件要求，有自查频率和备品备件保障方案，方案表述清晰、能够满足项目售后需求的得</w:t>
            </w:r>
            <w:r>
              <w:rPr>
                <w:rFonts w:hint="eastAsia" w:ascii="宋体" w:hAnsi="宋体" w:eastAsia="宋体"/>
                <w:bCs/>
                <w:color w:val="auto"/>
                <w:sz w:val="24"/>
                <w:highlight w:val="none"/>
                <w:lang w:val="en-US" w:eastAsia="zh-CN"/>
              </w:rPr>
              <w:t>4</w:t>
            </w:r>
            <w:r>
              <w:rPr>
                <w:rFonts w:hint="eastAsia" w:ascii="宋体" w:hAnsi="宋体" w:eastAsia="宋体"/>
                <w:bCs/>
                <w:color w:val="auto"/>
                <w:sz w:val="24"/>
                <w:highlight w:val="none"/>
              </w:rPr>
              <w:t>分；</w:t>
            </w:r>
          </w:p>
          <w:p w14:paraId="6D1CFE84">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bCs/>
                <w:color w:val="auto"/>
                <w:sz w:val="24"/>
                <w:highlight w:val="none"/>
              </w:rPr>
            </w:pPr>
            <w:r>
              <w:rPr>
                <w:rFonts w:hint="eastAsia" w:ascii="宋体" w:hAnsi="宋体" w:eastAsia="宋体"/>
                <w:bCs/>
                <w:color w:val="auto"/>
                <w:sz w:val="24"/>
                <w:highlight w:val="none"/>
              </w:rPr>
              <w:t>③售后服务方案内容简单，有保障措施和维修响应承诺，但方案未充分结合本项目实训机房设备特点，或自查频率、备件保障等内容缺失的得</w:t>
            </w:r>
            <w:r>
              <w:rPr>
                <w:rFonts w:hint="eastAsia" w:ascii="宋体" w:hAnsi="宋体" w:eastAsia="宋体"/>
                <w:bCs/>
                <w:color w:val="auto"/>
                <w:sz w:val="24"/>
                <w:highlight w:val="none"/>
                <w:lang w:val="en-US" w:eastAsia="zh-CN"/>
              </w:rPr>
              <w:t>3</w:t>
            </w:r>
            <w:r>
              <w:rPr>
                <w:rFonts w:hint="eastAsia" w:ascii="宋体" w:hAnsi="宋体" w:eastAsia="宋体"/>
                <w:bCs/>
                <w:color w:val="auto"/>
                <w:sz w:val="24"/>
                <w:highlight w:val="none"/>
              </w:rPr>
              <w:t>分；</w:t>
            </w:r>
          </w:p>
          <w:p w14:paraId="3BD71220">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Theme="minorEastAsia" w:hAnsiTheme="minorEastAsia" w:eastAsiaTheme="minorEastAsia"/>
                <w:color w:val="auto"/>
                <w:sz w:val="24"/>
                <w:highlight w:val="none"/>
              </w:rPr>
            </w:pPr>
            <w:r>
              <w:rPr>
                <w:rFonts w:hint="eastAsia" w:ascii="宋体" w:hAnsi="宋体" w:eastAsia="宋体"/>
                <w:bCs/>
                <w:color w:val="auto"/>
                <w:sz w:val="24"/>
                <w:highlight w:val="none"/>
              </w:rPr>
              <w:t xml:space="preserve">④未提供的不得分。 </w:t>
            </w:r>
          </w:p>
        </w:tc>
        <w:tc>
          <w:tcPr>
            <w:tcW w:w="596" w:type="pct"/>
            <w:tcBorders>
              <w:top w:val="single" w:color="auto" w:sz="4" w:space="0"/>
              <w:left w:val="single" w:color="auto" w:sz="4" w:space="0"/>
              <w:bottom w:val="single" w:color="auto" w:sz="4" w:space="0"/>
              <w:right w:val="single" w:color="auto" w:sz="4" w:space="0"/>
            </w:tcBorders>
            <w:vAlign w:val="center"/>
          </w:tcPr>
          <w:p w14:paraId="7ADB3E7E">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0-5分</w:t>
            </w:r>
          </w:p>
        </w:tc>
      </w:tr>
      <w:tr w14:paraId="7D82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9" w:hRule="atLeast"/>
          <w:jc w:val="center"/>
        </w:trPr>
        <w:tc>
          <w:tcPr>
            <w:tcW w:w="627" w:type="pct"/>
            <w:vMerge w:val="continue"/>
            <w:tcBorders>
              <w:left w:val="single" w:color="auto" w:sz="4" w:space="0"/>
              <w:right w:val="single" w:color="auto" w:sz="4" w:space="0"/>
            </w:tcBorders>
            <w:vAlign w:val="center"/>
          </w:tcPr>
          <w:p w14:paraId="170BE8EC">
            <w:pPr>
              <w:keepNext w:val="0"/>
              <w:keepLines/>
              <w:pageBreakBefore w:val="0"/>
              <w:widowControl w:val="0"/>
              <w:kinsoku w:val="0"/>
              <w:wordWrap w:val="0"/>
              <w:overflowPunct/>
              <w:topLinePunct w:val="0"/>
              <w:autoSpaceDE/>
              <w:autoSpaceDN/>
              <w:bidi w:val="0"/>
              <w:adjustRightInd/>
              <w:snapToGrid w:val="0"/>
              <w:spacing w:line="360" w:lineRule="auto"/>
              <w:ind w:firstLine="435"/>
              <w:jc w:val="center"/>
              <w:textAlignment w:val="auto"/>
              <w:rPr>
                <w:rFonts w:hint="eastAsia" w:asciiTheme="minorEastAsia" w:hAnsiTheme="minorEastAsia" w:eastAsiaTheme="minorEastAsia"/>
                <w:b/>
                <w:bCs/>
                <w:color w:val="auto"/>
                <w:sz w:val="24"/>
                <w:highlight w:val="none"/>
              </w:rPr>
            </w:pPr>
          </w:p>
        </w:tc>
        <w:tc>
          <w:tcPr>
            <w:tcW w:w="722" w:type="pct"/>
            <w:tcBorders>
              <w:top w:val="single" w:color="auto" w:sz="4" w:space="0"/>
              <w:left w:val="single" w:color="auto" w:sz="4" w:space="0"/>
              <w:right w:val="single" w:color="auto" w:sz="4" w:space="0"/>
            </w:tcBorders>
            <w:vAlign w:val="center"/>
          </w:tcPr>
          <w:p w14:paraId="555FC72E">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宋体" w:hAnsi="宋体" w:eastAsia="宋体" w:cs="宋体"/>
                <w:bCs/>
                <w:color w:val="auto"/>
                <w:sz w:val="24"/>
                <w:highlight w:val="none"/>
              </w:rPr>
            </w:pPr>
            <w:r>
              <w:rPr>
                <w:rFonts w:hint="eastAsia" w:ascii="宋体" w:hAnsi="宋体" w:eastAsia="宋体"/>
                <w:bCs/>
                <w:color w:val="auto"/>
                <w:sz w:val="24"/>
                <w:highlight w:val="none"/>
              </w:rPr>
              <w:t>培训方案</w:t>
            </w:r>
          </w:p>
        </w:tc>
        <w:tc>
          <w:tcPr>
            <w:tcW w:w="3053" w:type="pct"/>
            <w:tcBorders>
              <w:top w:val="single" w:color="auto" w:sz="4" w:space="0"/>
              <w:left w:val="single" w:color="auto" w:sz="4" w:space="0"/>
              <w:right w:val="single" w:color="auto" w:sz="4" w:space="0"/>
            </w:tcBorders>
            <w:vAlign w:val="top"/>
          </w:tcPr>
          <w:p w14:paraId="72DCA723">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bCs/>
                <w:color w:val="auto"/>
                <w:sz w:val="24"/>
                <w:highlight w:val="none"/>
              </w:rPr>
              <w:t>投标人针对采购人操作人员提供的培训方案，包括培训目标、内容设置、时间安排、人员配置、培训方式及考核评估等：</w:t>
            </w:r>
            <w:r>
              <w:rPr>
                <w:rFonts w:hint="eastAsia" w:ascii="宋体" w:hAnsi="宋体" w:eastAsia="宋体"/>
                <w:bCs/>
                <w:color w:val="auto"/>
                <w:sz w:val="24"/>
                <w:highlight w:val="none"/>
              </w:rPr>
              <w:br w:type="textWrapping"/>
            </w:r>
            <w:r>
              <w:rPr>
                <w:rFonts w:hint="eastAsia" w:ascii="宋体" w:hAnsi="宋体" w:eastAsia="宋体"/>
                <w:bCs/>
                <w:color w:val="auto"/>
                <w:sz w:val="24"/>
                <w:highlight w:val="none"/>
              </w:rPr>
              <w:t>①培训目标明确，培训内容紧密结合本项目设备的操作与日常维护，理论讲解与实操演练搭配得当，能够确保操作人员独立上岗，得5分；</w:t>
            </w:r>
            <w:r>
              <w:rPr>
                <w:rFonts w:hint="eastAsia" w:ascii="宋体" w:hAnsi="宋体" w:eastAsia="宋体"/>
                <w:bCs/>
                <w:color w:val="auto"/>
                <w:sz w:val="24"/>
                <w:highlight w:val="none"/>
              </w:rPr>
              <w:br w:type="textWrapping"/>
            </w:r>
            <w:r>
              <w:rPr>
                <w:rFonts w:hint="eastAsia" w:ascii="宋体" w:hAnsi="宋体" w:eastAsia="宋体"/>
                <w:bCs/>
                <w:color w:val="auto"/>
                <w:sz w:val="24"/>
                <w:highlight w:val="none"/>
              </w:rPr>
              <w:t>②培训内容完整，时间、人员、方式等要素齐全，能够满足操作人员掌握设备使用的基本需求，得</w:t>
            </w:r>
            <w:r>
              <w:rPr>
                <w:rFonts w:hint="eastAsia" w:ascii="宋体" w:hAnsi="宋体" w:eastAsia="宋体"/>
                <w:bCs/>
                <w:color w:val="auto"/>
                <w:sz w:val="24"/>
                <w:highlight w:val="none"/>
                <w:lang w:val="en-US" w:eastAsia="zh-CN"/>
              </w:rPr>
              <w:t>4</w:t>
            </w:r>
            <w:r>
              <w:rPr>
                <w:rFonts w:hint="eastAsia" w:ascii="宋体" w:hAnsi="宋体" w:eastAsia="宋体"/>
                <w:bCs/>
                <w:color w:val="auto"/>
                <w:sz w:val="24"/>
                <w:highlight w:val="none"/>
              </w:rPr>
              <w:t>分；</w:t>
            </w:r>
            <w:r>
              <w:rPr>
                <w:rFonts w:hint="eastAsia" w:ascii="宋体" w:hAnsi="宋体" w:eastAsia="宋体"/>
                <w:bCs/>
                <w:color w:val="auto"/>
                <w:sz w:val="24"/>
                <w:highlight w:val="none"/>
              </w:rPr>
              <w:br w:type="textWrapping"/>
            </w:r>
            <w:r>
              <w:rPr>
                <w:rFonts w:hint="eastAsia" w:ascii="宋体" w:hAnsi="宋体" w:eastAsia="宋体"/>
                <w:bCs/>
                <w:color w:val="auto"/>
                <w:sz w:val="24"/>
                <w:highlight w:val="none"/>
              </w:rPr>
              <w:t>③培训方案涵盖了培训的基本要素，但部分环节（如考核标准、实操安排）的细化程度尚有不足，得</w:t>
            </w:r>
            <w:r>
              <w:rPr>
                <w:rFonts w:hint="eastAsia" w:ascii="宋体" w:hAnsi="宋体" w:eastAsia="宋体"/>
                <w:bCs/>
                <w:color w:val="auto"/>
                <w:sz w:val="24"/>
                <w:highlight w:val="none"/>
                <w:lang w:val="en-US" w:eastAsia="zh-CN"/>
              </w:rPr>
              <w:t>3</w:t>
            </w:r>
            <w:r>
              <w:rPr>
                <w:rFonts w:hint="eastAsia" w:ascii="宋体" w:hAnsi="宋体" w:eastAsia="宋体"/>
                <w:bCs/>
                <w:color w:val="auto"/>
                <w:sz w:val="24"/>
                <w:highlight w:val="none"/>
              </w:rPr>
              <w:t>分；</w:t>
            </w:r>
            <w:r>
              <w:rPr>
                <w:rFonts w:hint="eastAsia" w:ascii="宋体" w:hAnsi="宋体" w:eastAsia="宋体"/>
                <w:bCs/>
                <w:color w:val="auto"/>
                <w:sz w:val="24"/>
                <w:highlight w:val="none"/>
              </w:rPr>
              <w:br w:type="textWrapping"/>
            </w:r>
            <w:r>
              <w:rPr>
                <w:rFonts w:hint="eastAsia" w:ascii="宋体" w:hAnsi="宋体" w:eastAsia="宋体"/>
                <w:bCs/>
                <w:color w:val="auto"/>
                <w:sz w:val="24"/>
                <w:highlight w:val="none"/>
              </w:rPr>
              <w:t xml:space="preserve">④未提供的不得分。 </w:t>
            </w:r>
          </w:p>
        </w:tc>
        <w:tc>
          <w:tcPr>
            <w:tcW w:w="596" w:type="pct"/>
            <w:tcBorders>
              <w:top w:val="single" w:color="auto" w:sz="4" w:space="0"/>
              <w:left w:val="single" w:color="auto" w:sz="4" w:space="0"/>
              <w:bottom w:val="single" w:color="auto" w:sz="4" w:space="0"/>
              <w:right w:val="single" w:color="auto" w:sz="4" w:space="0"/>
            </w:tcBorders>
            <w:vAlign w:val="center"/>
          </w:tcPr>
          <w:p w14:paraId="39520B3F">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0-5分</w:t>
            </w:r>
          </w:p>
        </w:tc>
      </w:tr>
      <w:tr w14:paraId="5FA1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Borders>
              <w:left w:val="single" w:color="auto" w:sz="4" w:space="0"/>
              <w:right w:val="single" w:color="auto" w:sz="4" w:space="0"/>
            </w:tcBorders>
            <w:vAlign w:val="center"/>
          </w:tcPr>
          <w:p w14:paraId="4DFF79FC">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462C62B4">
            <w:pPr>
              <w:keepNext w:val="0"/>
              <w:keepLines/>
              <w:pageBreakBefore w:val="0"/>
              <w:widowControl w:val="0"/>
              <w:kinsoku w:val="0"/>
              <w:wordWrap w:val="0"/>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30</w:t>
            </w:r>
            <w:r>
              <w:rPr>
                <w:rFonts w:hint="eastAsia" w:asciiTheme="minorEastAsia" w:hAnsiTheme="minorEastAsia" w:eastAsiaTheme="minorEastAsia"/>
                <w:color w:val="auto"/>
                <w:sz w:val="24"/>
                <w:highlight w:val="none"/>
              </w:rPr>
              <w:t>分）</w:t>
            </w:r>
          </w:p>
        </w:tc>
        <w:tc>
          <w:tcPr>
            <w:tcW w:w="4372" w:type="pct"/>
            <w:gridSpan w:val="3"/>
            <w:tcBorders>
              <w:top w:val="single" w:color="auto" w:sz="4" w:space="0"/>
              <w:left w:val="single" w:color="auto" w:sz="4" w:space="0"/>
              <w:bottom w:val="single" w:color="auto" w:sz="4" w:space="0"/>
              <w:right w:val="single" w:color="auto" w:sz="4" w:space="0"/>
            </w:tcBorders>
            <w:vAlign w:val="center"/>
          </w:tcPr>
          <w:p w14:paraId="12E83CD3">
            <w:pPr>
              <w:keepNext w:val="0"/>
              <w:keepLines/>
              <w:pageBreakBefore w:val="0"/>
              <w:widowControl w:val="0"/>
              <w:kinsoku w:val="0"/>
              <w:wordWrap w:val="0"/>
              <w:overflowPunct/>
              <w:topLinePunct w:val="0"/>
              <w:autoSpaceDE/>
              <w:autoSpaceDN/>
              <w:bidi w:val="0"/>
              <w:adjustRightInd/>
              <w:snapToGrid w:val="0"/>
              <w:spacing w:line="360" w:lineRule="auto"/>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highlight w:val="none"/>
                <w:u w:val="single"/>
              </w:rPr>
              <w:t xml:space="preserve"> 30 </w:t>
            </w:r>
            <w:r>
              <w:rPr>
                <w:rFonts w:hint="eastAsia" w:asciiTheme="minorEastAsia" w:hAnsiTheme="minorEastAsia" w:eastAsiaTheme="minorEastAsia"/>
                <w:color w:val="auto"/>
                <w:sz w:val="24"/>
                <w:highlight w:val="none"/>
              </w:rPr>
              <w:t>分。其他投标人的价格分统一按照下列公式计算：</w:t>
            </w:r>
          </w:p>
          <w:p w14:paraId="6399CD59">
            <w:pPr>
              <w:keepNext w:val="0"/>
              <w:keepLines/>
              <w:pageBreakBefore w:val="0"/>
              <w:widowControl w:val="0"/>
              <w:kinsoku w:val="0"/>
              <w:wordWrap w:val="0"/>
              <w:overflowPunct/>
              <w:topLinePunct w:val="0"/>
              <w:autoSpaceDE/>
              <w:autoSpaceDN/>
              <w:bidi w:val="0"/>
              <w:adjustRightInd/>
              <w:snapToGrid w:val="0"/>
              <w:spacing w:line="360" w:lineRule="auto"/>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rPr>
              <w:t xml:space="preserve"> 30 </w:t>
            </w:r>
            <w:r>
              <w:rPr>
                <w:rFonts w:hint="eastAsia" w:asciiTheme="minorEastAsia" w:hAnsiTheme="minorEastAsia" w:eastAsiaTheme="minorEastAsia"/>
                <w:color w:val="auto"/>
                <w:sz w:val="24"/>
                <w:highlight w:val="none"/>
              </w:rPr>
              <w:t>％×100</w:t>
            </w:r>
          </w:p>
          <w:p w14:paraId="345F2985">
            <w:pPr>
              <w:keepNext w:val="0"/>
              <w:keepLines/>
              <w:pageBreakBefore w:val="0"/>
              <w:widowControl w:val="0"/>
              <w:kinsoku w:val="0"/>
              <w:wordWrap w:val="0"/>
              <w:overflowPunct/>
              <w:topLinePunct w:val="0"/>
              <w:autoSpaceDE/>
              <w:autoSpaceDN/>
              <w:bidi w:val="0"/>
              <w:adjustRightInd/>
              <w:snapToGrid w:val="0"/>
              <w:spacing w:line="360" w:lineRule="auto"/>
              <w:textAlignment w:val="auto"/>
              <w:rPr>
                <w:rFonts w:hint="eastAsia" w:asciiTheme="minorEastAsia" w:hAnsiTheme="minorEastAsia" w:eastAsiaTheme="minorEastAsia"/>
                <w:color w:val="auto"/>
                <w:sz w:val="24"/>
                <w:highlight w:val="none"/>
              </w:rPr>
            </w:pPr>
            <w:r>
              <w:rPr>
                <w:rFonts w:hint="eastAsia" w:ascii="宋体" w:hAnsi="宋体" w:eastAsia="宋体" w:cs="宋体"/>
                <w:b/>
                <w:bCs w:val="0"/>
                <w:color w:val="auto"/>
                <w:kern w:val="0"/>
                <w:sz w:val="24"/>
                <w:szCs w:val="24"/>
                <w:highlight w:val="none"/>
                <w:lang w:val="en-US" w:eastAsia="zh-CN" w:bidi="ar-SA"/>
              </w:rPr>
              <w:t>注:上述价格如有前附表规定的扣除，则按扣除后价格参与评审。</w:t>
            </w:r>
          </w:p>
        </w:tc>
      </w:tr>
    </w:tbl>
    <w:p w14:paraId="128AA9E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22AEEC2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1805370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0F97346E">
      <w:pPr>
        <w:wordWrap w:val="0"/>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三、无效投标条款</w:t>
      </w:r>
    </w:p>
    <w:p w14:paraId="6D82E28B">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3.1投标文件有下列情形之一的,其投标文件拒收:</w:t>
      </w:r>
    </w:p>
    <w:p w14:paraId="428AA856">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(1)未在开标截止时间前通过网上招标投标系统递交有效电子投标文件的，开标系统不予接收，投标将被拒绝。</w:t>
      </w:r>
    </w:p>
    <w:p w14:paraId="09EB84EE">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C1C5CE">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3.2投标人有下列情形之一的,资格审查后其投标作无效投标处理：</w:t>
      </w:r>
    </w:p>
    <w:p w14:paraId="70D5B7C8">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(1)投标人为本项目提供招标代理服务的；</w:t>
      </w:r>
    </w:p>
    <w:p w14:paraId="0E815B0A">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(2)投标人与在本项目代理机构存在相互任职或工作的；</w:t>
      </w:r>
    </w:p>
    <w:p w14:paraId="3E83AD0C">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(3)招标公告写明专门面向中小企业采购，投标人提供的货物非中小企业制造的；</w:t>
      </w:r>
    </w:p>
    <w:p w14:paraId="4AA34013">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(4)要求供应商以联合体形式参加采购活动，投标人非联合体或者联合协议中中小企业合同金额未达到应当达到的比例；</w:t>
      </w:r>
    </w:p>
    <w:p w14:paraId="580006A2">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(5)要求获得采购合同的供应商向中小企业分包，投标人未提供分包意向协议或者分包意向协议中中小企业合同金额未达到应当达到的比例；</w:t>
      </w:r>
    </w:p>
    <w:p w14:paraId="36427F0A">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(6)评标专家无法查看并检验电子投标文件中相关资料的；</w:t>
      </w:r>
    </w:p>
    <w:p w14:paraId="5C2ACCB5">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(7)联合体投标未提交联合体协议的；</w:t>
      </w:r>
    </w:p>
    <w:p w14:paraId="6EE0D183">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(8)责令停产停业的；</w:t>
      </w:r>
    </w:p>
    <w:p w14:paraId="3F55B16C">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(9)暂停或者取消参与政府采购项目资格的；</w:t>
      </w:r>
    </w:p>
    <w:p w14:paraId="5809673E">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(10)投标人单位负责人为同一人或者存在（直接）控股、管理关系的不同单位的；</w:t>
      </w:r>
    </w:p>
    <w:p w14:paraId="3CB3058A">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(11)投标人基本资格条件和特定资格条件中有一项及以上不符合要求的；</w:t>
      </w:r>
    </w:p>
    <w:p w14:paraId="40113D1B">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053004E0">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(13)其它情形，经评标委员会提出按无效投标处理，并经公共资源交易监督部门核准的；</w:t>
      </w:r>
    </w:p>
    <w:p w14:paraId="429BDB97">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(14)投标人投标MAC地址或投标人联系人或联系电话相同的，由评标委员会否决其投标，并报告监管部门作不良行为处理和进一步调查；</w:t>
      </w:r>
    </w:p>
    <w:p w14:paraId="3E3DB7A0">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(15)投标人单方面出现其他投标人材料的；</w:t>
      </w:r>
    </w:p>
    <w:p w14:paraId="66803C8B">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(16)招标公告未写明允许采购进口产品，投标人所投产品为进口产品的；</w:t>
      </w:r>
    </w:p>
    <w:p w14:paraId="72BFF172">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(17)招标文件规定的其它无效投标情形。</w:t>
      </w:r>
    </w:p>
    <w:p w14:paraId="2ECC637D">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投标人有下列情形之一的,符合性审查后其投标按无效投标处理：</w:t>
      </w:r>
    </w:p>
    <w:p w14:paraId="144FE8D7">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(1)投标文件签字、盖章不全，经评标委员会一致认定对开评标内容有实质性影响并经公共资源交易监督部门核准的；</w:t>
      </w:r>
    </w:p>
    <w:p w14:paraId="1EAD0444">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(2)未按规定的格式填写导致实质性内容不全以及实质上不响应，或者关键字迹模糊、无法辨认；经公共资源交易监督部门核准的；</w:t>
      </w:r>
    </w:p>
    <w:p w14:paraId="5E44BB37">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(3)同一投标人提交两个以上不同的投标文件或者投标报价，但招标文件规定提交备选方案的除外；</w:t>
      </w:r>
    </w:p>
    <w:p w14:paraId="5690F484">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(4)投标文件没有对招标文件的实质性要求和条件作出响应;</w:t>
      </w:r>
    </w:p>
    <w:p w14:paraId="43E1C3D9">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(5)投标报价超出规定的投标限价或公布的采购预算的或投标人的投标报价各项单价高于招标文件给定的单价最高限价；</w:t>
      </w:r>
    </w:p>
    <w:p w14:paraId="3992EB6D">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(6)不按评标委员会要求澄清、说明或补正的，或者评标委员会根据招标文件的规定对投标文件的计算错误进行修正后，投标人不接受修正的投标报价的。</w:t>
      </w:r>
    </w:p>
    <w:p w14:paraId="58726E47">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(7)其它情形，经评标委员会提出按无效投标处理，并经公共资源交易监督部门核准的；</w:t>
      </w:r>
    </w:p>
    <w:p w14:paraId="2F501490">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(8)投标文件含有采购人不能接受的附加条件的；</w:t>
      </w:r>
    </w:p>
    <w:p w14:paraId="1482DBB6">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(9)招标文件规定的其它无效投标情形。</w:t>
      </w:r>
    </w:p>
    <w:p w14:paraId="40739752">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投标人有下列情形之一的, 详细评审后其投标按无效投标处理：</w:t>
      </w:r>
    </w:p>
    <w:p w14:paraId="6A32C748">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(1)投标产品不符合必须强制执行的国家标准的；</w:t>
      </w:r>
    </w:p>
    <w:p w14:paraId="01D94437">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(2)投标人有串通投标、弄虚作假、行贿等违法行为；</w:t>
      </w:r>
    </w:p>
    <w:p w14:paraId="6FB5A0AF">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(3)投标文件含有违反国家法律、法规的内容，或附有采购人不能接受的条件的；</w:t>
      </w:r>
    </w:p>
    <w:p w14:paraId="74D3FC22">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(4)报价明显低于其他投标人，且不能证明报价合理性的投标无效；</w:t>
      </w:r>
    </w:p>
    <w:p w14:paraId="35A301C9">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(5)拒不确认评标委员会评审修正的投标无效；</w:t>
      </w:r>
    </w:p>
    <w:p w14:paraId="5A8D692A">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(6)其它情形，经评标委员会提出按无效投标处理，并经公共资源交易监督部门核准的；</w:t>
      </w:r>
    </w:p>
    <w:p w14:paraId="0CDC5CCA">
      <w:pPr>
        <w:wordWrap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(7)招标文件规定的其它无效投标情形。</w:t>
      </w:r>
    </w:p>
    <w:p w14:paraId="307BE695">
      <w:pPr>
        <w:wordWrap w:val="0"/>
        <w:spacing w:line="360" w:lineRule="auto"/>
        <w:ind w:firstLine="435"/>
        <w:rPr>
          <w:rFonts w:hint="eastAsia" w:asciiTheme="minorEastAsia" w:hAnsiTheme="minorEastAsia" w:eastAsiaTheme="minorEastAsia"/>
          <w:color w:val="auto"/>
          <w:sz w:val="24"/>
          <w:highlight w:val="none"/>
        </w:rPr>
      </w:pPr>
    </w:p>
    <w:p w14:paraId="6A335532">
      <w:pPr>
        <w:spacing w:line="360" w:lineRule="auto"/>
        <w:jc w:val="center"/>
        <w:outlineLvl w:val="0"/>
        <w:rPr>
          <w:rFonts w:hint="eastAsia" w:asciiTheme="minorEastAsia" w:hAnsiTheme="minorEastAsia" w:eastAsiaTheme="minorEastAsia"/>
          <w:b/>
          <w:color w:val="auto"/>
          <w:sz w:val="28"/>
          <w:highlight w:val="none"/>
        </w:rPr>
      </w:pPr>
      <w:bookmarkStart w:id="44" w:name="_Toc4682"/>
    </w:p>
    <w:p w14:paraId="4BA90309">
      <w:pPr>
        <w:spacing w:line="360" w:lineRule="auto"/>
        <w:jc w:val="center"/>
        <w:outlineLvl w:val="0"/>
        <w:rPr>
          <w:rFonts w:hint="eastAsia" w:asciiTheme="minorEastAsia" w:hAnsiTheme="minorEastAsia" w:eastAsiaTheme="minorEastAsia"/>
          <w:b/>
          <w:color w:val="auto"/>
          <w:sz w:val="28"/>
          <w:highlight w:val="none"/>
        </w:rPr>
      </w:pPr>
    </w:p>
    <w:p w14:paraId="5901CCC7">
      <w:pPr>
        <w:spacing w:line="360" w:lineRule="auto"/>
        <w:jc w:val="center"/>
        <w:outlineLvl w:val="0"/>
        <w:rPr>
          <w:rFonts w:hint="eastAsia" w:asciiTheme="minorEastAsia" w:hAnsiTheme="minorEastAsia" w:eastAsiaTheme="minorEastAsia"/>
          <w:b/>
          <w:color w:val="auto"/>
          <w:sz w:val="28"/>
          <w:highlight w:val="none"/>
        </w:rPr>
      </w:pPr>
    </w:p>
    <w:p w14:paraId="51E9B557">
      <w:pPr>
        <w:spacing w:line="360" w:lineRule="auto"/>
        <w:jc w:val="center"/>
        <w:outlineLvl w:val="0"/>
        <w:rPr>
          <w:rFonts w:hint="eastAsia" w:asciiTheme="minorEastAsia" w:hAnsiTheme="minorEastAsia" w:eastAsiaTheme="minorEastAsia"/>
          <w:b/>
          <w:color w:val="auto"/>
          <w:sz w:val="28"/>
          <w:highlight w:val="none"/>
        </w:rPr>
      </w:pPr>
    </w:p>
    <w:p w14:paraId="6E027100">
      <w:pPr>
        <w:spacing w:line="360" w:lineRule="auto"/>
        <w:jc w:val="center"/>
        <w:outlineLvl w:val="0"/>
        <w:rPr>
          <w:rFonts w:hint="eastAsia" w:asciiTheme="minorEastAsia" w:hAnsiTheme="minorEastAsia" w:eastAsiaTheme="minorEastAsia"/>
          <w:b/>
          <w:color w:val="auto"/>
          <w:sz w:val="28"/>
          <w:highlight w:val="none"/>
        </w:rPr>
      </w:pPr>
    </w:p>
    <w:p w14:paraId="45F7F78B">
      <w:pPr>
        <w:spacing w:line="360" w:lineRule="auto"/>
        <w:jc w:val="center"/>
        <w:outlineLvl w:val="0"/>
        <w:rPr>
          <w:rFonts w:hint="eastAsia" w:asciiTheme="minorEastAsia" w:hAnsiTheme="minorEastAsia" w:eastAsiaTheme="minorEastAsia"/>
          <w:b/>
          <w:color w:val="auto"/>
          <w:sz w:val="28"/>
          <w:highlight w:val="none"/>
        </w:rPr>
      </w:pPr>
    </w:p>
    <w:p w14:paraId="228FE406">
      <w:pPr>
        <w:spacing w:line="360" w:lineRule="auto"/>
        <w:jc w:val="center"/>
        <w:outlineLvl w:val="0"/>
        <w:rPr>
          <w:rFonts w:hint="eastAsia" w:asciiTheme="minorEastAsia" w:hAnsiTheme="minorEastAsia" w:eastAsiaTheme="minorEastAsia"/>
          <w:b/>
          <w:color w:val="auto"/>
          <w:sz w:val="28"/>
          <w:highlight w:val="none"/>
        </w:rPr>
      </w:pPr>
    </w:p>
    <w:p w14:paraId="7E913ABC">
      <w:pPr>
        <w:spacing w:line="360" w:lineRule="auto"/>
        <w:jc w:val="center"/>
        <w:outlineLvl w:val="0"/>
        <w:rPr>
          <w:rFonts w:hint="eastAsia" w:asciiTheme="minorEastAsia" w:hAnsiTheme="minorEastAsia" w:eastAsiaTheme="minorEastAsia"/>
          <w:b/>
          <w:color w:val="auto"/>
          <w:sz w:val="28"/>
          <w:highlight w:val="none"/>
        </w:rPr>
      </w:pPr>
    </w:p>
    <w:p w14:paraId="767469FE">
      <w:pPr>
        <w:spacing w:line="360" w:lineRule="auto"/>
        <w:jc w:val="center"/>
        <w:outlineLvl w:val="0"/>
        <w:rPr>
          <w:rFonts w:hint="eastAsia" w:asciiTheme="minorEastAsia" w:hAnsiTheme="minorEastAsia" w:eastAsiaTheme="minorEastAsia"/>
          <w:b/>
          <w:color w:val="auto"/>
          <w:sz w:val="28"/>
          <w:highlight w:val="none"/>
        </w:rPr>
      </w:pPr>
    </w:p>
    <w:p w14:paraId="4DD94BDF">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4"/>
    </w:p>
    <w:p w14:paraId="481E7F4D">
      <w:pPr>
        <w:pStyle w:val="8"/>
        <w:spacing w:after="0" w:line="360" w:lineRule="auto"/>
        <w:rPr>
          <w:rFonts w:hint="eastAsia" w:ascii="宋体" w:hAnsi="宋体" w:eastAsia="宋体" w:cs="宋体"/>
          <w:b/>
          <w:bCs/>
          <w:color w:val="auto"/>
          <w:spacing w:val="-20"/>
          <w:kern w:val="44"/>
          <w:sz w:val="24"/>
          <w:highlight w:val="none"/>
        </w:rPr>
      </w:pPr>
    </w:p>
    <w:p w14:paraId="6C024A07">
      <w:pPr>
        <w:pStyle w:val="8"/>
        <w:spacing w:after="0" w:line="360" w:lineRule="auto"/>
        <w:jc w:val="center"/>
        <w:rPr>
          <w:rFonts w:hint="eastAsia" w:ascii="宋体" w:hAnsi="宋体" w:eastAsia="宋体" w:cs="宋体"/>
          <w:b/>
          <w:bCs/>
          <w:color w:val="auto"/>
          <w:spacing w:val="-20"/>
          <w:kern w:val="44"/>
          <w:sz w:val="24"/>
          <w:highlight w:val="none"/>
        </w:rPr>
      </w:pPr>
    </w:p>
    <w:p w14:paraId="1948CBD0">
      <w:pPr>
        <w:pStyle w:val="8"/>
        <w:spacing w:after="0" w:line="360" w:lineRule="auto"/>
        <w:jc w:val="center"/>
        <w:rPr>
          <w:rFonts w:hint="eastAsia" w:ascii="宋体" w:hAnsi="宋体" w:eastAsia="宋体" w:cs="宋体"/>
          <w:b/>
          <w:bCs/>
          <w:color w:val="auto"/>
          <w:spacing w:val="-20"/>
          <w:kern w:val="44"/>
          <w:sz w:val="24"/>
          <w:highlight w:val="none"/>
        </w:rPr>
      </w:pPr>
    </w:p>
    <w:p w14:paraId="2C82C013">
      <w:pPr>
        <w:pStyle w:val="8"/>
        <w:spacing w:after="0" w:line="360" w:lineRule="auto"/>
        <w:jc w:val="center"/>
        <w:rPr>
          <w:rFonts w:hint="eastAsia" w:ascii="宋体" w:hAnsi="宋体" w:eastAsia="宋体" w:cs="宋体"/>
          <w:b/>
          <w:bCs/>
          <w:color w:val="auto"/>
          <w:spacing w:val="-20"/>
          <w:kern w:val="44"/>
          <w:sz w:val="24"/>
          <w:highlight w:val="none"/>
        </w:rPr>
      </w:pPr>
    </w:p>
    <w:p w14:paraId="6E3DD6F2">
      <w:pPr>
        <w:spacing w:line="360" w:lineRule="auto"/>
        <w:rPr>
          <w:rFonts w:hint="eastAsia" w:ascii="宋体" w:hAnsi="宋体" w:eastAsia="宋体" w:cs="宋体"/>
          <w:b/>
          <w:bCs/>
          <w:color w:val="auto"/>
          <w:spacing w:val="-20"/>
          <w:kern w:val="44"/>
          <w:sz w:val="24"/>
          <w:szCs w:val="24"/>
          <w:highlight w:val="none"/>
        </w:rPr>
      </w:pPr>
    </w:p>
    <w:p w14:paraId="69AE4AF1">
      <w:pPr>
        <w:pStyle w:val="8"/>
        <w:rPr>
          <w:rFonts w:hint="eastAsia" w:ascii="宋体" w:hAnsi="宋体" w:eastAsia="宋体" w:cs="宋体"/>
          <w:b/>
          <w:bCs/>
          <w:color w:val="auto"/>
          <w:spacing w:val="-20"/>
          <w:kern w:val="44"/>
          <w:sz w:val="24"/>
          <w:highlight w:val="none"/>
        </w:rPr>
      </w:pPr>
    </w:p>
    <w:p w14:paraId="1DCC0BE9">
      <w:pPr>
        <w:pStyle w:val="8"/>
        <w:rPr>
          <w:rFonts w:hint="eastAsia" w:ascii="宋体" w:hAnsi="宋体" w:eastAsia="宋体" w:cs="宋体"/>
          <w:b/>
          <w:bCs/>
          <w:color w:val="auto"/>
          <w:spacing w:val="-20"/>
          <w:kern w:val="44"/>
          <w:sz w:val="24"/>
          <w:highlight w:val="none"/>
        </w:rPr>
      </w:pPr>
    </w:p>
    <w:p w14:paraId="49ADC794">
      <w:pPr>
        <w:spacing w:line="360" w:lineRule="auto"/>
        <w:rPr>
          <w:rFonts w:hint="eastAsia" w:ascii="宋体" w:hAnsi="宋体" w:eastAsia="宋体" w:cs="宋体"/>
          <w:b/>
          <w:bCs/>
          <w:color w:val="auto"/>
          <w:spacing w:val="-20"/>
          <w:kern w:val="44"/>
          <w:sz w:val="24"/>
          <w:szCs w:val="24"/>
          <w:highlight w:val="none"/>
        </w:rPr>
      </w:pPr>
    </w:p>
    <w:p w14:paraId="22B2A3D7">
      <w:pPr>
        <w:pStyle w:val="8"/>
        <w:spacing w:line="360" w:lineRule="auto"/>
        <w:rPr>
          <w:rFonts w:hint="eastAsia"/>
          <w:color w:val="auto"/>
          <w:highlight w:val="none"/>
        </w:rPr>
      </w:pPr>
    </w:p>
    <w:p w14:paraId="5FF8F2E5">
      <w:pPr>
        <w:spacing w:line="360" w:lineRule="auto"/>
        <w:rPr>
          <w:rFonts w:hint="eastAsia" w:ascii="宋体" w:hAnsi="宋体" w:eastAsia="宋体" w:cs="宋体"/>
          <w:b/>
          <w:bCs/>
          <w:color w:val="auto"/>
          <w:spacing w:val="-20"/>
          <w:kern w:val="44"/>
          <w:sz w:val="24"/>
          <w:szCs w:val="24"/>
          <w:highlight w:val="none"/>
        </w:rPr>
      </w:pPr>
    </w:p>
    <w:p w14:paraId="0492E5BD">
      <w:pPr>
        <w:spacing w:line="360" w:lineRule="auto"/>
        <w:ind w:left="420" w:left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kern w:val="0"/>
          <w:sz w:val="24"/>
          <w:szCs w:val="24"/>
          <w:highlight w:val="none"/>
          <w:u w:val="single"/>
        </w:rPr>
        <w:t xml:space="preserve">                             </w:t>
      </w:r>
    </w:p>
    <w:p w14:paraId="3D384426">
      <w:pPr>
        <w:spacing w:line="360" w:lineRule="auto"/>
        <w:ind w:left="420" w:leftChars="200"/>
        <w:rPr>
          <w:rFonts w:hint="eastAsia"/>
          <w:color w:val="auto"/>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EA9484A">
      <w:pPr>
        <w:spacing w:line="360" w:lineRule="auto"/>
        <w:ind w:left="420" w:left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15E1C78E">
      <w:pPr>
        <w:spacing w:line="360" w:lineRule="auto"/>
        <w:ind w:left="420" w:leftChars="200"/>
        <w:rPr>
          <w:rFonts w:hint="eastAsia" w:ascii="宋体" w:hAnsi="宋体" w:eastAsia="宋体" w:cs="宋体"/>
          <w:color w:val="auto"/>
          <w:sz w:val="24"/>
          <w:szCs w:val="24"/>
          <w:highlight w:val="none"/>
        </w:rPr>
      </w:pPr>
      <w:r>
        <w:rPr>
          <w:rFonts w:hint="eastAsia" w:cs="Times New Roman" w:asciiTheme="minorEastAsia" w:hAnsiTheme="minorEastAsia" w:eastAsiaTheme="minorEastAsia"/>
          <w:color w:val="auto"/>
          <w:sz w:val="24"/>
          <w:szCs w:val="24"/>
          <w:highlight w:val="none"/>
        </w:rPr>
        <w:t>甲方（采购人）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41A86F36">
      <w:pPr>
        <w:spacing w:line="360" w:lineRule="auto"/>
        <w:ind w:left="420" w:leftChars="200"/>
        <w:rPr>
          <w:rFonts w:hint="eastAsia" w:ascii="宋体" w:hAnsi="宋体" w:eastAsia="宋体" w:cs="宋体"/>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A35D745">
      <w:pPr>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2658675D">
      <w:pPr>
        <w:spacing w:line="360" w:lineRule="auto"/>
        <w:rPr>
          <w:rFonts w:hint="eastAsia" w:ascii="宋体" w:hAnsi="宋体" w:eastAsia="宋体" w:cs="宋体"/>
          <w:color w:val="auto"/>
          <w:sz w:val="24"/>
          <w:szCs w:val="24"/>
          <w:highlight w:val="none"/>
        </w:rPr>
      </w:pPr>
    </w:p>
    <w:p w14:paraId="0BC445A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D9DFCF4">
      <w:pPr>
        <w:spacing w:line="360" w:lineRule="auto"/>
        <w:jc w:val="center"/>
        <w:outlineLvl w:val="1"/>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使 用 说 明</w:t>
      </w:r>
    </w:p>
    <w:p w14:paraId="13898A2B">
      <w:pPr>
        <w:spacing w:line="360" w:lineRule="auto"/>
        <w:ind w:firstLine="480" w:firstLineChars="200"/>
        <w:rPr>
          <w:rFonts w:hint="eastAsia" w:ascii="宋体" w:hAnsi="宋体" w:eastAsia="宋体" w:cs="宋体"/>
          <w:color w:val="auto"/>
          <w:sz w:val="24"/>
          <w:szCs w:val="24"/>
          <w:highlight w:val="none"/>
        </w:rPr>
      </w:pPr>
    </w:p>
    <w:p w14:paraId="7A9A0C8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1.本合同标准文本适用于购买现成货物的采购项目，不包括需要供应商定制开发、创新研发的货物采购项目。</w:t>
      </w:r>
    </w:p>
    <w:p w14:paraId="5DD6D63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2.本合同标准文本为政府采购货物买卖合同编制提供参考，可以结合采购项目具体情况，对文本作必要的调整修订后使用。</w:t>
      </w:r>
    </w:p>
    <w:p w14:paraId="5C459E3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3.本合同标准文本各条款中，如涉及填写多家供应商、制造商，多种采购标的、分包主要内容等信息的，可根据采购项目具体情况添加信息项。</w:t>
      </w:r>
    </w:p>
    <w:p w14:paraId="1A1458FD">
      <w:pPr>
        <w:spacing w:line="360" w:lineRule="auto"/>
        <w:ind w:firstLine="480" w:firstLineChars="200"/>
        <w:rPr>
          <w:rFonts w:hint="eastAsia" w:ascii="宋体" w:hAnsi="宋体" w:eastAsia="宋体" w:cs="宋体"/>
          <w:color w:val="auto"/>
          <w:sz w:val="24"/>
          <w:szCs w:val="24"/>
          <w:highlight w:val="none"/>
        </w:rPr>
        <w:sectPr>
          <w:pgSz w:w="11905" w:h="16838"/>
          <w:pgMar w:top="1440" w:right="1417" w:bottom="1440" w:left="1417" w:header="850" w:footer="992" w:gutter="0"/>
          <w:cols w:space="0" w:num="1"/>
          <w:docGrid w:type="lines" w:linePitch="317" w:charSpace="0"/>
        </w:sectPr>
      </w:pPr>
    </w:p>
    <w:p w14:paraId="6AC82267">
      <w:pPr>
        <w:spacing w:line="360" w:lineRule="auto"/>
        <w:jc w:val="center"/>
        <w:outlineLvl w:val="1"/>
        <w:rPr>
          <w:rFonts w:hint="eastAsia" w:asciiTheme="minorEastAsia" w:hAnsiTheme="minorEastAsia" w:eastAsiaTheme="minorEastAsia"/>
          <w:b/>
          <w:color w:val="auto"/>
          <w:sz w:val="24"/>
          <w:highlight w:val="none"/>
        </w:rPr>
      </w:pPr>
      <w:bookmarkStart w:id="45" w:name="_Toc22209"/>
      <w:r>
        <w:rPr>
          <w:rFonts w:hint="eastAsia" w:asciiTheme="minorEastAsia" w:hAnsiTheme="minorEastAsia" w:eastAsiaTheme="minorEastAsia"/>
          <w:b/>
          <w:color w:val="auto"/>
          <w:sz w:val="24"/>
          <w:highlight w:val="none"/>
        </w:rPr>
        <w:t>第一节 政府采购合同协议书</w:t>
      </w:r>
      <w:bookmarkEnd w:id="45"/>
    </w:p>
    <w:p w14:paraId="6249A378">
      <w:pPr>
        <w:adjustRightInd w:val="0"/>
        <w:snapToGrid w:val="0"/>
        <w:spacing w:line="360" w:lineRule="auto"/>
        <w:rPr>
          <w:rFonts w:hint="eastAsia" w:ascii="宋体" w:hAnsi="宋体" w:eastAsia="宋体" w:cs="宋体"/>
          <w:color w:val="auto"/>
          <w:sz w:val="24"/>
          <w:szCs w:val="24"/>
          <w:highlight w:val="none"/>
        </w:rPr>
      </w:pPr>
    </w:p>
    <w:p w14:paraId="16DE112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（采购人、受采购人委托签订合同的单位或采购</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文件约定的合同甲方）</w:t>
      </w:r>
    </w:p>
    <w:p w14:paraId="3D76E6B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乙方1（全称）：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w:t>
      </w:r>
    </w:p>
    <w:p w14:paraId="635380D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乙方2（全称）：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31C8E89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乙方3（全称）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3F6AAAC2">
      <w:pPr>
        <w:spacing w:line="360" w:lineRule="auto"/>
        <w:rPr>
          <w:rFonts w:hint="eastAsia" w:ascii="宋体" w:hAnsi="宋体" w:eastAsia="宋体" w:cs="宋体"/>
          <w:color w:val="auto"/>
          <w:sz w:val="24"/>
          <w:szCs w:val="24"/>
          <w:highlight w:val="none"/>
        </w:rPr>
      </w:pPr>
    </w:p>
    <w:p w14:paraId="55DF6642">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0192DD0E">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项目信息</w:t>
      </w:r>
    </w:p>
    <w:p w14:paraId="7E8DA577">
      <w:pPr>
        <w:pStyle w:val="9"/>
        <w:numPr>
          <w:ilvl w:val="0"/>
          <w:numId w:val="3"/>
        </w:numPr>
        <w:adjustRightInd w:val="0"/>
        <w:snapToGrid w:val="0"/>
        <w:spacing w:after="0" w:line="360" w:lineRule="auto"/>
        <w:ind w:left="0" w:leftChars="0"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采购项目名称：</w:t>
      </w:r>
      <w:r>
        <w:rPr>
          <w:rFonts w:hint="eastAsia" w:ascii="宋体" w:hAnsi="宋体" w:eastAsia="宋体" w:cs="宋体"/>
          <w:color w:val="auto"/>
          <w:sz w:val="24"/>
          <w:szCs w:val="24"/>
          <w:highlight w:val="none"/>
          <w:u w:val="single"/>
        </w:rPr>
        <w:t xml:space="preserve">                                            </w:t>
      </w:r>
    </w:p>
    <w:p w14:paraId="54CE0EFE">
      <w:pPr>
        <w:pStyle w:val="9"/>
        <w:numPr>
          <w:ilvl w:val="255"/>
          <w:numId w:val="0"/>
        </w:numPr>
        <w:tabs>
          <w:tab w:val="left" w:pos="999"/>
        </w:tabs>
        <w:adjustRightInd w:val="0"/>
        <w:snapToGrid w:val="0"/>
        <w:spacing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采购项目编号：</w:t>
      </w:r>
      <w:r>
        <w:rPr>
          <w:rFonts w:hint="eastAsia" w:ascii="宋体" w:hAnsi="宋体" w:eastAsia="宋体" w:cs="宋体"/>
          <w:color w:val="auto"/>
          <w:sz w:val="24"/>
          <w:szCs w:val="24"/>
          <w:highlight w:val="none"/>
          <w:u w:val="single"/>
        </w:rPr>
        <w:t xml:space="preserve">                                          </w:t>
      </w:r>
    </w:p>
    <w:p w14:paraId="1B652F2C">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（2）采购计划编号：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AC804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p>
    <w:p w14:paraId="119109A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采购标的及数量（台/套</w:t>
      </w:r>
      <w:r>
        <w:rPr>
          <w:rFonts w:hint="eastAsia" w:ascii="宋体" w:hAnsi="宋体" w:eastAsia="宋体" w:cs="宋体"/>
          <w:color w:val="auto"/>
          <w:sz w:val="24"/>
          <w:szCs w:val="24"/>
          <w:highlight w:val="none"/>
          <w:lang w:val="en"/>
        </w:rPr>
        <w:t>/个/架/组等</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E199F5F">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lang w:val="en"/>
        </w:rPr>
      </w:pP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
        </w:rPr>
        <w:t xml:space="preserve">     </w:t>
      </w:r>
      <w:r>
        <w:rPr>
          <w:rFonts w:hint="eastAsia" w:ascii="宋体" w:hAnsi="宋体" w:eastAsia="宋体" w:cs="宋体"/>
          <w:color w:val="auto"/>
          <w:sz w:val="24"/>
          <w:szCs w:val="24"/>
          <w:highlight w:val="none"/>
        </w:rPr>
        <w:t>规格型号：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
        </w:rPr>
        <w:t xml:space="preserve">   </w:t>
      </w:r>
    </w:p>
    <w:p w14:paraId="5885EAC9">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采购标的的技术要求、商务要求具体见附件。</w:t>
      </w:r>
    </w:p>
    <w:p w14:paraId="0628852D">
      <w:pPr>
        <w:numPr>
          <w:ilvl w:val="255"/>
          <w:numId w:val="0"/>
        </w:num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①涉及信息类产品，请填写该产品关键部件的品牌、型号：</w:t>
      </w:r>
    </w:p>
    <w:p w14:paraId="59CF042D">
      <w:pPr>
        <w:numPr>
          <w:ilvl w:val="255"/>
          <w:numId w:val="0"/>
        </w:num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 xml:space="preserve">     标的名称：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
        </w:rPr>
        <w:t xml:space="preserve">               </w:t>
      </w:r>
      <w:r>
        <w:rPr>
          <w:rFonts w:hint="eastAsia" w:ascii="宋体" w:hAnsi="宋体" w:eastAsia="宋体" w:cs="宋体"/>
          <w:color w:val="auto"/>
          <w:kern w:val="0"/>
          <w:sz w:val="24"/>
          <w:szCs w:val="24"/>
          <w:highlight w:val="none"/>
          <w:u w:val="single"/>
        </w:rPr>
        <w:t xml:space="preserve">    </w:t>
      </w:r>
    </w:p>
    <w:p w14:paraId="2BC913FF">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56C9677">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关键部件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86B9854">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p>
    <w:p w14:paraId="00334371">
      <w:pPr>
        <w:pStyle w:val="69"/>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3750F200">
      <w:pPr>
        <w:pStyle w:val="69"/>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②涉及车辆采购，请填写是否属于新能源汽车：</w:t>
      </w:r>
    </w:p>
    <w:p w14:paraId="7F0145BD">
      <w:pPr>
        <w:pStyle w:val="69"/>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8469241">
      <w:pPr>
        <w:pStyle w:val="69"/>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否</w:t>
      </w:r>
    </w:p>
    <w:p w14:paraId="5E2884D3">
      <w:pPr>
        <w:pStyle w:val="69"/>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
        </w:rPr>
        <w:t>4</w:t>
      </w:r>
      <w:r>
        <w:rPr>
          <w:rFonts w:hint="eastAsia" w:ascii="宋体" w:hAnsi="宋体" w:eastAsia="宋体" w:cs="宋体"/>
          <w:color w:val="auto"/>
          <w:sz w:val="24"/>
          <w:szCs w:val="24"/>
          <w:highlight w:val="none"/>
        </w:rPr>
        <w:t>）政府采购组织形式：</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政府集中采购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部门集中采购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分散采购</w:t>
      </w:r>
    </w:p>
    <w:p w14:paraId="06B93630">
      <w:pPr>
        <w:pStyle w:val="69"/>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
        </w:rPr>
        <w:t>5</w:t>
      </w:r>
      <w:r>
        <w:rPr>
          <w:rFonts w:hint="eastAsia" w:ascii="宋体" w:hAnsi="宋体" w:eastAsia="宋体" w:cs="宋体"/>
          <w:color w:val="auto"/>
          <w:sz w:val="24"/>
          <w:szCs w:val="24"/>
          <w:highlight w:val="none"/>
        </w:rPr>
        <w:t>）政府采购方式：</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公开招标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邀请招标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竞争性谈判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竞争性磋商</w:t>
      </w:r>
    </w:p>
    <w:p w14:paraId="2C1BF4DA">
      <w:pPr>
        <w:pStyle w:val="69"/>
        <w:numPr>
          <w:ilvl w:val="255"/>
          <w:numId w:val="0"/>
        </w:numPr>
        <w:snapToGrid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询价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单一来源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框架协议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4F52D560">
      <w:pPr>
        <w:pStyle w:val="69"/>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（注：在框架协议采购的第二阶段，可选择使用该合同文本）</w:t>
      </w:r>
    </w:p>
    <w:p w14:paraId="77F6B326">
      <w:pPr>
        <w:pStyle w:val="69"/>
        <w:numPr>
          <w:ilvl w:val="255"/>
          <w:numId w:val="0"/>
        </w:numPr>
        <w:snapToGrid w:val="0"/>
        <w:spacing w:line="360" w:lineRule="auto"/>
        <w:ind w:firstLine="240" w:firstLineChars="10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
        </w:rPr>
        <w:t>6</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中标（成交）采购标的制造商是否为中小企业：</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 xml:space="preserve">是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否</w:t>
      </w:r>
    </w:p>
    <w:p w14:paraId="70F89113">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本合同是否为专门面向中小企业的采购合同（中小企业预留合同）：</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6301AA4A">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若本项目不专门面向中小企业采购，是否给予小微企业评审优惠：</w:t>
      </w:r>
      <w:r>
        <w:rPr>
          <w:rFonts w:hint="eastAsia" w:ascii="宋体" w:hAnsi="宋体" w:eastAsia="宋体" w:cs="宋体"/>
          <w:iCs/>
          <w:color w:val="auto"/>
          <w:sz w:val="24"/>
          <w:szCs w:val="24"/>
          <w:highlight w:val="none"/>
        </w:rPr>
        <w:sym w:font="Wingdings" w:char="00FE"/>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59B7856B">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中标（成交）采购标的制造商是否为残疾人福利性单位：</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260D4F8B">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中标（成交）采购标的制造商是否为监狱企业：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1941269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
        </w:rPr>
        <w:t>7</w:t>
      </w:r>
      <w:r>
        <w:rPr>
          <w:rFonts w:hint="eastAsia" w:ascii="宋体" w:hAnsi="宋体" w:eastAsia="宋体" w:cs="宋体"/>
          <w:color w:val="auto"/>
          <w:sz w:val="24"/>
          <w:szCs w:val="24"/>
          <w:highlight w:val="none"/>
        </w:rPr>
        <w:t>）合同是否分包：</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306D7406">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分包主要内容：</w:t>
      </w:r>
      <w:r>
        <w:rPr>
          <w:rFonts w:hint="eastAsia" w:ascii="宋体" w:hAnsi="宋体" w:eastAsia="宋体" w:cs="宋体"/>
          <w:color w:val="auto"/>
          <w:sz w:val="24"/>
          <w:szCs w:val="24"/>
          <w:highlight w:val="none"/>
          <w:u w:val="single"/>
        </w:rPr>
        <w:t xml:space="preserve">                                            </w:t>
      </w:r>
    </w:p>
    <w:p w14:paraId="055A7567">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分包供应商/制造商名称（如供应商和制造商不同，请分别填写）：</w:t>
      </w:r>
    </w:p>
    <w:p w14:paraId="2675AA5A">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p>
    <w:p w14:paraId="0D73BC1C">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分包供应商/制造商类型（如果供应商和制造商不同，只填写制造商类型）：</w:t>
      </w:r>
    </w:p>
    <w:p w14:paraId="4E409858">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大型企业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中型企业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小微型企业  </w:t>
      </w:r>
    </w:p>
    <w:p w14:paraId="3B555FC9">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残疾人福利性单位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监狱企业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p>
    <w:p w14:paraId="041E96A7">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
        </w:rPr>
        <w:t>8</w:t>
      </w:r>
      <w:r>
        <w:rPr>
          <w:rFonts w:hint="eastAsia" w:ascii="宋体" w:hAnsi="宋体" w:eastAsia="宋体" w:cs="宋体"/>
          <w:color w:val="auto"/>
          <w:sz w:val="24"/>
          <w:szCs w:val="24"/>
          <w:highlight w:val="none"/>
        </w:rPr>
        <w:t>）中标（成交）供应商是否为外商投资企业：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24E81743">
      <w:pPr>
        <w:pStyle w:val="69"/>
        <w:tabs>
          <w:tab w:val="left" w:pos="1340"/>
        </w:tabs>
        <w:spacing w:line="360" w:lineRule="auto"/>
        <w:ind w:firstLine="48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外商投资企业类型：</w:t>
      </w:r>
      <w:r>
        <w:rPr>
          <w:rFonts w:hint="eastAsia" w:ascii="宋体" w:hAnsi="宋体" w:eastAsia="宋体" w:cs="宋体"/>
          <w:iCs/>
          <w:color w:val="auto"/>
          <w:sz w:val="24"/>
          <w:szCs w:val="24"/>
          <w:highlight w:val="none"/>
        </w:rPr>
        <w:sym w:font="Wingdings" w:char="00A8"/>
      </w:r>
      <w:r>
        <w:rPr>
          <w:rFonts w:hint="eastAsia" w:ascii="宋体" w:hAnsi="宋体" w:eastAsia="宋体" w:cs="宋体"/>
          <w:color w:val="auto"/>
          <w:sz w:val="24"/>
          <w:szCs w:val="24"/>
          <w:highlight w:val="none"/>
        </w:rPr>
        <w:t xml:space="preserve">全部由外国投资者投资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部分由外国投资者投资</w:t>
      </w:r>
    </w:p>
    <w:p w14:paraId="6F9224D0">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
        </w:rPr>
        <w:t>9</w:t>
      </w:r>
      <w:r>
        <w:rPr>
          <w:rFonts w:hint="eastAsia" w:ascii="宋体" w:hAnsi="宋体" w:eastAsia="宋体" w:cs="宋体"/>
          <w:color w:val="auto"/>
          <w:sz w:val="24"/>
          <w:szCs w:val="24"/>
          <w:highlight w:val="none"/>
        </w:rPr>
        <w:t>）是否涉及进口产品：</w:t>
      </w:r>
    </w:p>
    <w:p w14:paraId="7FE192B0">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p>
    <w:p w14:paraId="3ECE4138">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国别：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1907437">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326E5340">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w:t>
      </w:r>
      <w:r>
        <w:rPr>
          <w:rFonts w:hint="eastAsia" w:ascii="宋体" w:hAnsi="宋体" w:eastAsia="宋体" w:cs="宋体"/>
          <w:color w:val="auto"/>
          <w:sz w:val="24"/>
          <w:szCs w:val="24"/>
          <w:highlight w:val="none"/>
          <w:lang w:val="en"/>
        </w:rPr>
        <w:t>0</w:t>
      </w:r>
      <w:r>
        <w:rPr>
          <w:rFonts w:hint="eastAsia" w:ascii="宋体" w:hAnsi="宋体" w:eastAsia="宋体" w:cs="宋体"/>
          <w:color w:val="auto"/>
          <w:sz w:val="24"/>
          <w:szCs w:val="24"/>
          <w:highlight w:val="none"/>
        </w:rPr>
        <w:t>）是否涉及节能产品：</w:t>
      </w:r>
    </w:p>
    <w:p w14:paraId="36C76BD7">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是，《节能产品政府采购品目清单》的底级品目名称：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3FA7E166">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7B08E220">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5F22A14F">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是否涉及环境标志产品：</w:t>
      </w:r>
    </w:p>
    <w:p w14:paraId="062053FE">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是，《环境标志产品政府采购品目清单》的底级品目名称：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2089887C">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23432BED">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50ECD914">
      <w:pPr>
        <w:pStyle w:val="69"/>
        <w:numPr>
          <w:ilvl w:val="255"/>
          <w:numId w:val="0"/>
        </w:numPr>
        <w:snapToGrid w:val="0"/>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 xml:space="preserve">是否涉及绿色产品： </w:t>
      </w:r>
    </w:p>
    <w:p w14:paraId="6F2799B2">
      <w:pPr>
        <w:pStyle w:val="69"/>
        <w:spacing w:line="360" w:lineRule="auto"/>
        <w:ind w:firstLine="420" w:firstLineChars="0"/>
        <w:rPr>
          <w:rFonts w:hint="eastAsia" w:ascii="宋体" w:hAnsi="宋体" w:eastAsia="宋体" w:cs="宋体"/>
          <w:color w:val="auto"/>
          <w:sz w:val="24"/>
          <w:szCs w:val="24"/>
          <w:highlight w:val="none"/>
          <w:u w:val="singl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是，绿色产品政府采购相关政策确定的底级品目名称：</w:t>
      </w:r>
      <w:r>
        <w:rPr>
          <w:rFonts w:hint="eastAsia" w:ascii="宋体" w:hAnsi="宋体" w:eastAsia="宋体" w:cs="宋体"/>
          <w:color w:val="auto"/>
          <w:sz w:val="24"/>
          <w:szCs w:val="24"/>
          <w:highlight w:val="none"/>
          <w:u w:val="single"/>
        </w:rPr>
        <w:t xml:space="preserve">         </w:t>
      </w:r>
    </w:p>
    <w:p w14:paraId="66991146">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178973F8">
      <w:pPr>
        <w:pStyle w:val="69"/>
        <w:spacing w:line="360" w:lineRule="auto"/>
        <w:ind w:firstLine="4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否</w:t>
      </w:r>
    </w:p>
    <w:p w14:paraId="3157FF84">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w:t>
      </w:r>
      <w:r>
        <w:rPr>
          <w:rFonts w:hint="eastAsia" w:ascii="宋体" w:hAnsi="宋体" w:eastAsia="宋体" w:cs="宋体"/>
          <w:color w:val="auto"/>
          <w:sz w:val="24"/>
          <w:szCs w:val="24"/>
          <w:highlight w:val="none"/>
          <w:lang w:val="en"/>
        </w:rPr>
        <w:t>1</w:t>
      </w:r>
      <w:r>
        <w:rPr>
          <w:rFonts w:hint="eastAsia" w:ascii="宋体" w:hAnsi="宋体" w:eastAsia="宋体" w:cs="宋体"/>
          <w:color w:val="auto"/>
          <w:sz w:val="24"/>
          <w:szCs w:val="24"/>
          <w:highlight w:val="none"/>
        </w:rPr>
        <w:t>）涉及商品包装和快递包装的，是否参考《商品包装政府采购需求标准（试行）》、《快递包装政府采购需求标准（试行）》明确产品及相关快递服务的具体包装要求：</w:t>
      </w:r>
    </w:p>
    <w:p w14:paraId="17250C3E">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否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不涉及</w:t>
      </w:r>
    </w:p>
    <w:p w14:paraId="4199C56E">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合同金额</w:t>
      </w:r>
    </w:p>
    <w:p w14:paraId="2525E54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2D04DBA8">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2CBEEA8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w:t>
      </w:r>
      <w:r>
        <w:rPr>
          <w:rFonts w:hint="eastAsia" w:ascii="宋体" w:hAnsi="宋体" w:eastAsia="宋体" w:cs="宋体"/>
          <w:color w:val="auto"/>
          <w:sz w:val="24"/>
          <w:szCs w:val="24"/>
          <w:highlight w:val="none"/>
          <w:u w:val="single"/>
        </w:rPr>
        <w:t xml:space="preserve">                   </w:t>
      </w:r>
    </w:p>
    <w:p w14:paraId="51AEFC43">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1B150E9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6ACDB8AC">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（2）合同定价方式（采用组合定价方式的，可以勾选多项）：</w:t>
      </w:r>
    </w:p>
    <w:p w14:paraId="4522CF5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固定费率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绩效激励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368A12BA">
      <w:pPr>
        <w:pStyle w:val="7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3770A1FC">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（应明确一次性支付合同款项的条件）                    </w:t>
      </w:r>
    </w:p>
    <w:p w14:paraId="4939359A">
      <w:pPr>
        <w:snapToGrid w:val="0"/>
        <w:spacing w:line="360" w:lineRule="auto"/>
        <w:ind w:firstLine="720" w:firstLineChars="3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b/>
          <w:bCs/>
          <w:color w:val="auto"/>
          <w:sz w:val="24"/>
          <w:highlight w:val="none"/>
          <w:u w:val="single"/>
        </w:rPr>
        <w:t>合同签订且具备实施条件后，支付合同价的40%预付款（预付款支付前，中标人须提供同等金额的见索即付保函），全部供货安装调试运行完毕并由采购人验收合格后，一次性付清</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，其中涉及预付款的：</w:t>
      </w:r>
      <w:r>
        <w:rPr>
          <w:rFonts w:hint="eastAsia" w:ascii="宋体" w:hAnsi="宋体" w:eastAsia="宋体" w:cs="宋体"/>
          <w:b/>
          <w:bCs/>
          <w:color w:val="auto"/>
          <w:sz w:val="24"/>
          <w:szCs w:val="24"/>
          <w:highlight w:val="none"/>
          <w:u w:val="single"/>
        </w:rPr>
        <w:t xml:space="preserve"> （应明确预付款的支付比例和支付条件） </w:t>
      </w:r>
    </w:p>
    <w:p w14:paraId="5B69929F">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05F2D4EA">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1D5AC2A2">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合同履行</w:t>
      </w:r>
    </w:p>
    <w:p w14:paraId="20A4374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6CD59A9">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（2）履约地点</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u w:val="single"/>
        </w:rPr>
        <w:t xml:space="preserve">   滁州职业技术学院    </w:t>
      </w:r>
    </w:p>
    <w:p w14:paraId="0FED1C4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（3）履约担保：</w:t>
      </w:r>
      <w:r>
        <w:rPr>
          <w:rFonts w:hint="eastAsia" w:ascii="宋体" w:hAnsi="宋体" w:eastAsia="宋体" w:cs="宋体"/>
          <w:color w:val="auto"/>
          <w:sz w:val="24"/>
          <w:szCs w:val="24"/>
          <w:highlight w:val="none"/>
        </w:rPr>
        <w:t>是否收取履约保证金：</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3B9A6592">
      <w:pPr>
        <w:wordWrap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收取履约保证金形式：</w:t>
      </w:r>
      <w:r>
        <w:rPr>
          <w:rFonts w:hint="eastAsia" w:ascii="宋体" w:hAnsi="宋体" w:eastAsia="宋体" w:cs="宋体"/>
          <w:color w:val="auto"/>
          <w:kern w:val="0"/>
          <w:sz w:val="24"/>
          <w:szCs w:val="24"/>
          <w:highlight w:val="none"/>
          <w:u w:val="single"/>
        </w:rPr>
        <w:sym w:font="Wingdings" w:char="00FE"/>
      </w:r>
      <w:r>
        <w:rPr>
          <w:rFonts w:ascii="宋体" w:hAnsi="宋体" w:eastAsia="宋体" w:cs="宋体"/>
          <w:color w:val="auto"/>
          <w:kern w:val="0"/>
          <w:sz w:val="24"/>
          <w:szCs w:val="24"/>
          <w:highlight w:val="none"/>
          <w:u w:val="single"/>
        </w:rPr>
        <w:t>转账/电汇</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sym w:font="Wingdings" w:char="00FE"/>
      </w:r>
      <w:r>
        <w:rPr>
          <w:rFonts w:ascii="宋体" w:hAnsi="宋体" w:eastAsia="宋体" w:cs="宋体"/>
          <w:color w:val="auto"/>
          <w:kern w:val="0"/>
          <w:sz w:val="24"/>
          <w:szCs w:val="24"/>
          <w:highlight w:val="none"/>
          <w:u w:val="single"/>
        </w:rPr>
        <w:t xml:space="preserve">支票 </w:t>
      </w:r>
      <w:r>
        <w:rPr>
          <w:rFonts w:hint="eastAsia" w:ascii="宋体" w:hAnsi="宋体" w:eastAsia="宋体" w:cs="宋体"/>
          <w:color w:val="auto"/>
          <w:kern w:val="0"/>
          <w:sz w:val="24"/>
          <w:szCs w:val="24"/>
          <w:highlight w:val="none"/>
          <w:u w:val="single"/>
        </w:rPr>
        <w:sym w:font="Wingdings" w:char="00FE"/>
      </w:r>
      <w:r>
        <w:rPr>
          <w:rFonts w:ascii="宋体" w:hAnsi="宋体" w:eastAsia="宋体" w:cs="宋体"/>
          <w:color w:val="auto"/>
          <w:kern w:val="0"/>
          <w:sz w:val="24"/>
          <w:szCs w:val="24"/>
          <w:highlight w:val="none"/>
          <w:u w:val="single"/>
        </w:rPr>
        <w:t>汇票</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sym w:font="Wingdings" w:char="00FE"/>
      </w:r>
      <w:r>
        <w:rPr>
          <w:rFonts w:hint="eastAsia" w:ascii="宋体" w:hAnsi="宋体" w:eastAsia="宋体" w:cs="宋体"/>
          <w:color w:val="auto"/>
          <w:kern w:val="0"/>
          <w:sz w:val="24"/>
          <w:szCs w:val="24"/>
          <w:highlight w:val="none"/>
          <w:u w:val="single"/>
        </w:rPr>
        <w:t xml:space="preserve">本票 </w:t>
      </w:r>
      <w:r>
        <w:rPr>
          <w:rFonts w:hint="eastAsia" w:ascii="宋体" w:hAnsi="宋体" w:eastAsia="宋体" w:cs="宋体"/>
          <w:color w:val="auto"/>
          <w:kern w:val="0"/>
          <w:sz w:val="24"/>
          <w:szCs w:val="24"/>
          <w:highlight w:val="none"/>
          <w:u w:val="single"/>
        </w:rPr>
        <w:sym w:font="Wingdings" w:char="00FE"/>
      </w:r>
      <w:r>
        <w:rPr>
          <w:rFonts w:ascii="宋体" w:hAnsi="宋体" w:eastAsia="宋体" w:cs="宋体"/>
          <w:color w:val="auto"/>
          <w:kern w:val="0"/>
          <w:sz w:val="24"/>
          <w:szCs w:val="24"/>
          <w:highlight w:val="none"/>
          <w:u w:val="single"/>
        </w:rPr>
        <w:t>保</w:t>
      </w:r>
      <w:r>
        <w:rPr>
          <w:rFonts w:hint="eastAsia" w:ascii="宋体" w:hAnsi="宋体" w:eastAsia="宋体" w:cs="宋体"/>
          <w:color w:val="auto"/>
          <w:kern w:val="0"/>
          <w:sz w:val="24"/>
          <w:szCs w:val="24"/>
          <w:highlight w:val="none"/>
          <w:u w:val="single"/>
        </w:rPr>
        <w:t xml:space="preserve">险 </w:t>
      </w:r>
      <w:r>
        <w:rPr>
          <w:rFonts w:hint="eastAsia" w:ascii="宋体" w:hAnsi="宋体" w:eastAsia="宋体" w:cs="宋体"/>
          <w:color w:val="auto"/>
          <w:kern w:val="0"/>
          <w:sz w:val="24"/>
          <w:szCs w:val="24"/>
          <w:highlight w:val="none"/>
          <w:u w:val="single"/>
        </w:rPr>
        <w:sym w:font="Wingdings" w:char="00FE"/>
      </w:r>
      <w:r>
        <w:rPr>
          <w:rFonts w:hint="eastAsia" w:ascii="宋体" w:hAnsi="宋体" w:eastAsia="宋体" w:cs="宋体"/>
          <w:color w:val="auto"/>
          <w:kern w:val="0"/>
          <w:sz w:val="24"/>
          <w:szCs w:val="24"/>
          <w:highlight w:val="none"/>
          <w:u w:val="single"/>
        </w:rPr>
        <w:t>保</w:t>
      </w:r>
      <w:r>
        <w:rPr>
          <w:rFonts w:ascii="宋体" w:hAnsi="宋体" w:eastAsia="宋体" w:cs="宋体"/>
          <w:color w:val="auto"/>
          <w:kern w:val="0"/>
          <w:sz w:val="24"/>
          <w:szCs w:val="24"/>
          <w:highlight w:val="none"/>
          <w:u w:val="single"/>
        </w:rPr>
        <w:t>函</w:t>
      </w:r>
    </w:p>
    <w:p w14:paraId="7276231C">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收取履约保证金金额：</w:t>
      </w:r>
      <w:r>
        <w:rPr>
          <w:rFonts w:hint="eastAsia" w:ascii="宋体" w:hAnsi="宋体" w:eastAsia="宋体" w:cs="宋体"/>
          <w:bCs/>
          <w:color w:val="auto"/>
          <w:sz w:val="24"/>
          <w:szCs w:val="24"/>
          <w:highlight w:val="none"/>
          <w:u w:val="single"/>
        </w:rPr>
        <w:t xml:space="preserve">     合同价的 2.5 %    </w:t>
      </w:r>
    </w:p>
    <w:p w14:paraId="43326420">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履约担保期限：</w:t>
      </w:r>
      <w:r>
        <w:rPr>
          <w:rFonts w:hint="eastAsia" w:ascii="宋体" w:hAnsi="宋体" w:eastAsia="宋体" w:cs="宋体"/>
          <w:bCs/>
          <w:color w:val="auto"/>
          <w:sz w:val="24"/>
          <w:szCs w:val="24"/>
          <w:highlight w:val="none"/>
          <w:u w:val="single"/>
        </w:rPr>
        <w:t xml:space="preserve">                                  </w:t>
      </w:r>
    </w:p>
    <w:p w14:paraId="04ABA76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（4）分期履行要求：</w:t>
      </w:r>
      <w:r>
        <w:rPr>
          <w:rFonts w:hint="eastAsia" w:ascii="宋体" w:hAnsi="宋体" w:eastAsia="宋体" w:cs="宋体"/>
          <w:bCs/>
          <w:color w:val="auto"/>
          <w:sz w:val="24"/>
          <w:szCs w:val="24"/>
          <w:highlight w:val="none"/>
          <w:u w:val="single"/>
        </w:rPr>
        <w:t xml:space="preserve">                                                        </w:t>
      </w:r>
    </w:p>
    <w:p w14:paraId="34CEDE8E">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（5）风险处置措施和替代方案：</w:t>
      </w:r>
      <w:r>
        <w:rPr>
          <w:rFonts w:hint="eastAsia" w:ascii="宋体" w:hAnsi="宋体" w:eastAsia="宋体" w:cs="宋体"/>
          <w:color w:val="auto"/>
          <w:sz w:val="24"/>
          <w:szCs w:val="24"/>
          <w:highlight w:val="none"/>
          <w:u w:val="single"/>
        </w:rPr>
        <w:t xml:space="preserve">                                                               </w:t>
      </w:r>
    </w:p>
    <w:p w14:paraId="21431EF6">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合同验收</w:t>
      </w:r>
    </w:p>
    <w:p w14:paraId="7AC62BB9">
      <w:pPr>
        <w:numPr>
          <w:ilvl w:val="0"/>
          <w:numId w:val="4"/>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验收组织方式：</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自行组织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委托第三方组织</w:t>
      </w:r>
    </w:p>
    <w:p w14:paraId="4204E435">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验收主体：</w:t>
      </w:r>
      <w:r>
        <w:rPr>
          <w:rFonts w:hint="eastAsia" w:ascii="宋体" w:hAnsi="宋体" w:eastAsia="宋体" w:cs="宋体"/>
          <w:bCs/>
          <w:color w:val="auto"/>
          <w:sz w:val="24"/>
          <w:szCs w:val="24"/>
          <w:highlight w:val="none"/>
          <w:u w:val="single"/>
        </w:rPr>
        <w:t xml:space="preserve">                  </w:t>
      </w:r>
    </w:p>
    <w:p w14:paraId="618473A9">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是否邀请本项目的其他供应商参加验收：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51F8CCE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是否邀请专家参加验收：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606F0D35">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是否邀请服务对象参加验收：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4AE18EB5">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是否邀请第三方检测机构参加验收：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174F6C09">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是否进行抽查检测：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是，抽查比例：</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00FA2CBA">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是否存在破坏性检测：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w:t>
      </w:r>
      <w:r>
        <w:rPr>
          <w:rFonts w:hint="eastAsia" w:ascii="宋体" w:hAnsi="宋体" w:eastAsia="宋体" w:cs="宋体"/>
          <w:bCs/>
          <w:color w:val="auto"/>
          <w:sz w:val="24"/>
          <w:szCs w:val="24"/>
          <w:highlight w:val="none"/>
          <w:u w:val="single"/>
        </w:rPr>
        <w:t>（应明确对被破坏的检测产品的处理方式）</w:t>
      </w:r>
    </w:p>
    <w:p w14:paraId="1D738EA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62062968">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验收组织的其他事项：</w:t>
      </w:r>
      <w:r>
        <w:rPr>
          <w:rFonts w:hint="eastAsia" w:ascii="宋体" w:hAnsi="宋体" w:eastAsia="宋体" w:cs="宋体"/>
          <w:bCs/>
          <w:color w:val="auto"/>
          <w:sz w:val="24"/>
          <w:szCs w:val="24"/>
          <w:highlight w:val="none"/>
          <w:u w:val="single"/>
        </w:rPr>
        <w:t xml:space="preserve">                </w:t>
      </w:r>
    </w:p>
    <w:p w14:paraId="66FACEF2">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（2）履约验收时间：</w:t>
      </w:r>
      <w:r>
        <w:rPr>
          <w:rFonts w:hint="eastAsia" w:ascii="宋体" w:hAnsi="宋体" w:eastAsia="宋体" w:cs="宋体"/>
          <w:bCs/>
          <w:color w:val="auto"/>
          <w:sz w:val="24"/>
          <w:szCs w:val="24"/>
          <w:highlight w:val="none"/>
          <w:u w:val="single"/>
        </w:rPr>
        <w:t xml:space="preserve">（计划于何时验收/供应商提出验收申请之日起   日内组织验收） </w:t>
      </w:r>
    </w:p>
    <w:p w14:paraId="3EFE26E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（3）履约验收方式：</w:t>
      </w:r>
      <w:r>
        <w:rPr>
          <w:rFonts w:hint="eastAsia" w:ascii="宋体" w:hAnsi="宋体" w:eastAsia="宋体" w:cs="宋体"/>
          <w:color w:val="auto"/>
          <w:sz w:val="24"/>
          <w:szCs w:val="24"/>
          <w:highlight w:val="none"/>
        </w:rPr>
        <w:sym w:font="Wingdings" w:char="00FE"/>
      </w:r>
      <w:r>
        <w:rPr>
          <w:rFonts w:hint="eastAsia" w:ascii="宋体" w:hAnsi="宋体" w:eastAsia="宋体" w:cs="宋体"/>
          <w:bCs/>
          <w:color w:val="auto"/>
          <w:sz w:val="24"/>
          <w:szCs w:val="24"/>
          <w:highlight w:val="none"/>
        </w:rPr>
        <w:t xml:space="preserve">一次性验收         </w:t>
      </w:r>
    </w:p>
    <w:p w14:paraId="744F5EA8">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分期/分项验收：</w:t>
      </w:r>
      <w:r>
        <w:rPr>
          <w:rFonts w:hint="eastAsia" w:ascii="宋体" w:hAnsi="宋体" w:eastAsia="宋体" w:cs="宋体"/>
          <w:bCs/>
          <w:color w:val="auto"/>
          <w:sz w:val="24"/>
          <w:szCs w:val="24"/>
          <w:highlight w:val="none"/>
          <w:u w:val="single"/>
        </w:rPr>
        <w:t xml:space="preserve"> （应明确分期</w:t>
      </w:r>
      <w:r>
        <w:rPr>
          <w:rFonts w:hint="eastAsia" w:ascii="宋体" w:hAnsi="宋体" w:eastAsia="宋体" w:cs="宋体"/>
          <w:bCs/>
          <w:color w:val="auto"/>
          <w:sz w:val="24"/>
          <w:szCs w:val="24"/>
          <w:highlight w:val="none"/>
          <w:u w:val="single"/>
          <w:lang w:val="en"/>
        </w:rPr>
        <w:t>/分项验收的工作安排</w:t>
      </w:r>
      <w:r>
        <w:rPr>
          <w:rFonts w:hint="eastAsia" w:ascii="宋体" w:hAnsi="宋体" w:eastAsia="宋体" w:cs="宋体"/>
          <w:bCs/>
          <w:color w:val="auto"/>
          <w:sz w:val="24"/>
          <w:szCs w:val="24"/>
          <w:highlight w:val="none"/>
          <w:u w:val="single"/>
        </w:rPr>
        <w:t xml:space="preserve">）  </w:t>
      </w:r>
    </w:p>
    <w:p w14:paraId="40633E7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（4）履约验收程序：</w:t>
      </w:r>
      <w:r>
        <w:rPr>
          <w:rFonts w:hint="eastAsia" w:ascii="宋体" w:hAnsi="宋体" w:eastAsia="宋体" w:cs="宋体"/>
          <w:bCs/>
          <w:color w:val="auto"/>
          <w:sz w:val="24"/>
          <w:szCs w:val="24"/>
          <w:highlight w:val="none"/>
          <w:u w:val="single"/>
        </w:rPr>
        <w:t xml:space="preserve">                                         </w:t>
      </w:r>
    </w:p>
    <w:p w14:paraId="4AC2555F">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（5）履约验收的内容：</w:t>
      </w:r>
      <w:r>
        <w:rPr>
          <w:rFonts w:hint="eastAsia" w:ascii="宋体" w:hAnsi="宋体" w:eastAsia="宋体" w:cs="宋体"/>
          <w:bCs/>
          <w:color w:val="auto"/>
          <w:sz w:val="24"/>
          <w:szCs w:val="24"/>
          <w:highlight w:val="none"/>
          <w:u w:val="single"/>
        </w:rPr>
        <w:t xml:space="preserve"> （应当包括每一项技术和商务要求的履约情况，特别是落实政府采购扶持中小企业，支持绿色发展和乡村振兴等政策情况）                                      </w:t>
      </w:r>
    </w:p>
    <w:p w14:paraId="2B5E0D1F">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（6）履约验收标准：</w:t>
      </w:r>
      <w:r>
        <w:rPr>
          <w:rFonts w:hint="eastAsia" w:ascii="宋体" w:hAnsi="宋体" w:eastAsia="宋体" w:cs="宋体"/>
          <w:bCs/>
          <w:color w:val="auto"/>
          <w:sz w:val="24"/>
          <w:szCs w:val="24"/>
          <w:highlight w:val="none"/>
          <w:u w:val="single"/>
        </w:rPr>
        <w:t xml:space="preserve">                                         </w:t>
      </w:r>
    </w:p>
    <w:p w14:paraId="41F5F689">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（7）是否以采购活动中供应商提供的样品作为参考：</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12923F34">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（8）履约验收其他事项：</w:t>
      </w:r>
      <w:r>
        <w:rPr>
          <w:rFonts w:hint="eastAsia" w:ascii="宋体" w:hAnsi="宋体" w:eastAsia="宋体" w:cs="宋体"/>
          <w:bCs/>
          <w:color w:val="auto"/>
          <w:sz w:val="24"/>
          <w:szCs w:val="24"/>
          <w:highlight w:val="none"/>
          <w:u w:val="single"/>
        </w:rPr>
        <w:t xml:space="preserve">      （产权过户登记等）          </w:t>
      </w:r>
    </w:p>
    <w:p w14:paraId="18E13065">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组成合同的文件</w:t>
      </w:r>
    </w:p>
    <w:p w14:paraId="5500EE5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2ADFA49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0092542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1822805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3A486C8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4A072DD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74FE4BB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2459D0B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1AB92E46">
      <w:pPr>
        <w:pStyle w:val="69"/>
        <w:spacing w:line="360" w:lineRule="auto"/>
        <w:ind w:firstLine="48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15680C26">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合同生效</w:t>
      </w:r>
    </w:p>
    <w:p w14:paraId="741CBD1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生效。</w:t>
      </w:r>
    </w:p>
    <w:p w14:paraId="2FD6FFC3">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合同份数</w:t>
      </w:r>
    </w:p>
    <w:p w14:paraId="2EEC708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4C67AC8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E7A3FC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640509C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附件：具体标的及其技术要求和商务要求、联合协议、分包意向协议等。</w:t>
      </w:r>
    </w:p>
    <w:p w14:paraId="63A5A87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0289C18">
      <w:pPr>
        <w:pStyle w:val="70"/>
        <w:spacing w:line="360" w:lineRule="auto"/>
        <w:ind w:firstLine="480"/>
        <w:rPr>
          <w:rFonts w:hint="eastAsia" w:ascii="宋体" w:hAnsi="宋体" w:eastAsia="宋体" w:cs="宋体"/>
          <w:color w:val="auto"/>
          <w:sz w:val="24"/>
          <w:szCs w:val="24"/>
          <w:highlight w:val="none"/>
        </w:rPr>
      </w:pPr>
    </w:p>
    <w:tbl>
      <w:tblPr>
        <w:tblStyle w:val="23"/>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6"/>
        <w:gridCol w:w="2306"/>
      </w:tblGrid>
      <w:tr w14:paraId="2461751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71F113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798DD84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乙方（供应商）</w:t>
            </w:r>
          </w:p>
        </w:tc>
      </w:tr>
      <w:tr w14:paraId="01AC5FE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70ACFB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40360ED8">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687209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259" w:type="pct"/>
            <w:tcBorders>
              <w:top w:val="single" w:color="auto" w:sz="2" w:space="0"/>
              <w:left w:val="single" w:color="auto" w:sz="2" w:space="0"/>
              <w:bottom w:val="single" w:color="auto" w:sz="2" w:space="0"/>
            </w:tcBorders>
            <w:vAlign w:val="center"/>
          </w:tcPr>
          <w:p w14:paraId="73A2126F">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617A9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3FB1036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1E1D5978">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3C2D54C4">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right w:val="single" w:color="auto" w:sz="2" w:space="0"/>
            </w:tcBorders>
            <w:vAlign w:val="center"/>
          </w:tcPr>
          <w:p w14:paraId="2B918F9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429B7C3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259" w:type="pct"/>
            <w:tcBorders>
              <w:top w:val="single" w:color="auto" w:sz="2" w:space="0"/>
              <w:left w:val="single" w:color="auto" w:sz="2" w:space="0"/>
              <w:bottom w:val="single" w:color="auto" w:sz="2" w:space="0"/>
            </w:tcBorders>
            <w:vAlign w:val="center"/>
          </w:tcPr>
          <w:p w14:paraId="0E4459A4">
            <w:pPr>
              <w:adjustRightInd w:val="0"/>
              <w:snapToGrid w:val="0"/>
              <w:spacing w:line="360" w:lineRule="auto"/>
              <w:jc w:val="center"/>
              <w:rPr>
                <w:rFonts w:hint="eastAsia" w:ascii="宋体" w:hAnsi="宋体" w:eastAsia="宋体" w:cs="宋体"/>
                <w:color w:val="auto"/>
                <w:sz w:val="24"/>
                <w:szCs w:val="24"/>
                <w:highlight w:val="none"/>
              </w:rPr>
            </w:pPr>
          </w:p>
        </w:tc>
      </w:tr>
      <w:tr w14:paraId="31108D2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C84FF3E">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vMerge w:val="continue"/>
            <w:tcBorders>
              <w:left w:val="single" w:color="auto" w:sz="2" w:space="0"/>
              <w:bottom w:val="single" w:color="auto" w:sz="2" w:space="0"/>
              <w:right w:val="single" w:color="auto" w:sz="2" w:space="0"/>
            </w:tcBorders>
            <w:vAlign w:val="center"/>
          </w:tcPr>
          <w:p w14:paraId="0AEB1E59">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E1AB2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拥有者性别</w:t>
            </w:r>
          </w:p>
        </w:tc>
        <w:tc>
          <w:tcPr>
            <w:tcW w:w="1259" w:type="pct"/>
            <w:tcBorders>
              <w:top w:val="single" w:color="auto" w:sz="2" w:space="0"/>
              <w:left w:val="single" w:color="auto" w:sz="2" w:space="0"/>
              <w:bottom w:val="single" w:color="auto" w:sz="2" w:space="0"/>
            </w:tcBorders>
            <w:vAlign w:val="center"/>
          </w:tcPr>
          <w:p w14:paraId="276E2437">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E49FD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7694A4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7B44B2F2">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961430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259" w:type="pct"/>
            <w:tcBorders>
              <w:top w:val="single" w:color="auto" w:sz="2" w:space="0"/>
              <w:left w:val="single" w:color="auto" w:sz="2" w:space="0"/>
              <w:bottom w:val="single" w:color="auto" w:sz="2" w:space="0"/>
            </w:tcBorders>
            <w:vAlign w:val="center"/>
          </w:tcPr>
          <w:p w14:paraId="42B8A6C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DC63A3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ECCA6B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2D3E2D5">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140424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259" w:type="pct"/>
            <w:tcBorders>
              <w:top w:val="single" w:color="auto" w:sz="2" w:space="0"/>
              <w:left w:val="single" w:color="auto" w:sz="2" w:space="0"/>
              <w:bottom w:val="single" w:color="auto" w:sz="2" w:space="0"/>
            </w:tcBorders>
            <w:vAlign w:val="center"/>
          </w:tcPr>
          <w:p w14:paraId="172C37E6">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55980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BCA23F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0C41B917">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4E4E5E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259" w:type="pct"/>
            <w:tcBorders>
              <w:top w:val="single" w:color="auto" w:sz="2" w:space="0"/>
              <w:left w:val="single" w:color="auto" w:sz="2" w:space="0"/>
              <w:bottom w:val="single" w:color="auto" w:sz="2" w:space="0"/>
            </w:tcBorders>
            <w:vAlign w:val="center"/>
          </w:tcPr>
          <w:p w14:paraId="3A795BE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3A3BB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FA2813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6BD224C6">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925A41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259" w:type="pct"/>
            <w:tcBorders>
              <w:top w:val="single" w:color="auto" w:sz="2" w:space="0"/>
              <w:left w:val="single" w:color="auto" w:sz="2" w:space="0"/>
              <w:bottom w:val="single" w:color="auto" w:sz="2" w:space="0"/>
            </w:tcBorders>
            <w:vAlign w:val="center"/>
          </w:tcPr>
          <w:p w14:paraId="5D5B0A0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DD5F48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858F8B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39497D1">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E492EC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259" w:type="pct"/>
            <w:tcBorders>
              <w:top w:val="single" w:color="auto" w:sz="2" w:space="0"/>
              <w:left w:val="single" w:color="auto" w:sz="2" w:space="0"/>
              <w:bottom w:val="single" w:color="auto" w:sz="2" w:space="0"/>
            </w:tcBorders>
            <w:vAlign w:val="center"/>
          </w:tcPr>
          <w:p w14:paraId="592C65A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979CD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A6D5C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3FA667B2">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A0C58C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259" w:type="pct"/>
            <w:tcBorders>
              <w:top w:val="single" w:color="auto" w:sz="2" w:space="0"/>
              <w:left w:val="single" w:color="auto" w:sz="2" w:space="0"/>
              <w:bottom w:val="single" w:color="auto" w:sz="2" w:space="0"/>
            </w:tcBorders>
            <w:vAlign w:val="center"/>
          </w:tcPr>
          <w:p w14:paraId="77A6296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71344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AE3B7D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2E41AA2">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E88592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259" w:type="pct"/>
            <w:tcBorders>
              <w:top w:val="single" w:color="auto" w:sz="2" w:space="0"/>
              <w:left w:val="single" w:color="auto" w:sz="2" w:space="0"/>
              <w:bottom w:val="single" w:color="auto" w:sz="2" w:space="0"/>
            </w:tcBorders>
            <w:vAlign w:val="center"/>
          </w:tcPr>
          <w:p w14:paraId="1587EA9D">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5139451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62FE945">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2067484">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930A2F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w:t>
            </w:r>
          </w:p>
        </w:tc>
        <w:tc>
          <w:tcPr>
            <w:tcW w:w="1259" w:type="pct"/>
            <w:tcBorders>
              <w:top w:val="single" w:color="auto" w:sz="2" w:space="0"/>
              <w:left w:val="single" w:color="auto" w:sz="2" w:space="0"/>
              <w:bottom w:val="single" w:color="auto" w:sz="2" w:space="0"/>
            </w:tcBorders>
            <w:vAlign w:val="center"/>
          </w:tcPr>
          <w:p w14:paraId="00442A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F4842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D1FB022">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3106FA42">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B6D5A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259" w:type="pct"/>
            <w:tcBorders>
              <w:top w:val="single" w:color="auto" w:sz="2" w:space="0"/>
              <w:left w:val="single" w:color="auto" w:sz="2" w:space="0"/>
              <w:bottom w:val="single" w:color="auto" w:sz="2" w:space="0"/>
            </w:tcBorders>
            <w:vAlign w:val="center"/>
          </w:tcPr>
          <w:p w14:paraId="215B36B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A29589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E3151A9">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738701B2">
            <w:pPr>
              <w:adjustRightInd w:val="0"/>
              <w:snapToGrid w:val="0"/>
              <w:spacing w:line="360" w:lineRule="auto"/>
              <w:jc w:val="center"/>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5E0A0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p>
        </w:tc>
        <w:tc>
          <w:tcPr>
            <w:tcW w:w="1259" w:type="pct"/>
            <w:tcBorders>
              <w:top w:val="single" w:color="auto" w:sz="2" w:space="0"/>
              <w:left w:val="single" w:color="auto" w:sz="2" w:space="0"/>
              <w:bottom w:val="single" w:color="auto" w:sz="2" w:space="0"/>
            </w:tcBorders>
            <w:vAlign w:val="center"/>
          </w:tcPr>
          <w:p w14:paraId="4C311DA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E0E43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2334BD0E">
            <w:pPr>
              <w:pStyle w:val="9"/>
              <w:adjustRightInd w:val="0"/>
              <w:snapToGrid w:val="0"/>
              <w:spacing w:before="158" w:beforeLines="50" w:after="0" w:line="360" w:lineRule="auto"/>
              <w:ind w:left="0" w:leftChars="0"/>
              <w:jc w:val="lef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注：涉及联合体或其他合同主体的信息应按上表格式加列。</w:t>
            </w:r>
          </w:p>
        </w:tc>
      </w:tr>
    </w:tbl>
    <w:p w14:paraId="33AE4F50">
      <w:pPr>
        <w:pStyle w:val="3"/>
        <w:adjustRightInd w:val="0"/>
        <w:snapToGrid w:val="0"/>
        <w:spacing w:before="158"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br w:type="page"/>
      </w:r>
      <w:bookmarkStart w:id="46" w:name="_Toc27624"/>
      <w:r>
        <w:rPr>
          <w:rFonts w:hint="eastAsia" w:cs="@仿宋_GB2312" w:asciiTheme="minorEastAsia" w:hAnsiTheme="minorEastAsia" w:eastAsiaTheme="minorEastAsia"/>
          <w:bCs w:val="0"/>
          <w:color w:val="auto"/>
          <w:sz w:val="24"/>
          <w:szCs w:val="20"/>
          <w:highlight w:val="none"/>
        </w:rPr>
        <w:t>第二节 政府采购合同通用条款</w:t>
      </w:r>
      <w:bookmarkEnd w:id="46"/>
    </w:p>
    <w:p w14:paraId="4DE468AF">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 </w:t>
      </w:r>
      <w:r>
        <w:rPr>
          <w:rFonts w:hint="eastAsia" w:ascii="宋体" w:hAnsi="宋体" w:eastAsia="宋体" w:cs="宋体"/>
          <w:b/>
          <w:bCs/>
          <w:color w:val="auto"/>
          <w:sz w:val="24"/>
          <w:szCs w:val="24"/>
          <w:highlight w:val="none"/>
        </w:rPr>
        <w:t>定义</w:t>
      </w:r>
    </w:p>
    <w:p w14:paraId="3D8701F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0A68D9D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64FFA5F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6B2E389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w:t>
      </w:r>
      <w:r>
        <w:rPr>
          <w:rFonts w:hint="eastAsia" w:ascii="宋体" w:hAnsi="宋体" w:eastAsia="宋体" w:cs="宋体"/>
          <w:bCs/>
          <w:color w:val="auto"/>
          <w:sz w:val="24"/>
          <w:szCs w:val="24"/>
          <w:highlight w:val="none"/>
        </w:rPr>
        <w:t>依法参与合同缔结或履行，享有权利、承担义务的合同当事人</w:t>
      </w:r>
      <w:r>
        <w:rPr>
          <w:rFonts w:hint="eastAsia" w:ascii="宋体" w:hAnsi="宋体" w:eastAsia="宋体" w:cs="宋体"/>
          <w:color w:val="auto"/>
          <w:sz w:val="24"/>
          <w:szCs w:val="24"/>
          <w:highlight w:val="none"/>
        </w:rPr>
        <w:t>。</w:t>
      </w:r>
    </w:p>
    <w:p w14:paraId="7AB928B0">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47D2E4B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w:t>
      </w:r>
      <w:r>
        <w:rPr>
          <w:rFonts w:hint="eastAsia" w:ascii="宋体" w:hAnsi="宋体" w:eastAsia="宋体" w:cs="宋体"/>
          <w:bCs/>
          <w:color w:val="auto"/>
          <w:sz w:val="24"/>
          <w:szCs w:val="24"/>
          <w:highlight w:val="none"/>
        </w:rPr>
        <w:t>合同当事人意思表示达成一致的任何协议，包括签署的</w:t>
      </w:r>
      <w:r>
        <w:rPr>
          <w:rFonts w:hint="eastAsia" w:ascii="宋体" w:hAnsi="宋体" w:eastAsia="宋体" w:cs="宋体"/>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7ADE7CD">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751C2E89">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w:t>
      </w:r>
      <w:r>
        <w:rPr>
          <w:rFonts w:hint="eastAsia" w:ascii="宋体" w:hAnsi="宋体" w:eastAsia="宋体" w:cs="宋体"/>
          <w:color w:val="auto"/>
          <w:sz w:val="24"/>
          <w:szCs w:val="24"/>
          <w:highlight w:val="none"/>
          <w:lang w:val="en"/>
        </w:rPr>
        <w:t>其他</w:t>
      </w:r>
      <w:r>
        <w:rPr>
          <w:rFonts w:hint="eastAsia" w:ascii="宋体" w:hAnsi="宋体" w:eastAsia="宋体" w:cs="宋体"/>
          <w:color w:val="auto"/>
          <w:sz w:val="24"/>
          <w:szCs w:val="24"/>
          <w:highlight w:val="none"/>
        </w:rPr>
        <w:t>技术资料和材料等。</w:t>
      </w:r>
    </w:p>
    <w:p w14:paraId="0F548A3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w:t>
      </w:r>
      <w:r>
        <w:rPr>
          <w:rFonts w:hint="eastAsia" w:ascii="宋体" w:hAnsi="宋体" w:eastAsia="宋体" w:cs="宋体"/>
          <w:color w:val="auto"/>
          <w:sz w:val="24"/>
          <w:szCs w:val="24"/>
          <w:highlight w:val="none"/>
          <w:lang w:val="en"/>
        </w:rPr>
        <w:t>其他</w:t>
      </w:r>
      <w:r>
        <w:rPr>
          <w:rFonts w:hint="eastAsia" w:ascii="宋体" w:hAnsi="宋体" w:eastAsia="宋体" w:cs="宋体"/>
          <w:color w:val="auto"/>
          <w:sz w:val="24"/>
          <w:szCs w:val="24"/>
          <w:highlight w:val="none"/>
        </w:rPr>
        <w:t>服务，包括但不限于：管理和质量保证、运输、保险、检验、现场准备、安装、集成、调试、培训、维修、废弃处置、技术支持等以及合同中规定乙方应承担的</w:t>
      </w:r>
      <w:r>
        <w:rPr>
          <w:rFonts w:hint="eastAsia" w:ascii="宋体" w:hAnsi="宋体" w:eastAsia="宋体" w:cs="宋体"/>
          <w:color w:val="auto"/>
          <w:sz w:val="24"/>
          <w:szCs w:val="24"/>
          <w:highlight w:val="none"/>
          <w:lang w:val="en"/>
        </w:rPr>
        <w:t>其他</w:t>
      </w:r>
      <w:r>
        <w:rPr>
          <w:rFonts w:hint="eastAsia" w:ascii="宋体" w:hAnsi="宋体" w:eastAsia="宋体" w:cs="宋体"/>
          <w:color w:val="auto"/>
          <w:sz w:val="24"/>
          <w:szCs w:val="24"/>
          <w:highlight w:val="none"/>
        </w:rPr>
        <w:t>义务。</w:t>
      </w:r>
    </w:p>
    <w:p w14:paraId="1B56BC7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5C42AF26">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27EFBD31">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44C0B6AA">
      <w:pPr>
        <w:numPr>
          <w:ilvl w:val="0"/>
          <w:numId w:val="5"/>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合同标的及金额</w:t>
      </w:r>
    </w:p>
    <w:p w14:paraId="2987E3C6">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w:t>
      </w:r>
      <w:r>
        <w:rPr>
          <w:rFonts w:hint="eastAsia" w:ascii="宋体" w:hAnsi="宋体" w:eastAsia="宋体" w:cs="宋体"/>
          <w:color w:val="auto"/>
          <w:sz w:val="24"/>
          <w:szCs w:val="24"/>
          <w:highlight w:val="none"/>
          <w:lang w:val="en"/>
        </w:rPr>
        <w:t>其他</w:t>
      </w:r>
      <w:r>
        <w:rPr>
          <w:rFonts w:hint="eastAsia" w:ascii="宋体" w:hAnsi="宋体" w:eastAsia="宋体" w:cs="宋体"/>
          <w:color w:val="auto"/>
          <w:sz w:val="24"/>
          <w:szCs w:val="24"/>
          <w:highlight w:val="none"/>
        </w:rPr>
        <w:t>任何费用。</w:t>
      </w:r>
    </w:p>
    <w:p w14:paraId="049C74D0">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452E57C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26E6D180">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甲方的权利和义务</w:t>
      </w:r>
    </w:p>
    <w:p w14:paraId="40B0969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794B403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3EFE999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15EA225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4069E3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5ACB74D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1EE2D114">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乙方的权利和义务</w:t>
      </w:r>
    </w:p>
    <w:p w14:paraId="68FC6AA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36C1616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DBFBC22">
      <w:pPr>
        <w:pStyle w:val="8"/>
        <w:spacing w:after="0" w:line="360" w:lineRule="auto"/>
        <w:ind w:firstLine="422" w:firstLineChars="176"/>
        <w:rPr>
          <w:rFonts w:hint="eastAsia" w:ascii="宋体" w:hAnsi="宋体" w:eastAsia="宋体" w:cs="宋体"/>
          <w:color w:val="auto"/>
          <w:sz w:val="24"/>
          <w:highlight w:val="none"/>
        </w:rPr>
      </w:pPr>
      <w:r>
        <w:rPr>
          <w:rFonts w:hint="eastAsia" w:ascii="宋体" w:hAnsi="宋体" w:eastAsia="宋体" w:cs="宋体"/>
          <w:color w:val="auto"/>
          <w:sz w:val="24"/>
          <w:highlight w:val="none"/>
        </w:rPr>
        <w:t>5.3乙方有权根据合同约定向甲方收取合同价款。</w:t>
      </w:r>
    </w:p>
    <w:p w14:paraId="113BD4B1">
      <w:pPr>
        <w:pStyle w:val="8"/>
        <w:spacing w:after="0" w:line="360" w:lineRule="auto"/>
        <w:ind w:firstLine="422" w:firstLineChars="176"/>
        <w:rPr>
          <w:rFonts w:hint="eastAsia" w:ascii="宋体" w:hAnsi="宋体" w:eastAsia="宋体" w:cs="宋体"/>
          <w:color w:val="auto"/>
          <w:sz w:val="24"/>
          <w:highlight w:val="none"/>
        </w:rPr>
      </w:pPr>
      <w:r>
        <w:rPr>
          <w:rFonts w:hint="eastAsia" w:ascii="宋体" w:hAnsi="宋体" w:eastAsia="宋体" w:cs="宋体"/>
          <w:color w:val="auto"/>
          <w:sz w:val="24"/>
          <w:highlight w:val="none"/>
        </w:rPr>
        <w:t>5.4国家法律法规规定及</w:t>
      </w:r>
      <w:r>
        <w:rPr>
          <w:rFonts w:hint="eastAsia" w:ascii="宋体" w:hAnsi="宋体" w:eastAsia="宋体" w:cs="宋体"/>
          <w:b/>
          <w:bCs/>
          <w:color w:val="auto"/>
          <w:sz w:val="24"/>
          <w:highlight w:val="none"/>
        </w:rPr>
        <w:t>【政府采购合同专用条款】</w:t>
      </w:r>
      <w:r>
        <w:rPr>
          <w:rFonts w:hint="eastAsia" w:ascii="宋体" w:hAnsi="宋体" w:eastAsia="宋体" w:cs="宋体"/>
          <w:color w:val="auto"/>
          <w:sz w:val="24"/>
          <w:highlight w:val="none"/>
        </w:rPr>
        <w:t>约定应由乙方承担的其他义务和责任。</w:t>
      </w:r>
    </w:p>
    <w:p w14:paraId="4EE36645">
      <w:pPr>
        <w:numPr>
          <w:ilvl w:val="0"/>
          <w:numId w:val="6"/>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w:t>
      </w:r>
    </w:p>
    <w:p w14:paraId="258D78E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59F6038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14612F9D">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货物包装、运输、保险和交付要求</w:t>
      </w:r>
    </w:p>
    <w:p w14:paraId="7B572DF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w:t>
      </w:r>
      <w:r>
        <w:rPr>
          <w:rFonts w:hint="eastAsia" w:ascii="宋体" w:hAnsi="宋体" w:eastAsia="宋体" w:cs="宋体"/>
          <w:bCs/>
          <w:color w:val="auto"/>
          <w:sz w:val="24"/>
          <w:szCs w:val="24"/>
          <w:highlight w:val="none"/>
        </w:rPr>
        <w:t>涉及商品包装、快递包装的，</w:t>
      </w:r>
      <w:r>
        <w:rPr>
          <w:rFonts w:hint="eastAsia" w:ascii="宋体" w:hAnsi="宋体" w:eastAsia="宋体" w:cs="宋体"/>
          <w:color w:val="auto"/>
          <w:sz w:val="24"/>
          <w:szCs w:val="24"/>
          <w:highlight w:val="none"/>
        </w:rPr>
        <w:t>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约定的</w:t>
      </w:r>
      <w:r>
        <w:rPr>
          <w:rFonts w:hint="eastAsia" w:ascii="宋体" w:hAnsi="宋体" w:eastAsia="宋体" w:cs="宋体"/>
          <w:color w:val="auto"/>
          <w:sz w:val="24"/>
          <w:szCs w:val="24"/>
          <w:highlight w:val="none"/>
        </w:rPr>
        <w:t>指定现场。</w:t>
      </w:r>
    </w:p>
    <w:p w14:paraId="0EC4E7A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乙方负责办理将货物运抵本合同规定的交货地点，并装卸、交付至甲方的一切运输事项，相关费用应包含在合同价款中。</w:t>
      </w:r>
    </w:p>
    <w:p w14:paraId="1C729CB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规定执行</w:t>
      </w:r>
      <w:r>
        <w:rPr>
          <w:rFonts w:hint="eastAsia" w:ascii="宋体" w:hAnsi="宋体" w:eastAsia="宋体" w:cs="宋体"/>
          <w:color w:val="auto"/>
          <w:sz w:val="24"/>
          <w:szCs w:val="24"/>
          <w:highlight w:val="none"/>
        </w:rPr>
        <w:t>。</w:t>
      </w:r>
    </w:p>
    <w:p w14:paraId="4C0D164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D1178C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754A4C6C">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031C60C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 质量标准和保证</w:t>
      </w:r>
    </w:p>
    <w:p w14:paraId="610FD084">
      <w:pPr>
        <w:pStyle w:val="11"/>
        <w:adjustRightInd w:val="0"/>
        <w:snapToGrid w:val="0"/>
        <w:spacing w:line="360" w:lineRule="auto"/>
        <w:ind w:firstLine="480" w:firstLineChars="200"/>
        <w:jc w:val="left"/>
        <w:rPr>
          <w:rFonts w:hint="eastAsia" w:hAnsi="宋体" w:eastAsia="宋体" w:cs="宋体"/>
          <w:b/>
          <w:color w:val="auto"/>
          <w:sz w:val="24"/>
          <w:szCs w:val="24"/>
          <w:highlight w:val="none"/>
        </w:rPr>
      </w:pPr>
      <w:r>
        <w:rPr>
          <w:rFonts w:hint="eastAsia" w:hAnsi="宋体" w:eastAsia="宋体" w:cs="宋体"/>
          <w:color w:val="auto"/>
          <w:sz w:val="24"/>
          <w:szCs w:val="24"/>
          <w:highlight w:val="none"/>
        </w:rPr>
        <w:t>8.1 质量标准</w:t>
      </w:r>
    </w:p>
    <w:p w14:paraId="4811CC4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738D356">
      <w:pPr>
        <w:pStyle w:val="11"/>
        <w:adjustRightInd w:val="0"/>
        <w:snapToGrid w:val="0"/>
        <w:spacing w:line="360" w:lineRule="auto"/>
        <w:ind w:firstLine="480" w:firstLineChars="200"/>
        <w:jc w:val="left"/>
        <w:rPr>
          <w:rFonts w:hint="eastAsia" w:hAnsi="宋体" w:eastAsia="宋体" w:cs="宋体"/>
          <w:color w:val="auto"/>
          <w:sz w:val="24"/>
          <w:szCs w:val="24"/>
          <w:highlight w:val="none"/>
        </w:rPr>
      </w:pPr>
      <w:r>
        <w:rPr>
          <w:rFonts w:hint="eastAsia" w:hAnsi="宋体" w:eastAsia="宋体" w:cs="宋体"/>
          <w:color w:val="auto"/>
          <w:sz w:val="24"/>
          <w:szCs w:val="24"/>
          <w:highlight w:val="none"/>
        </w:rPr>
        <w:t>（2）采用中华人民共和国法定计量单位。</w:t>
      </w:r>
    </w:p>
    <w:p w14:paraId="2529048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697E850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39E947C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2D06C9B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规定或乙方书面承诺（两者以较长的为准）的质量保证期内，本保证保持有效。</w:t>
      </w:r>
    </w:p>
    <w:p w14:paraId="786424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16909D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1966061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2A4F63C3">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1E2C413E">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 权利瑕疵担保</w:t>
      </w:r>
    </w:p>
    <w:p w14:paraId="0A8837E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5AF4EC1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5A209C1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61B8F36E">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 知识产权保护</w:t>
      </w:r>
    </w:p>
    <w:p w14:paraId="1E8BCD8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w:t>
      </w:r>
      <w:bookmarkStart w:id="47" w:name="_Hlk163047038"/>
      <w:r>
        <w:rPr>
          <w:rFonts w:hint="eastAsia" w:ascii="宋体" w:hAnsi="宋体" w:eastAsia="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47"/>
      <w:r>
        <w:rPr>
          <w:rFonts w:hint="eastAsia" w:ascii="宋体" w:hAnsi="宋体" w:eastAsia="宋体" w:cs="宋体"/>
          <w:color w:val="auto"/>
          <w:sz w:val="24"/>
          <w:szCs w:val="24"/>
          <w:highlight w:val="none"/>
        </w:rPr>
        <w:t>。</w:t>
      </w:r>
    </w:p>
    <w:p w14:paraId="02879CDB">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 保密义务</w:t>
      </w:r>
    </w:p>
    <w:p w14:paraId="47E400B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2C812456">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合同价款支付</w:t>
      </w:r>
    </w:p>
    <w:p w14:paraId="1E57F75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32A5940B">
      <w:pPr>
        <w:pStyle w:val="3"/>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color w:val="auto"/>
          <w:sz w:val="24"/>
          <w:szCs w:val="24"/>
          <w:highlight w:val="none"/>
        </w:rPr>
        <w:t>政府采购合同专用条款</w:t>
      </w:r>
      <w:r>
        <w:rPr>
          <w:rFonts w:hint="eastAsia" w:ascii="宋体" w:hAnsi="宋体" w:eastAsia="宋体" w:cs="宋体"/>
          <w:b w:val="0"/>
          <w:bCs w:val="0"/>
          <w:color w:val="auto"/>
          <w:sz w:val="24"/>
          <w:szCs w:val="24"/>
          <w:highlight w:val="none"/>
        </w:rPr>
        <w:t>】中约定。</w:t>
      </w:r>
    </w:p>
    <w:p w14:paraId="59BC7762">
      <w:pPr>
        <w:pStyle w:val="8"/>
        <w:spacing w:after="0"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w:t>
      </w:r>
      <w:r>
        <w:rPr>
          <w:rFonts w:hint="eastAsia" w:ascii="宋体" w:hAnsi="宋体" w:eastAsia="宋体" w:cs="宋体"/>
          <w:b/>
          <w:bCs/>
          <w:color w:val="auto"/>
          <w:sz w:val="24"/>
          <w:highlight w:val="none"/>
          <w:lang w:val="en-US"/>
        </w:rPr>
        <w:t xml:space="preserve"> </w:t>
      </w:r>
      <w:r>
        <w:rPr>
          <w:rFonts w:hint="eastAsia" w:ascii="宋体" w:hAnsi="宋体" w:eastAsia="宋体" w:cs="宋体"/>
          <w:b/>
          <w:bCs/>
          <w:color w:val="auto"/>
          <w:sz w:val="24"/>
          <w:highlight w:val="none"/>
        </w:rPr>
        <w:t>履约保证金</w:t>
      </w:r>
    </w:p>
    <w:p w14:paraId="23B0F6A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6F57372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049634C8">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5F0CB35B">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 xml:space="preserve">14. </w:t>
      </w:r>
      <w:r>
        <w:rPr>
          <w:rFonts w:hint="eastAsia" w:ascii="宋体" w:hAnsi="宋体" w:eastAsia="宋体" w:cs="宋体"/>
          <w:b/>
          <w:color w:val="auto"/>
          <w:sz w:val="24"/>
          <w:szCs w:val="24"/>
          <w:highlight w:val="none"/>
        </w:rPr>
        <w:t>售后服务</w:t>
      </w:r>
    </w:p>
    <w:p w14:paraId="3B02851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25EF9D5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77AFDD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7EA024A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46111C3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594C4B0D">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73A5030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51431BC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516EAD82">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违约责任</w:t>
      </w:r>
    </w:p>
    <w:p w14:paraId="4D057FDE">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15.1质量瑕疵的违约责任</w:t>
      </w:r>
    </w:p>
    <w:p w14:paraId="1DE96CE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要求</w:t>
      </w:r>
      <w:r>
        <w:rPr>
          <w:rFonts w:hint="eastAsia" w:ascii="宋体" w:hAnsi="宋体" w:eastAsia="宋体" w:cs="宋体"/>
          <w:color w:val="auto"/>
          <w:sz w:val="24"/>
          <w:szCs w:val="24"/>
          <w:highlight w:val="none"/>
        </w:rPr>
        <w:t>及时修理、重作、更换，并承担由此给甲方造成的损失。</w:t>
      </w:r>
    </w:p>
    <w:p w14:paraId="5FD6631E">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136C913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4EB2F7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78E3C7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2ED2B71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41358989">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15.4其他违约责任根据项目实际需要按</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766B1A08">
      <w:pPr>
        <w:numPr>
          <w:ilvl w:val="0"/>
          <w:numId w:val="7"/>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合同变更、中止与终止</w:t>
      </w:r>
    </w:p>
    <w:p w14:paraId="440876D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3516806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00EAF56E">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64D60DC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7E8293A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9CE4C1C">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557939F8">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5D4DBD7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7EBFDDF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7CF92A7">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4813795D">
      <w:pPr>
        <w:pStyle w:val="69"/>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11202C94">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67AB6136">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合同分包</w:t>
      </w:r>
    </w:p>
    <w:p w14:paraId="37A4C4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5D1CECA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5FCE3A7E">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不可抗力</w:t>
      </w:r>
    </w:p>
    <w:p w14:paraId="396878B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6DF2372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0D33D71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97E71B0">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解决争议的方法</w:t>
      </w:r>
    </w:p>
    <w:p w14:paraId="062CC2F2">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6A2A3AEA">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2A1B1022">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3BEE2A07">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4F3C7FD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val="en-GB"/>
        </w:rPr>
        <w:t>本合同应当按照规定执行政府采购政策。</w:t>
      </w:r>
    </w:p>
    <w:p w14:paraId="43936D0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w:t>
      </w:r>
      <w:r>
        <w:rPr>
          <w:rFonts w:hint="eastAsia" w:ascii="宋体" w:hAnsi="宋体" w:eastAsia="宋体" w:cs="宋体"/>
          <w:color w:val="auto"/>
          <w:sz w:val="24"/>
          <w:szCs w:val="24"/>
          <w:highlight w:val="none"/>
          <w:lang w:val="en-GB"/>
        </w:rPr>
        <w:t>未按规定要求执行政府采购政策造成损失的</w:t>
      </w:r>
      <w:r>
        <w:rPr>
          <w:rFonts w:hint="eastAsia" w:ascii="宋体" w:hAnsi="宋体" w:eastAsia="宋体" w:cs="宋体"/>
          <w:color w:val="auto"/>
          <w:sz w:val="24"/>
          <w:szCs w:val="24"/>
          <w:highlight w:val="none"/>
        </w:rPr>
        <w:t>，有过错的一方应当承担赔偿责任，双方都有过错的，各自承担相应的责任。</w:t>
      </w:r>
    </w:p>
    <w:p w14:paraId="388856D8">
      <w:pPr>
        <w:pStyle w:val="8"/>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rPr>
        <w:t>3</w:t>
      </w:r>
      <w:r>
        <w:rPr>
          <w:rFonts w:hint="eastAsia" w:ascii="宋体" w:hAnsi="宋体" w:eastAsia="宋体" w:cs="宋体"/>
          <w:color w:val="auto"/>
          <w:sz w:val="24"/>
          <w:highlight w:val="none"/>
        </w:rPr>
        <w:t xml:space="preserve">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162CEC1">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法律适用</w:t>
      </w:r>
    </w:p>
    <w:p w14:paraId="5EB3A14F">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1C0077CD">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14FB2268">
      <w:pPr>
        <w:numPr>
          <w:ilvl w:val="255"/>
          <w:numId w:val="0"/>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通知</w:t>
      </w:r>
    </w:p>
    <w:p w14:paraId="00537406">
      <w:pPr>
        <w:pStyle w:val="69"/>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26F8F1BA">
      <w:pPr>
        <w:pStyle w:val="69"/>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59A2FD8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61F7683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7C6E0983">
      <w:pPr>
        <w:numPr>
          <w:ilvl w:val="0"/>
          <w:numId w:val="8"/>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合同未尽事项</w:t>
      </w:r>
    </w:p>
    <w:p w14:paraId="2E9532E9">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w:t>
      </w:r>
    </w:p>
    <w:p w14:paraId="0E4AB5C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23.2 合同附件与合同正文具有同等的法律效力。</w:t>
      </w:r>
      <w:bookmarkStart w:id="48" w:name="_Toc20313"/>
    </w:p>
    <w:p w14:paraId="4BA328E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4AC815C8">
      <w:pPr>
        <w:pStyle w:val="3"/>
        <w:adjustRightInd w:val="0"/>
        <w:snapToGrid w:val="0"/>
        <w:spacing w:before="158" w:beforeLines="50" w:line="360" w:lineRule="auto"/>
        <w:jc w:val="center"/>
        <w:rPr>
          <w:rFonts w:hint="eastAsia" w:cs="@仿宋_GB2312" w:asciiTheme="minorEastAsia" w:hAnsiTheme="minorEastAsia" w:eastAsiaTheme="minorEastAsia"/>
          <w:bCs w:val="0"/>
          <w:color w:val="auto"/>
          <w:sz w:val="24"/>
          <w:szCs w:val="20"/>
          <w:highlight w:val="none"/>
        </w:rPr>
      </w:pPr>
      <w:r>
        <w:rPr>
          <w:rFonts w:hint="eastAsia" w:cs="@仿宋_GB2312" w:asciiTheme="minorEastAsia" w:hAnsiTheme="minorEastAsia" w:eastAsiaTheme="minorEastAsia"/>
          <w:bCs w:val="0"/>
          <w:color w:val="auto"/>
          <w:sz w:val="24"/>
          <w:szCs w:val="20"/>
          <w:highlight w:val="none"/>
        </w:rPr>
        <w:t>第三节 政府采购合同专用条款</w:t>
      </w:r>
      <w:bookmarkEnd w:id="48"/>
    </w:p>
    <w:tbl>
      <w:tblPr>
        <w:tblStyle w:val="23"/>
        <w:tblW w:w="929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946"/>
      </w:tblGrid>
      <w:tr w14:paraId="0DFFF5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AE3C6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1A4E2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第1.2（6）项</w:t>
            </w:r>
          </w:p>
        </w:tc>
        <w:tc>
          <w:tcPr>
            <w:tcW w:w="1742" w:type="dxa"/>
            <w:vAlign w:val="center"/>
          </w:tcPr>
          <w:p w14:paraId="5AFA91B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联合体具体要求</w:t>
            </w:r>
          </w:p>
        </w:tc>
        <w:tc>
          <w:tcPr>
            <w:tcW w:w="5946" w:type="dxa"/>
            <w:vAlign w:val="center"/>
          </w:tcPr>
          <w:p w14:paraId="54A01E00">
            <w:pPr>
              <w:adjustRightInd w:val="0"/>
              <w:snapToGrid w:val="0"/>
              <w:spacing w:line="360" w:lineRule="auto"/>
              <w:jc w:val="left"/>
              <w:rPr>
                <w:rFonts w:hint="eastAsia" w:ascii="宋体" w:hAnsi="宋体" w:eastAsia="宋体" w:cs="宋体"/>
                <w:color w:val="auto"/>
                <w:sz w:val="24"/>
                <w:szCs w:val="24"/>
                <w:highlight w:val="none"/>
              </w:rPr>
            </w:pPr>
          </w:p>
        </w:tc>
      </w:tr>
      <w:tr w14:paraId="325113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0417742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30F78D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第1.2（7）项</w:t>
            </w:r>
          </w:p>
        </w:tc>
        <w:tc>
          <w:tcPr>
            <w:tcW w:w="1742" w:type="dxa"/>
            <w:vAlign w:val="center"/>
          </w:tcPr>
          <w:p w14:paraId="5E6C7A5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其他术语解释</w:t>
            </w:r>
          </w:p>
        </w:tc>
        <w:tc>
          <w:tcPr>
            <w:tcW w:w="5946" w:type="dxa"/>
            <w:vAlign w:val="center"/>
          </w:tcPr>
          <w:p w14:paraId="04813E7D">
            <w:pPr>
              <w:adjustRightInd w:val="0"/>
              <w:snapToGrid w:val="0"/>
              <w:spacing w:line="360" w:lineRule="auto"/>
              <w:jc w:val="left"/>
              <w:rPr>
                <w:rFonts w:hint="eastAsia" w:ascii="宋体" w:hAnsi="宋体" w:eastAsia="宋体" w:cs="宋体"/>
                <w:color w:val="auto"/>
                <w:sz w:val="24"/>
                <w:szCs w:val="24"/>
                <w:highlight w:val="none"/>
              </w:rPr>
            </w:pPr>
          </w:p>
        </w:tc>
      </w:tr>
      <w:tr w14:paraId="18E015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11449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48E033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第4.4款</w:t>
            </w:r>
          </w:p>
        </w:tc>
        <w:tc>
          <w:tcPr>
            <w:tcW w:w="1742" w:type="dxa"/>
            <w:vAlign w:val="center"/>
          </w:tcPr>
          <w:p w14:paraId="31EBB3A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履约验收中甲方提出异议或作出说明的期限</w:t>
            </w:r>
          </w:p>
        </w:tc>
        <w:tc>
          <w:tcPr>
            <w:tcW w:w="5946" w:type="dxa"/>
            <w:vAlign w:val="center"/>
          </w:tcPr>
          <w:p w14:paraId="73CC3AB0">
            <w:pPr>
              <w:adjustRightInd w:val="0"/>
              <w:snapToGrid w:val="0"/>
              <w:spacing w:line="360" w:lineRule="auto"/>
              <w:jc w:val="left"/>
              <w:rPr>
                <w:rFonts w:hint="eastAsia" w:ascii="宋体" w:hAnsi="宋体" w:eastAsia="宋体" w:cs="宋体"/>
                <w:color w:val="auto"/>
                <w:sz w:val="24"/>
                <w:szCs w:val="24"/>
                <w:highlight w:val="none"/>
              </w:rPr>
            </w:pPr>
          </w:p>
        </w:tc>
      </w:tr>
      <w:tr w14:paraId="4D50D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D3F34C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37700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第4.6款</w:t>
            </w:r>
          </w:p>
        </w:tc>
        <w:tc>
          <w:tcPr>
            <w:tcW w:w="1742" w:type="dxa"/>
            <w:vAlign w:val="center"/>
          </w:tcPr>
          <w:p w14:paraId="00A9DA4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约定甲方承担的其他义务和责任</w:t>
            </w:r>
          </w:p>
        </w:tc>
        <w:tc>
          <w:tcPr>
            <w:tcW w:w="5946" w:type="dxa"/>
            <w:vAlign w:val="center"/>
          </w:tcPr>
          <w:p w14:paraId="76137CB3">
            <w:pPr>
              <w:adjustRightInd w:val="0"/>
              <w:snapToGrid w:val="0"/>
              <w:spacing w:line="360" w:lineRule="auto"/>
              <w:jc w:val="left"/>
              <w:rPr>
                <w:rFonts w:hint="eastAsia" w:ascii="宋体" w:hAnsi="宋体" w:eastAsia="宋体" w:cs="宋体"/>
                <w:color w:val="auto"/>
                <w:sz w:val="24"/>
                <w:szCs w:val="24"/>
                <w:highlight w:val="none"/>
              </w:rPr>
            </w:pPr>
          </w:p>
        </w:tc>
      </w:tr>
      <w:tr w14:paraId="5937FF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60561B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5BC60E8">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第5.4款</w:t>
            </w:r>
          </w:p>
        </w:tc>
        <w:tc>
          <w:tcPr>
            <w:tcW w:w="1742" w:type="dxa"/>
            <w:vAlign w:val="center"/>
          </w:tcPr>
          <w:p w14:paraId="445A045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约定乙方承担的其他义务和责任</w:t>
            </w:r>
          </w:p>
        </w:tc>
        <w:tc>
          <w:tcPr>
            <w:tcW w:w="5946" w:type="dxa"/>
            <w:vAlign w:val="center"/>
          </w:tcPr>
          <w:p w14:paraId="23259377">
            <w:pPr>
              <w:adjustRightInd w:val="0"/>
              <w:snapToGrid w:val="0"/>
              <w:spacing w:line="360" w:lineRule="auto"/>
              <w:jc w:val="left"/>
              <w:rPr>
                <w:rFonts w:hint="eastAsia" w:ascii="宋体" w:hAnsi="宋体" w:eastAsia="宋体" w:cs="宋体"/>
                <w:color w:val="auto"/>
                <w:sz w:val="24"/>
                <w:szCs w:val="24"/>
                <w:highlight w:val="none"/>
              </w:rPr>
            </w:pPr>
          </w:p>
        </w:tc>
      </w:tr>
      <w:tr w14:paraId="7D479F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6D23D5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8F55897">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第6.1款</w:t>
            </w:r>
          </w:p>
        </w:tc>
        <w:tc>
          <w:tcPr>
            <w:tcW w:w="1742" w:type="dxa"/>
            <w:vAlign w:val="center"/>
          </w:tcPr>
          <w:p w14:paraId="68FE36A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履行合同义务的顺序</w:t>
            </w:r>
          </w:p>
        </w:tc>
        <w:tc>
          <w:tcPr>
            <w:tcW w:w="5946" w:type="dxa"/>
            <w:vAlign w:val="center"/>
          </w:tcPr>
          <w:p w14:paraId="5806151A">
            <w:pPr>
              <w:adjustRightInd w:val="0"/>
              <w:snapToGrid w:val="0"/>
              <w:spacing w:line="360" w:lineRule="auto"/>
              <w:jc w:val="left"/>
              <w:rPr>
                <w:rFonts w:hint="eastAsia" w:ascii="宋体" w:hAnsi="宋体" w:eastAsia="宋体" w:cs="宋体"/>
                <w:color w:val="auto"/>
                <w:sz w:val="24"/>
                <w:szCs w:val="24"/>
                <w:highlight w:val="none"/>
              </w:rPr>
            </w:pPr>
          </w:p>
        </w:tc>
      </w:tr>
      <w:tr w14:paraId="7B1D15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6F600AE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2454B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第7.1款</w:t>
            </w:r>
          </w:p>
        </w:tc>
        <w:tc>
          <w:tcPr>
            <w:tcW w:w="1742" w:type="dxa"/>
            <w:vAlign w:val="center"/>
          </w:tcPr>
          <w:p w14:paraId="2D643C2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包装特殊要求</w:t>
            </w:r>
          </w:p>
        </w:tc>
        <w:tc>
          <w:tcPr>
            <w:tcW w:w="5946" w:type="dxa"/>
            <w:vAlign w:val="center"/>
          </w:tcPr>
          <w:p w14:paraId="59217776">
            <w:pPr>
              <w:spacing w:line="360" w:lineRule="auto"/>
              <w:rPr>
                <w:rFonts w:hint="eastAsia" w:ascii="宋体" w:hAnsi="宋体" w:eastAsia="宋体" w:cs="宋体"/>
                <w:color w:val="auto"/>
                <w:sz w:val="24"/>
                <w:szCs w:val="24"/>
                <w:highlight w:val="none"/>
              </w:rPr>
            </w:pPr>
          </w:p>
        </w:tc>
      </w:tr>
      <w:tr w14:paraId="65BB9D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1A85FE24">
            <w:pPr>
              <w:adjustRightInd w:val="0"/>
              <w:snapToGrid w:val="0"/>
              <w:spacing w:line="360" w:lineRule="auto"/>
              <w:jc w:val="center"/>
              <w:rPr>
                <w:rFonts w:hint="eastAsia" w:ascii="宋体" w:hAnsi="宋体" w:eastAsia="宋体" w:cs="宋体"/>
                <w:color w:val="auto"/>
                <w:sz w:val="24"/>
                <w:szCs w:val="24"/>
                <w:highlight w:val="none"/>
              </w:rPr>
            </w:pPr>
          </w:p>
        </w:tc>
        <w:tc>
          <w:tcPr>
            <w:tcW w:w="1742" w:type="dxa"/>
            <w:vAlign w:val="center"/>
          </w:tcPr>
          <w:p w14:paraId="4237896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指定现场</w:t>
            </w:r>
          </w:p>
        </w:tc>
        <w:tc>
          <w:tcPr>
            <w:tcW w:w="5946" w:type="dxa"/>
            <w:vAlign w:val="center"/>
          </w:tcPr>
          <w:p w14:paraId="58B256F3">
            <w:pPr>
              <w:spacing w:line="360" w:lineRule="auto"/>
              <w:rPr>
                <w:rFonts w:hint="eastAsia" w:ascii="宋体" w:hAnsi="宋体" w:eastAsia="宋体" w:cs="宋体"/>
                <w:color w:val="auto"/>
                <w:sz w:val="24"/>
                <w:szCs w:val="24"/>
                <w:highlight w:val="none"/>
              </w:rPr>
            </w:pPr>
          </w:p>
        </w:tc>
      </w:tr>
      <w:tr w14:paraId="4311B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D5FB2A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D2EC15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第7.2款</w:t>
            </w:r>
          </w:p>
        </w:tc>
        <w:tc>
          <w:tcPr>
            <w:tcW w:w="1742" w:type="dxa"/>
            <w:vAlign w:val="center"/>
          </w:tcPr>
          <w:p w14:paraId="04FFEF0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运输特殊要求</w:t>
            </w:r>
          </w:p>
        </w:tc>
        <w:tc>
          <w:tcPr>
            <w:tcW w:w="5946" w:type="dxa"/>
            <w:vAlign w:val="center"/>
          </w:tcPr>
          <w:p w14:paraId="6E5D806C">
            <w:pPr>
              <w:spacing w:line="360" w:lineRule="auto"/>
              <w:rPr>
                <w:rFonts w:hint="eastAsia" w:ascii="宋体" w:hAnsi="宋体" w:eastAsia="宋体" w:cs="宋体"/>
                <w:color w:val="auto"/>
                <w:sz w:val="24"/>
                <w:szCs w:val="24"/>
                <w:highlight w:val="none"/>
              </w:rPr>
            </w:pPr>
          </w:p>
        </w:tc>
      </w:tr>
      <w:tr w14:paraId="2164C8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101226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53C8B2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第7.3款</w:t>
            </w:r>
          </w:p>
        </w:tc>
        <w:tc>
          <w:tcPr>
            <w:tcW w:w="1742" w:type="dxa"/>
            <w:vAlign w:val="center"/>
          </w:tcPr>
          <w:p w14:paraId="5848239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保险要求</w:t>
            </w:r>
          </w:p>
        </w:tc>
        <w:tc>
          <w:tcPr>
            <w:tcW w:w="5946" w:type="dxa"/>
            <w:vAlign w:val="center"/>
          </w:tcPr>
          <w:p w14:paraId="7AA07E7B">
            <w:pPr>
              <w:spacing w:line="360" w:lineRule="auto"/>
              <w:rPr>
                <w:rFonts w:hint="eastAsia" w:ascii="宋体" w:hAnsi="宋体" w:eastAsia="宋体" w:cs="宋体"/>
                <w:color w:val="auto"/>
                <w:sz w:val="24"/>
                <w:szCs w:val="24"/>
                <w:highlight w:val="none"/>
              </w:rPr>
            </w:pPr>
          </w:p>
        </w:tc>
      </w:tr>
      <w:tr w14:paraId="76687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90BA30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B31F9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第8.2（1）项</w:t>
            </w:r>
          </w:p>
        </w:tc>
        <w:tc>
          <w:tcPr>
            <w:tcW w:w="1742" w:type="dxa"/>
            <w:vAlign w:val="center"/>
          </w:tcPr>
          <w:p w14:paraId="059F45C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质量保证期</w:t>
            </w:r>
          </w:p>
        </w:tc>
        <w:tc>
          <w:tcPr>
            <w:tcW w:w="5946" w:type="dxa"/>
            <w:vAlign w:val="center"/>
          </w:tcPr>
          <w:p w14:paraId="7CC299A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p>
        </w:tc>
      </w:tr>
      <w:tr w14:paraId="23EEE2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A16529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73EF06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第8.2（3）项</w:t>
            </w:r>
          </w:p>
        </w:tc>
        <w:tc>
          <w:tcPr>
            <w:tcW w:w="1742" w:type="dxa"/>
            <w:vAlign w:val="center"/>
          </w:tcPr>
          <w:p w14:paraId="5233DB7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货物质量缺陷</w:t>
            </w:r>
          </w:p>
          <w:p w14:paraId="71A10EF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响应时间</w:t>
            </w:r>
          </w:p>
        </w:tc>
        <w:tc>
          <w:tcPr>
            <w:tcW w:w="5946" w:type="dxa"/>
            <w:vAlign w:val="center"/>
          </w:tcPr>
          <w:p w14:paraId="1D29BB0A">
            <w:pPr>
              <w:adjustRightInd w:val="0"/>
              <w:snapToGrid w:val="0"/>
              <w:spacing w:line="360" w:lineRule="auto"/>
              <w:jc w:val="left"/>
              <w:rPr>
                <w:rFonts w:hint="eastAsia" w:ascii="宋体" w:hAnsi="宋体" w:eastAsia="宋体" w:cs="宋体"/>
                <w:color w:val="auto"/>
                <w:sz w:val="24"/>
                <w:szCs w:val="24"/>
                <w:highlight w:val="none"/>
              </w:rPr>
            </w:pPr>
          </w:p>
        </w:tc>
      </w:tr>
      <w:tr w14:paraId="1D82F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9EBABF8">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C670734">
            <w:pPr>
              <w:pStyle w:val="69"/>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第11.1款</w:t>
            </w:r>
          </w:p>
        </w:tc>
        <w:tc>
          <w:tcPr>
            <w:tcW w:w="1742" w:type="dxa"/>
            <w:vAlign w:val="center"/>
          </w:tcPr>
          <w:p w14:paraId="1D76EECF">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其他应当保密的信息</w:t>
            </w:r>
          </w:p>
        </w:tc>
        <w:tc>
          <w:tcPr>
            <w:tcW w:w="5946" w:type="dxa"/>
            <w:vAlign w:val="center"/>
          </w:tcPr>
          <w:p w14:paraId="016407E7">
            <w:pPr>
              <w:adjustRightInd w:val="0"/>
              <w:snapToGrid w:val="0"/>
              <w:spacing w:line="360" w:lineRule="auto"/>
              <w:jc w:val="left"/>
              <w:rPr>
                <w:rFonts w:hint="eastAsia" w:ascii="宋体" w:hAnsi="宋体" w:eastAsia="宋体" w:cs="宋体"/>
                <w:color w:val="auto"/>
                <w:sz w:val="24"/>
                <w:szCs w:val="24"/>
                <w:highlight w:val="none"/>
              </w:rPr>
            </w:pPr>
          </w:p>
        </w:tc>
      </w:tr>
      <w:tr w14:paraId="425042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76A958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D6109A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第12.2款</w:t>
            </w:r>
          </w:p>
        </w:tc>
        <w:tc>
          <w:tcPr>
            <w:tcW w:w="1742" w:type="dxa"/>
            <w:vAlign w:val="center"/>
          </w:tcPr>
          <w:p w14:paraId="0CEABBE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合同价款支付时间</w:t>
            </w:r>
          </w:p>
        </w:tc>
        <w:tc>
          <w:tcPr>
            <w:tcW w:w="5946" w:type="dxa"/>
            <w:vAlign w:val="center"/>
          </w:tcPr>
          <w:p w14:paraId="2A0C6B0D">
            <w:pPr>
              <w:adjustRightInd w:val="0"/>
              <w:snapToGrid w:val="0"/>
              <w:spacing w:line="360" w:lineRule="auto"/>
              <w:jc w:val="left"/>
              <w:rPr>
                <w:rFonts w:hint="eastAsia" w:ascii="宋体" w:hAnsi="宋体" w:eastAsia="宋体" w:cs="宋体"/>
                <w:color w:val="auto"/>
                <w:sz w:val="24"/>
                <w:szCs w:val="24"/>
                <w:highlight w:val="none"/>
              </w:rPr>
            </w:pPr>
          </w:p>
        </w:tc>
      </w:tr>
      <w:tr w14:paraId="4F8C27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74DA16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AD99FE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第13.2款</w:t>
            </w:r>
          </w:p>
        </w:tc>
        <w:tc>
          <w:tcPr>
            <w:tcW w:w="1742" w:type="dxa"/>
            <w:vAlign w:val="center"/>
          </w:tcPr>
          <w:p w14:paraId="69FF917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履约保证金不予退还的情形</w:t>
            </w:r>
          </w:p>
        </w:tc>
        <w:tc>
          <w:tcPr>
            <w:tcW w:w="5946" w:type="dxa"/>
            <w:vAlign w:val="center"/>
          </w:tcPr>
          <w:p w14:paraId="539D43B8">
            <w:pPr>
              <w:adjustRightInd w:val="0"/>
              <w:snapToGrid w:val="0"/>
              <w:spacing w:line="360" w:lineRule="auto"/>
              <w:jc w:val="left"/>
              <w:rPr>
                <w:rFonts w:hint="eastAsia" w:ascii="宋体" w:hAnsi="宋体" w:eastAsia="宋体" w:cs="宋体"/>
                <w:color w:val="auto"/>
                <w:sz w:val="24"/>
                <w:szCs w:val="24"/>
                <w:highlight w:val="none"/>
              </w:rPr>
            </w:pPr>
          </w:p>
        </w:tc>
      </w:tr>
      <w:tr w14:paraId="36158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441464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3B3D67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第13.3款</w:t>
            </w:r>
          </w:p>
        </w:tc>
        <w:tc>
          <w:tcPr>
            <w:tcW w:w="1742" w:type="dxa"/>
            <w:vAlign w:val="center"/>
          </w:tcPr>
          <w:p w14:paraId="7D193AB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履约保证金退还时间及逾期退还的违约金</w:t>
            </w:r>
          </w:p>
        </w:tc>
        <w:tc>
          <w:tcPr>
            <w:tcW w:w="5946" w:type="dxa"/>
            <w:vAlign w:val="center"/>
          </w:tcPr>
          <w:p w14:paraId="33E0AEE3">
            <w:pPr>
              <w:adjustRightInd w:val="0"/>
              <w:snapToGrid w:val="0"/>
              <w:spacing w:line="360" w:lineRule="auto"/>
              <w:jc w:val="left"/>
              <w:rPr>
                <w:rFonts w:hint="eastAsia" w:ascii="宋体" w:hAnsi="宋体" w:eastAsia="宋体" w:cs="宋体"/>
                <w:color w:val="auto"/>
                <w:sz w:val="24"/>
                <w:szCs w:val="24"/>
                <w:highlight w:val="none"/>
              </w:rPr>
            </w:pPr>
          </w:p>
        </w:tc>
      </w:tr>
      <w:tr w14:paraId="0C8F9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968B08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F86224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第14.1（3）项</w:t>
            </w:r>
          </w:p>
        </w:tc>
        <w:tc>
          <w:tcPr>
            <w:tcW w:w="1742" w:type="dxa"/>
            <w:vAlign w:val="center"/>
          </w:tcPr>
          <w:p w14:paraId="0FA4F82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运行监督、维修期限</w:t>
            </w:r>
          </w:p>
        </w:tc>
        <w:tc>
          <w:tcPr>
            <w:tcW w:w="5946" w:type="dxa"/>
            <w:vAlign w:val="center"/>
          </w:tcPr>
          <w:p w14:paraId="066F2AF6">
            <w:pPr>
              <w:adjustRightInd w:val="0"/>
              <w:snapToGrid w:val="0"/>
              <w:spacing w:line="360" w:lineRule="auto"/>
              <w:jc w:val="left"/>
              <w:rPr>
                <w:rFonts w:hint="eastAsia" w:ascii="宋体" w:hAnsi="宋体" w:eastAsia="宋体" w:cs="宋体"/>
                <w:color w:val="auto"/>
                <w:sz w:val="24"/>
                <w:szCs w:val="24"/>
                <w:highlight w:val="none"/>
              </w:rPr>
            </w:pPr>
          </w:p>
        </w:tc>
      </w:tr>
      <w:tr w14:paraId="0AFF5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451BAB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C7F4C3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第14.1（5）项</w:t>
            </w:r>
          </w:p>
        </w:tc>
        <w:tc>
          <w:tcPr>
            <w:tcW w:w="1742" w:type="dxa"/>
            <w:vAlign w:val="center"/>
          </w:tcPr>
          <w:p w14:paraId="0D17EC0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货物回收的约定</w:t>
            </w:r>
          </w:p>
        </w:tc>
        <w:tc>
          <w:tcPr>
            <w:tcW w:w="5946" w:type="dxa"/>
            <w:vAlign w:val="center"/>
          </w:tcPr>
          <w:p w14:paraId="43C13EAB">
            <w:pPr>
              <w:adjustRightInd w:val="0"/>
              <w:snapToGrid w:val="0"/>
              <w:spacing w:line="360" w:lineRule="auto"/>
              <w:jc w:val="left"/>
              <w:rPr>
                <w:rFonts w:hint="eastAsia" w:ascii="宋体" w:hAnsi="宋体" w:eastAsia="宋体" w:cs="宋体"/>
                <w:color w:val="auto"/>
                <w:sz w:val="24"/>
                <w:szCs w:val="24"/>
                <w:highlight w:val="none"/>
              </w:rPr>
            </w:pPr>
          </w:p>
        </w:tc>
      </w:tr>
      <w:tr w14:paraId="1D2B4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0445B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7F27C9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第14.1（6）项</w:t>
            </w:r>
          </w:p>
        </w:tc>
        <w:tc>
          <w:tcPr>
            <w:tcW w:w="1742" w:type="dxa"/>
            <w:vAlign w:val="center"/>
          </w:tcPr>
          <w:p w14:paraId="3500E3A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乙方提供的其他服务</w:t>
            </w:r>
          </w:p>
        </w:tc>
        <w:tc>
          <w:tcPr>
            <w:tcW w:w="5946" w:type="dxa"/>
            <w:vAlign w:val="center"/>
          </w:tcPr>
          <w:p w14:paraId="13194CD6">
            <w:pPr>
              <w:adjustRightInd w:val="0"/>
              <w:snapToGrid w:val="0"/>
              <w:spacing w:line="360" w:lineRule="auto"/>
              <w:jc w:val="left"/>
              <w:rPr>
                <w:rFonts w:hint="eastAsia" w:ascii="宋体" w:hAnsi="宋体" w:eastAsia="宋体" w:cs="宋体"/>
                <w:color w:val="auto"/>
                <w:sz w:val="24"/>
                <w:szCs w:val="24"/>
                <w:highlight w:val="none"/>
              </w:rPr>
            </w:pPr>
          </w:p>
        </w:tc>
      </w:tr>
      <w:tr w14:paraId="3E9B2E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4E34C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619A0A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第15.1款</w:t>
            </w:r>
          </w:p>
        </w:tc>
        <w:tc>
          <w:tcPr>
            <w:tcW w:w="1742" w:type="dxa"/>
            <w:vAlign w:val="center"/>
          </w:tcPr>
          <w:p w14:paraId="668BB69F">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修理、重作、更换相关具体规定</w:t>
            </w:r>
          </w:p>
        </w:tc>
        <w:tc>
          <w:tcPr>
            <w:tcW w:w="5946" w:type="dxa"/>
            <w:vAlign w:val="center"/>
          </w:tcPr>
          <w:p w14:paraId="1513F092">
            <w:pPr>
              <w:adjustRightInd w:val="0"/>
              <w:snapToGrid w:val="0"/>
              <w:spacing w:line="360" w:lineRule="auto"/>
              <w:jc w:val="left"/>
              <w:rPr>
                <w:rFonts w:hint="eastAsia" w:ascii="宋体" w:hAnsi="宋体" w:eastAsia="宋体" w:cs="宋体"/>
                <w:color w:val="auto"/>
                <w:sz w:val="24"/>
                <w:szCs w:val="24"/>
                <w:highlight w:val="none"/>
              </w:rPr>
            </w:pPr>
          </w:p>
        </w:tc>
      </w:tr>
      <w:tr w14:paraId="771A2A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6ED1E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C4AD2F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第15.2（2）项</w:t>
            </w:r>
          </w:p>
        </w:tc>
        <w:tc>
          <w:tcPr>
            <w:tcW w:w="1742" w:type="dxa"/>
            <w:vAlign w:val="center"/>
          </w:tcPr>
          <w:p w14:paraId="692039F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迟延交货赔偿费</w:t>
            </w:r>
          </w:p>
        </w:tc>
        <w:tc>
          <w:tcPr>
            <w:tcW w:w="5946" w:type="dxa"/>
            <w:vAlign w:val="center"/>
          </w:tcPr>
          <w:p w14:paraId="28507A7B">
            <w:pPr>
              <w:adjustRightInd w:val="0"/>
              <w:snapToGrid w:val="0"/>
              <w:spacing w:line="360" w:lineRule="auto"/>
              <w:jc w:val="left"/>
              <w:rPr>
                <w:rFonts w:hint="eastAsia" w:ascii="宋体" w:hAnsi="宋体" w:eastAsia="宋体" w:cs="宋体"/>
                <w:color w:val="auto"/>
                <w:sz w:val="24"/>
                <w:szCs w:val="24"/>
                <w:highlight w:val="none"/>
                <w:u w:val="single"/>
              </w:rPr>
            </w:pPr>
          </w:p>
        </w:tc>
      </w:tr>
      <w:tr w14:paraId="2E098E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D3191B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0B8942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第15.3款</w:t>
            </w:r>
          </w:p>
        </w:tc>
        <w:tc>
          <w:tcPr>
            <w:tcW w:w="1742" w:type="dxa"/>
            <w:vAlign w:val="center"/>
          </w:tcPr>
          <w:p w14:paraId="0B0B1C2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逾期付款利息</w:t>
            </w:r>
          </w:p>
        </w:tc>
        <w:tc>
          <w:tcPr>
            <w:tcW w:w="5946" w:type="dxa"/>
            <w:vAlign w:val="center"/>
          </w:tcPr>
          <w:p w14:paraId="38F3C75A">
            <w:pPr>
              <w:adjustRightInd w:val="0"/>
              <w:snapToGrid w:val="0"/>
              <w:spacing w:line="360" w:lineRule="auto"/>
              <w:jc w:val="left"/>
              <w:rPr>
                <w:rFonts w:hint="eastAsia" w:ascii="宋体" w:hAnsi="宋体" w:eastAsia="宋体" w:cs="宋体"/>
                <w:color w:val="auto"/>
                <w:sz w:val="24"/>
                <w:szCs w:val="24"/>
                <w:highlight w:val="none"/>
                <w:u w:val="single"/>
              </w:rPr>
            </w:pPr>
          </w:p>
        </w:tc>
      </w:tr>
      <w:tr w14:paraId="47B2F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88A5D8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93EC5A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第15.4款</w:t>
            </w:r>
          </w:p>
        </w:tc>
        <w:tc>
          <w:tcPr>
            <w:tcW w:w="1742" w:type="dxa"/>
            <w:tcBorders>
              <w:left w:val="single" w:color="auto" w:sz="2" w:space="0"/>
              <w:bottom w:val="single" w:color="auto" w:sz="2" w:space="0"/>
              <w:right w:val="single" w:color="auto" w:sz="2" w:space="0"/>
            </w:tcBorders>
            <w:vAlign w:val="center"/>
          </w:tcPr>
          <w:p w14:paraId="68364ED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其他违约责任</w:t>
            </w:r>
          </w:p>
        </w:tc>
        <w:tc>
          <w:tcPr>
            <w:tcW w:w="5946" w:type="dxa"/>
            <w:tcBorders>
              <w:left w:val="single" w:color="auto" w:sz="2" w:space="0"/>
              <w:bottom w:val="single" w:color="auto" w:sz="2" w:space="0"/>
            </w:tcBorders>
            <w:vAlign w:val="center"/>
          </w:tcPr>
          <w:p w14:paraId="39CD55A6">
            <w:pPr>
              <w:adjustRightInd w:val="0"/>
              <w:snapToGrid w:val="0"/>
              <w:spacing w:line="360" w:lineRule="auto"/>
              <w:jc w:val="left"/>
              <w:rPr>
                <w:rFonts w:hint="eastAsia" w:ascii="宋体" w:hAnsi="宋体" w:eastAsia="宋体" w:cs="宋体"/>
                <w:color w:val="auto"/>
                <w:sz w:val="24"/>
                <w:szCs w:val="24"/>
                <w:highlight w:val="none"/>
                <w:u w:val="single"/>
              </w:rPr>
            </w:pPr>
          </w:p>
        </w:tc>
      </w:tr>
      <w:tr w14:paraId="38720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7986A8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633A7C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第19.2款</w:t>
            </w:r>
          </w:p>
        </w:tc>
        <w:tc>
          <w:tcPr>
            <w:tcW w:w="1742" w:type="dxa"/>
            <w:tcBorders>
              <w:top w:val="single" w:color="auto" w:sz="2" w:space="0"/>
              <w:left w:val="single" w:color="auto" w:sz="2" w:space="0"/>
              <w:right w:val="single" w:color="auto" w:sz="2" w:space="0"/>
            </w:tcBorders>
            <w:vAlign w:val="center"/>
          </w:tcPr>
          <w:p w14:paraId="1B9F436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解决争议的方法</w:t>
            </w:r>
          </w:p>
        </w:tc>
        <w:tc>
          <w:tcPr>
            <w:tcW w:w="5946" w:type="dxa"/>
            <w:tcBorders>
              <w:top w:val="single" w:color="auto" w:sz="2" w:space="0"/>
              <w:left w:val="single" w:color="auto" w:sz="2" w:space="0"/>
            </w:tcBorders>
            <w:vAlign w:val="center"/>
          </w:tcPr>
          <w:p w14:paraId="003C7A27">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因本合同及合同有关事项发生的争议，按下列第</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种方式解决：</w:t>
            </w:r>
          </w:p>
          <w:p w14:paraId="12A82147">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（1）向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仲裁委员会申请仲裁，仲裁地点为</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p>
          <w:p w14:paraId="1C064E38">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rPr>
              <w:t>（2）向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人民法院起诉。</w:t>
            </w:r>
          </w:p>
        </w:tc>
      </w:tr>
      <w:tr w14:paraId="13467B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50F3576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FA4F25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第23.1款</w:t>
            </w:r>
          </w:p>
        </w:tc>
        <w:tc>
          <w:tcPr>
            <w:tcW w:w="1742" w:type="dxa"/>
            <w:vAlign w:val="center"/>
          </w:tcPr>
          <w:p w14:paraId="187F7FD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其他专用条款</w:t>
            </w:r>
          </w:p>
        </w:tc>
        <w:tc>
          <w:tcPr>
            <w:tcW w:w="5946" w:type="dxa"/>
            <w:vAlign w:val="center"/>
          </w:tcPr>
          <w:p w14:paraId="2F917DD0">
            <w:pPr>
              <w:adjustRightInd w:val="0"/>
              <w:snapToGrid w:val="0"/>
              <w:spacing w:line="360" w:lineRule="auto"/>
              <w:jc w:val="left"/>
              <w:rPr>
                <w:rFonts w:hint="eastAsia" w:ascii="宋体" w:hAnsi="宋体" w:eastAsia="宋体" w:cs="宋体"/>
                <w:color w:val="auto"/>
                <w:sz w:val="24"/>
                <w:szCs w:val="24"/>
                <w:highlight w:val="none"/>
              </w:rPr>
            </w:pPr>
          </w:p>
        </w:tc>
      </w:tr>
    </w:tbl>
    <w:p w14:paraId="29092542">
      <w:pPr>
        <w:rPr>
          <w:rFonts w:hint="eastAsia" w:ascii="宋体" w:hAnsi="宋体" w:eastAsia="宋体" w:cs="宋体"/>
          <w:color w:val="auto"/>
          <w:sz w:val="24"/>
          <w:szCs w:val="24"/>
          <w:highlight w:val="none"/>
        </w:rPr>
      </w:pPr>
    </w:p>
    <w:p w14:paraId="0E6D9201">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82D4B74">
      <w:pPr>
        <w:spacing w:line="360" w:lineRule="auto"/>
        <w:jc w:val="center"/>
        <w:outlineLvl w:val="0"/>
        <w:rPr>
          <w:rFonts w:hint="eastAsia" w:asciiTheme="minorEastAsia" w:hAnsiTheme="minorEastAsia" w:eastAsiaTheme="minorEastAsia"/>
          <w:b/>
          <w:color w:val="auto"/>
          <w:sz w:val="28"/>
          <w:highlight w:val="none"/>
        </w:rPr>
      </w:pPr>
      <w:bookmarkStart w:id="49" w:name="_Toc22492"/>
      <w:r>
        <w:rPr>
          <w:rFonts w:hint="eastAsia" w:asciiTheme="minorEastAsia" w:hAnsiTheme="minorEastAsia" w:eastAsiaTheme="minorEastAsia"/>
          <w:b/>
          <w:color w:val="auto"/>
          <w:sz w:val="28"/>
          <w:highlight w:val="none"/>
        </w:rPr>
        <w:t>第六章  投标文件格式</w:t>
      </w:r>
      <w:bookmarkEnd w:id="49"/>
    </w:p>
    <w:p w14:paraId="597E24F1">
      <w:pPr>
        <w:spacing w:line="900" w:lineRule="exact"/>
        <w:jc w:val="center"/>
        <w:rPr>
          <w:rFonts w:hint="eastAsia" w:asciiTheme="minorEastAsia" w:hAnsiTheme="minorEastAsia" w:eastAsiaTheme="minorEastAsia"/>
          <w:b/>
          <w:color w:val="auto"/>
          <w:sz w:val="72"/>
          <w:highlight w:val="none"/>
        </w:rPr>
      </w:pPr>
    </w:p>
    <w:p w14:paraId="5F1B657B">
      <w:pPr>
        <w:spacing w:line="900" w:lineRule="exact"/>
        <w:jc w:val="center"/>
        <w:outlineLvl w:val="1"/>
        <w:rPr>
          <w:rFonts w:hint="eastAsia" w:asciiTheme="minorEastAsia" w:hAnsiTheme="minorEastAsia" w:eastAsiaTheme="minorEastAsia"/>
          <w:b/>
          <w:color w:val="auto"/>
          <w:sz w:val="72"/>
          <w:highlight w:val="none"/>
        </w:rPr>
      </w:pPr>
      <w:bookmarkStart w:id="50" w:name="_Toc651"/>
      <w:r>
        <w:rPr>
          <w:rFonts w:hint="eastAsia" w:asciiTheme="minorEastAsia" w:hAnsiTheme="minorEastAsia" w:eastAsiaTheme="minorEastAsia"/>
          <w:b/>
          <w:color w:val="auto"/>
          <w:sz w:val="72"/>
          <w:highlight w:val="none"/>
        </w:rPr>
        <w:t>投</w:t>
      </w:r>
      <w:bookmarkEnd w:id="50"/>
    </w:p>
    <w:p w14:paraId="151E7C31">
      <w:pPr>
        <w:spacing w:line="900" w:lineRule="exact"/>
        <w:jc w:val="center"/>
        <w:rPr>
          <w:rFonts w:hint="eastAsia" w:asciiTheme="minorEastAsia" w:hAnsiTheme="minorEastAsia" w:eastAsiaTheme="minorEastAsia"/>
          <w:b/>
          <w:color w:val="auto"/>
          <w:sz w:val="72"/>
          <w:highlight w:val="none"/>
        </w:rPr>
      </w:pPr>
    </w:p>
    <w:p w14:paraId="2562A624">
      <w:pPr>
        <w:spacing w:line="900" w:lineRule="exact"/>
        <w:jc w:val="center"/>
        <w:outlineLvl w:val="1"/>
        <w:rPr>
          <w:rFonts w:hint="eastAsia" w:asciiTheme="minorEastAsia" w:hAnsiTheme="minorEastAsia" w:eastAsiaTheme="minorEastAsia"/>
          <w:b/>
          <w:color w:val="auto"/>
          <w:sz w:val="72"/>
          <w:highlight w:val="none"/>
        </w:rPr>
      </w:pPr>
      <w:bookmarkStart w:id="51" w:name="_Toc6148"/>
      <w:r>
        <w:rPr>
          <w:rFonts w:hint="eastAsia" w:asciiTheme="minorEastAsia" w:hAnsiTheme="minorEastAsia" w:eastAsiaTheme="minorEastAsia"/>
          <w:b/>
          <w:color w:val="auto"/>
          <w:sz w:val="72"/>
          <w:highlight w:val="none"/>
        </w:rPr>
        <w:t>标</w:t>
      </w:r>
      <w:bookmarkEnd w:id="51"/>
    </w:p>
    <w:p w14:paraId="194745C5">
      <w:pPr>
        <w:spacing w:line="900" w:lineRule="exact"/>
        <w:jc w:val="center"/>
        <w:rPr>
          <w:rFonts w:hint="eastAsia" w:asciiTheme="minorEastAsia" w:hAnsiTheme="minorEastAsia" w:eastAsiaTheme="minorEastAsia"/>
          <w:b/>
          <w:color w:val="auto"/>
          <w:sz w:val="72"/>
          <w:highlight w:val="none"/>
        </w:rPr>
      </w:pPr>
    </w:p>
    <w:p w14:paraId="41E80372">
      <w:pPr>
        <w:spacing w:line="900" w:lineRule="exact"/>
        <w:jc w:val="center"/>
        <w:outlineLvl w:val="1"/>
        <w:rPr>
          <w:rFonts w:hint="eastAsia" w:asciiTheme="minorEastAsia" w:hAnsiTheme="minorEastAsia" w:eastAsiaTheme="minorEastAsia"/>
          <w:b/>
          <w:color w:val="auto"/>
          <w:sz w:val="72"/>
          <w:highlight w:val="none"/>
        </w:rPr>
      </w:pPr>
      <w:bookmarkStart w:id="52" w:name="_Toc1338"/>
      <w:r>
        <w:rPr>
          <w:rFonts w:hint="eastAsia" w:asciiTheme="minorEastAsia" w:hAnsiTheme="minorEastAsia" w:eastAsiaTheme="minorEastAsia"/>
          <w:b/>
          <w:color w:val="auto"/>
          <w:sz w:val="72"/>
          <w:highlight w:val="none"/>
        </w:rPr>
        <w:t>文</w:t>
      </w:r>
      <w:bookmarkEnd w:id="52"/>
    </w:p>
    <w:p w14:paraId="25463D15">
      <w:pPr>
        <w:spacing w:line="900" w:lineRule="exact"/>
        <w:jc w:val="center"/>
        <w:rPr>
          <w:rFonts w:hint="eastAsia" w:asciiTheme="minorEastAsia" w:hAnsiTheme="minorEastAsia" w:eastAsiaTheme="minorEastAsia"/>
          <w:b/>
          <w:color w:val="auto"/>
          <w:sz w:val="72"/>
          <w:highlight w:val="none"/>
        </w:rPr>
      </w:pPr>
    </w:p>
    <w:p w14:paraId="10FE9B54">
      <w:pPr>
        <w:jc w:val="center"/>
        <w:outlineLvl w:val="1"/>
        <w:rPr>
          <w:rFonts w:hint="eastAsia" w:asciiTheme="minorEastAsia" w:hAnsiTheme="minorEastAsia" w:eastAsiaTheme="minorEastAsia"/>
          <w:b/>
          <w:color w:val="auto"/>
          <w:sz w:val="72"/>
          <w:highlight w:val="none"/>
        </w:rPr>
      </w:pPr>
      <w:bookmarkStart w:id="53" w:name="_Toc10796"/>
      <w:r>
        <w:rPr>
          <w:rFonts w:hint="eastAsia" w:asciiTheme="minorEastAsia" w:hAnsiTheme="minorEastAsia" w:eastAsiaTheme="minorEastAsia"/>
          <w:b/>
          <w:color w:val="auto"/>
          <w:sz w:val="72"/>
          <w:highlight w:val="none"/>
        </w:rPr>
        <w:t>件</w:t>
      </w:r>
      <w:bookmarkEnd w:id="53"/>
    </w:p>
    <w:p w14:paraId="100863D2">
      <w:pPr>
        <w:spacing w:after="158" w:afterLines="50"/>
        <w:jc w:val="center"/>
        <w:rPr>
          <w:rFonts w:hint="eastAsia" w:asciiTheme="minorEastAsia" w:hAnsiTheme="minorEastAsia" w:eastAsiaTheme="minorEastAsia"/>
          <w:b/>
          <w:color w:val="auto"/>
          <w:sz w:val="72"/>
          <w:highlight w:val="none"/>
        </w:rPr>
      </w:pPr>
    </w:p>
    <w:p w14:paraId="7543BA23">
      <w:pPr>
        <w:spacing w:before="158" w:beforeLines="50" w:after="158" w:afterLines="50"/>
        <w:jc w:val="center"/>
        <w:rPr>
          <w:rFonts w:hint="eastAsia" w:asciiTheme="minorEastAsia" w:hAnsiTheme="minorEastAsia" w:eastAsiaTheme="minorEastAsia"/>
          <w:b/>
          <w:color w:val="auto"/>
          <w:sz w:val="32"/>
          <w:szCs w:val="32"/>
          <w:highlight w:val="none"/>
        </w:rPr>
      </w:pPr>
    </w:p>
    <w:p w14:paraId="36F96B57">
      <w:pPr>
        <w:spacing w:after="158" w:afterLines="50" w:line="500" w:lineRule="exact"/>
        <w:jc w:val="center"/>
        <w:rPr>
          <w:rFonts w:hint="eastAsia" w:asciiTheme="minorEastAsia" w:hAnsiTheme="minorEastAsia" w:eastAsiaTheme="minorEastAsia"/>
          <w:b/>
          <w:color w:val="auto"/>
          <w:sz w:val="28"/>
          <w:szCs w:val="28"/>
          <w:highlight w:val="none"/>
        </w:rPr>
      </w:pPr>
    </w:p>
    <w:p w14:paraId="52203803">
      <w:pPr>
        <w:tabs>
          <w:tab w:val="left" w:pos="2410"/>
        </w:tabs>
        <w:autoSpaceDE w:val="0"/>
        <w:autoSpaceDN w:val="0"/>
        <w:adjustRightInd w:val="0"/>
        <w:snapToGrid w:val="0"/>
        <w:spacing w:line="360" w:lineRule="auto"/>
        <w:ind w:firstLine="643" w:firstLineChars="200"/>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3B035378">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1E81238D">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7A1AA654">
      <w:pPr>
        <w:spacing w:after="158" w:afterLines="50" w:line="500" w:lineRule="exact"/>
        <w:jc w:val="center"/>
        <w:outlineLvl w:val="1"/>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4" w:name="_Toc9994"/>
      <w:bookmarkStart w:id="55"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4"/>
      <w:bookmarkEnd w:id="55"/>
    </w:p>
    <w:p w14:paraId="79FBBE57">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F69E07D">
      <w:pPr>
        <w:spacing w:line="360" w:lineRule="auto"/>
        <w:jc w:val="center"/>
        <w:outlineLvl w:val="1"/>
        <w:rPr>
          <w:rFonts w:hint="eastAsia" w:asciiTheme="minorEastAsia" w:hAnsiTheme="minorEastAsia" w:eastAsiaTheme="minorEastAsia"/>
          <w:b/>
          <w:color w:val="auto"/>
          <w:sz w:val="24"/>
          <w:highlight w:val="none"/>
        </w:rPr>
      </w:pPr>
      <w:bookmarkStart w:id="56" w:name="_Toc28960"/>
      <w:bookmarkStart w:id="57" w:name="_Toc5555"/>
      <w:r>
        <w:rPr>
          <w:rFonts w:hint="eastAsia" w:asciiTheme="minorEastAsia" w:hAnsiTheme="minorEastAsia" w:eastAsiaTheme="minorEastAsia"/>
          <w:b/>
          <w:color w:val="auto"/>
          <w:sz w:val="24"/>
          <w:highlight w:val="none"/>
        </w:rPr>
        <w:t>一、开标一览表</w:t>
      </w:r>
      <w:bookmarkEnd w:id="56"/>
      <w:bookmarkEnd w:id="57"/>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6"/>
      </w:tblGrid>
      <w:tr w14:paraId="031E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79199B50">
            <w:pPr>
              <w:widowControl/>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565E86D">
            <w:pPr>
              <w:spacing w:line="360" w:lineRule="exact"/>
              <w:jc w:val="center"/>
              <w:rPr>
                <w:rFonts w:hint="eastAsia" w:asciiTheme="minorEastAsia" w:hAnsiTheme="minorEastAsia" w:eastAsiaTheme="minorEastAsia"/>
                <w:bCs/>
                <w:color w:val="auto"/>
                <w:sz w:val="24"/>
                <w:highlight w:val="none"/>
                <w:u w:val="single"/>
              </w:rPr>
            </w:pPr>
          </w:p>
        </w:tc>
      </w:tr>
      <w:tr w14:paraId="2E94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CDAA623">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20B849E">
            <w:pPr>
              <w:spacing w:line="360" w:lineRule="auto"/>
              <w:rPr>
                <w:rFonts w:hint="eastAsia" w:asciiTheme="minorEastAsia" w:hAnsiTheme="minorEastAsia" w:eastAsiaTheme="minorEastAsia"/>
                <w:color w:val="auto"/>
                <w:sz w:val="24"/>
                <w:highlight w:val="none"/>
              </w:rPr>
            </w:pPr>
          </w:p>
        </w:tc>
      </w:tr>
      <w:tr w14:paraId="5AD2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DF571CD">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267FB2FE">
            <w:pPr>
              <w:widowControl/>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672D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1A72F9E">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6C0B49FE">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E6BEE16">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60E5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7389F92A">
            <w:pPr>
              <w:spacing w:line="360" w:lineRule="auto"/>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2C51E346">
            <w:pPr>
              <w:spacing w:line="360" w:lineRule="auto"/>
              <w:jc w:val="left"/>
              <w:rPr>
                <w:rFonts w:hint="eastAsia" w:asciiTheme="minorEastAsia" w:hAnsiTheme="minorEastAsia" w:eastAsiaTheme="minorEastAsia"/>
                <w:color w:val="auto"/>
                <w:sz w:val="24"/>
                <w:szCs w:val="28"/>
                <w:highlight w:val="none"/>
              </w:rPr>
            </w:pPr>
          </w:p>
        </w:tc>
      </w:tr>
    </w:tbl>
    <w:p w14:paraId="63B8A796">
      <w:pPr>
        <w:spacing w:line="360" w:lineRule="auto"/>
        <w:ind w:firstLine="4320" w:firstLineChars="1800"/>
        <w:jc w:val="center"/>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1AFE41F">
      <w:pPr>
        <w:spacing w:line="360" w:lineRule="auto"/>
        <w:ind w:firstLine="4320" w:firstLineChars="1800"/>
        <w:jc w:val="center"/>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DB3B321">
      <w:pPr>
        <w:spacing w:line="360" w:lineRule="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1AE721FF">
      <w:pPr>
        <w:spacing w:line="360" w:lineRule="auto"/>
        <w:ind w:firstLine="360" w:firstLineChars="150"/>
        <w:rPr>
          <w:rFonts w:hint="eastAsia" w:asciiTheme="minorEastAsia" w:hAnsiTheme="minorEastAsia" w:eastAsiaTheme="minorEastAsia"/>
          <w:color w:val="auto"/>
          <w:sz w:val="24"/>
          <w:highlight w:val="none"/>
        </w:rPr>
      </w:pPr>
    </w:p>
    <w:p w14:paraId="4FDB0254">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20EF0F37">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CED911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3196BB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1FD95949">
      <w:pPr>
        <w:spacing w:line="360" w:lineRule="auto"/>
        <w:jc w:val="center"/>
        <w:outlineLvl w:val="1"/>
        <w:rPr>
          <w:rFonts w:hint="eastAsia" w:asciiTheme="minorEastAsia" w:hAnsiTheme="minorEastAsia" w:eastAsiaTheme="minorEastAsia"/>
          <w:b/>
          <w:color w:val="auto"/>
          <w:sz w:val="24"/>
          <w:highlight w:val="none"/>
        </w:rPr>
      </w:pPr>
      <w:bookmarkStart w:id="58" w:name="_Toc6441"/>
      <w:bookmarkStart w:id="59" w:name="_Toc18010"/>
      <w:r>
        <w:rPr>
          <w:rFonts w:hint="eastAsia" w:asciiTheme="minorEastAsia" w:hAnsiTheme="minorEastAsia" w:eastAsiaTheme="minorEastAsia"/>
          <w:b/>
          <w:color w:val="auto"/>
          <w:sz w:val="24"/>
          <w:highlight w:val="none"/>
        </w:rPr>
        <w:t>二、投标函</w:t>
      </w:r>
      <w:bookmarkEnd w:id="58"/>
      <w:bookmarkEnd w:id="59"/>
    </w:p>
    <w:p w14:paraId="5A91387F">
      <w:pPr>
        <w:pStyle w:val="12"/>
        <w:spacing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75B5979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4CF4E4F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F5A932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3DACCE0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25820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56CEA0D4">
      <w:pPr>
        <w:spacing w:line="360" w:lineRule="auto"/>
        <w:ind w:firstLine="4800" w:firstLineChars="2000"/>
        <w:rPr>
          <w:rFonts w:hint="eastAsia" w:ascii="宋体" w:hAnsi="宋体" w:eastAsia="宋体"/>
          <w:color w:val="auto"/>
          <w:sz w:val="24"/>
          <w:highlight w:val="none"/>
        </w:rPr>
      </w:pPr>
    </w:p>
    <w:p w14:paraId="79C1ABB0">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79A37600">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8385054">
      <w:pPr>
        <w:widowControl/>
        <w:jc w:val="left"/>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8775A16">
      <w:pPr>
        <w:spacing w:line="360" w:lineRule="auto"/>
        <w:jc w:val="center"/>
        <w:outlineLvl w:val="1"/>
        <w:rPr>
          <w:rFonts w:hint="eastAsia" w:asciiTheme="minorEastAsia" w:hAnsiTheme="minorEastAsia" w:eastAsiaTheme="minorEastAsia"/>
          <w:b/>
          <w:color w:val="auto"/>
          <w:sz w:val="24"/>
          <w:highlight w:val="none"/>
        </w:rPr>
      </w:pPr>
      <w:bookmarkStart w:id="60" w:name="_Toc1328"/>
      <w:r>
        <w:rPr>
          <w:rFonts w:hint="eastAsia" w:asciiTheme="minorEastAsia" w:hAnsiTheme="minorEastAsia" w:eastAsiaTheme="minorEastAsia"/>
          <w:b/>
          <w:color w:val="auto"/>
          <w:sz w:val="24"/>
          <w:highlight w:val="none"/>
        </w:rPr>
        <w:t>三．投标人资格声明书</w:t>
      </w:r>
      <w:bookmarkEnd w:id="60"/>
      <w:r>
        <w:rPr>
          <w:rFonts w:hint="eastAsia" w:asciiTheme="minorEastAsia" w:hAnsiTheme="minorEastAsia" w:eastAsiaTheme="minorEastAsia"/>
          <w:b/>
          <w:color w:val="auto"/>
          <w:sz w:val="24"/>
          <w:highlight w:val="none"/>
        </w:rPr>
        <w:t xml:space="preserve"> </w:t>
      </w:r>
    </w:p>
    <w:p w14:paraId="71C42E2A">
      <w:pPr>
        <w:pStyle w:val="12"/>
        <w:spacing w:line="360" w:lineRule="auto"/>
        <w:rPr>
          <w:rFonts w:hint="eastAsia"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3EA201D1">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在参与本次项目投标中，我单位承诺：</w:t>
      </w:r>
    </w:p>
    <w:p w14:paraId="55C34CA8">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7D36F483">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3575D457">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4EB28A44">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7BB800F">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3A8B2AEA">
      <w:pPr>
        <w:widowControl/>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B6B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8095141">
            <w:pPr>
              <w:widowControl/>
              <w:spacing w:before="158" w:beforeLines="50" w:after="10"/>
              <w:jc w:val="center"/>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2841" w:type="dxa"/>
          </w:tcPr>
          <w:p w14:paraId="7AB1403A">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2841" w:type="dxa"/>
          </w:tcPr>
          <w:p w14:paraId="29A8ACBA">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105D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84D332F">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2841" w:type="dxa"/>
          </w:tcPr>
          <w:p w14:paraId="7A13D496">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p>
        </w:tc>
        <w:tc>
          <w:tcPr>
            <w:tcW w:w="2841" w:type="dxa"/>
          </w:tcPr>
          <w:p w14:paraId="19931D3C">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p>
        </w:tc>
      </w:tr>
      <w:tr w14:paraId="18D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05F9944">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2841" w:type="dxa"/>
          </w:tcPr>
          <w:p w14:paraId="6476754D">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p>
        </w:tc>
        <w:tc>
          <w:tcPr>
            <w:tcW w:w="2841" w:type="dxa"/>
          </w:tcPr>
          <w:p w14:paraId="270D37D4">
            <w:pPr>
              <w:pStyle w:val="8"/>
              <w:spacing w:before="158" w:beforeLines="50" w:after="10"/>
              <w:jc w:val="center"/>
              <w:rPr>
                <w:rFonts w:hint="eastAsia" w:asciiTheme="minorEastAsia" w:hAnsiTheme="minorEastAsia" w:eastAsiaTheme="minorEastAsia" w:cstheme="minorEastAsia"/>
                <w:color w:val="auto"/>
                <w:kern w:val="0"/>
                <w:sz w:val="24"/>
                <w:highlight w:val="none"/>
                <w:lang w:val="en-US" w:bidi="ar"/>
              </w:rPr>
            </w:pPr>
          </w:p>
        </w:tc>
      </w:tr>
    </w:tbl>
    <w:p w14:paraId="605A535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429414E">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A7C5B6B">
      <w:pPr>
        <w:tabs>
          <w:tab w:val="left" w:pos="630"/>
        </w:tabs>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EA2097A">
      <w:pPr>
        <w:pStyle w:val="8"/>
        <w:rPr>
          <w:rFonts w:hint="eastAsia" w:asciiTheme="minorEastAsia" w:hAnsiTheme="minorEastAsia" w:eastAsiaTheme="minorEastAsia" w:cstheme="minorEastAsia"/>
          <w:color w:val="auto"/>
          <w:kern w:val="0"/>
          <w:sz w:val="24"/>
          <w:highlight w:val="none"/>
          <w:lang w:val="en-US" w:bidi="ar"/>
        </w:rPr>
      </w:pPr>
    </w:p>
    <w:p w14:paraId="62FACBB4">
      <w:pPr>
        <w:pStyle w:val="8"/>
        <w:rPr>
          <w:rFonts w:hint="eastAsia" w:asciiTheme="minorEastAsia" w:hAnsiTheme="minorEastAsia" w:eastAsiaTheme="minorEastAsia" w:cstheme="minorEastAsia"/>
          <w:color w:val="auto"/>
          <w:kern w:val="0"/>
          <w:sz w:val="24"/>
          <w:highlight w:val="none"/>
          <w:lang w:val="en-US" w:bidi="ar"/>
        </w:rPr>
      </w:pPr>
    </w:p>
    <w:p w14:paraId="29236E8F">
      <w:pPr>
        <w:pStyle w:val="8"/>
        <w:rPr>
          <w:rFonts w:hint="eastAsia" w:asciiTheme="minorEastAsia" w:hAnsiTheme="minorEastAsia" w:eastAsiaTheme="minorEastAsia" w:cstheme="minorEastAsia"/>
          <w:color w:val="auto"/>
          <w:kern w:val="0"/>
          <w:sz w:val="24"/>
          <w:highlight w:val="none"/>
          <w:lang w:val="en-US" w:bidi="ar"/>
        </w:rPr>
      </w:pPr>
    </w:p>
    <w:p w14:paraId="17F618DD">
      <w:pPr>
        <w:rPr>
          <w:rFonts w:hint="eastAsia" w:asciiTheme="minorEastAsia" w:hAnsiTheme="minorEastAsia" w:eastAsiaTheme="minorEastAsia"/>
          <w:b/>
          <w:color w:val="auto"/>
          <w:sz w:val="24"/>
          <w:highlight w:val="none"/>
        </w:rPr>
      </w:pPr>
      <w:bookmarkStart w:id="61" w:name="_Toc11607"/>
      <w:r>
        <w:rPr>
          <w:rFonts w:hint="eastAsia" w:asciiTheme="minorEastAsia" w:hAnsiTheme="minorEastAsia" w:eastAsiaTheme="minorEastAsia"/>
          <w:b/>
          <w:color w:val="auto"/>
          <w:sz w:val="24"/>
          <w:highlight w:val="none"/>
        </w:rPr>
        <w:br w:type="page"/>
      </w:r>
    </w:p>
    <w:p w14:paraId="6C263433">
      <w:pPr>
        <w:spacing w:line="360" w:lineRule="auto"/>
        <w:jc w:val="center"/>
        <w:outlineLvl w:val="1"/>
        <w:rPr>
          <w:rFonts w:hint="eastAsia" w:asciiTheme="minorEastAsia" w:hAnsiTheme="minorEastAsia" w:eastAsiaTheme="minorEastAsia"/>
          <w:b/>
          <w:color w:val="auto"/>
          <w:sz w:val="24"/>
          <w:highlight w:val="none"/>
        </w:rPr>
      </w:pPr>
      <w:bookmarkStart w:id="62" w:name="_Toc16960"/>
      <w:r>
        <w:rPr>
          <w:rFonts w:hint="eastAsia" w:asciiTheme="minorEastAsia" w:hAnsiTheme="minorEastAsia" w:eastAsiaTheme="minorEastAsia"/>
          <w:b/>
          <w:color w:val="auto"/>
          <w:sz w:val="24"/>
          <w:highlight w:val="none"/>
        </w:rPr>
        <w:t>四、授权书</w:t>
      </w:r>
      <w:bookmarkEnd w:id="61"/>
      <w:bookmarkEnd w:id="62"/>
    </w:p>
    <w:p w14:paraId="08E8CC0E">
      <w:pPr>
        <w:pStyle w:val="11"/>
        <w:snapToGrid w:val="0"/>
        <w:spacing w:line="360" w:lineRule="auto"/>
        <w:ind w:firstLine="480" w:firstLineChars="200"/>
        <w:jc w:val="left"/>
        <w:rPr>
          <w:rFonts w:hint="eastAsia" w:hAnsi="宋体" w:eastAsia="宋体"/>
          <w:color w:val="auto"/>
          <w:sz w:val="24"/>
          <w:szCs w:val="28"/>
          <w:highlight w:val="none"/>
        </w:rPr>
      </w:pPr>
    </w:p>
    <w:p w14:paraId="5E50A686">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F3426E3">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0222876">
      <w:pPr>
        <w:spacing w:line="360" w:lineRule="auto"/>
        <w:ind w:firstLine="435"/>
        <w:rPr>
          <w:rFonts w:hint="eastAsia" w:hAnsi="宋体" w:eastAsia="宋体"/>
          <w:b/>
          <w:bCs/>
          <w:color w:val="auto"/>
          <w:sz w:val="24"/>
          <w:highlight w:val="none"/>
        </w:rPr>
      </w:pPr>
      <w:r>
        <w:rPr>
          <w:rFonts w:hint="eastAsia" w:hAnsi="宋体" w:eastAsia="宋体"/>
          <w:b/>
          <w:bCs/>
          <w:color w:val="auto"/>
          <w:sz w:val="24"/>
          <w:szCs w:val="28"/>
          <w:highlight w:val="none"/>
        </w:rPr>
        <w:t>授权</w:t>
      </w:r>
      <w:r>
        <w:rPr>
          <w:rFonts w:hint="eastAsia" w:asciiTheme="minorEastAsia" w:hAnsiTheme="minorEastAsia" w:eastAsiaTheme="minorEastAsia"/>
          <w:b/>
          <w:bCs/>
          <w:color w:val="auto"/>
          <w:sz w:val="24"/>
          <w:highlight w:val="none"/>
        </w:rPr>
        <w:t>代表</w:t>
      </w:r>
      <w:r>
        <w:rPr>
          <w:rFonts w:hint="eastAsia" w:hAnsi="宋体" w:eastAsia="宋体"/>
          <w:b/>
          <w:bCs/>
          <w:color w:val="auto"/>
          <w:sz w:val="24"/>
          <w:highlight w:val="none"/>
        </w:rPr>
        <w:t>身份证明扫描件：</w:t>
      </w:r>
    </w:p>
    <w:p w14:paraId="3EA03D83">
      <w:pPr>
        <w:spacing w:line="360" w:lineRule="auto"/>
        <w:ind w:firstLine="435"/>
        <w:rPr>
          <w:rFonts w:hint="eastAsia" w:asciiTheme="minorEastAsia" w:hAnsiTheme="minorEastAsia" w:eastAsiaTheme="minorEastAsia"/>
          <w:color w:val="auto"/>
          <w:sz w:val="24"/>
          <w:highlight w:val="none"/>
        </w:rPr>
      </w:pPr>
    </w:p>
    <w:p w14:paraId="53CAB130">
      <w:pPr>
        <w:spacing w:line="360" w:lineRule="auto"/>
        <w:ind w:firstLine="435"/>
        <w:rPr>
          <w:rFonts w:hint="eastAsia" w:asciiTheme="minorEastAsia" w:hAnsiTheme="minorEastAsia" w:eastAsiaTheme="minorEastAsia"/>
          <w:color w:val="auto"/>
          <w:sz w:val="24"/>
          <w:highlight w:val="none"/>
        </w:rPr>
      </w:pPr>
    </w:p>
    <w:p w14:paraId="2C5C8315">
      <w:pPr>
        <w:spacing w:line="360" w:lineRule="auto"/>
        <w:ind w:firstLine="435"/>
        <w:rPr>
          <w:rFonts w:hint="eastAsia" w:asciiTheme="minorEastAsia" w:hAnsiTheme="minorEastAsia" w:eastAsiaTheme="minorEastAsia"/>
          <w:color w:val="auto"/>
          <w:sz w:val="24"/>
          <w:highlight w:val="none"/>
        </w:rPr>
      </w:pPr>
    </w:p>
    <w:p w14:paraId="7BA25597">
      <w:pPr>
        <w:spacing w:line="360" w:lineRule="auto"/>
        <w:ind w:firstLine="435"/>
        <w:rPr>
          <w:rFonts w:hint="eastAsia"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43814717">
      <w:pPr>
        <w:spacing w:line="360" w:lineRule="auto"/>
        <w:ind w:firstLine="435"/>
        <w:rPr>
          <w:rFonts w:hint="eastAsia" w:hAnsi="宋体" w:eastAsia="宋体"/>
          <w:color w:val="auto"/>
          <w:sz w:val="24"/>
          <w:szCs w:val="28"/>
          <w:highlight w:val="none"/>
          <w:lang w:val="zh-CN"/>
        </w:rPr>
      </w:pPr>
    </w:p>
    <w:p w14:paraId="1B778D7F">
      <w:pPr>
        <w:spacing w:line="360" w:lineRule="auto"/>
        <w:ind w:firstLine="435"/>
        <w:rPr>
          <w:rFonts w:hint="eastAsia"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30DD1F94">
      <w:pPr>
        <w:spacing w:line="360" w:lineRule="auto"/>
        <w:rPr>
          <w:rFonts w:hint="eastAsia" w:ascii="宋体" w:hAnsi="宋体" w:eastAsia="宋体"/>
          <w:color w:val="auto"/>
          <w:sz w:val="24"/>
          <w:szCs w:val="28"/>
          <w:highlight w:val="none"/>
        </w:rPr>
      </w:pPr>
    </w:p>
    <w:p w14:paraId="13DCB21B">
      <w:pPr>
        <w:spacing w:line="360" w:lineRule="auto"/>
        <w:ind w:firstLine="435"/>
        <w:jc w:val="center"/>
        <w:rPr>
          <w:rFonts w:hint="eastAsia" w:ascii="宋体" w:hAnsi="宋体" w:eastAsia="宋体"/>
          <w:bCs/>
          <w:color w:val="auto"/>
          <w:sz w:val="24"/>
          <w:szCs w:val="28"/>
          <w:highlight w:val="none"/>
        </w:rPr>
      </w:pPr>
      <w:r>
        <w:rPr>
          <w:rFonts w:hint="eastAsia" w:ascii="宋体" w:hAnsi="宋体" w:eastAsia="宋体"/>
          <w:bCs/>
          <w:color w:val="auto"/>
          <w:sz w:val="24"/>
          <w:szCs w:val="28"/>
          <w:highlight w:val="none"/>
        </w:rPr>
        <w:t xml:space="preserve">                            投标人电子签章：</w:t>
      </w:r>
      <w:r>
        <w:rPr>
          <w:rFonts w:hint="eastAsia" w:ascii="宋体" w:hAnsi="宋体" w:eastAsia="宋体"/>
          <w:bCs/>
          <w:color w:val="auto"/>
          <w:sz w:val="24"/>
          <w:szCs w:val="28"/>
          <w:highlight w:val="none"/>
          <w:u w:val="single"/>
        </w:rPr>
        <w:t xml:space="preserve">                    </w:t>
      </w:r>
    </w:p>
    <w:p w14:paraId="3A89123F">
      <w:pPr>
        <w:spacing w:line="360" w:lineRule="auto"/>
        <w:ind w:firstLine="435"/>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 xml:space="preserve">                            日          期：</w:t>
      </w:r>
      <w:r>
        <w:rPr>
          <w:rFonts w:hint="eastAsia" w:ascii="宋体" w:hAnsi="宋体" w:eastAsia="宋体"/>
          <w:b/>
          <w:bCs/>
          <w:color w:val="auto"/>
          <w:sz w:val="24"/>
          <w:szCs w:val="28"/>
          <w:highlight w:val="none"/>
          <w:u w:val="single"/>
        </w:rPr>
        <w:t xml:space="preserve">                    </w:t>
      </w:r>
    </w:p>
    <w:p w14:paraId="623A7F90">
      <w:pPr>
        <w:spacing w:line="360" w:lineRule="auto"/>
        <w:ind w:firstLine="435"/>
        <w:rPr>
          <w:rFonts w:hint="eastAsia" w:asciiTheme="minorEastAsia" w:hAnsiTheme="minorEastAsia" w:eastAsiaTheme="minorEastAsia"/>
          <w:color w:val="auto"/>
          <w:sz w:val="24"/>
          <w:highlight w:val="none"/>
        </w:rPr>
      </w:pPr>
    </w:p>
    <w:p w14:paraId="7A581D12">
      <w:pPr>
        <w:spacing w:line="360" w:lineRule="auto"/>
        <w:ind w:firstLine="435"/>
        <w:rPr>
          <w:rFonts w:hint="eastAsia" w:asciiTheme="minorEastAsia" w:hAnsiTheme="minorEastAsia" w:eastAsiaTheme="minorEastAsia"/>
          <w:color w:val="auto"/>
          <w:sz w:val="24"/>
          <w:highlight w:val="none"/>
        </w:rPr>
      </w:pPr>
    </w:p>
    <w:p w14:paraId="2A1BBDB9">
      <w:pPr>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327E059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4555FA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2E4221C2">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CECE55C">
      <w:pPr>
        <w:spacing w:line="360" w:lineRule="auto"/>
        <w:jc w:val="center"/>
        <w:outlineLvl w:val="1"/>
        <w:rPr>
          <w:rFonts w:hint="eastAsia" w:asciiTheme="minorEastAsia" w:hAnsiTheme="minorEastAsia" w:eastAsiaTheme="minorEastAsia"/>
          <w:b/>
          <w:color w:val="auto"/>
          <w:sz w:val="24"/>
          <w:highlight w:val="none"/>
        </w:rPr>
      </w:pPr>
      <w:bookmarkStart w:id="63" w:name="_Toc31991"/>
      <w:bookmarkStart w:id="64" w:name="_Toc6796"/>
      <w:r>
        <w:rPr>
          <w:rFonts w:hint="eastAsia" w:asciiTheme="minorEastAsia" w:hAnsiTheme="minorEastAsia" w:eastAsiaTheme="minorEastAsia"/>
          <w:b/>
          <w:color w:val="auto"/>
          <w:sz w:val="24"/>
          <w:highlight w:val="none"/>
        </w:rPr>
        <w:t>五、投标分项报价表</w:t>
      </w:r>
      <w:bookmarkEnd w:id="63"/>
      <w:bookmarkEnd w:id="64"/>
    </w:p>
    <w:p w14:paraId="7BFA8A4B">
      <w:pPr>
        <w:pStyle w:val="49"/>
        <w:jc w:val="left"/>
        <w:rPr>
          <w:rFonts w:hint="eastAsia" w:ascii="宋体" w:hAnsi="宋体"/>
          <w:b/>
          <w:bCs/>
          <w:color w:val="auto"/>
          <w:highlight w:val="none"/>
        </w:rPr>
      </w:pPr>
      <w:r>
        <w:rPr>
          <w:rFonts w:hint="eastAsia" w:ascii="宋体" w:hAnsi="宋体"/>
          <w:b/>
          <w:bCs/>
          <w:color w:val="auto"/>
          <w:highlight w:val="none"/>
        </w:rPr>
        <w:t>5-1货物部分</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41"/>
        <w:gridCol w:w="1434"/>
        <w:gridCol w:w="1434"/>
        <w:gridCol w:w="731"/>
        <w:gridCol w:w="731"/>
        <w:gridCol w:w="1028"/>
        <w:gridCol w:w="1023"/>
        <w:gridCol w:w="729"/>
      </w:tblGrid>
      <w:tr w14:paraId="29F8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vAlign w:val="center"/>
          </w:tcPr>
          <w:p w14:paraId="02EB3403">
            <w:pPr>
              <w:pStyle w:val="41"/>
              <w:widowControl w:val="0"/>
              <w:spacing w:before="0" w:beforeAutospacing="0" w:after="0" w:afterAutospacing="0"/>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vAlign w:val="center"/>
          </w:tcPr>
          <w:p w14:paraId="73FB9F55">
            <w:pPr>
              <w:jc w:val="center"/>
              <w:rPr>
                <w:rFonts w:hint="eastAsia"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vAlign w:val="center"/>
          </w:tcPr>
          <w:p w14:paraId="74F9288A">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品牌、型</w:t>
            </w:r>
          </w:p>
          <w:p w14:paraId="75AB3D7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vAlign w:val="center"/>
          </w:tcPr>
          <w:p w14:paraId="3FC9B9D4">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原产地及</w:t>
            </w:r>
          </w:p>
          <w:p w14:paraId="69A6F33E">
            <w:pPr>
              <w:jc w:val="center"/>
              <w:rPr>
                <w:rFonts w:hint="eastAsia"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vAlign w:val="center"/>
          </w:tcPr>
          <w:p w14:paraId="5E220F61">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vAlign w:val="center"/>
          </w:tcPr>
          <w:p w14:paraId="320CC90F">
            <w:pPr>
              <w:jc w:val="center"/>
              <w:rPr>
                <w:rFonts w:hint="eastAsia"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vAlign w:val="center"/>
          </w:tcPr>
          <w:p w14:paraId="57B37F3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单价</w:t>
            </w:r>
          </w:p>
          <w:p w14:paraId="39894848">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551" w:type="pct"/>
            <w:vAlign w:val="center"/>
          </w:tcPr>
          <w:p w14:paraId="3425285D">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小计</w:t>
            </w:r>
          </w:p>
          <w:p w14:paraId="5701081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393" w:type="pct"/>
            <w:vAlign w:val="center"/>
          </w:tcPr>
          <w:p w14:paraId="47A63804">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备注</w:t>
            </w:r>
          </w:p>
        </w:tc>
      </w:tr>
      <w:tr w14:paraId="7492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tcPr>
          <w:p w14:paraId="081E0F3E">
            <w:pPr>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776" w:type="pct"/>
          </w:tcPr>
          <w:p w14:paraId="7761E195">
            <w:pPr>
              <w:rPr>
                <w:rFonts w:hint="eastAsia" w:ascii="宋体" w:hAnsi="宋体" w:eastAsia="宋体"/>
                <w:color w:val="auto"/>
                <w:sz w:val="24"/>
                <w:highlight w:val="none"/>
              </w:rPr>
            </w:pPr>
          </w:p>
        </w:tc>
        <w:tc>
          <w:tcPr>
            <w:tcW w:w="772" w:type="pct"/>
          </w:tcPr>
          <w:p w14:paraId="0375DE1C">
            <w:pPr>
              <w:rPr>
                <w:rFonts w:hint="eastAsia" w:ascii="宋体" w:hAnsi="宋体" w:eastAsia="宋体"/>
                <w:color w:val="auto"/>
                <w:sz w:val="24"/>
                <w:highlight w:val="none"/>
              </w:rPr>
            </w:pPr>
          </w:p>
        </w:tc>
        <w:tc>
          <w:tcPr>
            <w:tcW w:w="772" w:type="pct"/>
          </w:tcPr>
          <w:p w14:paraId="52FF1C92">
            <w:pPr>
              <w:rPr>
                <w:rFonts w:hint="eastAsia" w:ascii="宋体" w:hAnsi="宋体" w:eastAsia="宋体"/>
                <w:color w:val="auto"/>
                <w:sz w:val="24"/>
                <w:highlight w:val="none"/>
              </w:rPr>
            </w:pPr>
          </w:p>
        </w:tc>
        <w:tc>
          <w:tcPr>
            <w:tcW w:w="394" w:type="pct"/>
          </w:tcPr>
          <w:p w14:paraId="7C01FFE9">
            <w:pPr>
              <w:rPr>
                <w:rFonts w:hint="eastAsia" w:ascii="宋体" w:hAnsi="宋体" w:eastAsia="宋体"/>
                <w:color w:val="auto"/>
                <w:sz w:val="24"/>
                <w:highlight w:val="none"/>
              </w:rPr>
            </w:pPr>
          </w:p>
        </w:tc>
        <w:tc>
          <w:tcPr>
            <w:tcW w:w="394" w:type="pct"/>
          </w:tcPr>
          <w:p w14:paraId="4DE5AC10">
            <w:pPr>
              <w:rPr>
                <w:rFonts w:hint="eastAsia" w:ascii="宋体" w:hAnsi="宋体" w:eastAsia="宋体"/>
                <w:color w:val="auto"/>
                <w:sz w:val="24"/>
                <w:highlight w:val="none"/>
              </w:rPr>
            </w:pPr>
          </w:p>
        </w:tc>
        <w:tc>
          <w:tcPr>
            <w:tcW w:w="551" w:type="pct"/>
          </w:tcPr>
          <w:p w14:paraId="21DA4597">
            <w:pPr>
              <w:rPr>
                <w:rFonts w:hint="eastAsia" w:ascii="宋体" w:hAnsi="宋体" w:eastAsia="宋体"/>
                <w:color w:val="auto"/>
                <w:sz w:val="24"/>
                <w:highlight w:val="none"/>
              </w:rPr>
            </w:pPr>
          </w:p>
        </w:tc>
        <w:tc>
          <w:tcPr>
            <w:tcW w:w="551" w:type="pct"/>
          </w:tcPr>
          <w:p w14:paraId="2A9B41D8">
            <w:pPr>
              <w:rPr>
                <w:rFonts w:hint="eastAsia" w:ascii="宋体" w:hAnsi="宋体" w:eastAsia="宋体"/>
                <w:color w:val="auto"/>
                <w:sz w:val="24"/>
                <w:highlight w:val="none"/>
              </w:rPr>
            </w:pPr>
          </w:p>
        </w:tc>
        <w:tc>
          <w:tcPr>
            <w:tcW w:w="393" w:type="pct"/>
          </w:tcPr>
          <w:p w14:paraId="2B68B0FE">
            <w:pPr>
              <w:rPr>
                <w:rFonts w:hint="eastAsia" w:ascii="宋体" w:hAnsi="宋体" w:eastAsia="宋体"/>
                <w:color w:val="auto"/>
                <w:sz w:val="24"/>
                <w:highlight w:val="none"/>
              </w:rPr>
            </w:pPr>
          </w:p>
        </w:tc>
      </w:tr>
      <w:tr w14:paraId="6C4B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tcPr>
          <w:p w14:paraId="01A75D3A">
            <w:pPr>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776" w:type="pct"/>
          </w:tcPr>
          <w:p w14:paraId="1C5F27B4">
            <w:pPr>
              <w:rPr>
                <w:rFonts w:hint="eastAsia" w:ascii="宋体" w:hAnsi="宋体" w:eastAsia="宋体"/>
                <w:color w:val="auto"/>
                <w:sz w:val="24"/>
                <w:highlight w:val="none"/>
              </w:rPr>
            </w:pPr>
          </w:p>
        </w:tc>
        <w:tc>
          <w:tcPr>
            <w:tcW w:w="772" w:type="pct"/>
          </w:tcPr>
          <w:p w14:paraId="439F3115">
            <w:pPr>
              <w:rPr>
                <w:rFonts w:hint="eastAsia" w:ascii="宋体" w:hAnsi="宋体" w:eastAsia="宋体"/>
                <w:color w:val="auto"/>
                <w:sz w:val="24"/>
                <w:highlight w:val="none"/>
              </w:rPr>
            </w:pPr>
          </w:p>
        </w:tc>
        <w:tc>
          <w:tcPr>
            <w:tcW w:w="772" w:type="pct"/>
          </w:tcPr>
          <w:p w14:paraId="0B5EF6A2">
            <w:pPr>
              <w:rPr>
                <w:rFonts w:hint="eastAsia" w:ascii="宋体" w:hAnsi="宋体" w:eastAsia="宋体"/>
                <w:color w:val="auto"/>
                <w:sz w:val="24"/>
                <w:highlight w:val="none"/>
              </w:rPr>
            </w:pPr>
          </w:p>
        </w:tc>
        <w:tc>
          <w:tcPr>
            <w:tcW w:w="394" w:type="pct"/>
          </w:tcPr>
          <w:p w14:paraId="66BA4716">
            <w:pPr>
              <w:rPr>
                <w:rFonts w:hint="eastAsia" w:ascii="宋体" w:hAnsi="宋体" w:eastAsia="宋体"/>
                <w:color w:val="auto"/>
                <w:sz w:val="24"/>
                <w:highlight w:val="none"/>
              </w:rPr>
            </w:pPr>
          </w:p>
        </w:tc>
        <w:tc>
          <w:tcPr>
            <w:tcW w:w="394" w:type="pct"/>
          </w:tcPr>
          <w:p w14:paraId="4981F119">
            <w:pPr>
              <w:rPr>
                <w:rFonts w:hint="eastAsia" w:ascii="宋体" w:hAnsi="宋体" w:eastAsia="宋体"/>
                <w:color w:val="auto"/>
                <w:sz w:val="24"/>
                <w:highlight w:val="none"/>
              </w:rPr>
            </w:pPr>
          </w:p>
        </w:tc>
        <w:tc>
          <w:tcPr>
            <w:tcW w:w="551" w:type="pct"/>
          </w:tcPr>
          <w:p w14:paraId="6A08DEBB">
            <w:pPr>
              <w:rPr>
                <w:rFonts w:hint="eastAsia" w:ascii="宋体" w:hAnsi="宋体" w:eastAsia="宋体"/>
                <w:color w:val="auto"/>
                <w:sz w:val="24"/>
                <w:highlight w:val="none"/>
              </w:rPr>
            </w:pPr>
          </w:p>
        </w:tc>
        <w:tc>
          <w:tcPr>
            <w:tcW w:w="551" w:type="pct"/>
          </w:tcPr>
          <w:p w14:paraId="21EA39CE">
            <w:pPr>
              <w:rPr>
                <w:rFonts w:hint="eastAsia" w:ascii="宋体" w:hAnsi="宋体" w:eastAsia="宋体"/>
                <w:color w:val="auto"/>
                <w:sz w:val="24"/>
                <w:highlight w:val="none"/>
              </w:rPr>
            </w:pPr>
          </w:p>
        </w:tc>
        <w:tc>
          <w:tcPr>
            <w:tcW w:w="393" w:type="pct"/>
          </w:tcPr>
          <w:p w14:paraId="2599FD7C">
            <w:pPr>
              <w:rPr>
                <w:rFonts w:hint="eastAsia" w:ascii="宋体" w:hAnsi="宋体" w:eastAsia="宋体"/>
                <w:color w:val="auto"/>
                <w:sz w:val="24"/>
                <w:highlight w:val="none"/>
              </w:rPr>
            </w:pPr>
          </w:p>
        </w:tc>
      </w:tr>
      <w:tr w14:paraId="6233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7DD361CA">
            <w:pPr>
              <w:jc w:val="center"/>
              <w:rPr>
                <w:rFonts w:hint="eastAsia" w:ascii="宋体" w:hAnsi="宋体" w:eastAsia="宋体"/>
                <w:color w:val="auto"/>
                <w:sz w:val="24"/>
                <w:highlight w:val="none"/>
              </w:rPr>
            </w:pPr>
            <w:r>
              <w:rPr>
                <w:rFonts w:hint="eastAsia" w:ascii="宋体" w:hAnsi="宋体" w:eastAsia="宋体"/>
                <w:color w:val="auto"/>
                <w:sz w:val="24"/>
                <w:highlight w:val="none"/>
              </w:rPr>
              <w:t>…</w:t>
            </w:r>
          </w:p>
        </w:tc>
        <w:tc>
          <w:tcPr>
            <w:tcW w:w="776" w:type="pct"/>
          </w:tcPr>
          <w:p w14:paraId="52FDDD29">
            <w:pPr>
              <w:rPr>
                <w:rFonts w:hint="eastAsia" w:ascii="宋体" w:hAnsi="宋体" w:eastAsia="宋体"/>
                <w:color w:val="auto"/>
                <w:sz w:val="24"/>
                <w:highlight w:val="none"/>
              </w:rPr>
            </w:pPr>
          </w:p>
        </w:tc>
        <w:tc>
          <w:tcPr>
            <w:tcW w:w="772" w:type="pct"/>
          </w:tcPr>
          <w:p w14:paraId="0F448206">
            <w:pPr>
              <w:rPr>
                <w:rFonts w:hint="eastAsia" w:ascii="宋体" w:hAnsi="宋体" w:eastAsia="宋体"/>
                <w:color w:val="auto"/>
                <w:sz w:val="24"/>
                <w:highlight w:val="none"/>
              </w:rPr>
            </w:pPr>
          </w:p>
        </w:tc>
        <w:tc>
          <w:tcPr>
            <w:tcW w:w="772" w:type="pct"/>
          </w:tcPr>
          <w:p w14:paraId="6F4523F1">
            <w:pPr>
              <w:rPr>
                <w:rFonts w:hint="eastAsia" w:ascii="宋体" w:hAnsi="宋体" w:eastAsia="宋体"/>
                <w:color w:val="auto"/>
                <w:sz w:val="24"/>
                <w:highlight w:val="none"/>
              </w:rPr>
            </w:pPr>
          </w:p>
        </w:tc>
        <w:tc>
          <w:tcPr>
            <w:tcW w:w="394" w:type="pct"/>
          </w:tcPr>
          <w:p w14:paraId="5713503A">
            <w:pPr>
              <w:rPr>
                <w:rFonts w:hint="eastAsia" w:ascii="宋体" w:hAnsi="宋体" w:eastAsia="宋体"/>
                <w:color w:val="auto"/>
                <w:sz w:val="24"/>
                <w:highlight w:val="none"/>
              </w:rPr>
            </w:pPr>
          </w:p>
        </w:tc>
        <w:tc>
          <w:tcPr>
            <w:tcW w:w="394" w:type="pct"/>
          </w:tcPr>
          <w:p w14:paraId="44B66D33">
            <w:pPr>
              <w:rPr>
                <w:rFonts w:hint="eastAsia" w:ascii="宋体" w:hAnsi="宋体" w:eastAsia="宋体"/>
                <w:color w:val="auto"/>
                <w:sz w:val="24"/>
                <w:highlight w:val="none"/>
              </w:rPr>
            </w:pPr>
          </w:p>
        </w:tc>
        <w:tc>
          <w:tcPr>
            <w:tcW w:w="551" w:type="pct"/>
          </w:tcPr>
          <w:p w14:paraId="4D3028A2">
            <w:pPr>
              <w:rPr>
                <w:rFonts w:hint="eastAsia" w:ascii="宋体" w:hAnsi="宋体" w:eastAsia="宋体"/>
                <w:color w:val="auto"/>
                <w:sz w:val="24"/>
                <w:highlight w:val="none"/>
              </w:rPr>
            </w:pPr>
          </w:p>
        </w:tc>
        <w:tc>
          <w:tcPr>
            <w:tcW w:w="551" w:type="pct"/>
          </w:tcPr>
          <w:p w14:paraId="1790092E">
            <w:pPr>
              <w:rPr>
                <w:rFonts w:hint="eastAsia" w:ascii="宋体" w:hAnsi="宋体" w:eastAsia="宋体"/>
                <w:color w:val="auto"/>
                <w:sz w:val="24"/>
                <w:highlight w:val="none"/>
              </w:rPr>
            </w:pPr>
          </w:p>
        </w:tc>
        <w:tc>
          <w:tcPr>
            <w:tcW w:w="393" w:type="pct"/>
          </w:tcPr>
          <w:p w14:paraId="578F6552">
            <w:pPr>
              <w:rPr>
                <w:rFonts w:hint="eastAsia" w:ascii="宋体" w:hAnsi="宋体" w:eastAsia="宋体"/>
                <w:color w:val="auto"/>
                <w:sz w:val="24"/>
                <w:highlight w:val="none"/>
              </w:rPr>
            </w:pPr>
          </w:p>
        </w:tc>
      </w:tr>
      <w:tr w14:paraId="388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vAlign w:val="center"/>
          </w:tcPr>
          <w:p w14:paraId="5461A2A8">
            <w:pPr>
              <w:jc w:val="center"/>
              <w:rPr>
                <w:rFonts w:hint="eastAsia" w:ascii="宋体" w:hAnsi="宋体" w:eastAsia="宋体"/>
                <w:color w:val="auto"/>
                <w:sz w:val="24"/>
                <w:highlight w:val="none"/>
              </w:rPr>
            </w:pPr>
            <w:r>
              <w:rPr>
                <w:rFonts w:hint="eastAsia" w:ascii="宋体" w:hAnsi="宋体" w:eastAsia="宋体"/>
                <w:b/>
                <w:color w:val="auto"/>
                <w:sz w:val="24"/>
                <w:highlight w:val="none"/>
              </w:rPr>
              <w:t>合计金额（元）</w:t>
            </w:r>
          </w:p>
        </w:tc>
        <w:tc>
          <w:tcPr>
            <w:tcW w:w="944" w:type="pct"/>
            <w:gridSpan w:val="2"/>
          </w:tcPr>
          <w:p w14:paraId="559957D4">
            <w:pPr>
              <w:rPr>
                <w:rFonts w:hint="eastAsia" w:ascii="宋体" w:hAnsi="宋体" w:eastAsia="宋体"/>
                <w:color w:val="auto"/>
                <w:sz w:val="24"/>
                <w:highlight w:val="none"/>
              </w:rPr>
            </w:pPr>
          </w:p>
        </w:tc>
      </w:tr>
    </w:tbl>
    <w:p w14:paraId="4C7090A7">
      <w:pPr>
        <w:pStyle w:val="49"/>
        <w:rPr>
          <w:rFonts w:hint="eastAsia" w:ascii="宋体" w:hAnsi="宋体"/>
          <w:b/>
          <w:bCs/>
          <w:i/>
          <w:iCs/>
          <w:color w:val="auto"/>
          <w:highlight w:val="none"/>
        </w:rPr>
      </w:pPr>
      <w:r>
        <w:rPr>
          <w:rFonts w:hint="eastAsia" w:ascii="宋体" w:hAnsi="宋体"/>
          <w:b/>
          <w:bCs/>
          <w:color w:val="auto"/>
          <w:highlight w:val="none"/>
        </w:rPr>
        <w:t>5-2服务部分</w:t>
      </w:r>
      <w:r>
        <w:rPr>
          <w:rFonts w:hint="eastAsia" w:ascii="宋体" w:hAnsi="宋体"/>
          <w:b/>
          <w:bCs/>
          <w:i/>
          <w:iCs/>
          <w:color w:val="auto"/>
          <w:highlight w:val="none"/>
        </w:rPr>
        <w:t>（仅供参考，投标人可自行制作格式）</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387"/>
        <w:gridCol w:w="1478"/>
        <w:gridCol w:w="1851"/>
        <w:gridCol w:w="170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vAlign w:val="center"/>
          </w:tcPr>
          <w:p w14:paraId="1CDA59DE">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17CB7DC2">
            <w:pPr>
              <w:jc w:val="center"/>
              <w:rPr>
                <w:rFonts w:hint="eastAsia"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69CD1F0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3C73F4D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vAlign w:val="center"/>
          </w:tcPr>
          <w:p w14:paraId="18231BFF">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vAlign w:val="center"/>
          </w:tcPr>
          <w:p w14:paraId="3C2A5816">
            <w:pPr>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176E8AA8">
            <w:pPr>
              <w:jc w:val="center"/>
              <w:rPr>
                <w:rFonts w:hint="eastAsia" w:ascii="宋体" w:hAnsi="宋体" w:eastAsia="宋体"/>
                <w:color w:val="auto"/>
                <w:sz w:val="24"/>
                <w:highlight w:val="none"/>
              </w:rPr>
            </w:pPr>
          </w:p>
        </w:tc>
        <w:tc>
          <w:tcPr>
            <w:tcW w:w="796" w:type="pct"/>
            <w:vAlign w:val="center"/>
          </w:tcPr>
          <w:p w14:paraId="2C5909C3">
            <w:pPr>
              <w:jc w:val="center"/>
              <w:rPr>
                <w:rFonts w:hint="eastAsia" w:ascii="宋体" w:hAnsi="宋体" w:eastAsia="宋体"/>
                <w:color w:val="auto"/>
                <w:sz w:val="24"/>
                <w:highlight w:val="none"/>
              </w:rPr>
            </w:pPr>
          </w:p>
        </w:tc>
        <w:tc>
          <w:tcPr>
            <w:tcW w:w="996" w:type="pct"/>
            <w:vAlign w:val="center"/>
          </w:tcPr>
          <w:p w14:paraId="575AA4E9">
            <w:pPr>
              <w:jc w:val="center"/>
              <w:rPr>
                <w:rFonts w:hint="eastAsia" w:ascii="宋体" w:hAnsi="宋体" w:eastAsia="宋体"/>
                <w:color w:val="auto"/>
                <w:sz w:val="24"/>
                <w:highlight w:val="none"/>
              </w:rPr>
            </w:pPr>
          </w:p>
        </w:tc>
        <w:tc>
          <w:tcPr>
            <w:tcW w:w="919" w:type="pct"/>
            <w:vAlign w:val="center"/>
          </w:tcPr>
          <w:p w14:paraId="60C54B4C">
            <w:pPr>
              <w:jc w:val="center"/>
              <w:rPr>
                <w:rFonts w:hint="eastAsia" w:ascii="宋体" w:hAnsi="宋体" w:eastAsia="宋体"/>
                <w:color w:val="auto"/>
                <w:sz w:val="24"/>
                <w:highlight w:val="none"/>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vAlign w:val="center"/>
          </w:tcPr>
          <w:p w14:paraId="1D70D3F5">
            <w:pPr>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72BE9378">
            <w:pPr>
              <w:jc w:val="center"/>
              <w:rPr>
                <w:rFonts w:hint="eastAsia" w:ascii="宋体" w:hAnsi="宋体" w:eastAsia="宋体"/>
                <w:color w:val="auto"/>
                <w:sz w:val="24"/>
                <w:highlight w:val="none"/>
              </w:rPr>
            </w:pPr>
          </w:p>
        </w:tc>
        <w:tc>
          <w:tcPr>
            <w:tcW w:w="796" w:type="pct"/>
            <w:vAlign w:val="center"/>
          </w:tcPr>
          <w:p w14:paraId="6158F3CC">
            <w:pPr>
              <w:jc w:val="center"/>
              <w:rPr>
                <w:rFonts w:hint="eastAsia" w:ascii="宋体" w:hAnsi="宋体" w:eastAsia="宋体"/>
                <w:color w:val="auto"/>
                <w:sz w:val="24"/>
                <w:highlight w:val="none"/>
              </w:rPr>
            </w:pPr>
          </w:p>
        </w:tc>
        <w:tc>
          <w:tcPr>
            <w:tcW w:w="996" w:type="pct"/>
            <w:vAlign w:val="center"/>
          </w:tcPr>
          <w:p w14:paraId="6122CBD2">
            <w:pPr>
              <w:jc w:val="center"/>
              <w:rPr>
                <w:rFonts w:hint="eastAsia" w:ascii="宋体" w:hAnsi="宋体" w:eastAsia="宋体"/>
                <w:color w:val="auto"/>
                <w:sz w:val="24"/>
                <w:highlight w:val="none"/>
              </w:rPr>
            </w:pPr>
          </w:p>
        </w:tc>
        <w:tc>
          <w:tcPr>
            <w:tcW w:w="919" w:type="pct"/>
            <w:vAlign w:val="center"/>
          </w:tcPr>
          <w:p w14:paraId="560FF55C">
            <w:pPr>
              <w:jc w:val="center"/>
              <w:rPr>
                <w:rFonts w:hint="eastAsia" w:ascii="宋体" w:hAnsi="宋体" w:eastAsia="宋体"/>
                <w:color w:val="auto"/>
                <w:sz w:val="24"/>
                <w:highlight w:val="none"/>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vAlign w:val="center"/>
          </w:tcPr>
          <w:p w14:paraId="7A4BB65E">
            <w:pPr>
              <w:jc w:val="center"/>
              <w:rPr>
                <w:rFonts w:hint="eastAsia"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1508F16C">
            <w:pPr>
              <w:jc w:val="center"/>
              <w:rPr>
                <w:rFonts w:hint="eastAsia" w:ascii="宋体" w:hAnsi="宋体" w:eastAsia="宋体"/>
                <w:color w:val="auto"/>
                <w:sz w:val="24"/>
                <w:highlight w:val="none"/>
              </w:rPr>
            </w:pPr>
          </w:p>
        </w:tc>
        <w:tc>
          <w:tcPr>
            <w:tcW w:w="796" w:type="pct"/>
            <w:vAlign w:val="center"/>
          </w:tcPr>
          <w:p w14:paraId="2DA9BCCD">
            <w:pPr>
              <w:jc w:val="center"/>
              <w:rPr>
                <w:rFonts w:hint="eastAsia" w:ascii="宋体" w:hAnsi="宋体" w:eastAsia="宋体"/>
                <w:color w:val="auto"/>
                <w:sz w:val="24"/>
                <w:highlight w:val="none"/>
              </w:rPr>
            </w:pPr>
          </w:p>
        </w:tc>
        <w:tc>
          <w:tcPr>
            <w:tcW w:w="996" w:type="pct"/>
            <w:vAlign w:val="center"/>
          </w:tcPr>
          <w:p w14:paraId="3AC80858">
            <w:pPr>
              <w:jc w:val="center"/>
              <w:rPr>
                <w:rFonts w:hint="eastAsia" w:ascii="宋体" w:hAnsi="宋体" w:eastAsia="宋体"/>
                <w:color w:val="auto"/>
                <w:sz w:val="24"/>
                <w:highlight w:val="none"/>
              </w:rPr>
            </w:pPr>
          </w:p>
        </w:tc>
        <w:tc>
          <w:tcPr>
            <w:tcW w:w="919" w:type="pct"/>
            <w:vAlign w:val="center"/>
          </w:tcPr>
          <w:p w14:paraId="7CCB6ABB">
            <w:pPr>
              <w:jc w:val="center"/>
              <w:rPr>
                <w:rFonts w:hint="eastAsia" w:ascii="宋体" w:hAnsi="宋体" w:eastAsia="宋体"/>
                <w:color w:val="auto"/>
                <w:sz w:val="24"/>
                <w:highlight w:val="none"/>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4080" w:type="pct"/>
            <w:gridSpan w:val="4"/>
            <w:vAlign w:val="center"/>
          </w:tcPr>
          <w:p w14:paraId="6FBEAEBD">
            <w:pPr>
              <w:jc w:val="center"/>
              <w:rPr>
                <w:rFonts w:hint="eastAsia"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vAlign w:val="center"/>
          </w:tcPr>
          <w:p w14:paraId="5005406A">
            <w:pPr>
              <w:jc w:val="center"/>
              <w:rPr>
                <w:rFonts w:hint="eastAsia" w:ascii="宋体" w:hAnsi="宋体" w:eastAsia="宋体"/>
                <w:color w:val="auto"/>
                <w:sz w:val="24"/>
                <w:highlight w:val="none"/>
              </w:rPr>
            </w:pPr>
          </w:p>
        </w:tc>
      </w:tr>
    </w:tbl>
    <w:p w14:paraId="6AD76037">
      <w:pPr>
        <w:spacing w:line="360" w:lineRule="auto"/>
        <w:ind w:firstLine="435"/>
        <w:jc w:val="right"/>
        <w:rPr>
          <w:rFonts w:hint="eastAsia" w:ascii="宋体" w:hAnsi="宋体" w:eastAsia="宋体"/>
          <w:b/>
          <w:bCs/>
          <w:color w:val="auto"/>
          <w:highlight w:val="none"/>
        </w:rPr>
      </w:pPr>
      <w:r>
        <w:rPr>
          <w:rFonts w:hint="eastAsia" w:ascii="宋体" w:hAnsi="宋体" w:eastAsia="宋体"/>
          <w:bCs/>
          <w:color w:val="auto"/>
          <w:sz w:val="24"/>
          <w:szCs w:val="28"/>
          <w:highlight w:val="none"/>
          <w:u w:val="single"/>
        </w:rPr>
        <w:t xml:space="preserve">       </w:t>
      </w:r>
    </w:p>
    <w:p w14:paraId="7C354805">
      <w:pPr>
        <w:pStyle w:val="49"/>
        <w:rPr>
          <w:rFonts w:hint="eastAsia" w:ascii="宋体" w:hAnsi="宋体"/>
          <w:b/>
          <w:bCs/>
          <w:color w:val="auto"/>
          <w:highlight w:val="none"/>
        </w:rPr>
      </w:pPr>
      <w:r>
        <w:rPr>
          <w:rFonts w:hint="eastAsia" w:ascii="宋体" w:hAnsi="宋体"/>
          <w:b/>
          <w:bCs/>
          <w:color w:val="auto"/>
          <w:highlight w:val="none"/>
        </w:rPr>
        <w:t>5-3 符合本国产品标准的产品成本之和占比</w:t>
      </w:r>
    </w:p>
    <w:tbl>
      <w:tblPr>
        <w:tblStyle w:val="24"/>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8"/>
        <w:gridCol w:w="1766"/>
      </w:tblGrid>
      <w:tr w14:paraId="73E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1" w:hRule="atLeast"/>
        </w:trPr>
        <w:tc>
          <w:tcPr>
            <w:tcW w:w="7588" w:type="dxa"/>
          </w:tcPr>
          <w:p w14:paraId="4DECA2F7">
            <w:pPr>
              <w:spacing w:line="400" w:lineRule="exact"/>
              <w:rPr>
                <w:rFonts w:hint="eastAsia" w:ascii="宋体" w:hAnsi="宋体" w:eastAsia="宋体"/>
                <w:b/>
                <w:bCs/>
                <w:color w:val="auto"/>
                <w:szCs w:val="21"/>
                <w:highlight w:val="none"/>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766" w:type="dxa"/>
          </w:tcPr>
          <w:p w14:paraId="6345AD47">
            <w:pPr>
              <w:spacing w:line="400" w:lineRule="exact"/>
              <w:rPr>
                <w:rFonts w:hint="eastAsia" w:ascii="宋体" w:hAnsi="宋体" w:eastAsia="宋体" w:cs="宋体"/>
                <w:color w:val="auto"/>
                <w:sz w:val="24"/>
                <w:szCs w:val="24"/>
                <w:highlight w:val="none"/>
                <w:u w:val="single"/>
              </w:rPr>
            </w:pPr>
          </w:p>
          <w:p w14:paraId="218CB0CA">
            <w:pPr>
              <w:spacing w:line="400" w:lineRule="exact"/>
              <w:rPr>
                <w:rFonts w:hint="eastAsia" w:ascii="宋体" w:hAnsi="宋体" w:eastAsia="宋体"/>
                <w:b/>
                <w:bCs/>
                <w:color w:val="auto"/>
                <w:szCs w:val="21"/>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Times New Roman"/>
                <w:bCs/>
                <w:color w:val="auto"/>
                <w:szCs w:val="24"/>
                <w:highlight w:val="none"/>
              </w:rPr>
              <w:t>%</w:t>
            </w:r>
          </w:p>
        </w:tc>
      </w:tr>
      <w:tr w14:paraId="3752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9354" w:type="dxa"/>
            <w:gridSpan w:val="2"/>
          </w:tcPr>
          <w:p w14:paraId="6902F005">
            <w:pPr>
              <w:tabs>
                <w:tab w:val="left" w:pos="4620"/>
              </w:tabs>
              <w:spacing w:line="380" w:lineRule="exact"/>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t>提醒：</w:t>
            </w:r>
          </w:p>
          <w:p w14:paraId="4211CC09">
            <w:pPr>
              <w:tabs>
                <w:tab w:val="left" w:pos="4620"/>
              </w:tabs>
              <w:spacing w:line="380" w:lineRule="exact"/>
              <w:jc w:val="left"/>
              <w:rPr>
                <w:rFonts w:hint="eastAsia" w:ascii="宋体" w:hAnsi="宋体" w:eastAsia="宋体" w:cs="Times New Roman"/>
                <w:bCs/>
                <w:color w:val="auto"/>
                <w:szCs w:val="24"/>
                <w:highlight w:val="none"/>
              </w:rPr>
            </w:pPr>
            <w:r>
              <w:rPr>
                <w:rFonts w:hint="eastAsia" w:ascii="宋体" w:hAnsi="宋体" w:eastAsia="宋体" w:cs="Times New Roman"/>
                <w:bCs/>
                <w:color w:val="auto"/>
                <w:szCs w:val="24"/>
                <w:highlight w:val="none"/>
              </w:rPr>
              <w:t>1.投标人为该采购项目或者采购包提供的符合本国产品标准的产品成本之和占该投标人提供的全部产品成本之和的比例达到80%以上时，对该投标人提供的全部产品给予价格评审优惠。</w:t>
            </w:r>
          </w:p>
          <w:p w14:paraId="22252D7C">
            <w:pPr>
              <w:spacing w:line="380" w:lineRule="exact"/>
              <w:rPr>
                <w:rFonts w:hint="eastAsia" w:ascii="宋体" w:hAnsi="宋体" w:eastAsia="宋体" w:cs="Times New Roman"/>
                <w:bCs/>
                <w:color w:val="auto"/>
                <w:szCs w:val="24"/>
                <w:highlight w:val="none"/>
              </w:rPr>
            </w:pPr>
            <w:r>
              <w:rPr>
                <w:rFonts w:hint="eastAsia" w:ascii="宋体" w:hAnsi="宋体" w:eastAsia="宋体" w:cs="Times New Roman"/>
                <w:bCs/>
                <w:color w:val="auto"/>
                <w:szCs w:val="24"/>
                <w:highlight w:val="none"/>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12230B6B">
            <w:pPr>
              <w:spacing w:line="380" w:lineRule="exact"/>
              <w:rPr>
                <w:rFonts w:hint="eastAsia" w:ascii="宋体" w:hAnsi="宋体" w:eastAsia="宋体" w:cs="Times New Roman"/>
                <w:bCs/>
                <w:color w:val="auto"/>
                <w:szCs w:val="24"/>
                <w:highlight w:val="none"/>
              </w:rPr>
            </w:pPr>
            <w:r>
              <w:rPr>
                <w:rFonts w:hint="eastAsia" w:ascii="宋体" w:hAnsi="宋体" w:eastAsia="宋体" w:cs="Times New Roman"/>
                <w:bCs/>
                <w:color w:val="auto"/>
                <w:szCs w:val="24"/>
                <w:highlight w:val="none"/>
              </w:rPr>
              <w:t>3.</w:t>
            </w:r>
            <w:r>
              <w:rPr>
                <w:rFonts w:hint="eastAsia" w:ascii="宋体" w:hAnsi="宋体" w:eastAsia="宋体" w:cs="宋体"/>
                <w:bCs/>
                <w:color w:val="auto"/>
                <w:szCs w:val="21"/>
                <w:highlight w:val="none"/>
                <w:lang w:bidi="ar"/>
              </w:rPr>
              <w:t>上表中全部产品成本之和是指表5-1和表5-2包含的全部货物、服务产品成本之和。</w:t>
            </w:r>
          </w:p>
        </w:tc>
      </w:tr>
    </w:tbl>
    <w:p w14:paraId="725986D4">
      <w:pPr>
        <w:spacing w:line="360" w:lineRule="auto"/>
        <w:ind w:firstLine="4800" w:firstLineChars="2000"/>
        <w:jc w:val="center"/>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hint="eastAsia"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90C4559">
      <w:pPr>
        <w:spacing w:line="360" w:lineRule="auto"/>
        <w:rPr>
          <w:rFonts w:hint="eastAsia" w:ascii="宋体" w:hAnsi="宋体" w:eastAsia="宋体"/>
          <w:b/>
          <w:bCs/>
          <w:color w:val="auto"/>
          <w:szCs w:val="21"/>
          <w:highlight w:val="none"/>
        </w:rPr>
      </w:pPr>
      <w:r>
        <w:rPr>
          <w:rFonts w:hint="eastAsia" w:ascii="宋体" w:hAnsi="宋体" w:eastAsia="宋体"/>
          <w:b/>
          <w:bCs/>
          <w:color w:val="auto"/>
          <w:szCs w:val="21"/>
          <w:highlight w:val="none"/>
        </w:rPr>
        <w:t>注：</w:t>
      </w:r>
    </w:p>
    <w:p w14:paraId="0FC5F10B">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1.表5-1中须明确列出所投产品的货物名称、品牌、型号规格、原产地及生产厂商，否则可能导致</w:t>
      </w:r>
      <w:r>
        <w:rPr>
          <w:rFonts w:hint="eastAsia" w:ascii="宋体" w:hAnsi="宋体" w:eastAsia="宋体"/>
          <w:b/>
          <w:bCs/>
          <w:color w:val="auto"/>
          <w:szCs w:val="21"/>
          <w:highlight w:val="none"/>
        </w:rPr>
        <w:t>投标无效。</w:t>
      </w:r>
    </w:p>
    <w:p w14:paraId="6F8C7329">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2.上述报价为投标人完成本项目内容的全部费用（总报价为表5-1和表5-2合计金额之和），如有漏项或缺项，自行承担全部责任。</w:t>
      </w:r>
    </w:p>
    <w:p w14:paraId="26856CEA">
      <w:pPr>
        <w:spacing w:line="360" w:lineRule="auto"/>
        <w:jc w:val="center"/>
        <w:outlineLvl w:val="1"/>
        <w:rPr>
          <w:rFonts w:hint="eastAsia" w:asciiTheme="minorEastAsia" w:hAnsiTheme="minorEastAsia" w:eastAsiaTheme="minorEastAsia"/>
          <w:b/>
          <w:color w:val="auto"/>
          <w:sz w:val="24"/>
          <w:highlight w:val="none"/>
        </w:rPr>
      </w:pPr>
      <w:bookmarkStart w:id="65" w:name="_Toc11940"/>
      <w:bookmarkStart w:id="66" w:name="_Toc20329"/>
      <w:r>
        <w:rPr>
          <w:rFonts w:hint="eastAsia" w:asciiTheme="minorEastAsia" w:hAnsiTheme="minorEastAsia" w:eastAsiaTheme="minorEastAsia"/>
          <w:b/>
          <w:color w:val="auto"/>
          <w:sz w:val="24"/>
          <w:highlight w:val="none"/>
        </w:rPr>
        <w:t>六、投标响应表</w:t>
      </w:r>
      <w:bookmarkEnd w:id="65"/>
      <w:bookmarkEnd w:id="66"/>
    </w:p>
    <w:p w14:paraId="49D3ABA1">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2"/>
        <w:gridCol w:w="2806"/>
        <w:gridCol w:w="883"/>
      </w:tblGrid>
      <w:tr w14:paraId="3248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DE5CA5C">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6E5D9937">
            <w:pPr>
              <w:pStyle w:val="11"/>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5D44F6BE">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11DE3AE5">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61A0A2A3">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E3C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39F8939">
            <w:pPr>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C1AF61C">
            <w:pPr>
              <w:jc w:val="center"/>
              <w:rPr>
                <w:rFonts w:hint="eastAsia"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9F9664D">
            <w:pPr>
              <w:jc w:val="center"/>
              <w:rPr>
                <w:rFonts w:hint="eastAsia" w:asciiTheme="minorEastAsia" w:hAnsiTheme="minorEastAsia" w:eastAsiaTheme="minorEastAsia"/>
                <w:color w:val="auto"/>
                <w:sz w:val="24"/>
                <w:highlight w:val="none"/>
              </w:rPr>
            </w:pPr>
          </w:p>
        </w:tc>
        <w:tc>
          <w:tcPr>
            <w:tcW w:w="1510" w:type="pct"/>
            <w:vAlign w:val="center"/>
          </w:tcPr>
          <w:p w14:paraId="6ED78673">
            <w:pPr>
              <w:jc w:val="center"/>
              <w:rPr>
                <w:rFonts w:hint="eastAsia" w:asciiTheme="minorEastAsia" w:hAnsiTheme="minorEastAsia" w:eastAsiaTheme="minorEastAsia"/>
                <w:color w:val="auto"/>
                <w:sz w:val="24"/>
                <w:highlight w:val="none"/>
              </w:rPr>
            </w:pPr>
          </w:p>
        </w:tc>
        <w:tc>
          <w:tcPr>
            <w:tcW w:w="475" w:type="pct"/>
            <w:vAlign w:val="center"/>
          </w:tcPr>
          <w:p w14:paraId="4090BFB7">
            <w:pPr>
              <w:jc w:val="center"/>
              <w:rPr>
                <w:rFonts w:hint="eastAsia" w:asciiTheme="minorEastAsia" w:hAnsiTheme="minorEastAsia" w:eastAsiaTheme="minorEastAsia"/>
                <w:color w:val="auto"/>
                <w:sz w:val="24"/>
                <w:highlight w:val="none"/>
              </w:rPr>
            </w:pPr>
          </w:p>
        </w:tc>
      </w:tr>
      <w:tr w14:paraId="68DA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3CFEE93">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380CFC8">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供货及安装地点</w:t>
            </w:r>
          </w:p>
        </w:tc>
        <w:tc>
          <w:tcPr>
            <w:tcW w:w="1465" w:type="pct"/>
            <w:vAlign w:val="center"/>
          </w:tcPr>
          <w:p w14:paraId="465346DC">
            <w:pPr>
              <w:jc w:val="center"/>
              <w:rPr>
                <w:rFonts w:hint="eastAsia" w:asciiTheme="minorEastAsia" w:hAnsiTheme="minorEastAsia" w:eastAsiaTheme="minorEastAsia"/>
                <w:color w:val="auto"/>
                <w:sz w:val="24"/>
                <w:highlight w:val="none"/>
              </w:rPr>
            </w:pPr>
          </w:p>
        </w:tc>
        <w:tc>
          <w:tcPr>
            <w:tcW w:w="1510" w:type="pct"/>
            <w:vAlign w:val="center"/>
          </w:tcPr>
          <w:p w14:paraId="3451F342">
            <w:pPr>
              <w:jc w:val="center"/>
              <w:rPr>
                <w:rFonts w:hint="eastAsia" w:asciiTheme="minorEastAsia" w:hAnsiTheme="minorEastAsia" w:eastAsiaTheme="minorEastAsia"/>
                <w:color w:val="auto"/>
                <w:sz w:val="24"/>
                <w:highlight w:val="none"/>
              </w:rPr>
            </w:pPr>
          </w:p>
        </w:tc>
        <w:tc>
          <w:tcPr>
            <w:tcW w:w="475" w:type="pct"/>
            <w:vAlign w:val="center"/>
          </w:tcPr>
          <w:p w14:paraId="4E06C111">
            <w:pPr>
              <w:jc w:val="center"/>
              <w:rPr>
                <w:rFonts w:hint="eastAsia" w:asciiTheme="minorEastAsia" w:hAnsiTheme="minorEastAsia" w:eastAsiaTheme="minorEastAsia"/>
                <w:color w:val="auto"/>
                <w:sz w:val="24"/>
                <w:highlight w:val="none"/>
              </w:rPr>
            </w:pPr>
          </w:p>
        </w:tc>
      </w:tr>
      <w:tr w14:paraId="6048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D160D98">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0BE4F9CA">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供货及安装期限</w:t>
            </w:r>
          </w:p>
        </w:tc>
        <w:tc>
          <w:tcPr>
            <w:tcW w:w="1465" w:type="pct"/>
            <w:vAlign w:val="center"/>
          </w:tcPr>
          <w:p w14:paraId="13DA4509">
            <w:pPr>
              <w:jc w:val="center"/>
              <w:rPr>
                <w:rFonts w:hint="eastAsia" w:asciiTheme="minorEastAsia" w:hAnsiTheme="minorEastAsia" w:eastAsiaTheme="minorEastAsia"/>
                <w:color w:val="auto"/>
                <w:sz w:val="24"/>
                <w:highlight w:val="none"/>
              </w:rPr>
            </w:pPr>
          </w:p>
        </w:tc>
        <w:tc>
          <w:tcPr>
            <w:tcW w:w="1510" w:type="pct"/>
            <w:vAlign w:val="center"/>
          </w:tcPr>
          <w:p w14:paraId="14884059">
            <w:pPr>
              <w:pStyle w:val="49"/>
              <w:jc w:val="center"/>
              <w:rPr>
                <w:rFonts w:hint="eastAsia" w:asciiTheme="minorEastAsia" w:hAnsiTheme="minorEastAsia" w:eastAsiaTheme="minorEastAsia"/>
                <w:color w:val="auto"/>
                <w:highlight w:val="none"/>
              </w:rPr>
            </w:pPr>
          </w:p>
        </w:tc>
        <w:tc>
          <w:tcPr>
            <w:tcW w:w="475" w:type="pct"/>
            <w:vAlign w:val="center"/>
          </w:tcPr>
          <w:p w14:paraId="637032A7">
            <w:pPr>
              <w:jc w:val="center"/>
              <w:rPr>
                <w:rFonts w:hint="eastAsia" w:asciiTheme="minorEastAsia" w:hAnsiTheme="minorEastAsia" w:eastAsiaTheme="minorEastAsia"/>
                <w:color w:val="auto"/>
                <w:sz w:val="24"/>
                <w:highlight w:val="none"/>
              </w:rPr>
            </w:pPr>
          </w:p>
        </w:tc>
      </w:tr>
      <w:tr w14:paraId="56C1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4F91037">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63516FEB">
            <w:pPr>
              <w:jc w:val="center"/>
              <w:rPr>
                <w:rFonts w:hint="eastAsia" w:ascii="宋体" w:hAnsi="宋体" w:eastAsia="宋体"/>
                <w:color w:val="auto"/>
                <w:sz w:val="24"/>
                <w:highlight w:val="none"/>
              </w:rPr>
            </w:pPr>
            <w:r>
              <w:rPr>
                <w:rFonts w:hint="eastAsia" w:ascii="宋体" w:hAnsi="宋体" w:eastAsia="宋体"/>
                <w:color w:val="auto"/>
                <w:sz w:val="24"/>
                <w:highlight w:val="none"/>
              </w:rPr>
              <w:t>免费质保期</w:t>
            </w:r>
          </w:p>
        </w:tc>
        <w:tc>
          <w:tcPr>
            <w:tcW w:w="1465" w:type="pct"/>
            <w:vAlign w:val="center"/>
          </w:tcPr>
          <w:p w14:paraId="7D93D9B8">
            <w:pPr>
              <w:jc w:val="center"/>
              <w:rPr>
                <w:rFonts w:hint="eastAsia" w:asciiTheme="minorEastAsia" w:hAnsiTheme="minorEastAsia" w:eastAsiaTheme="minorEastAsia"/>
                <w:color w:val="auto"/>
                <w:sz w:val="24"/>
                <w:highlight w:val="none"/>
              </w:rPr>
            </w:pPr>
          </w:p>
        </w:tc>
        <w:tc>
          <w:tcPr>
            <w:tcW w:w="1510" w:type="pct"/>
            <w:vAlign w:val="center"/>
          </w:tcPr>
          <w:p w14:paraId="0E421BCA">
            <w:pPr>
              <w:jc w:val="center"/>
              <w:rPr>
                <w:rFonts w:hint="eastAsia" w:asciiTheme="minorEastAsia" w:hAnsiTheme="minorEastAsia" w:eastAsiaTheme="minorEastAsia"/>
                <w:color w:val="auto"/>
                <w:sz w:val="24"/>
                <w:highlight w:val="none"/>
              </w:rPr>
            </w:pPr>
          </w:p>
        </w:tc>
        <w:tc>
          <w:tcPr>
            <w:tcW w:w="475" w:type="pct"/>
            <w:vAlign w:val="center"/>
          </w:tcPr>
          <w:p w14:paraId="369EF4EE">
            <w:pPr>
              <w:jc w:val="center"/>
              <w:rPr>
                <w:rFonts w:hint="eastAsia" w:asciiTheme="minorEastAsia" w:hAnsiTheme="minorEastAsia" w:eastAsiaTheme="minorEastAsia"/>
                <w:color w:val="auto"/>
                <w:sz w:val="24"/>
                <w:highlight w:val="none"/>
              </w:rPr>
            </w:pPr>
          </w:p>
        </w:tc>
      </w:tr>
      <w:tr w14:paraId="66F5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DC8EB4">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71929B76">
            <w:pPr>
              <w:jc w:val="center"/>
              <w:rPr>
                <w:rFonts w:hint="eastAsia" w:ascii="宋体" w:hAnsi="宋体" w:eastAsia="宋体"/>
                <w:color w:val="auto"/>
                <w:sz w:val="24"/>
                <w:highlight w:val="none"/>
              </w:rPr>
            </w:pPr>
          </w:p>
        </w:tc>
        <w:tc>
          <w:tcPr>
            <w:tcW w:w="1465" w:type="pct"/>
            <w:vAlign w:val="center"/>
          </w:tcPr>
          <w:p w14:paraId="05607E67">
            <w:pPr>
              <w:jc w:val="center"/>
              <w:rPr>
                <w:rFonts w:hint="eastAsia" w:asciiTheme="minorEastAsia" w:hAnsiTheme="minorEastAsia" w:eastAsiaTheme="minorEastAsia"/>
                <w:color w:val="auto"/>
                <w:sz w:val="24"/>
                <w:highlight w:val="none"/>
              </w:rPr>
            </w:pPr>
          </w:p>
        </w:tc>
        <w:tc>
          <w:tcPr>
            <w:tcW w:w="1510" w:type="pct"/>
            <w:vAlign w:val="center"/>
          </w:tcPr>
          <w:p w14:paraId="33130A6B">
            <w:pPr>
              <w:jc w:val="center"/>
              <w:rPr>
                <w:rFonts w:hint="eastAsia" w:asciiTheme="minorEastAsia" w:hAnsiTheme="minorEastAsia" w:eastAsiaTheme="minorEastAsia"/>
                <w:color w:val="auto"/>
                <w:sz w:val="24"/>
                <w:highlight w:val="none"/>
              </w:rPr>
            </w:pPr>
          </w:p>
        </w:tc>
        <w:tc>
          <w:tcPr>
            <w:tcW w:w="475" w:type="pct"/>
            <w:vAlign w:val="center"/>
          </w:tcPr>
          <w:p w14:paraId="22AC22C6">
            <w:pPr>
              <w:jc w:val="center"/>
              <w:rPr>
                <w:rFonts w:hint="eastAsia" w:asciiTheme="minorEastAsia" w:hAnsiTheme="minorEastAsia" w:eastAsiaTheme="minorEastAsia"/>
                <w:color w:val="auto"/>
                <w:sz w:val="24"/>
                <w:highlight w:val="none"/>
              </w:rPr>
            </w:pPr>
          </w:p>
        </w:tc>
      </w:tr>
    </w:tbl>
    <w:p w14:paraId="2FC26D16">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00"/>
        <w:gridCol w:w="3121"/>
        <w:gridCol w:w="2705"/>
        <w:gridCol w:w="933"/>
      </w:tblGrid>
      <w:tr w14:paraId="40FC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0AF40FB">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2D699A9B">
            <w:pPr>
              <w:pStyle w:val="11"/>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2EA62662">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1456" w:type="pct"/>
            <w:vAlign w:val="center"/>
          </w:tcPr>
          <w:p w14:paraId="2D27B6D9">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776F5A45">
            <w:pPr>
              <w:pStyle w:val="1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0E2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55C58FF">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63B3DBD6">
            <w:pPr>
              <w:jc w:val="center"/>
              <w:rPr>
                <w:rFonts w:hint="eastAsia" w:asciiTheme="minorEastAsia" w:hAnsiTheme="minorEastAsia" w:eastAsiaTheme="minorEastAsia"/>
                <w:color w:val="auto"/>
                <w:sz w:val="24"/>
                <w:highlight w:val="none"/>
              </w:rPr>
            </w:pPr>
          </w:p>
        </w:tc>
        <w:tc>
          <w:tcPr>
            <w:tcW w:w="1680" w:type="pct"/>
            <w:vAlign w:val="center"/>
          </w:tcPr>
          <w:p w14:paraId="11B61ECE">
            <w:pPr>
              <w:jc w:val="center"/>
              <w:rPr>
                <w:rFonts w:hint="eastAsia" w:asciiTheme="minorEastAsia" w:hAnsiTheme="minorEastAsia" w:eastAsiaTheme="minorEastAsia"/>
                <w:color w:val="auto"/>
                <w:sz w:val="24"/>
                <w:highlight w:val="none"/>
              </w:rPr>
            </w:pPr>
          </w:p>
        </w:tc>
        <w:tc>
          <w:tcPr>
            <w:tcW w:w="1456" w:type="pct"/>
            <w:vAlign w:val="center"/>
          </w:tcPr>
          <w:p w14:paraId="2A81A73A">
            <w:pPr>
              <w:jc w:val="center"/>
              <w:rPr>
                <w:rFonts w:hint="eastAsia" w:asciiTheme="minorEastAsia" w:hAnsiTheme="minorEastAsia" w:eastAsiaTheme="minorEastAsia"/>
                <w:color w:val="auto"/>
                <w:sz w:val="24"/>
                <w:highlight w:val="none"/>
              </w:rPr>
            </w:pPr>
          </w:p>
        </w:tc>
        <w:tc>
          <w:tcPr>
            <w:tcW w:w="502" w:type="pct"/>
            <w:vAlign w:val="center"/>
          </w:tcPr>
          <w:p w14:paraId="62BD3450">
            <w:pPr>
              <w:jc w:val="center"/>
              <w:rPr>
                <w:rFonts w:hint="eastAsia" w:asciiTheme="minorEastAsia" w:hAnsiTheme="minorEastAsia" w:eastAsiaTheme="minorEastAsia"/>
                <w:color w:val="auto"/>
                <w:sz w:val="24"/>
                <w:highlight w:val="none"/>
              </w:rPr>
            </w:pPr>
          </w:p>
        </w:tc>
      </w:tr>
      <w:tr w14:paraId="7379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3A8AF829">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29AD169B">
            <w:pPr>
              <w:jc w:val="center"/>
              <w:rPr>
                <w:rFonts w:hint="eastAsia" w:asciiTheme="minorEastAsia" w:hAnsiTheme="minorEastAsia" w:eastAsiaTheme="minorEastAsia"/>
                <w:color w:val="auto"/>
                <w:sz w:val="24"/>
                <w:highlight w:val="none"/>
              </w:rPr>
            </w:pPr>
          </w:p>
        </w:tc>
        <w:tc>
          <w:tcPr>
            <w:tcW w:w="1680" w:type="pct"/>
            <w:vAlign w:val="center"/>
          </w:tcPr>
          <w:p w14:paraId="2DED9E84">
            <w:pPr>
              <w:jc w:val="center"/>
              <w:rPr>
                <w:rFonts w:hint="eastAsia" w:asciiTheme="minorEastAsia" w:hAnsiTheme="minorEastAsia" w:eastAsiaTheme="minorEastAsia"/>
                <w:color w:val="auto"/>
                <w:sz w:val="24"/>
                <w:highlight w:val="none"/>
              </w:rPr>
            </w:pPr>
          </w:p>
        </w:tc>
        <w:tc>
          <w:tcPr>
            <w:tcW w:w="1456" w:type="pct"/>
            <w:vAlign w:val="center"/>
          </w:tcPr>
          <w:p w14:paraId="411F3E68">
            <w:pPr>
              <w:jc w:val="center"/>
              <w:rPr>
                <w:rFonts w:hint="eastAsia" w:asciiTheme="minorEastAsia" w:hAnsiTheme="minorEastAsia" w:eastAsiaTheme="minorEastAsia"/>
                <w:color w:val="auto"/>
                <w:sz w:val="24"/>
                <w:highlight w:val="none"/>
              </w:rPr>
            </w:pPr>
          </w:p>
        </w:tc>
        <w:tc>
          <w:tcPr>
            <w:tcW w:w="502" w:type="pct"/>
            <w:vAlign w:val="center"/>
          </w:tcPr>
          <w:p w14:paraId="23169102">
            <w:pPr>
              <w:jc w:val="center"/>
              <w:rPr>
                <w:rFonts w:hint="eastAsia" w:asciiTheme="minorEastAsia" w:hAnsiTheme="minorEastAsia" w:eastAsiaTheme="minorEastAsia"/>
                <w:color w:val="auto"/>
                <w:sz w:val="24"/>
                <w:highlight w:val="none"/>
              </w:rPr>
            </w:pPr>
          </w:p>
        </w:tc>
      </w:tr>
      <w:tr w14:paraId="566E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5C3CBB0">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401040E0">
            <w:pPr>
              <w:jc w:val="center"/>
              <w:rPr>
                <w:rFonts w:hint="eastAsia" w:asciiTheme="minorEastAsia" w:hAnsiTheme="minorEastAsia" w:eastAsiaTheme="minorEastAsia"/>
                <w:color w:val="auto"/>
                <w:sz w:val="24"/>
                <w:highlight w:val="none"/>
              </w:rPr>
            </w:pPr>
          </w:p>
        </w:tc>
        <w:tc>
          <w:tcPr>
            <w:tcW w:w="1680" w:type="pct"/>
            <w:vAlign w:val="center"/>
          </w:tcPr>
          <w:p w14:paraId="410FA5A0">
            <w:pPr>
              <w:jc w:val="center"/>
              <w:rPr>
                <w:rFonts w:hint="eastAsia" w:asciiTheme="minorEastAsia" w:hAnsiTheme="minorEastAsia" w:eastAsiaTheme="minorEastAsia"/>
                <w:color w:val="auto"/>
                <w:sz w:val="24"/>
                <w:highlight w:val="none"/>
              </w:rPr>
            </w:pPr>
          </w:p>
        </w:tc>
        <w:tc>
          <w:tcPr>
            <w:tcW w:w="1456" w:type="pct"/>
            <w:vAlign w:val="center"/>
          </w:tcPr>
          <w:p w14:paraId="79158BE1">
            <w:pPr>
              <w:pStyle w:val="49"/>
              <w:jc w:val="center"/>
              <w:rPr>
                <w:rFonts w:hint="eastAsia" w:asciiTheme="minorEastAsia" w:hAnsiTheme="minorEastAsia" w:eastAsiaTheme="minorEastAsia"/>
                <w:color w:val="auto"/>
                <w:highlight w:val="none"/>
              </w:rPr>
            </w:pPr>
          </w:p>
        </w:tc>
        <w:tc>
          <w:tcPr>
            <w:tcW w:w="502" w:type="pct"/>
            <w:vAlign w:val="center"/>
          </w:tcPr>
          <w:p w14:paraId="51CD182D">
            <w:pPr>
              <w:jc w:val="center"/>
              <w:rPr>
                <w:rFonts w:hint="eastAsia" w:asciiTheme="minorEastAsia" w:hAnsiTheme="minorEastAsia" w:eastAsiaTheme="minorEastAsia"/>
                <w:color w:val="auto"/>
                <w:sz w:val="24"/>
                <w:highlight w:val="none"/>
              </w:rPr>
            </w:pPr>
          </w:p>
        </w:tc>
      </w:tr>
      <w:tr w14:paraId="5E61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2740B3D">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0ECA98CD">
            <w:pPr>
              <w:jc w:val="center"/>
              <w:rPr>
                <w:rFonts w:hint="eastAsia" w:asciiTheme="minorEastAsia" w:hAnsiTheme="minorEastAsia" w:eastAsiaTheme="minorEastAsia"/>
                <w:color w:val="auto"/>
                <w:sz w:val="24"/>
                <w:highlight w:val="none"/>
              </w:rPr>
            </w:pPr>
          </w:p>
        </w:tc>
        <w:tc>
          <w:tcPr>
            <w:tcW w:w="1680" w:type="pct"/>
            <w:vAlign w:val="center"/>
          </w:tcPr>
          <w:p w14:paraId="4235117A">
            <w:pPr>
              <w:jc w:val="center"/>
              <w:rPr>
                <w:rFonts w:hint="eastAsia" w:asciiTheme="minorEastAsia" w:hAnsiTheme="minorEastAsia" w:eastAsiaTheme="minorEastAsia"/>
                <w:color w:val="auto"/>
                <w:sz w:val="24"/>
                <w:highlight w:val="none"/>
              </w:rPr>
            </w:pPr>
          </w:p>
        </w:tc>
        <w:tc>
          <w:tcPr>
            <w:tcW w:w="1456" w:type="pct"/>
            <w:vAlign w:val="center"/>
          </w:tcPr>
          <w:p w14:paraId="5A9E69F4">
            <w:pPr>
              <w:pStyle w:val="49"/>
              <w:jc w:val="center"/>
              <w:rPr>
                <w:rFonts w:hint="eastAsia" w:asciiTheme="minorEastAsia" w:hAnsiTheme="minorEastAsia" w:eastAsiaTheme="minorEastAsia"/>
                <w:color w:val="auto"/>
                <w:highlight w:val="none"/>
              </w:rPr>
            </w:pPr>
          </w:p>
        </w:tc>
        <w:tc>
          <w:tcPr>
            <w:tcW w:w="502" w:type="pct"/>
            <w:vAlign w:val="center"/>
          </w:tcPr>
          <w:p w14:paraId="62CE2BB3">
            <w:pPr>
              <w:jc w:val="center"/>
              <w:rPr>
                <w:rFonts w:hint="eastAsia" w:asciiTheme="minorEastAsia" w:hAnsiTheme="minorEastAsia" w:eastAsiaTheme="minorEastAsia"/>
                <w:color w:val="auto"/>
                <w:sz w:val="24"/>
                <w:highlight w:val="none"/>
              </w:rPr>
            </w:pPr>
          </w:p>
        </w:tc>
      </w:tr>
      <w:tr w14:paraId="23AF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78674A8">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1AEF0F50">
            <w:pPr>
              <w:jc w:val="center"/>
              <w:rPr>
                <w:rFonts w:hint="eastAsia" w:asciiTheme="minorEastAsia" w:hAnsiTheme="minorEastAsia" w:eastAsiaTheme="minorEastAsia"/>
                <w:color w:val="auto"/>
                <w:sz w:val="24"/>
                <w:highlight w:val="none"/>
              </w:rPr>
            </w:pPr>
          </w:p>
        </w:tc>
        <w:tc>
          <w:tcPr>
            <w:tcW w:w="1680" w:type="pct"/>
            <w:vAlign w:val="center"/>
          </w:tcPr>
          <w:p w14:paraId="6E85071B">
            <w:pPr>
              <w:jc w:val="center"/>
              <w:rPr>
                <w:rFonts w:hint="eastAsia" w:asciiTheme="minorEastAsia" w:hAnsiTheme="minorEastAsia" w:eastAsiaTheme="minorEastAsia"/>
                <w:color w:val="auto"/>
                <w:sz w:val="24"/>
                <w:highlight w:val="none"/>
              </w:rPr>
            </w:pPr>
          </w:p>
        </w:tc>
        <w:tc>
          <w:tcPr>
            <w:tcW w:w="1456" w:type="pct"/>
            <w:vAlign w:val="center"/>
          </w:tcPr>
          <w:p w14:paraId="2F6648C5">
            <w:pPr>
              <w:jc w:val="center"/>
              <w:rPr>
                <w:rFonts w:hint="eastAsia" w:asciiTheme="minorEastAsia" w:hAnsiTheme="minorEastAsia" w:eastAsiaTheme="minorEastAsia"/>
                <w:color w:val="auto"/>
                <w:sz w:val="24"/>
                <w:highlight w:val="none"/>
              </w:rPr>
            </w:pPr>
          </w:p>
        </w:tc>
        <w:tc>
          <w:tcPr>
            <w:tcW w:w="502" w:type="pct"/>
            <w:vAlign w:val="center"/>
          </w:tcPr>
          <w:p w14:paraId="22E3CC90">
            <w:pPr>
              <w:jc w:val="center"/>
              <w:rPr>
                <w:rFonts w:hint="eastAsia" w:asciiTheme="minorEastAsia" w:hAnsiTheme="minorEastAsia" w:eastAsiaTheme="minorEastAsia"/>
                <w:color w:val="auto"/>
                <w:sz w:val="24"/>
                <w:highlight w:val="none"/>
              </w:rPr>
            </w:pPr>
          </w:p>
        </w:tc>
      </w:tr>
    </w:tbl>
    <w:p w14:paraId="25FDEC34">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4A6B6792">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80D7F4F">
      <w:pPr>
        <w:pStyle w:val="12"/>
        <w:spacing w:line="360" w:lineRule="auto"/>
        <w:rPr>
          <w:rFonts w:hint="eastAsia"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06F065E8">
      <w:pPr>
        <w:spacing w:line="360" w:lineRule="auto"/>
        <w:ind w:firstLine="435"/>
        <w:jc w:val="center"/>
        <w:rPr>
          <w:rFonts w:hint="eastAsia" w:asciiTheme="minorEastAsia" w:hAnsiTheme="minorEastAsia" w:eastAsiaTheme="minorEastAsia"/>
          <w:b/>
          <w:color w:val="auto"/>
          <w:sz w:val="24"/>
          <w:highlight w:val="none"/>
        </w:rPr>
      </w:pPr>
      <w:bookmarkStart w:id="67" w:name="_Toc11380"/>
      <w:r>
        <w:rPr>
          <w:rFonts w:hint="eastAsia" w:asciiTheme="minorEastAsia" w:hAnsiTheme="minorEastAsia" w:eastAsiaTheme="minorEastAsia"/>
          <w:b/>
          <w:color w:val="auto"/>
          <w:sz w:val="24"/>
          <w:highlight w:val="none"/>
        </w:rPr>
        <w:t>七、</w:t>
      </w:r>
      <w:bookmarkEnd w:id="67"/>
      <w:bookmarkStart w:id="68" w:name="_Toc9573"/>
      <w:bookmarkStart w:id="69" w:name="_Toc31244"/>
      <w:bookmarkStart w:id="70" w:name="OLE_LINK14"/>
      <w:bookmarkStart w:id="71" w:name="OLE_LINK13"/>
      <w:r>
        <w:rPr>
          <w:rFonts w:hint="eastAsia" w:asciiTheme="minorEastAsia" w:hAnsiTheme="minorEastAsia" w:eastAsiaTheme="minorEastAsia"/>
          <w:b/>
          <w:color w:val="auto"/>
          <w:sz w:val="24"/>
          <w:highlight w:val="none"/>
        </w:rPr>
        <w:t>中小企业声明函</w:t>
      </w:r>
      <w:bookmarkEnd w:id="68"/>
      <w:bookmarkEnd w:id="69"/>
    </w:p>
    <w:p w14:paraId="745ACDA4">
      <w:pPr>
        <w:pStyle w:val="8"/>
        <w:spacing w:line="360" w:lineRule="auto"/>
        <w:jc w:val="center"/>
        <w:rPr>
          <w:rFonts w:hint="eastAsia" w:ascii="宋体" w:hAnsi="宋体" w:eastAsia="宋体"/>
          <w:i/>
          <w:color w:val="auto"/>
          <w:sz w:val="24"/>
          <w:highlight w:val="none"/>
          <w:lang w:val="en-US"/>
        </w:rPr>
      </w:pPr>
      <w:r>
        <w:rPr>
          <w:rFonts w:hint="eastAsia" w:ascii="宋体" w:hAnsi="宋体" w:eastAsia="宋体"/>
          <w:i/>
          <w:color w:val="auto"/>
          <w:sz w:val="24"/>
          <w:highlight w:val="none"/>
          <w:lang w:val="en-US"/>
        </w:rPr>
        <w:t>（</w:t>
      </w:r>
      <w:r>
        <w:rPr>
          <w:rFonts w:hint="eastAsia" w:ascii="宋体" w:hAnsi="宋体" w:eastAsia="宋体"/>
          <w:i/>
          <w:color w:val="auto"/>
          <w:sz w:val="24"/>
          <w:highlight w:val="none"/>
        </w:rPr>
        <w:t>非中小企业投标</w:t>
      </w:r>
      <w:r>
        <w:rPr>
          <w:rFonts w:hint="eastAsia" w:ascii="宋体" w:hAnsi="宋体" w:eastAsia="宋体"/>
          <w:i/>
          <w:color w:val="auto"/>
          <w:sz w:val="24"/>
          <w:highlight w:val="none"/>
          <w:lang w:val="en-US"/>
        </w:rPr>
        <w:t>，不需此件，请删去“中小企业声明函”）</w:t>
      </w:r>
    </w:p>
    <w:p w14:paraId="7313C946">
      <w:pPr>
        <w:rPr>
          <w:rFonts w:hint="eastAsia" w:asciiTheme="minorEastAsia" w:hAnsiTheme="minorEastAsia" w:eastAsiaTheme="minorEastAsia"/>
          <w:color w:val="auto"/>
          <w:sz w:val="24"/>
          <w:szCs w:val="24"/>
          <w:highlight w:val="none"/>
        </w:rPr>
      </w:pPr>
    </w:p>
    <w:p w14:paraId="1FAB130D">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16ADC880">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3DB835B6">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959F9A2">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D550789">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43B63DEA">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9DFE9DA">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20145CC">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6CAD3A32">
      <w:pPr>
        <w:tabs>
          <w:tab w:val="left" w:pos="4620"/>
        </w:tabs>
        <w:spacing w:line="360" w:lineRule="auto"/>
        <w:jc w:val="left"/>
        <w:rPr>
          <w:rFonts w:hint="eastAsia" w:asciiTheme="minorEastAsia" w:hAnsiTheme="minorEastAsia" w:eastAsiaTheme="minorEastAsia"/>
          <w:color w:val="auto"/>
          <w:sz w:val="24"/>
          <w:szCs w:val="24"/>
          <w:highlight w:val="none"/>
        </w:rPr>
      </w:pPr>
    </w:p>
    <w:p w14:paraId="263D840E">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注：</w:t>
      </w:r>
    </w:p>
    <w:p w14:paraId="38031744">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0109325">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6555554D">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8B10A9D">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7798627F">
      <w:pPr>
        <w:keepNext w:val="0"/>
        <w:keepLines w:val="0"/>
        <w:pageBreakBefore w:val="0"/>
        <w:widowControl w:val="0"/>
        <w:tabs>
          <w:tab w:val="left" w:pos="4620"/>
        </w:tabs>
        <w:kinsoku/>
        <w:wordWrap w:val="0"/>
        <w:overflowPunct/>
        <w:topLinePunct w:val="0"/>
        <w:autoSpaceDE/>
        <w:autoSpaceDN/>
        <w:bidi w:val="0"/>
        <w:adjustRightInd/>
        <w:snapToGrid/>
        <w:spacing w:line="36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bookmarkEnd w:id="70"/>
    <w:bookmarkEnd w:id="71"/>
    <w:p w14:paraId="052CBD7E">
      <w:pPr>
        <w:spacing w:line="360" w:lineRule="auto"/>
        <w:jc w:val="center"/>
        <w:outlineLvl w:val="1"/>
        <w:rPr>
          <w:rFonts w:hint="eastAsia" w:asciiTheme="minorEastAsia" w:hAnsiTheme="minorEastAsia" w:eastAsiaTheme="minorEastAsia"/>
          <w:b/>
          <w:color w:val="auto"/>
          <w:sz w:val="24"/>
          <w:highlight w:val="none"/>
        </w:rPr>
      </w:pPr>
      <w:bookmarkStart w:id="72" w:name="_Toc24563"/>
      <w:bookmarkStart w:id="73" w:name="_Toc16713"/>
      <w:r>
        <w:rPr>
          <w:rFonts w:hint="eastAsia" w:asciiTheme="minorEastAsia" w:hAnsiTheme="minorEastAsia" w:eastAsiaTheme="minorEastAsia"/>
          <w:b/>
          <w:color w:val="auto"/>
          <w:sz w:val="24"/>
          <w:highlight w:val="none"/>
        </w:rPr>
        <w:t>八、残疾人福利性单位声明函</w:t>
      </w:r>
      <w:bookmarkEnd w:id="72"/>
      <w:bookmarkEnd w:id="73"/>
    </w:p>
    <w:p w14:paraId="1BDECF44">
      <w:pPr>
        <w:pStyle w:val="8"/>
        <w:spacing w:line="360" w:lineRule="auto"/>
        <w:jc w:val="center"/>
        <w:rPr>
          <w:rFonts w:hint="eastAsia" w:ascii="宋体" w:hAnsi="宋体" w:eastAsia="宋体"/>
          <w:i/>
          <w:color w:val="auto"/>
          <w:sz w:val="24"/>
          <w:highlight w:val="none"/>
          <w:lang w:val="en-US"/>
        </w:rPr>
      </w:pPr>
      <w:r>
        <w:rPr>
          <w:rFonts w:hint="eastAsia" w:ascii="宋体" w:hAnsi="宋体" w:eastAsia="宋体"/>
          <w:i/>
          <w:color w:val="auto"/>
          <w:sz w:val="24"/>
          <w:highlight w:val="none"/>
          <w:lang w:val="en-US"/>
        </w:rPr>
        <w:t>（非残疾人福利性单位投标，请删去“残疾人福利性单位声明函”）</w:t>
      </w:r>
    </w:p>
    <w:p w14:paraId="78AE8357">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4BFFEB57">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6DF1435">
      <w:pPr>
        <w:spacing w:line="360" w:lineRule="auto"/>
        <w:ind w:firstLine="4228" w:firstLineChars="1762"/>
        <w:rPr>
          <w:rFonts w:hint="eastAsia" w:asciiTheme="minorEastAsia" w:hAnsiTheme="minorEastAsia" w:eastAsiaTheme="minorEastAsia"/>
          <w:color w:val="auto"/>
          <w:sz w:val="24"/>
          <w:szCs w:val="24"/>
          <w:highlight w:val="none"/>
        </w:rPr>
      </w:pPr>
    </w:p>
    <w:p w14:paraId="6F563A8F">
      <w:pPr>
        <w:spacing w:line="360" w:lineRule="auto"/>
        <w:ind w:firstLine="4228" w:firstLineChars="1762"/>
        <w:rPr>
          <w:rFonts w:hint="eastAsia" w:asciiTheme="minorEastAsia" w:hAnsiTheme="minorEastAsia" w:eastAsiaTheme="minorEastAsia"/>
          <w:color w:val="auto"/>
          <w:sz w:val="24"/>
          <w:szCs w:val="24"/>
          <w:highlight w:val="none"/>
        </w:rPr>
      </w:pPr>
    </w:p>
    <w:p w14:paraId="67EC27EE">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548ACF92">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2933CBC">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1FA9ECF">
      <w:pPr>
        <w:spacing w:line="360" w:lineRule="auto"/>
        <w:jc w:val="center"/>
        <w:outlineLvl w:val="1"/>
        <w:rPr>
          <w:rFonts w:hint="eastAsia" w:ascii="宋体" w:hAnsi="宋体" w:eastAsia="宋体"/>
          <w:b/>
          <w:color w:val="auto"/>
          <w:sz w:val="24"/>
          <w:highlight w:val="none"/>
        </w:rPr>
      </w:pPr>
      <w:bookmarkStart w:id="74" w:name="_Toc457768004"/>
      <w:bookmarkStart w:id="75" w:name="_Toc520299348"/>
      <w:bookmarkStart w:id="76" w:name="_Toc300210382"/>
      <w:bookmarkStart w:id="77" w:name="_Toc25813"/>
      <w:bookmarkStart w:id="78" w:name="_Toc26536"/>
      <w:bookmarkStart w:id="79" w:name="_Hlk11701496"/>
      <w:r>
        <w:rPr>
          <w:rFonts w:hint="eastAsia" w:asciiTheme="minorEastAsia" w:hAnsiTheme="minorEastAsia" w:eastAsiaTheme="minorEastAsia"/>
          <w:b/>
          <w:color w:val="auto"/>
          <w:sz w:val="24"/>
          <w:highlight w:val="none"/>
        </w:rPr>
        <w:t>九、</w:t>
      </w:r>
      <w:r>
        <w:rPr>
          <w:rFonts w:hint="eastAsia" w:ascii="宋体" w:hAnsi="宋体" w:eastAsia="宋体"/>
          <w:b/>
          <w:color w:val="auto"/>
          <w:sz w:val="24"/>
          <w:highlight w:val="none"/>
        </w:rPr>
        <w:t>关于符合本国产品标准的声明函</w:t>
      </w:r>
    </w:p>
    <w:p w14:paraId="6FA5E4E8">
      <w:pPr>
        <w:spacing w:line="360" w:lineRule="auto"/>
        <w:jc w:val="center"/>
        <w:rPr>
          <w:rFonts w:hint="eastAsia" w:ascii="宋体" w:hAnsi="宋体" w:eastAsia="宋体" w:cs="宋体"/>
          <w:color w:val="auto"/>
          <w:sz w:val="24"/>
          <w:szCs w:val="24"/>
          <w:highlight w:val="none"/>
          <w:shd w:val="clear" w:color="auto" w:fill="FFFFFF"/>
        </w:rPr>
      </w:pPr>
      <w:r>
        <w:rPr>
          <w:rFonts w:hint="eastAsia" w:ascii="宋体" w:hAnsi="宋体" w:eastAsia="宋体"/>
          <w:i/>
          <w:color w:val="auto"/>
          <w:sz w:val="24"/>
          <w:highlight w:val="none"/>
        </w:rPr>
        <w:t>（不符合本国产品扶持政策，不需此件）</w:t>
      </w:r>
    </w:p>
    <w:p w14:paraId="4F4970E2">
      <w:pPr>
        <w:pStyle w:val="19"/>
        <w:widowControl/>
        <w:spacing w:before="0" w:beforeAutospacing="0" w:after="0" w:afterAutospacing="0" w:line="400" w:lineRule="exact"/>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8C98507">
      <w:pPr>
        <w:pStyle w:val="19"/>
        <w:widowControl/>
        <w:spacing w:before="0" w:beforeAutospacing="0" w:after="0" w:afterAutospacing="0" w:line="400" w:lineRule="exact"/>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8"/>
          <w:rFonts w:hint="eastAsia" w:ascii="宋体" w:hAnsi="宋体" w:eastAsia="宋体" w:cs="宋体"/>
          <w:color w:val="auto"/>
          <w:szCs w:val="24"/>
          <w:highlight w:val="none"/>
          <w:u w:val="single"/>
          <w:shd w:val="clear" w:color="auto" w:fill="FFFFFF"/>
        </w:rPr>
        <w:t>（产品名称1）</w:t>
      </w:r>
      <w:r>
        <w:rPr>
          <w:rStyle w:val="28"/>
          <w:rFonts w:hint="eastAsia" w:ascii="宋体" w:hAnsi="宋体" w:eastAsia="宋体" w:cs="宋体"/>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8"/>
          <w:rFonts w:hint="eastAsia" w:ascii="宋体" w:hAnsi="宋体" w:eastAsia="宋体" w:cs="宋体"/>
          <w:color w:val="auto"/>
          <w:szCs w:val="24"/>
          <w:highlight w:val="none"/>
          <w:u w:val="single"/>
          <w:shd w:val="clear" w:color="auto" w:fill="FFFFFF"/>
        </w:rPr>
        <w:t>（厂名）</w:t>
      </w:r>
      <w:r>
        <w:rPr>
          <w:rStyle w:val="28"/>
          <w:rFonts w:hint="eastAsia" w:ascii="宋体" w:hAnsi="宋体" w:eastAsia="宋体" w:cs="宋体"/>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8"/>
          <w:rFonts w:hint="eastAsia" w:ascii="宋体" w:hAnsi="宋体" w:eastAsia="宋体" w:cs="宋体"/>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78D67292">
      <w:pPr>
        <w:pStyle w:val="19"/>
        <w:widowControl/>
        <w:spacing w:before="0" w:beforeAutospacing="0" w:after="0" w:afterAutospacing="0" w:line="400" w:lineRule="exact"/>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8"/>
          <w:rFonts w:hint="eastAsia" w:ascii="宋体" w:hAnsi="宋体" w:eastAsia="宋体" w:cs="宋体"/>
          <w:color w:val="auto"/>
          <w:szCs w:val="24"/>
          <w:highlight w:val="none"/>
          <w:u w:val="singl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8"/>
          <w:rFonts w:hint="eastAsia" w:ascii="宋体" w:hAnsi="宋体" w:eastAsia="宋体" w:cs="宋体"/>
          <w:color w:val="auto"/>
          <w:szCs w:val="24"/>
          <w:highlight w:val="none"/>
          <w:u w:val="single"/>
          <w:shd w:val="clear" w:color="auto" w:fill="FFFFFF"/>
        </w:rPr>
        <w:t>（厂名）</w:t>
      </w:r>
      <w:r>
        <w:rPr>
          <w:rFonts w:hint="eastAsia" w:ascii="宋体" w:hAnsi="宋体" w:eastAsia="宋体" w:cs="宋体"/>
          <w:color w:val="auto"/>
          <w:szCs w:val="24"/>
          <w:highlight w:val="none"/>
          <w:shd w:val="clear" w:color="auto" w:fill="FFFFFF"/>
        </w:rPr>
        <w:t>，厂址为</w:t>
      </w:r>
      <w:r>
        <w:rPr>
          <w:rStyle w:val="28"/>
          <w:rFonts w:hint="eastAsia" w:ascii="宋体" w:hAnsi="宋体" w:eastAsia="宋体" w:cs="宋体"/>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8"/>
          <w:rFonts w:hint="eastAsia" w:ascii="宋体" w:hAnsi="宋体" w:eastAsia="宋体" w:cs="宋体"/>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73D17525">
      <w:pPr>
        <w:pStyle w:val="19"/>
        <w:widowControl/>
        <w:spacing w:before="0" w:beforeAutospacing="0" w:after="0" w:afterAutospacing="0" w:line="400" w:lineRule="exact"/>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30910972">
      <w:pPr>
        <w:pStyle w:val="19"/>
        <w:widowControl/>
        <w:spacing w:before="0" w:beforeAutospacing="0" w:after="0" w:afterAutospacing="0" w:line="400" w:lineRule="exact"/>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16ED9C98">
      <w:pPr>
        <w:spacing w:line="360" w:lineRule="auto"/>
        <w:ind w:firstLine="4228" w:firstLineChars="1762"/>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BB3B160">
      <w:pPr>
        <w:tabs>
          <w:tab w:val="left" w:pos="4620"/>
        </w:tabs>
        <w:spacing w:line="360" w:lineRule="auto"/>
        <w:ind w:firstLine="4252" w:firstLineChars="1772"/>
        <w:rPr>
          <w:rFonts w:hint="eastAsia" w:ascii="宋体" w:hAnsi="宋体" w:eastAsia="宋体" w:cs="宋体"/>
          <w:color w:val="auto"/>
          <w:sz w:val="24"/>
          <w:szCs w:val="24"/>
          <w:highlight w:val="none"/>
          <w:shd w:val="clear" w:color="auto" w:fill="FFFFFF"/>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7911893F">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cs="Times New Roman"/>
          <w:b/>
          <w:color w:val="auto"/>
          <w:szCs w:val="24"/>
          <w:highlight w:val="none"/>
        </w:rPr>
        <w:t>注：</w:t>
      </w:r>
    </w:p>
    <w:p w14:paraId="5587E5C8">
      <w:pPr>
        <w:tabs>
          <w:tab w:val="left" w:pos="4620"/>
        </w:tabs>
        <w:spacing w:line="360" w:lineRule="auto"/>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1.产品如有型号，请在“产品名称”栏一并填写。</w:t>
      </w:r>
    </w:p>
    <w:p w14:paraId="3A737B37">
      <w:pPr>
        <w:tabs>
          <w:tab w:val="left" w:pos="4620"/>
        </w:tabs>
        <w:spacing w:line="360" w:lineRule="auto"/>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2.生产厂名与厂址应与生产厂营业执照载明的相关信息保持一致。</w:t>
      </w:r>
    </w:p>
    <w:p w14:paraId="17016F2A">
      <w:pPr>
        <w:tabs>
          <w:tab w:val="left" w:pos="4620"/>
        </w:tabs>
        <w:spacing w:line="360" w:lineRule="auto"/>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3.上述声明函中标注</w:t>
      </w:r>
      <w:r>
        <w:rPr>
          <w:rFonts w:hint="eastAsia" w:ascii="宋体" w:hAnsi="宋体" w:eastAsia="宋体" w:cs="Times New Roman"/>
          <w:bCs/>
          <w:color w:val="auto"/>
          <w:szCs w:val="21"/>
          <w:highlight w:val="none"/>
          <w:u w:val="single"/>
        </w:rPr>
        <w:t xml:space="preserve">  /  </w:t>
      </w:r>
      <w:r>
        <w:rPr>
          <w:rFonts w:hint="eastAsia" w:ascii="宋体" w:hAnsi="宋体" w:eastAsia="宋体" w:cs="Times New Roman"/>
          <w:bCs/>
          <w:color w:val="auto"/>
          <w:szCs w:val="21"/>
          <w:highlight w:val="none"/>
        </w:rPr>
        <w:t>的，无需填写。</w:t>
      </w:r>
    </w:p>
    <w:p w14:paraId="228CB750">
      <w:pPr>
        <w:tabs>
          <w:tab w:val="left" w:pos="4620"/>
        </w:tabs>
        <w:spacing w:line="360" w:lineRule="auto"/>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4.投标人应当结合“五、投标分项报价表-货物部分”相关信息进行填写。</w:t>
      </w:r>
    </w:p>
    <w:p w14:paraId="20C6E2B1">
      <w:pPr>
        <w:tabs>
          <w:tab w:val="left" w:pos="4620"/>
        </w:tabs>
        <w:spacing w:line="360" w:lineRule="auto"/>
        <w:jc w:val="left"/>
        <w:rPr>
          <w:rFonts w:hint="eastAsia" w:asciiTheme="minorEastAsia" w:hAnsiTheme="minorEastAsia" w:eastAsiaTheme="minorEastAsia"/>
          <w:b/>
          <w:color w:val="auto"/>
          <w:sz w:val="24"/>
          <w:highlight w:val="none"/>
        </w:rPr>
      </w:pPr>
      <w:r>
        <w:rPr>
          <w:rFonts w:hint="eastAsia" w:ascii="宋体" w:hAnsi="宋体" w:eastAsia="宋体" w:cs="Times New Roman"/>
          <w:bCs/>
          <w:color w:val="auto"/>
          <w:szCs w:val="21"/>
          <w:highlight w:val="none"/>
        </w:rPr>
        <w:t>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CC83651">
      <w:pPr>
        <w:spacing w:line="360" w:lineRule="auto"/>
        <w:jc w:val="center"/>
        <w:outlineLvl w:val="1"/>
        <w:rPr>
          <w:rFonts w:hint="eastAsia" w:asciiTheme="minorEastAsia" w:hAnsiTheme="minorEastAsia" w:eastAsiaTheme="minorEastAsia"/>
          <w:b/>
          <w:color w:val="auto"/>
          <w:sz w:val="24"/>
          <w:highlight w:val="none"/>
        </w:rPr>
      </w:pPr>
    </w:p>
    <w:p w14:paraId="69A3F71E">
      <w:pPr>
        <w:spacing w:line="360" w:lineRule="auto"/>
        <w:jc w:val="center"/>
        <w:outlineLvl w:val="1"/>
        <w:rPr>
          <w:rFonts w:hint="eastAsia" w:asciiTheme="minorEastAsia" w:hAnsiTheme="minorEastAsia" w:eastAsiaTheme="minorEastAsia"/>
          <w:b/>
          <w:color w:val="auto"/>
          <w:sz w:val="24"/>
          <w:highlight w:val="none"/>
        </w:rPr>
      </w:pPr>
    </w:p>
    <w:p w14:paraId="40DF3B3A">
      <w:pPr>
        <w:spacing w:line="360" w:lineRule="auto"/>
        <w:jc w:val="center"/>
        <w:outlineLvl w:val="1"/>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w:t>
      </w:r>
      <w:bookmarkEnd w:id="74"/>
      <w:bookmarkEnd w:id="75"/>
      <w:bookmarkEnd w:id="76"/>
      <w:r>
        <w:rPr>
          <w:rFonts w:hint="eastAsia" w:asciiTheme="minorEastAsia" w:hAnsiTheme="minorEastAsia" w:eastAsiaTheme="minorEastAsia"/>
          <w:b/>
          <w:color w:val="auto"/>
          <w:sz w:val="24"/>
          <w:highlight w:val="none"/>
        </w:rPr>
        <w:t>诚信履约承诺函</w:t>
      </w:r>
      <w:bookmarkEnd w:id="77"/>
      <w:bookmarkEnd w:id="78"/>
    </w:p>
    <w:p w14:paraId="0E258856">
      <w:pPr>
        <w:spacing w:line="360" w:lineRule="auto"/>
        <w:rPr>
          <w:rFonts w:hint="eastAsia" w:asciiTheme="minorEastAsia" w:hAnsiTheme="minorEastAsia" w:eastAsiaTheme="minorEastAsia"/>
          <w:b/>
          <w:bCs/>
          <w:color w:val="auto"/>
          <w:sz w:val="24"/>
          <w:highlight w:val="none"/>
        </w:rPr>
      </w:pPr>
    </w:p>
    <w:p w14:paraId="5D73717C">
      <w:pPr>
        <w:spacing w:line="360" w:lineRule="auto"/>
        <w:rPr>
          <w:rFonts w:hint="eastAsia"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致：采购人</w:t>
      </w:r>
    </w:p>
    <w:p w14:paraId="27EDFBF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6E7E46E1">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6248F65">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5FEE325">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29A03473">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0B24E45">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2AAE4B2">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30B2D9C">
      <w:pPr>
        <w:spacing w:line="360" w:lineRule="auto"/>
        <w:rPr>
          <w:rFonts w:hint="eastAsia" w:asciiTheme="minorEastAsia" w:hAnsiTheme="minorEastAsia" w:eastAsiaTheme="minorEastAsia"/>
          <w:bCs/>
          <w:color w:val="auto"/>
          <w:sz w:val="24"/>
          <w:highlight w:val="none"/>
        </w:rPr>
      </w:pPr>
    </w:p>
    <w:p w14:paraId="3FC54976">
      <w:pPr>
        <w:spacing w:line="360" w:lineRule="auto"/>
        <w:rPr>
          <w:rFonts w:hint="eastAsia" w:asciiTheme="minorEastAsia" w:hAnsiTheme="minorEastAsia" w:eastAsiaTheme="minorEastAsia"/>
          <w:bCs/>
          <w:color w:val="auto"/>
          <w:sz w:val="24"/>
          <w:highlight w:val="none"/>
        </w:rPr>
      </w:pPr>
    </w:p>
    <w:p w14:paraId="032B6DC0">
      <w:pPr>
        <w:spacing w:line="360" w:lineRule="auto"/>
        <w:ind w:firstLine="4320" w:firstLineChars="1800"/>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219D177E">
      <w:pPr>
        <w:spacing w:line="360" w:lineRule="auto"/>
        <w:ind w:firstLine="4320" w:firstLineChars="18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5FE8DAB">
      <w:pPr>
        <w:widowControl/>
        <w:jc w:val="left"/>
        <w:rPr>
          <w:rFonts w:hint="eastAsia" w:ascii="宋体" w:hAnsi="宋体" w:eastAsia="宋体" w:cs="Arial"/>
          <w:color w:val="auto"/>
          <w:sz w:val="24"/>
          <w:highlight w:val="none"/>
        </w:rPr>
      </w:pPr>
      <w:r>
        <w:rPr>
          <w:rFonts w:ascii="宋体" w:hAnsi="宋体" w:eastAsia="宋体" w:cs="Arial"/>
          <w:color w:val="auto"/>
          <w:sz w:val="24"/>
          <w:highlight w:val="none"/>
        </w:rPr>
        <w:br w:type="page"/>
      </w:r>
    </w:p>
    <w:bookmarkEnd w:id="79"/>
    <w:p w14:paraId="7393438E">
      <w:pPr>
        <w:spacing w:line="360" w:lineRule="auto"/>
        <w:jc w:val="center"/>
        <w:outlineLvl w:val="1"/>
        <w:rPr>
          <w:rFonts w:hint="eastAsia" w:ascii="宋体" w:hAnsi="宋体" w:eastAsia="宋体"/>
          <w:b/>
          <w:color w:val="auto"/>
          <w:sz w:val="24"/>
          <w:szCs w:val="24"/>
          <w:highlight w:val="none"/>
        </w:rPr>
      </w:pPr>
      <w:bookmarkStart w:id="80" w:name="_Toc32633"/>
      <w:bookmarkStart w:id="81" w:name="_Toc2683"/>
      <w:r>
        <w:rPr>
          <w:rFonts w:hint="eastAsia" w:asciiTheme="minorEastAsia" w:hAnsiTheme="minorEastAsia" w:eastAsiaTheme="minorEastAsia"/>
          <w:b/>
          <w:color w:val="auto"/>
          <w:sz w:val="24"/>
          <w:highlight w:val="none"/>
        </w:rPr>
        <w:t>十一、</w:t>
      </w:r>
      <w:r>
        <w:rPr>
          <w:rFonts w:hint="eastAsia" w:ascii="宋体" w:hAnsi="宋体" w:eastAsia="宋体" w:cs="宋体"/>
          <w:b/>
          <w:color w:val="auto"/>
          <w:sz w:val="24"/>
          <w:szCs w:val="24"/>
          <w:highlight w:val="none"/>
          <w:lang w:bidi="ar"/>
        </w:rPr>
        <w:t>诚信投标承诺书</w:t>
      </w:r>
    </w:p>
    <w:p w14:paraId="7908E886">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本人以企业法定代表人的身份郑重承诺：</w:t>
      </w:r>
    </w:p>
    <w:p w14:paraId="6065394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一、将遵循公开、公正和诚实信用的原则自愿参加</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项目的投标，所提供的一切材料都是真实、有效、合法的；</w:t>
      </w:r>
    </w:p>
    <w:p w14:paraId="4FA0970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6E28CAD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三、不出借、转让资质证书，不让他人挂靠投标，不以他人名义投标或者以其他方式弄虚作假，骗取中标；</w:t>
      </w:r>
    </w:p>
    <w:p w14:paraId="7371DAF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四、不与其他投标人相互串通投标报价，不排挤其他投标人的公平竞争、损害招标人的合法权益；</w:t>
      </w:r>
    </w:p>
    <w:p w14:paraId="53BF9A0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五、不与招标人、招标代理机构或其他投标人串通投标，损害国家利益、社会公共利益或者他人的合法权益；</w:t>
      </w:r>
    </w:p>
    <w:p w14:paraId="164F172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六、</w:t>
      </w:r>
      <w:r>
        <w:rPr>
          <w:rFonts w:hint="eastAsia" w:ascii="宋体" w:hAnsi="宋体" w:eastAsia="宋体" w:cs="宋体"/>
          <w:color w:val="auto"/>
          <w:szCs w:val="21"/>
          <w:highlight w:val="none"/>
          <w:u w:val="single"/>
          <w:lang w:bidi="ar"/>
        </w:rPr>
        <w:t xml:space="preserve">       （企业名称）</w:t>
      </w:r>
      <w:r>
        <w:rPr>
          <w:rFonts w:hint="eastAsia" w:ascii="宋体" w:hAnsi="宋体" w:eastAsia="宋体" w:cs="宋体"/>
          <w:color w:val="auto"/>
          <w:szCs w:val="21"/>
          <w:highlight w:val="none"/>
          <w:lang w:bidi="ar"/>
        </w:rPr>
        <w:t>或</w:t>
      </w:r>
      <w:r>
        <w:rPr>
          <w:rFonts w:hint="eastAsia" w:ascii="宋体" w:hAnsi="宋体" w:eastAsia="宋体" w:cs="宋体"/>
          <w:color w:val="auto"/>
          <w:szCs w:val="21"/>
          <w:highlight w:val="none"/>
          <w:u w:val="single"/>
          <w:lang w:bidi="ar"/>
        </w:rPr>
        <w:t xml:space="preserve">       （企业名称）</w:t>
      </w:r>
      <w:r>
        <w:rPr>
          <w:rFonts w:hint="eastAsia" w:ascii="宋体" w:hAnsi="宋体" w:eastAsia="宋体" w:cs="宋体"/>
          <w:color w:val="auto"/>
          <w:szCs w:val="21"/>
          <w:highlight w:val="none"/>
          <w:lang w:bidi="ar"/>
        </w:rPr>
        <w:t>法定代表人或拟派项目经理（负责人）没有下列情形：①被列入“信用中国”网站“失信被执行人”的；②被列入“信用中国”网站“重大税收违法失信主体”的；③被列入“信用中国”网站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2B77AFE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七、严格遵守开标现场纪律，服从监管人员管理；</w:t>
      </w:r>
    </w:p>
    <w:p w14:paraId="264A028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八、保证中标后不转包，若有分包征得招标人同意；</w:t>
      </w:r>
    </w:p>
    <w:p w14:paraId="7391BA2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九、保证中标之后，按照投标文件要求提供相关后续服务；</w:t>
      </w:r>
    </w:p>
    <w:p w14:paraId="1DFC1A6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十、保证企业及所属相关人员在本次投标中无行贿等犯罪行为；</w:t>
      </w:r>
    </w:p>
    <w:p w14:paraId="6831EA1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十一、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B9627F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以上内容我已仔细阅读，本公司若有违反承诺内容的行为，自愿接受取消投标或者中标（成交）资格、中标（成交）无效、记入不良行为记录等有关处理，愿意承担法律责任，给招标人造成损失的，依法承担赔偿责任。</w:t>
      </w:r>
    </w:p>
    <w:p w14:paraId="2621FBB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 </w:t>
      </w:r>
    </w:p>
    <w:p w14:paraId="5421B22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开户银行：                      基本账户：</w:t>
      </w:r>
    </w:p>
    <w:p w14:paraId="579D5DC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投标单位（签章）：               法定代表人（签章）：</w:t>
      </w:r>
    </w:p>
    <w:p w14:paraId="1E911E8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 </w:t>
      </w:r>
    </w:p>
    <w:p w14:paraId="7A378430">
      <w:pPr>
        <w:spacing w:line="560" w:lineRule="exact"/>
        <w:jc w:val="right"/>
        <w:rPr>
          <w:rFonts w:hint="eastAsia" w:ascii="仿宋_GB2312" w:eastAsia="仿宋_GB2312" w:cs="仿宋_GB2312"/>
          <w:color w:val="auto"/>
          <w:sz w:val="32"/>
          <w:szCs w:val="32"/>
          <w:highlight w:val="none"/>
        </w:rPr>
      </w:pPr>
      <w:r>
        <w:rPr>
          <w:rFonts w:hint="eastAsia" w:ascii="宋体" w:hAnsi="宋体" w:eastAsia="宋体" w:cs="宋体"/>
          <w:color w:val="auto"/>
          <w:szCs w:val="21"/>
          <w:highlight w:val="none"/>
          <w:lang w:bidi="ar"/>
        </w:rPr>
        <w:t>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年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月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w:t>
      </w:r>
    </w:p>
    <w:p w14:paraId="24121F30">
      <w:pPr>
        <w:spacing w:line="360" w:lineRule="auto"/>
        <w:jc w:val="center"/>
        <w:outlineLvl w:val="1"/>
        <w:rPr>
          <w:rFonts w:hint="eastAsia" w:asciiTheme="minorEastAsia" w:hAnsiTheme="minorEastAsia" w:eastAsiaTheme="minorEastAsia"/>
          <w:b/>
          <w:color w:val="auto"/>
          <w:sz w:val="24"/>
          <w:highlight w:val="none"/>
        </w:rPr>
      </w:pPr>
    </w:p>
    <w:p w14:paraId="408EE52A">
      <w:pPr>
        <w:spacing w:line="360" w:lineRule="auto"/>
        <w:jc w:val="center"/>
        <w:outlineLvl w:val="1"/>
        <w:rPr>
          <w:rFonts w:hint="eastAsia" w:asciiTheme="minorEastAsia" w:hAnsiTheme="minorEastAsia" w:eastAsiaTheme="minorEastAsia"/>
          <w:b/>
          <w:color w:val="auto"/>
          <w:sz w:val="24"/>
          <w:highlight w:val="none"/>
        </w:rPr>
      </w:pPr>
    </w:p>
    <w:p w14:paraId="0E2B6030">
      <w:pPr>
        <w:spacing w:line="360" w:lineRule="auto"/>
        <w:jc w:val="center"/>
        <w:outlineLvl w:val="1"/>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十二、其他相关证明材料</w:t>
      </w:r>
      <w:bookmarkEnd w:id="80"/>
      <w:bookmarkEnd w:id="81"/>
    </w:p>
    <w:p w14:paraId="48C537D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32DA80E">
      <w:pPr>
        <w:spacing w:line="360" w:lineRule="auto"/>
        <w:ind w:firstLine="480" w:firstLineChars="200"/>
        <w:rPr>
          <w:rFonts w:hint="eastAsia" w:asciiTheme="minorEastAsia" w:hAnsiTheme="minorEastAsia" w:eastAsiaTheme="minorEastAsia"/>
          <w:color w:val="auto"/>
          <w:sz w:val="24"/>
          <w:highlight w:val="none"/>
        </w:rPr>
      </w:pPr>
    </w:p>
    <w:p w14:paraId="0EF54B81">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6D0C074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1BAB6A4B">
      <w:pPr>
        <w:widowControl/>
        <w:jc w:val="left"/>
        <w:rPr>
          <w:rFonts w:hint="eastAsia" w:ascii="宋体" w:hAnsi="宋体" w:eastAsia="宋体"/>
          <w:bCs/>
          <w:color w:val="auto"/>
          <w:sz w:val="24"/>
          <w:highlight w:val="none"/>
        </w:rPr>
      </w:pPr>
      <w:r>
        <w:rPr>
          <w:rFonts w:ascii="宋体" w:hAnsi="宋体" w:eastAsia="宋体"/>
          <w:bCs/>
          <w:color w:val="auto"/>
          <w:sz w:val="24"/>
          <w:highlight w:val="none"/>
        </w:rPr>
        <w:br w:type="page"/>
      </w:r>
    </w:p>
    <w:p w14:paraId="4E44E95B">
      <w:pPr>
        <w:spacing w:line="360" w:lineRule="auto"/>
        <w:jc w:val="center"/>
        <w:outlineLvl w:val="0"/>
        <w:rPr>
          <w:rFonts w:hint="eastAsia" w:ascii="宋体" w:hAnsi="宋体" w:eastAsia="宋体"/>
          <w:b/>
          <w:bCs/>
          <w:color w:val="auto"/>
          <w:sz w:val="28"/>
          <w:highlight w:val="none"/>
        </w:rPr>
      </w:pPr>
      <w:bookmarkStart w:id="82" w:name="_Toc18131"/>
      <w:bookmarkStart w:id="83" w:name="_Toc6435"/>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2"/>
      <w:bookmarkEnd w:id="83"/>
    </w:p>
    <w:p w14:paraId="7A40B900">
      <w:pPr>
        <w:spacing w:line="360" w:lineRule="auto"/>
        <w:jc w:val="center"/>
        <w:outlineLvl w:val="1"/>
        <w:rPr>
          <w:rFonts w:hint="eastAsia" w:ascii="仿宋" w:hAnsi="仿宋" w:eastAsia="仿宋" w:cs="仿宋"/>
          <w:b/>
          <w:bCs/>
          <w:color w:val="auto"/>
          <w:sz w:val="32"/>
          <w:szCs w:val="44"/>
          <w:highlight w:val="none"/>
        </w:rPr>
      </w:pPr>
      <w:bookmarkStart w:id="84" w:name="_Toc27159"/>
      <w:bookmarkStart w:id="85" w:name="_Toc27489"/>
      <w:r>
        <w:rPr>
          <w:rFonts w:hint="eastAsia" w:ascii="仿宋" w:hAnsi="仿宋" w:eastAsia="仿宋" w:cs="仿宋"/>
          <w:b/>
          <w:bCs/>
          <w:color w:val="auto"/>
          <w:sz w:val="32"/>
          <w:szCs w:val="44"/>
          <w:highlight w:val="none"/>
        </w:rPr>
        <w:t>询问函范本</w:t>
      </w:r>
      <w:bookmarkEnd w:id="84"/>
      <w:bookmarkEnd w:id="85"/>
    </w:p>
    <w:p w14:paraId="6CE43A10">
      <w:pPr>
        <w:adjustRightInd w:val="0"/>
        <w:snapToGrid w:val="0"/>
        <w:spacing w:line="360" w:lineRule="auto"/>
        <w:ind w:firstLine="480" w:firstLineChars="200"/>
        <w:jc w:val="center"/>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2AF82789">
      <w:pPr>
        <w:adjustRightInd w:val="0"/>
        <w:snapToGrid w:val="0"/>
        <w:spacing w:line="360" w:lineRule="auto"/>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828A08D">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3123B7C">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86" w:name="_Toc13899"/>
      <w:r>
        <w:rPr>
          <w:rFonts w:hint="eastAsia" w:cs="仿宋" w:asciiTheme="minorEastAsia" w:hAnsiTheme="minorEastAsia" w:eastAsiaTheme="minorEastAsia"/>
          <w:color w:val="auto"/>
          <w:sz w:val="24"/>
          <w:szCs w:val="24"/>
          <w:highlight w:val="none"/>
        </w:rPr>
        <w:t>一、(事项一)</w:t>
      </w:r>
      <w:bookmarkEnd w:id="86"/>
    </w:p>
    <w:p w14:paraId="1819F101">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5CF52F2">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131742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BFB1D19">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87" w:name="_Toc3352"/>
      <w:r>
        <w:rPr>
          <w:rFonts w:hint="eastAsia" w:cs="仿宋" w:asciiTheme="minorEastAsia" w:hAnsiTheme="minorEastAsia" w:eastAsiaTheme="minorEastAsia"/>
          <w:color w:val="auto"/>
          <w:sz w:val="24"/>
          <w:szCs w:val="24"/>
          <w:highlight w:val="none"/>
        </w:rPr>
        <w:t>二、(事项二)</w:t>
      </w:r>
      <w:bookmarkEnd w:id="87"/>
    </w:p>
    <w:p w14:paraId="0B8BB9EC">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D5B281D">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C1AC0F0">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67B9DFB">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BE75B5B">
      <w:pPr>
        <w:tabs>
          <w:tab w:val="left" w:pos="630"/>
        </w:tabs>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1388629">
      <w:pPr>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199CB6E">
      <w:pPr>
        <w:jc w:val="center"/>
        <w:outlineLvl w:val="1"/>
        <w:rPr>
          <w:rFonts w:hint="eastAsia" w:ascii="仿宋" w:hAnsi="仿宋" w:eastAsia="仿宋" w:cs="仿宋"/>
          <w:b/>
          <w:bCs/>
          <w:color w:val="auto"/>
          <w:sz w:val="32"/>
          <w:szCs w:val="44"/>
          <w:highlight w:val="none"/>
        </w:rPr>
      </w:pPr>
      <w:bookmarkStart w:id="88" w:name="_Toc3245"/>
      <w:bookmarkStart w:id="89" w:name="_Toc1575"/>
      <w:r>
        <w:rPr>
          <w:rFonts w:hint="eastAsia" w:ascii="仿宋" w:hAnsi="仿宋" w:eastAsia="仿宋" w:cs="仿宋"/>
          <w:b/>
          <w:bCs/>
          <w:color w:val="auto"/>
          <w:sz w:val="32"/>
          <w:szCs w:val="44"/>
          <w:highlight w:val="none"/>
        </w:rPr>
        <w:t>质疑函范本</w:t>
      </w:r>
      <w:bookmarkEnd w:id="88"/>
      <w:bookmarkEnd w:id="89"/>
    </w:p>
    <w:p w14:paraId="5906BD0D">
      <w:pPr>
        <w:adjustRightInd w:val="0"/>
        <w:snapToGrid w:val="0"/>
        <w:spacing w:before="317" w:beforeLines="100" w:line="360" w:lineRule="auto"/>
        <w:rPr>
          <w:rFonts w:hint="eastAsia" w:cs="仿宋" w:asciiTheme="minorEastAsia" w:hAnsiTheme="minorEastAsia" w:eastAsiaTheme="minorEastAsia"/>
          <w:b/>
          <w:bCs/>
          <w:color w:val="auto"/>
          <w:sz w:val="24"/>
          <w:szCs w:val="24"/>
          <w:highlight w:val="none"/>
        </w:rPr>
      </w:pPr>
      <w:bookmarkStart w:id="90" w:name="_Toc21381"/>
      <w:r>
        <w:rPr>
          <w:rFonts w:hint="eastAsia" w:cs="仿宋" w:asciiTheme="minorEastAsia" w:hAnsiTheme="minorEastAsia" w:eastAsiaTheme="minorEastAsia"/>
          <w:b/>
          <w:bCs/>
          <w:color w:val="auto"/>
          <w:sz w:val="24"/>
          <w:szCs w:val="24"/>
          <w:highlight w:val="none"/>
        </w:rPr>
        <w:t>一、质疑供应商基本信息</w:t>
      </w:r>
      <w:bookmarkEnd w:id="90"/>
    </w:p>
    <w:p w14:paraId="68047752">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0D9EA64E">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1E5CB7F5">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4B15109">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0E96A2A3">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62081D1">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D320F33">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91" w:name="_Toc28415"/>
      <w:r>
        <w:rPr>
          <w:rFonts w:hint="eastAsia" w:cs="仿宋" w:asciiTheme="minorEastAsia" w:hAnsiTheme="minorEastAsia" w:eastAsiaTheme="minorEastAsia"/>
          <w:b/>
          <w:bCs/>
          <w:color w:val="auto"/>
          <w:sz w:val="24"/>
          <w:szCs w:val="24"/>
          <w:highlight w:val="none"/>
        </w:rPr>
        <w:t>二、质疑项目基本情况</w:t>
      </w:r>
      <w:bookmarkEnd w:id="91"/>
    </w:p>
    <w:p w14:paraId="2860C142">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502647AD">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5DBDEA2">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2D0895B0">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50ED8362">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92" w:name="_Toc19014"/>
      <w:r>
        <w:rPr>
          <w:rFonts w:hint="eastAsia" w:cs="仿宋" w:asciiTheme="minorEastAsia" w:hAnsiTheme="minorEastAsia" w:eastAsiaTheme="minorEastAsia"/>
          <w:b/>
          <w:bCs/>
          <w:color w:val="auto"/>
          <w:sz w:val="24"/>
          <w:szCs w:val="24"/>
          <w:highlight w:val="none"/>
        </w:rPr>
        <w:t>三、质疑事项具体内容</w:t>
      </w:r>
      <w:bookmarkEnd w:id="92"/>
    </w:p>
    <w:p w14:paraId="7A46C700">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68D20E32">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0C02678">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0E2259F0">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B034B40">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7785DD7F">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62F223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4CD7DF7">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93" w:name="_Toc17919"/>
      <w:r>
        <w:rPr>
          <w:rFonts w:hint="eastAsia" w:cs="仿宋" w:asciiTheme="minorEastAsia" w:hAnsiTheme="minorEastAsia" w:eastAsiaTheme="minorEastAsia"/>
          <w:b/>
          <w:bCs/>
          <w:color w:val="auto"/>
          <w:sz w:val="24"/>
          <w:szCs w:val="24"/>
          <w:highlight w:val="none"/>
        </w:rPr>
        <w:t>四、与质疑事项相关的质疑请求</w:t>
      </w:r>
      <w:bookmarkEnd w:id="93"/>
    </w:p>
    <w:p w14:paraId="18CD4FCB">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5373188">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066F4DAB">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4D174E90">
      <w:pPr>
        <w:widowControl/>
        <w:jc w:val="left"/>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CC46BFA">
      <w:pPr>
        <w:outlineLvl w:val="0"/>
        <w:rPr>
          <w:rFonts w:hint="eastAsia" w:asciiTheme="minorEastAsia" w:hAnsiTheme="minorEastAsia" w:eastAsiaTheme="minorEastAsia"/>
          <w:b/>
          <w:color w:val="auto"/>
          <w:sz w:val="28"/>
          <w:szCs w:val="32"/>
          <w:highlight w:val="none"/>
        </w:rPr>
      </w:pPr>
      <w:bookmarkStart w:id="94" w:name="_Toc9754"/>
      <w:bookmarkStart w:id="95" w:name="_Toc26836"/>
      <w:r>
        <w:rPr>
          <w:rFonts w:hint="eastAsia" w:asciiTheme="minorEastAsia" w:hAnsiTheme="minorEastAsia" w:eastAsiaTheme="minorEastAsia"/>
          <w:b/>
          <w:color w:val="auto"/>
          <w:sz w:val="28"/>
          <w:szCs w:val="32"/>
          <w:highlight w:val="none"/>
        </w:rPr>
        <w:t>质疑函制作说明：</w:t>
      </w:r>
      <w:bookmarkEnd w:id="94"/>
      <w:bookmarkEnd w:id="95"/>
    </w:p>
    <w:p w14:paraId="72184C8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FEB50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658EA3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3684A6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2446CC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4BC0F47">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r>
        <w:rPr>
          <w:rFonts w:hint="eastAsia" w:asciiTheme="minorEastAsia" w:hAnsiTheme="minorEastAsia" w:eastAsiaTheme="minorEastAsia"/>
          <w:color w:val="auto"/>
          <w:sz w:val="24"/>
          <w:highlight w:val="none"/>
          <w:lang w:eastAsia="zh-CN"/>
        </w:rPr>
        <w:t>。</w:t>
      </w:r>
    </w:p>
    <w:p w14:paraId="28F96025">
      <w:pPr>
        <w:spacing w:line="360" w:lineRule="auto"/>
        <w:rPr>
          <w:rFonts w:hint="eastAsia" w:asciiTheme="minorEastAsia" w:hAnsiTheme="minorEastAsia" w:eastAsiaTheme="minorEastAsia"/>
          <w:color w:val="auto"/>
          <w:sz w:val="24"/>
          <w:highlight w:val="none"/>
        </w:rPr>
      </w:pPr>
    </w:p>
    <w:bookmarkEnd w:id="96"/>
    <w:sectPr>
      <w:headerReference r:id="rId7" w:type="default"/>
      <w:footerReference r:id="rId8" w:type="default"/>
      <w:pgSz w:w="11905" w:h="16838"/>
      <w:pgMar w:top="1440" w:right="1417" w:bottom="1440" w:left="1417" w:header="850"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roman"/>
    <w:pitch w:val="default"/>
    <w:sig w:usb0="00000000" w:usb1="00000000" w:usb2="00000008" w:usb3="00000000" w:csb0="000001FF"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roman"/>
    <w:pitch w:val="default"/>
    <w:sig w:usb0="00000000" w:usb1="0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00"/>
    <w:family w:val="roman"/>
    <w:pitch w:val="default"/>
    <w:sig w:usb0="00000000" w:usb1="00000000" w:usb2="00000008" w:usb3="00000000" w:csb0="000001FF" w:csb1="00000000"/>
  </w:font>
  <w:font w:name="楷体">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8"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B3C87">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12001">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AA044">
                          <w:pPr>
                            <w:pStyle w:val="1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5AAA044">
                    <w:pPr>
                      <w:pStyle w:val="15"/>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37FE3">
    <w:pPr>
      <w:pStyle w:val="15"/>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52500">
                          <w:pPr>
                            <w:pStyle w:val="15"/>
                            <w:rPr>
                              <w:rFonts w:hint="eastAsia"/>
                            </w:rPr>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3952500">
                    <w:pPr>
                      <w:pStyle w:val="15"/>
                      <w:rPr>
                        <w:rFonts w:hint="eastAsia"/>
                      </w:rPr>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DC6C9">
    <w:pPr>
      <w:pStyle w:val="16"/>
      <w:jc w:val="left"/>
      <w:rPr>
        <w:rFonts w:hint="eastAsia" w:asciiTheme="minorEastAsia" w:hAnsiTheme="minorEastAsia" w:eastAsiaTheme="minorEastAsia"/>
      </w:rPr>
    </w:pPr>
    <w:r>
      <w:rPr>
        <w:rFonts w:hint="eastAsia" w:asciiTheme="minorEastAsia" w:hAnsiTheme="minorEastAsia" w:eastAsiaTheme="minorEastAsia"/>
      </w:rPr>
      <w:t>安徽省政府采购项目公开招标文件示范文本（货物类）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23CA">
    <w:pPr>
      <w:pStyle w:val="16"/>
      <w:jc w:val="left"/>
      <w:rPr>
        <w:rFonts w:hint="eastAsia"/>
      </w:rPr>
    </w:pPr>
    <w:r>
      <w:rPr>
        <w:rFonts w:hint="eastAsia" w:asciiTheme="minorEastAsia" w:hAnsiTheme="minorEastAsia" w:eastAsiaTheme="minorEastAsia"/>
      </w:rPr>
      <w:t>安徽省政府采购项目公开招标文件示范文本（货物类）</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F213">
    <w:pPr>
      <w:pStyle w:val="16"/>
      <w:jc w:val="left"/>
      <w:rPr>
        <w:rFonts w:hint="eastAsia"/>
      </w:rPr>
    </w:pPr>
    <w:r>
      <w:rPr>
        <w:rFonts w:hint="eastAsia" w:asciiTheme="minorEastAsia" w:hAnsiTheme="minorEastAsia" w:eastAsiaTheme="minorEastAsia"/>
      </w:rPr>
      <w:t>安徽省政府采购项目公开招标文件示范文本（货物类）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6C2373D8"/>
    <w:multiLevelType w:val="singleLevel"/>
    <w:tmpl w:val="6C2373D8"/>
    <w:lvl w:ilvl="0" w:tentative="0">
      <w:start w:val="2"/>
      <w:numFmt w:val="chineseCounting"/>
      <w:suff w:val="nothing"/>
      <w:lvlText w:val="%1、"/>
      <w:lvlJc w:val="left"/>
      <w:rPr>
        <w:rFonts w:hint="eastAsia"/>
      </w:rPr>
    </w:lvl>
  </w:abstractNum>
  <w:abstractNum w:abstractNumId="7">
    <w:nsid w:val="7A0F6431"/>
    <w:multiLevelType w:val="singleLevel"/>
    <w:tmpl w:val="7A0F6431"/>
    <w:lvl w:ilvl="0" w:tentative="0">
      <w:start w:val="1"/>
      <w:numFmt w:val="decimal"/>
      <w:suff w:val="space"/>
      <w:lvlText w:val="%1."/>
      <w:lvlJc w:val="left"/>
    </w:lvl>
  </w:abstractNum>
  <w:num w:numId="1">
    <w:abstractNumId w:val="6"/>
  </w:num>
  <w:num w:numId="2">
    <w:abstractNumId w:val="7"/>
  </w:num>
  <w:num w:numId="3">
    <w:abstractNumId w:val="1"/>
  </w:num>
  <w:num w:numId="4">
    <w:abstractNumId w:val="5"/>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172A27"/>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2A27"/>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87B96"/>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269D"/>
    <w:rsid w:val="008F402F"/>
    <w:rsid w:val="008F55FA"/>
    <w:rsid w:val="008F76E8"/>
    <w:rsid w:val="008F7CD0"/>
    <w:rsid w:val="00902902"/>
    <w:rsid w:val="00902A4B"/>
    <w:rsid w:val="009078A1"/>
    <w:rsid w:val="00911E9C"/>
    <w:rsid w:val="00915083"/>
    <w:rsid w:val="00917405"/>
    <w:rsid w:val="00920035"/>
    <w:rsid w:val="00920F7C"/>
    <w:rsid w:val="00934CAE"/>
    <w:rsid w:val="009423C5"/>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3321"/>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67A3"/>
    <w:rsid w:val="00AE76E6"/>
    <w:rsid w:val="00B00ACC"/>
    <w:rsid w:val="00B039E3"/>
    <w:rsid w:val="00B043C1"/>
    <w:rsid w:val="00B22838"/>
    <w:rsid w:val="00B27D52"/>
    <w:rsid w:val="00B32BC1"/>
    <w:rsid w:val="00B33E95"/>
    <w:rsid w:val="00B34EE1"/>
    <w:rsid w:val="00B35B5E"/>
    <w:rsid w:val="00B3720B"/>
    <w:rsid w:val="00B40EE3"/>
    <w:rsid w:val="00B4535A"/>
    <w:rsid w:val="00B4579E"/>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2D32"/>
    <w:rsid w:val="00C06545"/>
    <w:rsid w:val="00C1161C"/>
    <w:rsid w:val="00C17F66"/>
    <w:rsid w:val="00C220FC"/>
    <w:rsid w:val="00C23C86"/>
    <w:rsid w:val="00C24DFA"/>
    <w:rsid w:val="00C32F67"/>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522"/>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6E2F6B"/>
    <w:rsid w:val="017B1BF9"/>
    <w:rsid w:val="01E93A1B"/>
    <w:rsid w:val="0214602E"/>
    <w:rsid w:val="02535C0C"/>
    <w:rsid w:val="02B81FC4"/>
    <w:rsid w:val="03486B27"/>
    <w:rsid w:val="040A094E"/>
    <w:rsid w:val="054022C8"/>
    <w:rsid w:val="056F201D"/>
    <w:rsid w:val="05B664D4"/>
    <w:rsid w:val="064B485A"/>
    <w:rsid w:val="0674573B"/>
    <w:rsid w:val="068C65C4"/>
    <w:rsid w:val="07076C01"/>
    <w:rsid w:val="071C12AC"/>
    <w:rsid w:val="07A934B3"/>
    <w:rsid w:val="07EB6287"/>
    <w:rsid w:val="0806421B"/>
    <w:rsid w:val="090F70A8"/>
    <w:rsid w:val="091268D2"/>
    <w:rsid w:val="0980799C"/>
    <w:rsid w:val="098350DA"/>
    <w:rsid w:val="09944B8E"/>
    <w:rsid w:val="0A220D29"/>
    <w:rsid w:val="0A6A18DB"/>
    <w:rsid w:val="0A975B48"/>
    <w:rsid w:val="0AEF3828"/>
    <w:rsid w:val="0B406381"/>
    <w:rsid w:val="0BB452AA"/>
    <w:rsid w:val="0BBB665B"/>
    <w:rsid w:val="0C97649C"/>
    <w:rsid w:val="0D196DD0"/>
    <w:rsid w:val="0E9E4764"/>
    <w:rsid w:val="0EEA6FC1"/>
    <w:rsid w:val="0F790928"/>
    <w:rsid w:val="10464231"/>
    <w:rsid w:val="10CD72BB"/>
    <w:rsid w:val="111131C7"/>
    <w:rsid w:val="12197477"/>
    <w:rsid w:val="130E56B2"/>
    <w:rsid w:val="131B5CD3"/>
    <w:rsid w:val="132E1FB6"/>
    <w:rsid w:val="13776448"/>
    <w:rsid w:val="13B50586"/>
    <w:rsid w:val="1466407E"/>
    <w:rsid w:val="146B333A"/>
    <w:rsid w:val="14834E28"/>
    <w:rsid w:val="148E7D65"/>
    <w:rsid w:val="15086BE0"/>
    <w:rsid w:val="150F3CBC"/>
    <w:rsid w:val="15231BF9"/>
    <w:rsid w:val="15C4546D"/>
    <w:rsid w:val="15E37F2A"/>
    <w:rsid w:val="17C4240D"/>
    <w:rsid w:val="184B770B"/>
    <w:rsid w:val="18F14E94"/>
    <w:rsid w:val="1A064976"/>
    <w:rsid w:val="1A3B68AA"/>
    <w:rsid w:val="1A3E1C1E"/>
    <w:rsid w:val="1B6F4F40"/>
    <w:rsid w:val="1C141836"/>
    <w:rsid w:val="1C444950"/>
    <w:rsid w:val="1C76537D"/>
    <w:rsid w:val="1D971D9B"/>
    <w:rsid w:val="1E504BF2"/>
    <w:rsid w:val="1E6B6A14"/>
    <w:rsid w:val="1EF0593D"/>
    <w:rsid w:val="1EFE5BCD"/>
    <w:rsid w:val="20550D9A"/>
    <w:rsid w:val="218E2416"/>
    <w:rsid w:val="226915FE"/>
    <w:rsid w:val="229273EC"/>
    <w:rsid w:val="22B31589"/>
    <w:rsid w:val="23BC656D"/>
    <w:rsid w:val="241804A5"/>
    <w:rsid w:val="248B3682"/>
    <w:rsid w:val="24B97929"/>
    <w:rsid w:val="24D632D7"/>
    <w:rsid w:val="24D81B80"/>
    <w:rsid w:val="26C52EB8"/>
    <w:rsid w:val="26D7660D"/>
    <w:rsid w:val="27D65DBA"/>
    <w:rsid w:val="285F40CA"/>
    <w:rsid w:val="289E1AF0"/>
    <w:rsid w:val="28C01ECB"/>
    <w:rsid w:val="29BF71E3"/>
    <w:rsid w:val="29D6387F"/>
    <w:rsid w:val="2A127B63"/>
    <w:rsid w:val="2A451A6C"/>
    <w:rsid w:val="2AAA4765"/>
    <w:rsid w:val="2AAB46D1"/>
    <w:rsid w:val="2AC21606"/>
    <w:rsid w:val="2AD63D42"/>
    <w:rsid w:val="2B1755DB"/>
    <w:rsid w:val="2B7E7608"/>
    <w:rsid w:val="2B7F04E9"/>
    <w:rsid w:val="2B8B554A"/>
    <w:rsid w:val="2D496D68"/>
    <w:rsid w:val="2DB10FCB"/>
    <w:rsid w:val="2E47045D"/>
    <w:rsid w:val="2E7A48DE"/>
    <w:rsid w:val="2EBA5177"/>
    <w:rsid w:val="2EDC3ED8"/>
    <w:rsid w:val="2F104B00"/>
    <w:rsid w:val="2F6351B4"/>
    <w:rsid w:val="2FC86126"/>
    <w:rsid w:val="2FCF199E"/>
    <w:rsid w:val="30483E83"/>
    <w:rsid w:val="30BF3991"/>
    <w:rsid w:val="3111619A"/>
    <w:rsid w:val="319775DB"/>
    <w:rsid w:val="31B139DC"/>
    <w:rsid w:val="32497AF3"/>
    <w:rsid w:val="326A6587"/>
    <w:rsid w:val="32C65EB4"/>
    <w:rsid w:val="32F3657D"/>
    <w:rsid w:val="336254B1"/>
    <w:rsid w:val="33FF1696"/>
    <w:rsid w:val="343C0775"/>
    <w:rsid w:val="356C50EC"/>
    <w:rsid w:val="35726A65"/>
    <w:rsid w:val="36137E45"/>
    <w:rsid w:val="36376E0A"/>
    <w:rsid w:val="3700166C"/>
    <w:rsid w:val="379A1012"/>
    <w:rsid w:val="382344CB"/>
    <w:rsid w:val="38694EE9"/>
    <w:rsid w:val="39153946"/>
    <w:rsid w:val="392B4CC2"/>
    <w:rsid w:val="39AF2343"/>
    <w:rsid w:val="3A6818FA"/>
    <w:rsid w:val="3A8521B0"/>
    <w:rsid w:val="3B365CC9"/>
    <w:rsid w:val="3B9A7B88"/>
    <w:rsid w:val="3C1A4BDD"/>
    <w:rsid w:val="3C636521"/>
    <w:rsid w:val="3C8762F8"/>
    <w:rsid w:val="3D2C7AC8"/>
    <w:rsid w:val="3D855D12"/>
    <w:rsid w:val="3D8B42FF"/>
    <w:rsid w:val="3DE86C4C"/>
    <w:rsid w:val="3DF36A6E"/>
    <w:rsid w:val="3EBA1EE9"/>
    <w:rsid w:val="3EC71387"/>
    <w:rsid w:val="3F514DCA"/>
    <w:rsid w:val="3F792F1E"/>
    <w:rsid w:val="400F4A0C"/>
    <w:rsid w:val="40824826"/>
    <w:rsid w:val="409164A0"/>
    <w:rsid w:val="40E63923"/>
    <w:rsid w:val="419929D9"/>
    <w:rsid w:val="42D60111"/>
    <w:rsid w:val="43503E52"/>
    <w:rsid w:val="438927A9"/>
    <w:rsid w:val="43A91E5B"/>
    <w:rsid w:val="43F16E48"/>
    <w:rsid w:val="443E7EC2"/>
    <w:rsid w:val="449E0D39"/>
    <w:rsid w:val="45E32B26"/>
    <w:rsid w:val="46336676"/>
    <w:rsid w:val="463A3650"/>
    <w:rsid w:val="46461627"/>
    <w:rsid w:val="46826C09"/>
    <w:rsid w:val="469F0116"/>
    <w:rsid w:val="475259B7"/>
    <w:rsid w:val="488302AE"/>
    <w:rsid w:val="48831CF9"/>
    <w:rsid w:val="49024C9C"/>
    <w:rsid w:val="49B1408D"/>
    <w:rsid w:val="4A7D4FD2"/>
    <w:rsid w:val="4A913C9A"/>
    <w:rsid w:val="4B1F70AC"/>
    <w:rsid w:val="4B240F94"/>
    <w:rsid w:val="4B4D1B4F"/>
    <w:rsid w:val="4C0832E5"/>
    <w:rsid w:val="4C3C565C"/>
    <w:rsid w:val="4CCC79C7"/>
    <w:rsid w:val="4D747F76"/>
    <w:rsid w:val="4D7555C7"/>
    <w:rsid w:val="4DCF13D9"/>
    <w:rsid w:val="4EAE6DA0"/>
    <w:rsid w:val="4ED10F45"/>
    <w:rsid w:val="4FE617D9"/>
    <w:rsid w:val="5016514B"/>
    <w:rsid w:val="50BD4DF3"/>
    <w:rsid w:val="50FC1A26"/>
    <w:rsid w:val="513149E8"/>
    <w:rsid w:val="51723664"/>
    <w:rsid w:val="51CB1C78"/>
    <w:rsid w:val="51FD6A51"/>
    <w:rsid w:val="521C0FAF"/>
    <w:rsid w:val="526B680A"/>
    <w:rsid w:val="52836F71"/>
    <w:rsid w:val="52D26B02"/>
    <w:rsid w:val="532A2605"/>
    <w:rsid w:val="53AB6CD4"/>
    <w:rsid w:val="53B55382"/>
    <w:rsid w:val="541A5D30"/>
    <w:rsid w:val="54782323"/>
    <w:rsid w:val="54A33024"/>
    <w:rsid w:val="55245DBE"/>
    <w:rsid w:val="55A156D3"/>
    <w:rsid w:val="55C1559C"/>
    <w:rsid w:val="55F068CD"/>
    <w:rsid w:val="56020A2B"/>
    <w:rsid w:val="566C3136"/>
    <w:rsid w:val="568D04F2"/>
    <w:rsid w:val="56B54C65"/>
    <w:rsid w:val="585A4825"/>
    <w:rsid w:val="59AC5798"/>
    <w:rsid w:val="59F6086E"/>
    <w:rsid w:val="5A0E58C7"/>
    <w:rsid w:val="5A526582"/>
    <w:rsid w:val="5A5F5C77"/>
    <w:rsid w:val="5A711A0D"/>
    <w:rsid w:val="5B1613E4"/>
    <w:rsid w:val="5B5725A1"/>
    <w:rsid w:val="5B78003B"/>
    <w:rsid w:val="5BC11A60"/>
    <w:rsid w:val="5C7A4D54"/>
    <w:rsid w:val="5CD23B73"/>
    <w:rsid w:val="5D810AA5"/>
    <w:rsid w:val="5EC6209F"/>
    <w:rsid w:val="5F127819"/>
    <w:rsid w:val="60350ED3"/>
    <w:rsid w:val="60B72AEE"/>
    <w:rsid w:val="61025188"/>
    <w:rsid w:val="61057D5F"/>
    <w:rsid w:val="6126068F"/>
    <w:rsid w:val="614D4977"/>
    <w:rsid w:val="62FD1A73"/>
    <w:rsid w:val="63C60FC0"/>
    <w:rsid w:val="63C725FE"/>
    <w:rsid w:val="63FA4BC6"/>
    <w:rsid w:val="64537E39"/>
    <w:rsid w:val="64B7454D"/>
    <w:rsid w:val="64BA3D7A"/>
    <w:rsid w:val="64F179BC"/>
    <w:rsid w:val="65114A86"/>
    <w:rsid w:val="65287095"/>
    <w:rsid w:val="65A2780B"/>
    <w:rsid w:val="65A44CF6"/>
    <w:rsid w:val="662326FA"/>
    <w:rsid w:val="665704D3"/>
    <w:rsid w:val="67C065A4"/>
    <w:rsid w:val="67D359C9"/>
    <w:rsid w:val="68042537"/>
    <w:rsid w:val="68FE36DD"/>
    <w:rsid w:val="694E60FC"/>
    <w:rsid w:val="69C53529"/>
    <w:rsid w:val="69DD7064"/>
    <w:rsid w:val="69DF2981"/>
    <w:rsid w:val="69E95A08"/>
    <w:rsid w:val="6A256904"/>
    <w:rsid w:val="6B656832"/>
    <w:rsid w:val="6C675CE6"/>
    <w:rsid w:val="6D105F6A"/>
    <w:rsid w:val="6D4F4321"/>
    <w:rsid w:val="6D7101EF"/>
    <w:rsid w:val="6DF41B82"/>
    <w:rsid w:val="6DFF7360"/>
    <w:rsid w:val="6E1914F6"/>
    <w:rsid w:val="6E561E49"/>
    <w:rsid w:val="6E7A5F73"/>
    <w:rsid w:val="6E873A42"/>
    <w:rsid w:val="6EB87F35"/>
    <w:rsid w:val="6EE90F9D"/>
    <w:rsid w:val="6FD74228"/>
    <w:rsid w:val="7021106F"/>
    <w:rsid w:val="70825A0A"/>
    <w:rsid w:val="71633091"/>
    <w:rsid w:val="71F25309"/>
    <w:rsid w:val="73081CA5"/>
    <w:rsid w:val="73104006"/>
    <w:rsid w:val="74201F7D"/>
    <w:rsid w:val="7487762D"/>
    <w:rsid w:val="74C31D41"/>
    <w:rsid w:val="74C33AA4"/>
    <w:rsid w:val="75210D7A"/>
    <w:rsid w:val="75385498"/>
    <w:rsid w:val="75F37776"/>
    <w:rsid w:val="762E7D9A"/>
    <w:rsid w:val="764F5935"/>
    <w:rsid w:val="76BC207F"/>
    <w:rsid w:val="76EB4904"/>
    <w:rsid w:val="76F23CED"/>
    <w:rsid w:val="77645DCD"/>
    <w:rsid w:val="777378F5"/>
    <w:rsid w:val="777A2D3C"/>
    <w:rsid w:val="78112CFA"/>
    <w:rsid w:val="78474930"/>
    <w:rsid w:val="78880AE2"/>
    <w:rsid w:val="79074B81"/>
    <w:rsid w:val="794F0939"/>
    <w:rsid w:val="79AF0FCA"/>
    <w:rsid w:val="7A8C48BA"/>
    <w:rsid w:val="7AF9279C"/>
    <w:rsid w:val="7CC51958"/>
    <w:rsid w:val="7CD53DF9"/>
    <w:rsid w:val="7D097C86"/>
    <w:rsid w:val="7E2936C3"/>
    <w:rsid w:val="7E6411B9"/>
    <w:rsid w:val="7EBE19AF"/>
    <w:rsid w:val="7ECE6164"/>
    <w:rsid w:val="7F1D519F"/>
    <w:rsid w:val="7F590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link w:val="58"/>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3"/>
    <w:autoRedefine/>
    <w:qFormat/>
    <w:uiPriority w:val="0"/>
    <w:pPr>
      <w:keepNext/>
      <w:keepLines/>
      <w:spacing w:before="280" w:after="290" w:line="376" w:lineRule="auto"/>
      <w:outlineLvl w:val="3"/>
    </w:pPr>
    <w:rPr>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5"/>
    <w:autoRedefine/>
    <w:qFormat/>
    <w:uiPriority w:val="0"/>
    <w:pPr>
      <w:jc w:val="left"/>
    </w:pPr>
    <w:rPr>
      <w:rFonts w:ascii="Arial" w:hAnsi="Arial" w:eastAsia="黑体" w:cs="Arial"/>
    </w:rPr>
  </w:style>
  <w:style w:type="paragraph" w:styleId="8">
    <w:name w:val="Body Text"/>
    <w:basedOn w:val="1"/>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autoRedefine/>
    <w:qFormat/>
    <w:uiPriority w:val="0"/>
    <w:pPr>
      <w:spacing w:after="120"/>
      <w:ind w:left="420" w:leftChars="200"/>
    </w:pPr>
  </w:style>
  <w:style w:type="paragraph" w:styleId="10">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45"/>
    <w:autoRedefine/>
    <w:qFormat/>
    <w:uiPriority w:val="99"/>
    <w:rPr>
      <w:rFonts w:ascii="宋体" w:hAnsi="Courier New" w:eastAsiaTheme="minorEastAsia" w:cstheme="minorBidi"/>
      <w:szCs w:val="22"/>
    </w:rPr>
  </w:style>
  <w:style w:type="paragraph" w:styleId="12">
    <w:name w:val="Date"/>
    <w:basedOn w:val="1"/>
    <w:next w:val="1"/>
    <w:link w:val="52"/>
    <w:autoRedefine/>
    <w:qFormat/>
    <w:uiPriority w:val="0"/>
    <w:rPr>
      <w:rFonts w:ascii="Arial" w:hAnsi="Arial" w:eastAsia="宋体" w:cs="Arial"/>
      <w:b/>
      <w:sz w:val="28"/>
    </w:rPr>
  </w:style>
  <w:style w:type="paragraph" w:styleId="13">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4">
    <w:name w:val="Balloon Text"/>
    <w:basedOn w:val="1"/>
    <w:link w:val="39"/>
    <w:autoRedefine/>
    <w:semiHidden/>
    <w:unhideWhenUsed/>
    <w:qFormat/>
    <w:uiPriority w:val="99"/>
    <w:rPr>
      <w:sz w:val="18"/>
      <w:szCs w:val="18"/>
    </w:rPr>
  </w:style>
  <w:style w:type="paragraph" w:styleId="15">
    <w:name w:val="footer"/>
    <w:basedOn w:val="1"/>
    <w:link w:val="44"/>
    <w:autoRedefine/>
    <w:unhideWhenUsed/>
    <w:qFormat/>
    <w:uiPriority w:val="99"/>
    <w:pPr>
      <w:tabs>
        <w:tab w:val="center" w:pos="4153"/>
        <w:tab w:val="right" w:pos="8306"/>
      </w:tabs>
      <w:snapToGrid w:val="0"/>
      <w:jc w:val="left"/>
    </w:pPr>
    <w:rPr>
      <w:sz w:val="18"/>
      <w:szCs w:val="18"/>
    </w:rPr>
  </w:style>
  <w:style w:type="paragraph" w:styleId="16">
    <w:name w:val="header"/>
    <w:basedOn w:val="1"/>
    <w:link w:val="4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spacing w:before="100" w:beforeAutospacing="1" w:after="100" w:afterAutospacing="1"/>
      <w:jc w:val="left"/>
    </w:pPr>
    <w:rPr>
      <w:rFonts w:cs="Times New Roman"/>
      <w:kern w:val="0"/>
      <w:sz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annotation subject"/>
    <w:basedOn w:val="7"/>
    <w:next w:val="7"/>
    <w:link w:val="66"/>
    <w:autoRedefine/>
    <w:semiHidden/>
    <w:unhideWhenUsed/>
    <w:qFormat/>
    <w:uiPriority w:val="99"/>
    <w:rPr>
      <w:rFonts w:ascii="@仿宋_GB2312" w:hAnsi="@仿宋_GB2312" w:eastAsia="@仿宋_GB2312" w:cs="@仿宋_GB2312"/>
      <w:b/>
      <w:bCs/>
    </w:rPr>
  </w:style>
  <w:style w:type="paragraph" w:styleId="22">
    <w:name w:val="Body Text First Indent"/>
    <w:basedOn w:val="8"/>
    <w:autoRedefine/>
    <w:unhideWhenUsed/>
    <w:qFormat/>
    <w:uiPriority w:val="99"/>
    <w:pPr>
      <w:ind w:firstLine="420" w:firstLineChars="100"/>
    </w:pPr>
  </w:style>
  <w:style w:type="table" w:styleId="24">
    <w:name w:val="Table Grid"/>
    <w:basedOn w:val="2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FollowedHyperlink"/>
    <w:basedOn w:val="25"/>
    <w:semiHidden/>
    <w:unhideWhenUsed/>
    <w:qFormat/>
    <w:uiPriority w:val="99"/>
    <w:rPr>
      <w:color w:val="800080"/>
      <w:u w:val="none"/>
    </w:rPr>
  </w:style>
  <w:style w:type="character" w:styleId="28">
    <w:name w:val="Emphasis"/>
    <w:basedOn w:val="25"/>
    <w:qFormat/>
    <w:uiPriority w:val="0"/>
    <w:rPr>
      <w:b/>
      <w:bCs/>
    </w:rPr>
  </w:style>
  <w:style w:type="character" w:styleId="29">
    <w:name w:val="HTML Definition"/>
    <w:basedOn w:val="25"/>
    <w:semiHidden/>
    <w:unhideWhenUsed/>
    <w:qFormat/>
    <w:uiPriority w:val="99"/>
    <w:rPr>
      <w:color w:val="BBBBBB"/>
    </w:rPr>
  </w:style>
  <w:style w:type="character" w:styleId="30">
    <w:name w:val="HTML Typewriter"/>
    <w:basedOn w:val="25"/>
    <w:semiHidden/>
    <w:unhideWhenUsed/>
    <w:qFormat/>
    <w:uiPriority w:val="99"/>
    <w:rPr>
      <w:rFonts w:hint="default" w:ascii="monospace" w:hAnsi="monospace" w:eastAsia="monospace" w:cs="monospace"/>
      <w:sz w:val="20"/>
    </w:rPr>
  </w:style>
  <w:style w:type="character" w:styleId="31">
    <w:name w:val="HTML Acronym"/>
    <w:basedOn w:val="25"/>
    <w:semiHidden/>
    <w:unhideWhenUsed/>
    <w:qFormat/>
    <w:uiPriority w:val="99"/>
  </w:style>
  <w:style w:type="character" w:styleId="32">
    <w:name w:val="HTML Variable"/>
    <w:basedOn w:val="25"/>
    <w:semiHidden/>
    <w:unhideWhenUsed/>
    <w:qFormat/>
    <w:uiPriority w:val="99"/>
  </w:style>
  <w:style w:type="character" w:styleId="33">
    <w:name w:val="Hyperlink"/>
    <w:basedOn w:val="25"/>
    <w:autoRedefine/>
    <w:unhideWhenUsed/>
    <w:qFormat/>
    <w:uiPriority w:val="99"/>
    <w:rPr>
      <w:color w:val="0000FF" w:themeColor="hyperlink"/>
      <w:u w:val="single"/>
      <w14:textFill>
        <w14:solidFill>
          <w14:schemeClr w14:val="hlink"/>
        </w14:solidFill>
      </w14:textFill>
    </w:rPr>
  </w:style>
  <w:style w:type="character" w:styleId="34">
    <w:name w:val="HTML Code"/>
    <w:basedOn w:val="25"/>
    <w:semiHidden/>
    <w:unhideWhenUsed/>
    <w:qFormat/>
    <w:uiPriority w:val="99"/>
    <w:rPr>
      <w:rFonts w:hint="default" w:ascii="monospace" w:hAnsi="monospace" w:eastAsia="monospace" w:cs="monospace"/>
      <w:sz w:val="20"/>
    </w:rPr>
  </w:style>
  <w:style w:type="character" w:styleId="35">
    <w:name w:val="annotation reference"/>
    <w:basedOn w:val="25"/>
    <w:autoRedefine/>
    <w:semiHidden/>
    <w:unhideWhenUsed/>
    <w:qFormat/>
    <w:uiPriority w:val="99"/>
    <w:rPr>
      <w:sz w:val="21"/>
      <w:szCs w:val="21"/>
    </w:rPr>
  </w:style>
  <w:style w:type="character" w:styleId="36">
    <w:name w:val="HTML Cite"/>
    <w:basedOn w:val="25"/>
    <w:semiHidden/>
    <w:unhideWhenUsed/>
    <w:qFormat/>
    <w:uiPriority w:val="99"/>
  </w:style>
  <w:style w:type="character" w:styleId="37">
    <w:name w:val="HTML Keyboard"/>
    <w:basedOn w:val="25"/>
    <w:semiHidden/>
    <w:unhideWhenUsed/>
    <w:qFormat/>
    <w:uiPriority w:val="99"/>
    <w:rPr>
      <w:rFonts w:ascii="monospace" w:hAnsi="monospace" w:eastAsia="monospace" w:cs="monospace"/>
      <w:sz w:val="20"/>
    </w:rPr>
  </w:style>
  <w:style w:type="character" w:styleId="38">
    <w:name w:val="HTML Sample"/>
    <w:basedOn w:val="25"/>
    <w:semiHidden/>
    <w:unhideWhenUsed/>
    <w:qFormat/>
    <w:uiPriority w:val="99"/>
    <w:rPr>
      <w:rFonts w:hint="default" w:ascii="monospace" w:hAnsi="monospace" w:eastAsia="monospace" w:cs="monospace"/>
    </w:rPr>
  </w:style>
  <w:style w:type="character" w:customStyle="1" w:styleId="39">
    <w:name w:val="批注框文本 字符"/>
    <w:basedOn w:val="25"/>
    <w:link w:val="14"/>
    <w:autoRedefine/>
    <w:semiHidden/>
    <w:qFormat/>
    <w:uiPriority w:val="99"/>
    <w:rPr>
      <w:rFonts w:ascii="@仿宋_GB2312" w:hAnsi="@仿宋_GB2312" w:eastAsia="@仿宋_GB2312" w:cs="@仿宋_GB2312"/>
      <w:sz w:val="18"/>
      <w:szCs w:val="18"/>
    </w:rPr>
  </w:style>
  <w:style w:type="paragraph" w:customStyle="1" w:styleId="40">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1">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2">
    <w:name w:val="D&amp;L"/>
    <w:basedOn w:val="16"/>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3">
    <w:name w:val="页眉 字符"/>
    <w:basedOn w:val="25"/>
    <w:link w:val="16"/>
    <w:autoRedefine/>
    <w:qFormat/>
    <w:uiPriority w:val="99"/>
    <w:rPr>
      <w:rFonts w:ascii="@仿宋_GB2312" w:hAnsi="@仿宋_GB2312" w:eastAsia="@仿宋_GB2312" w:cs="@仿宋_GB2312"/>
      <w:sz w:val="18"/>
      <w:szCs w:val="18"/>
    </w:rPr>
  </w:style>
  <w:style w:type="character" w:customStyle="1" w:styleId="44">
    <w:name w:val="页脚 字符"/>
    <w:basedOn w:val="25"/>
    <w:link w:val="15"/>
    <w:autoRedefine/>
    <w:qFormat/>
    <w:uiPriority w:val="99"/>
    <w:rPr>
      <w:rFonts w:ascii="@仿宋_GB2312" w:hAnsi="@仿宋_GB2312" w:eastAsia="@仿宋_GB2312" w:cs="@仿宋_GB2312"/>
      <w:sz w:val="18"/>
      <w:szCs w:val="18"/>
    </w:rPr>
  </w:style>
  <w:style w:type="character" w:customStyle="1" w:styleId="45">
    <w:name w:val="纯文本 字符"/>
    <w:link w:val="11"/>
    <w:autoRedefine/>
    <w:qFormat/>
    <w:uiPriority w:val="0"/>
    <w:rPr>
      <w:rFonts w:ascii="宋体" w:hAnsi="Courier New"/>
    </w:rPr>
  </w:style>
  <w:style w:type="character" w:customStyle="1" w:styleId="46">
    <w:name w:val="纯文本 字符1"/>
    <w:basedOn w:val="25"/>
    <w:autoRedefine/>
    <w:semiHidden/>
    <w:qFormat/>
    <w:uiPriority w:val="99"/>
    <w:rPr>
      <w:rFonts w:hAnsi="Courier New" w:cs="Courier New" w:asciiTheme="minorEastAsia"/>
      <w:szCs w:val="20"/>
    </w:rPr>
  </w:style>
  <w:style w:type="character" w:customStyle="1" w:styleId="47">
    <w:name w:val="未处理的提及1"/>
    <w:basedOn w:val="25"/>
    <w:autoRedefine/>
    <w:semiHidden/>
    <w:unhideWhenUsed/>
    <w:qFormat/>
    <w:uiPriority w:val="99"/>
    <w:rPr>
      <w:color w:val="605E5C"/>
      <w:shd w:val="clear" w:color="auto" w:fill="E1DFDD"/>
    </w:rPr>
  </w:style>
  <w:style w:type="paragraph" w:styleId="48">
    <w:name w:val="List Paragraph"/>
    <w:basedOn w:val="1"/>
    <w:autoRedefine/>
    <w:qFormat/>
    <w:uiPriority w:val="34"/>
    <w:pPr>
      <w:ind w:firstLine="420" w:firstLineChars="200"/>
    </w:pPr>
  </w:style>
  <w:style w:type="paragraph" w:customStyle="1" w:styleId="49">
    <w:name w:val="Char Char Char Char Char Char Char1 Char"/>
    <w:basedOn w:val="1"/>
    <w:autoRedefine/>
    <w:qFormat/>
    <w:uiPriority w:val="0"/>
    <w:rPr>
      <w:rFonts w:ascii="Arial" w:hAnsi="Arial" w:eastAsia="宋体" w:cs="Arial"/>
      <w:sz w:val="24"/>
    </w:rPr>
  </w:style>
  <w:style w:type="table" w:customStyle="1" w:styleId="50">
    <w:name w:val="网格表 1 浅色1"/>
    <w:basedOn w:val="2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1">
    <w:name w:val="日期 字符"/>
    <w:basedOn w:val="25"/>
    <w:autoRedefine/>
    <w:semiHidden/>
    <w:qFormat/>
    <w:uiPriority w:val="99"/>
    <w:rPr>
      <w:rFonts w:ascii="@仿宋_GB2312" w:hAnsi="@仿宋_GB2312" w:eastAsia="@仿宋_GB2312" w:cs="@仿宋_GB2312"/>
      <w:szCs w:val="20"/>
    </w:rPr>
  </w:style>
  <w:style w:type="character" w:customStyle="1" w:styleId="52">
    <w:name w:val="日期 字符1"/>
    <w:link w:val="12"/>
    <w:autoRedefine/>
    <w:qFormat/>
    <w:uiPriority w:val="0"/>
    <w:rPr>
      <w:rFonts w:ascii="Arial" w:hAnsi="Arial" w:eastAsia="宋体" w:cs="Arial"/>
      <w:b/>
      <w:sz w:val="28"/>
      <w:szCs w:val="20"/>
    </w:rPr>
  </w:style>
  <w:style w:type="character" w:customStyle="1" w:styleId="53">
    <w:name w:val="纯文本 Char1"/>
    <w:autoRedefine/>
    <w:qFormat/>
    <w:locked/>
    <w:uiPriority w:val="99"/>
    <w:rPr>
      <w:rFonts w:ascii="Arial" w:hAnsi="Arial" w:eastAsia="Arial"/>
      <w:kern w:val="2"/>
      <w:sz w:val="21"/>
      <w:lang w:val="en-US" w:eastAsia="zh-CN" w:bidi="ar-SA"/>
    </w:rPr>
  </w:style>
  <w:style w:type="character" w:customStyle="1" w:styleId="54">
    <w:name w:val="批注文字 Char"/>
    <w:basedOn w:val="25"/>
    <w:autoRedefine/>
    <w:semiHidden/>
    <w:qFormat/>
    <w:uiPriority w:val="99"/>
    <w:rPr>
      <w:rFonts w:ascii="@仿宋_GB2312" w:hAnsi="@仿宋_GB2312" w:eastAsia="@仿宋_GB2312" w:cs="@仿宋_GB2312"/>
      <w:szCs w:val="20"/>
    </w:rPr>
  </w:style>
  <w:style w:type="character" w:customStyle="1" w:styleId="55">
    <w:name w:val="批注文字 字符"/>
    <w:link w:val="7"/>
    <w:autoRedefine/>
    <w:qFormat/>
    <w:uiPriority w:val="0"/>
    <w:rPr>
      <w:rFonts w:ascii="Arial" w:hAnsi="Arial" w:eastAsia="黑体" w:cs="Arial"/>
      <w:szCs w:val="20"/>
    </w:rPr>
  </w:style>
  <w:style w:type="character" w:customStyle="1" w:styleId="56">
    <w:name w:val="标题 1 字符"/>
    <w:basedOn w:val="25"/>
    <w:link w:val="2"/>
    <w:autoRedefine/>
    <w:qFormat/>
    <w:uiPriority w:val="9"/>
    <w:rPr>
      <w:rFonts w:ascii="@仿宋_GB2312" w:hAnsi="@仿宋_GB2312" w:eastAsia="@仿宋_GB2312" w:cs="@仿宋_GB2312"/>
      <w:b/>
      <w:bCs/>
      <w:kern w:val="44"/>
      <w:sz w:val="44"/>
      <w:szCs w:val="44"/>
    </w:rPr>
  </w:style>
  <w:style w:type="paragraph" w:customStyle="1" w:styleId="5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8">
    <w:name w:val="标题 3 字符"/>
    <w:basedOn w:val="25"/>
    <w:link w:val="4"/>
    <w:autoRedefine/>
    <w:semiHidden/>
    <w:qFormat/>
    <w:uiPriority w:val="9"/>
    <w:rPr>
      <w:rFonts w:ascii="@仿宋_GB2312" w:hAnsi="@仿宋_GB2312" w:eastAsia="@仿宋_GB2312" w:cs="@仿宋_GB2312"/>
      <w:b/>
      <w:bCs/>
      <w:sz w:val="32"/>
      <w:szCs w:val="32"/>
    </w:rPr>
  </w:style>
  <w:style w:type="character" w:customStyle="1" w:styleId="59">
    <w:name w:val="fontstyle01"/>
    <w:basedOn w:val="25"/>
    <w:autoRedefine/>
    <w:qFormat/>
    <w:uiPriority w:val="0"/>
    <w:rPr>
      <w:rFonts w:hint="eastAsia" w:ascii="宋体" w:hAnsi="宋体" w:eastAsia="宋体"/>
      <w:color w:val="000000"/>
      <w:sz w:val="22"/>
      <w:szCs w:val="22"/>
    </w:rPr>
  </w:style>
  <w:style w:type="character" w:customStyle="1" w:styleId="60">
    <w:name w:val="fontstyle21"/>
    <w:basedOn w:val="25"/>
    <w:autoRedefine/>
    <w:qFormat/>
    <w:uiPriority w:val="0"/>
    <w:rPr>
      <w:rFonts w:hint="default" w:ascii="TimesNewRomanPSMT" w:hAnsi="TimesNewRomanPSMT"/>
      <w:color w:val="000000"/>
      <w:sz w:val="22"/>
      <w:szCs w:val="22"/>
    </w:rPr>
  </w:style>
  <w:style w:type="character" w:customStyle="1" w:styleId="6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2">
    <w:name w:val="标题 4 字符"/>
    <w:basedOn w:val="25"/>
    <w:autoRedefine/>
    <w:semiHidden/>
    <w:qFormat/>
    <w:uiPriority w:val="9"/>
    <w:rPr>
      <w:rFonts w:asciiTheme="majorHAnsi" w:hAnsiTheme="majorHAnsi" w:eastAsiaTheme="majorEastAsia" w:cstheme="majorBidi"/>
      <w:b/>
      <w:bCs/>
      <w:sz w:val="28"/>
      <w:szCs w:val="28"/>
    </w:rPr>
  </w:style>
  <w:style w:type="character" w:customStyle="1" w:styleId="63">
    <w:name w:val="标题 4 字符1"/>
    <w:link w:val="5"/>
    <w:autoRedefine/>
    <w:qFormat/>
    <w:uiPriority w:val="0"/>
    <w:rPr>
      <w:rFonts w:ascii="@仿宋_GB2312" w:hAnsi="@仿宋_GB2312" w:eastAsia="@仿宋_GB2312" w:cs="@仿宋_GB2312"/>
      <w:b/>
      <w:bCs/>
      <w:sz w:val="28"/>
      <w:szCs w:val="28"/>
    </w:rPr>
  </w:style>
  <w:style w:type="character" w:customStyle="1" w:styleId="64">
    <w:name w:val="标题 4 Char"/>
    <w:autoRedefine/>
    <w:qFormat/>
    <w:uiPriority w:val="0"/>
    <w:rPr>
      <w:rFonts w:ascii="Arial" w:hAnsi="Arial" w:eastAsia="Arial"/>
      <w:b/>
      <w:bCs/>
      <w:kern w:val="2"/>
      <w:sz w:val="28"/>
      <w:szCs w:val="28"/>
      <w:lang w:val="en-US" w:eastAsia="zh-CN" w:bidi="ar-SA"/>
    </w:rPr>
  </w:style>
  <w:style w:type="table" w:customStyle="1" w:styleId="65">
    <w:name w:val="网格型1"/>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批注主题 字符"/>
    <w:basedOn w:val="55"/>
    <w:link w:val="21"/>
    <w:autoRedefine/>
    <w:semiHidden/>
    <w:qFormat/>
    <w:uiPriority w:val="99"/>
    <w:rPr>
      <w:rFonts w:ascii="@仿宋_GB2312" w:hAnsi="@仿宋_GB2312" w:eastAsia="@仿宋_GB2312" w:cs="@仿宋_GB2312"/>
      <w:b/>
      <w:bCs/>
      <w:szCs w:val="20"/>
    </w:rPr>
  </w:style>
  <w:style w:type="table" w:customStyle="1" w:styleId="67">
    <w:name w:val="Table Normal"/>
    <w:autoRedefine/>
    <w:semiHidden/>
    <w:unhideWhenUsed/>
    <w:qFormat/>
    <w:uiPriority w:val="0"/>
    <w:tblPr>
      <w:tblCellMar>
        <w:top w:w="0" w:type="dxa"/>
        <w:left w:w="0" w:type="dxa"/>
        <w:bottom w:w="0" w:type="dxa"/>
        <w:right w:w="0" w:type="dxa"/>
      </w:tblCellMar>
    </w:tblPr>
  </w:style>
  <w:style w:type="paragraph" w:customStyle="1" w:styleId="68">
    <w:name w:val="Table Text"/>
    <w:basedOn w:val="1"/>
    <w:autoRedefine/>
    <w:semiHidden/>
    <w:qFormat/>
    <w:uiPriority w:val="0"/>
    <w:rPr>
      <w:rFonts w:ascii="Arial" w:hAnsi="Arial" w:eastAsia="Arial" w:cs="Arial"/>
      <w:szCs w:val="21"/>
      <w:lang w:eastAsia="en-US"/>
    </w:rPr>
  </w:style>
  <w:style w:type="paragraph" w:customStyle="1" w:styleId="69">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0">
    <w:name w:val="列出段落1"/>
    <w:basedOn w:val="1"/>
    <w:autoRedefine/>
    <w:qFormat/>
    <w:uiPriority w:val="0"/>
    <w:pPr>
      <w:ind w:firstLine="420" w:firstLineChars="200"/>
    </w:pPr>
    <w:rPr>
      <w:szCs w:val="21"/>
    </w:rPr>
  </w:style>
  <w:style w:type="character" w:customStyle="1" w:styleId="71">
    <w:name w:val="first-child"/>
    <w:basedOn w:val="25"/>
    <w:qFormat/>
    <w:uiPriority w:val="0"/>
  </w:style>
  <w:style w:type="character" w:customStyle="1" w:styleId="72">
    <w:name w:val="layui-this"/>
    <w:basedOn w:val="25"/>
    <w:qFormat/>
    <w:uiPriority w:val="0"/>
    <w:rPr>
      <w:bdr w:val="single" w:color="EEEEEE" w:sz="6" w:space="0"/>
      <w:shd w:val="clear" w:color="auto" w:fill="FFFFFF"/>
    </w:rPr>
  </w:style>
  <w:style w:type="character" w:customStyle="1" w:styleId="73">
    <w:name w:val="hover"/>
    <w:basedOn w:val="25"/>
    <w:qFormat/>
    <w:uiPriority w:val="0"/>
  </w:style>
  <w:style w:type="character" w:customStyle="1" w:styleId="74">
    <w:name w:val="hover1"/>
    <w:basedOn w:val="25"/>
    <w:qFormat/>
    <w:uiPriority w:val="0"/>
    <w:rPr>
      <w:color w:val="2590EB"/>
    </w:rPr>
  </w:style>
  <w:style w:type="character" w:customStyle="1" w:styleId="75">
    <w:name w:val="hover2"/>
    <w:basedOn w:val="25"/>
    <w:qFormat/>
    <w:uiPriority w:val="0"/>
    <w:rPr>
      <w:color w:val="2590EB"/>
    </w:rPr>
  </w:style>
  <w:style w:type="character" w:customStyle="1" w:styleId="76">
    <w:name w:val="hover3"/>
    <w:basedOn w:val="25"/>
    <w:qFormat/>
    <w:uiPriority w:val="0"/>
    <w:rPr>
      <w:color w:val="2590EB"/>
      <w:shd w:val="clear" w:color="auto" w:fill="E9F4FD"/>
    </w:rPr>
  </w:style>
  <w:style w:type="character" w:customStyle="1" w:styleId="77">
    <w:name w:val="mini-outputtext1"/>
    <w:basedOn w:val="25"/>
    <w:qFormat/>
    <w:uiPriority w:val="0"/>
  </w:style>
  <w:style w:type="character" w:customStyle="1" w:styleId="78">
    <w:name w:val="hover4"/>
    <w:basedOn w:val="25"/>
    <w:qFormat/>
    <w:uiPriority w:val="0"/>
  </w:style>
  <w:style w:type="paragraph" w:customStyle="1" w:styleId="79">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80">
    <w:name w:val="font11"/>
    <w:basedOn w:val="25"/>
    <w:qFormat/>
    <w:uiPriority w:val="0"/>
    <w:rPr>
      <w:rFonts w:hint="eastAsia" w:ascii="宋体" w:hAnsi="宋体" w:eastAsia="宋体" w:cs="宋体"/>
      <w:color w:val="000000"/>
      <w:sz w:val="22"/>
      <w:szCs w:val="22"/>
      <w:u w:val="none"/>
    </w:rPr>
  </w:style>
  <w:style w:type="character" w:customStyle="1" w:styleId="81">
    <w:name w:val="font71"/>
    <w:basedOn w:val="25"/>
    <w:qFormat/>
    <w:uiPriority w:val="0"/>
    <w:rPr>
      <w:rFonts w:hint="eastAsia" w:ascii="宋体" w:hAnsi="宋体" w:eastAsia="宋体" w:cs="宋体"/>
      <w:color w:val="FF0000"/>
      <w:sz w:val="22"/>
      <w:szCs w:val="22"/>
      <w:u w:val="none"/>
    </w:rPr>
  </w:style>
  <w:style w:type="character" w:customStyle="1" w:styleId="82">
    <w:name w:val="font01"/>
    <w:basedOn w:val="25"/>
    <w:qFormat/>
    <w:uiPriority w:val="0"/>
    <w:rPr>
      <w:rFonts w:hint="eastAsia" w:ascii="宋体" w:hAnsi="宋体" w:eastAsia="宋体" w:cs="宋体"/>
      <w:color w:val="000000"/>
      <w:sz w:val="22"/>
      <w:szCs w:val="22"/>
      <w:u w:val="none"/>
    </w:rPr>
  </w:style>
  <w:style w:type="character" w:customStyle="1" w:styleId="83">
    <w:name w:val="font81"/>
    <w:basedOn w:val="25"/>
    <w:qFormat/>
    <w:uiPriority w:val="0"/>
    <w:rPr>
      <w:rFonts w:hint="default" w:ascii="Times New Roman" w:hAnsi="Times New Roman" w:cs="Times New Roman"/>
      <w:color w:val="000000"/>
      <w:sz w:val="22"/>
      <w:szCs w:val="22"/>
      <w:u w:val="none"/>
    </w:rPr>
  </w:style>
  <w:style w:type="character" w:customStyle="1" w:styleId="84">
    <w:name w:val="font41"/>
    <w:basedOn w:val="25"/>
    <w:qFormat/>
    <w:uiPriority w:val="0"/>
    <w:rPr>
      <w:rFonts w:hint="eastAsia" w:ascii="宋体" w:hAnsi="宋体" w:eastAsia="宋体" w:cs="宋体"/>
      <w:color w:val="000000"/>
      <w:sz w:val="22"/>
      <w:szCs w:val="22"/>
      <w:u w:val="none"/>
    </w:rPr>
  </w:style>
  <w:style w:type="character" w:customStyle="1" w:styleId="85">
    <w:name w:val="font21"/>
    <w:basedOn w:val="25"/>
    <w:qFormat/>
    <w:uiPriority w:val="0"/>
    <w:rPr>
      <w:rFonts w:hint="eastAsia" w:ascii="宋体" w:hAnsi="宋体" w:eastAsia="宋体" w:cs="宋体"/>
      <w:color w:val="000000"/>
      <w:sz w:val="22"/>
      <w:szCs w:val="22"/>
      <w:u w:val="none"/>
    </w:rPr>
  </w:style>
  <w:style w:type="character" w:customStyle="1" w:styleId="86">
    <w:name w:val="font51"/>
    <w:basedOn w:val="25"/>
    <w:qFormat/>
    <w:uiPriority w:val="0"/>
    <w:rPr>
      <w:rFonts w:hint="eastAsia" w:ascii="宋体" w:hAnsi="宋体" w:eastAsia="宋体" w:cs="宋体"/>
      <w:strike/>
      <w:color w:val="FF0000"/>
      <w:sz w:val="20"/>
      <w:szCs w:val="20"/>
    </w:rPr>
  </w:style>
  <w:style w:type="character" w:customStyle="1" w:styleId="87">
    <w:name w:val="font31"/>
    <w:basedOn w:val="2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89</Pages>
  <Words>83</Words>
  <Characters>101</Characters>
  <Lines>5522</Lines>
  <Paragraphs>5161</Paragraphs>
  <TotalTime>13</TotalTime>
  <ScaleCrop>false</ScaleCrop>
  <LinksUpToDate>false</LinksUpToDate>
  <CharactersWithSpaces>106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2026-09-16T23:45:00Z</cp:lastPrinted>
  <dcterms:modified xsi:type="dcterms:W3CDTF">2026-09-28T01:14:34Z</dcterms:modified>
  <cp:revision>390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A88CAA8CD3FA4BC792C3C1E65701D483_13</vt:lpwstr>
  </property>
  <property fmtid="{D5CDD505-2E9C-101B-9397-08002B2CF9AE}" pid="4" name="KSOTemplateDocerSaveRecord">
    <vt:lpwstr>eyJoZGlkIjoiOTc5MDNjMmIyODczM2YwMGZkZTNjYWY1NjIxZTY5YjciLCJ1c2VySWQiOiI1MDM3MjkwOTMifQ==</vt:lpwstr>
  </property>
</Properties>
</file>