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3F50AD">
      <w:pPr>
        <w:jc w:val="center"/>
        <w:rPr>
          <w:rFonts w:ascii="宋体" w:cs="宋体"/>
          <w:b/>
          <w:color w:val="auto"/>
          <w:kern w:val="0"/>
          <w:sz w:val="44"/>
          <w:szCs w:val="44"/>
          <w:highlight w:val="none"/>
        </w:rPr>
      </w:pPr>
      <w:bookmarkStart w:id="0" w:name="_Toc247085669"/>
      <w:bookmarkStart w:id="1" w:name="_Toc246996898"/>
      <w:bookmarkStart w:id="2" w:name="_Toc461631222"/>
      <w:bookmarkStart w:id="3" w:name="_Toc15058843"/>
      <w:bookmarkStart w:id="4" w:name="_Toc506107265"/>
      <w:bookmarkStart w:id="5" w:name="_Toc296602400"/>
      <w:bookmarkStart w:id="6" w:name="_Toc324404811"/>
      <w:bookmarkStart w:id="7" w:name="OLE_LINK2"/>
      <w:bookmarkStart w:id="8" w:name="OLE_LINK1"/>
      <w:bookmarkStart w:id="9" w:name="OLE_LINK5"/>
      <w:bookmarkStart w:id="10" w:name="OLE_LINK4"/>
      <w:bookmarkStart w:id="11" w:name="OLE_LINK3"/>
    </w:p>
    <w:p w14:paraId="23A003E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eastAsia="宋体" w:cs="宋体"/>
          <w:b/>
          <w:color w:val="auto"/>
          <w:kern w:val="0"/>
          <w:sz w:val="52"/>
          <w:szCs w:val="52"/>
          <w:highlight w:val="none"/>
          <w:lang w:val="en-US" w:eastAsia="zh-CN"/>
        </w:rPr>
      </w:pPr>
      <w:r>
        <w:rPr>
          <w:rFonts w:hint="eastAsia" w:ascii="宋体" w:hAnsi="宋体" w:cs="宋体"/>
          <w:b/>
          <w:color w:val="auto"/>
          <w:kern w:val="0"/>
          <w:sz w:val="52"/>
          <w:szCs w:val="52"/>
          <w:highlight w:val="none"/>
          <w:lang w:val="en-US" w:eastAsia="zh-CN"/>
        </w:rPr>
        <w:t>中新苏滁高新区（未来产业园）智能制造工业坊项目桩基检测</w:t>
      </w:r>
    </w:p>
    <w:p w14:paraId="16081681">
      <w:pPr>
        <w:wordWrap w:val="0"/>
        <w:ind w:firstLine="2640" w:firstLineChars="1100"/>
        <w:rPr>
          <w:color w:val="auto"/>
          <w:sz w:val="24"/>
          <w:highlight w:val="none"/>
        </w:rPr>
      </w:pPr>
    </w:p>
    <w:p w14:paraId="66D69215">
      <w:pPr>
        <w:wordWrap w:val="0"/>
        <w:ind w:firstLine="2640" w:firstLineChars="1100"/>
        <w:rPr>
          <w:color w:val="auto"/>
          <w:sz w:val="24"/>
          <w:highlight w:val="none"/>
        </w:rPr>
      </w:pPr>
    </w:p>
    <w:p w14:paraId="6F2B2CBD">
      <w:pPr>
        <w:jc w:val="center"/>
        <w:rPr>
          <w:rFonts w:hint="eastAsia" w:ascii="宋体" w:hAnsi="宋体"/>
          <w:color w:val="auto"/>
          <w:sz w:val="84"/>
          <w:szCs w:val="84"/>
          <w:highlight w:val="none"/>
        </w:rPr>
      </w:pPr>
    </w:p>
    <w:p w14:paraId="2ACAB077">
      <w:pPr>
        <w:jc w:val="center"/>
        <w:rPr>
          <w:color w:val="auto"/>
          <w:sz w:val="24"/>
          <w:highlight w:val="none"/>
        </w:rPr>
      </w:pPr>
      <w:r>
        <w:rPr>
          <w:rFonts w:hint="eastAsia" w:ascii="宋体" w:hAnsi="宋体"/>
          <w:color w:val="auto"/>
          <w:sz w:val="84"/>
          <w:szCs w:val="84"/>
          <w:highlight w:val="none"/>
        </w:rPr>
        <w:t>招</w:t>
      </w:r>
      <w:r>
        <w:rPr>
          <w:rFonts w:hint="eastAsia" w:ascii="宋体"/>
          <w:color w:val="auto"/>
          <w:sz w:val="84"/>
          <w:szCs w:val="84"/>
          <w:highlight w:val="none"/>
        </w:rPr>
        <w:t>标</w:t>
      </w:r>
      <w:r>
        <w:rPr>
          <w:rFonts w:hint="eastAsia" w:ascii="宋体" w:hAnsi="宋体"/>
          <w:color w:val="auto"/>
          <w:sz w:val="84"/>
          <w:szCs w:val="84"/>
          <w:highlight w:val="none"/>
        </w:rPr>
        <w:t>文件</w:t>
      </w:r>
      <w:r>
        <w:rPr>
          <w:color w:val="auto"/>
          <w:sz w:val="24"/>
          <w:highlight w:val="none"/>
        </w:rPr>
        <w:t xml:space="preserve"> </w:t>
      </w:r>
    </w:p>
    <w:p w14:paraId="263CF7C7">
      <w:pPr>
        <w:spacing w:line="400" w:lineRule="exact"/>
        <w:jc w:val="center"/>
        <w:rPr>
          <w:rFonts w:ascii="宋体"/>
          <w:b/>
          <w:color w:val="auto"/>
          <w:sz w:val="39"/>
          <w:highlight w:val="none"/>
        </w:rPr>
      </w:pPr>
    </w:p>
    <w:p w14:paraId="404D040C">
      <w:pPr>
        <w:spacing w:line="400" w:lineRule="exact"/>
        <w:rPr>
          <w:color w:val="auto"/>
          <w:highlight w:val="none"/>
        </w:rPr>
      </w:pPr>
    </w:p>
    <w:p w14:paraId="508A4BDA">
      <w:pPr>
        <w:spacing w:line="720" w:lineRule="exact"/>
        <w:rPr>
          <w:b/>
          <w:bCs/>
          <w:color w:val="auto"/>
          <w:sz w:val="28"/>
          <w:szCs w:val="28"/>
          <w:highlight w:val="none"/>
        </w:rPr>
      </w:pPr>
    </w:p>
    <w:p w14:paraId="37CB3BC2">
      <w:pPr>
        <w:spacing w:line="720" w:lineRule="exact"/>
        <w:rPr>
          <w:b/>
          <w:bCs/>
          <w:color w:val="auto"/>
          <w:sz w:val="28"/>
          <w:szCs w:val="28"/>
          <w:highlight w:val="none"/>
        </w:rPr>
      </w:pPr>
    </w:p>
    <w:p w14:paraId="2639CFA6">
      <w:pPr>
        <w:pStyle w:val="63"/>
        <w:rPr>
          <w:b/>
          <w:bCs/>
          <w:color w:val="auto"/>
          <w:sz w:val="28"/>
          <w:szCs w:val="28"/>
          <w:highlight w:val="none"/>
        </w:rPr>
      </w:pPr>
    </w:p>
    <w:p w14:paraId="1ECB3432">
      <w:pPr>
        <w:pStyle w:val="64"/>
        <w:rPr>
          <w:b/>
          <w:bCs/>
          <w:color w:val="auto"/>
          <w:sz w:val="28"/>
          <w:szCs w:val="28"/>
          <w:highlight w:val="none"/>
        </w:rPr>
      </w:pPr>
    </w:p>
    <w:p w14:paraId="40D2CC13">
      <w:pPr>
        <w:pStyle w:val="63"/>
        <w:rPr>
          <w:b/>
          <w:bCs/>
          <w:color w:val="auto"/>
          <w:sz w:val="28"/>
          <w:szCs w:val="28"/>
          <w:highlight w:val="none"/>
        </w:rPr>
      </w:pPr>
    </w:p>
    <w:p w14:paraId="2F0997C7">
      <w:pPr>
        <w:pStyle w:val="64"/>
        <w:rPr>
          <w:color w:val="auto"/>
          <w:highlight w:val="none"/>
        </w:rPr>
      </w:pPr>
    </w:p>
    <w:p w14:paraId="029BDAEE">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lang w:eastAsia="zh-CN"/>
        </w:rPr>
      </w:pPr>
    </w:p>
    <w:p w14:paraId="4EB74C96">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lang w:eastAsia="zh-CN"/>
        </w:rPr>
      </w:pPr>
    </w:p>
    <w:p w14:paraId="3298AAD2">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招标单位</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lang w:val="en-US" w:eastAsia="zh-CN"/>
        </w:rPr>
        <w:t xml:space="preserve">    滁州苏滁产城开发有限公司   </w:t>
      </w:r>
      <w:r>
        <w:rPr>
          <w:rFonts w:hint="eastAsia" w:ascii="宋体" w:hAnsi="宋体" w:cs="宋体"/>
          <w:b/>
          <w:bCs/>
          <w:color w:val="auto"/>
          <w:sz w:val="28"/>
          <w:szCs w:val="28"/>
          <w:highlight w:val="none"/>
        </w:rPr>
        <w:t>（盖章）</w:t>
      </w:r>
    </w:p>
    <w:p w14:paraId="4536E8A2">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代理机构：</w:t>
      </w:r>
      <w:r>
        <w:rPr>
          <w:rFonts w:hint="eastAsia" w:ascii="宋体" w:hAnsi="宋体" w:cs="宋体"/>
          <w:b/>
          <w:bCs/>
          <w:color w:val="auto"/>
          <w:sz w:val="28"/>
          <w:szCs w:val="28"/>
          <w:highlight w:val="none"/>
          <w:u w:val="single"/>
          <w:lang w:eastAsia="zh-CN"/>
        </w:rPr>
        <w:t>滁州市城投工程咨询管理有限公司</w:t>
      </w:r>
      <w:r>
        <w:rPr>
          <w:rFonts w:hint="eastAsia" w:ascii="宋体" w:hAnsi="宋体" w:cs="宋体"/>
          <w:b/>
          <w:bCs/>
          <w:color w:val="auto"/>
          <w:sz w:val="28"/>
          <w:szCs w:val="28"/>
          <w:highlight w:val="none"/>
        </w:rPr>
        <w:t>（盖章）</w:t>
      </w:r>
    </w:p>
    <w:p w14:paraId="521E197D">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rPr>
        <w:t xml:space="preserve">年 </w:t>
      </w:r>
      <w:r>
        <w:rPr>
          <w:rFonts w:hint="eastAsia" w:ascii="宋体" w:hAnsi="宋体" w:cs="宋体"/>
          <w:b/>
          <w:bCs/>
          <w:color w:val="auto"/>
          <w:sz w:val="28"/>
          <w:szCs w:val="28"/>
          <w:highlight w:val="none"/>
          <w:u w:val="single"/>
          <w:lang w:val="en-US" w:eastAsia="zh-CN"/>
        </w:rPr>
        <w:t xml:space="preserve"> 5 </w:t>
      </w:r>
      <w:r>
        <w:rPr>
          <w:rFonts w:hint="eastAsia" w:ascii="宋体" w:hAnsi="宋体" w:cs="宋体"/>
          <w:b/>
          <w:bCs/>
          <w:color w:val="auto"/>
          <w:sz w:val="28"/>
          <w:szCs w:val="28"/>
          <w:highlight w:val="none"/>
        </w:rPr>
        <w:t>月</w:t>
      </w:r>
    </w:p>
    <w:p w14:paraId="200B5A07">
      <w:pPr>
        <w:jc w:val="center"/>
        <w:rPr>
          <w:color w:val="auto"/>
          <w:sz w:val="44"/>
          <w:szCs w:val="44"/>
          <w:highlight w:val="none"/>
        </w:rPr>
        <w:sectPr>
          <w:footerReference r:id="rId5" w:type="first"/>
          <w:headerReference r:id="rId3" w:type="default"/>
          <w:footerReference r:id="rId4" w:type="default"/>
          <w:pgSz w:w="11906" w:h="16838"/>
          <w:pgMar w:top="1134" w:right="1417" w:bottom="1134" w:left="1417" w:header="851" w:footer="992" w:gutter="0"/>
          <w:cols w:space="720" w:num="1"/>
          <w:docGrid w:type="lines" w:linePitch="312" w:charSpace="0"/>
        </w:sectPr>
      </w:pPr>
    </w:p>
    <w:p w14:paraId="09BD7044">
      <w:pPr>
        <w:spacing w:line="700" w:lineRule="exact"/>
        <w:jc w:val="center"/>
        <w:rPr>
          <w:color w:val="auto"/>
          <w:sz w:val="44"/>
          <w:szCs w:val="44"/>
          <w:highlight w:val="none"/>
        </w:rPr>
      </w:pPr>
      <w:r>
        <w:rPr>
          <w:rFonts w:hint="eastAsia"/>
          <w:color w:val="auto"/>
          <w:sz w:val="44"/>
          <w:szCs w:val="44"/>
          <w:highlight w:val="none"/>
        </w:rPr>
        <w:t>目</w:t>
      </w:r>
      <w:r>
        <w:rPr>
          <w:color w:val="auto"/>
          <w:sz w:val="44"/>
          <w:szCs w:val="44"/>
          <w:highlight w:val="none"/>
        </w:rPr>
        <w:t xml:space="preserve">   </w:t>
      </w:r>
      <w:r>
        <w:rPr>
          <w:rFonts w:hint="eastAsia"/>
          <w:color w:val="auto"/>
          <w:sz w:val="44"/>
          <w:szCs w:val="44"/>
          <w:highlight w:val="none"/>
        </w:rPr>
        <w:t>录</w:t>
      </w:r>
      <w:bookmarkEnd w:id="0"/>
      <w:bookmarkEnd w:id="1"/>
      <w:bookmarkEnd w:id="2"/>
      <w:bookmarkEnd w:id="3"/>
      <w:bookmarkEnd w:id="4"/>
      <w:bookmarkEnd w:id="5"/>
      <w:bookmarkEnd w:id="6"/>
      <w:bookmarkStart w:id="12" w:name="_Toc179632527"/>
      <w:bookmarkStart w:id="13" w:name="_Toc152042287"/>
      <w:bookmarkStart w:id="14" w:name="_Toc152045511"/>
      <w:bookmarkStart w:id="15" w:name="_Toc144974479"/>
    </w:p>
    <w:p w14:paraId="4B3482C0">
      <w:pPr>
        <w:pStyle w:val="29"/>
        <w:tabs>
          <w:tab w:val="right" w:leader="dot" w:pos="9072"/>
        </w:tabs>
        <w:spacing w:line="700" w:lineRule="exact"/>
        <w:rPr>
          <w:rFonts w:ascii="宋体" w:cs="宋体"/>
          <w:color w:val="auto"/>
          <w:sz w:val="24"/>
          <w:szCs w:val="24"/>
          <w:highlight w:val="none"/>
        </w:rPr>
      </w:pPr>
      <w:r>
        <w:rPr>
          <w:rFonts w:ascii="宋体" w:hAnsi="宋体" w:cs="宋体"/>
          <w:b w:val="0"/>
          <w:bCs w:val="0"/>
          <w:caps w:val="0"/>
          <w:color w:val="auto"/>
          <w:sz w:val="24"/>
          <w:szCs w:val="24"/>
          <w:highlight w:val="none"/>
        </w:rPr>
        <w:fldChar w:fldCharType="begin"/>
      </w:r>
      <w:r>
        <w:rPr>
          <w:rFonts w:ascii="宋体" w:hAnsi="宋体" w:cs="宋体"/>
          <w:b w:val="0"/>
          <w:bCs w:val="0"/>
          <w:caps w:val="0"/>
          <w:color w:val="auto"/>
          <w:sz w:val="24"/>
          <w:szCs w:val="24"/>
          <w:highlight w:val="none"/>
        </w:rPr>
        <w:instrText xml:space="preserve"> TOC \o "1-3" \h \z \u </w:instrText>
      </w:r>
      <w:r>
        <w:rPr>
          <w:rFonts w:ascii="宋体" w:hAnsi="宋体" w:cs="宋体"/>
          <w:b w:val="0"/>
          <w:bCs w:val="0"/>
          <w:caps w:val="0"/>
          <w:color w:val="auto"/>
          <w:sz w:val="24"/>
          <w:szCs w:val="24"/>
          <w:highlight w:val="none"/>
        </w:rPr>
        <w:fldChar w:fldCharType="separate"/>
      </w:r>
      <w:r>
        <w:rPr>
          <w:color w:val="auto"/>
          <w:highlight w:val="none"/>
        </w:rPr>
        <w:fldChar w:fldCharType="begin"/>
      </w:r>
      <w:r>
        <w:rPr>
          <w:color w:val="auto"/>
          <w:highlight w:val="none"/>
        </w:rPr>
        <w:instrText xml:space="preserve"> HYPERLINK \l "_Toc3705" </w:instrText>
      </w:r>
      <w:r>
        <w:rPr>
          <w:color w:val="auto"/>
          <w:highlight w:val="none"/>
        </w:rPr>
        <w:fldChar w:fldCharType="separate"/>
      </w:r>
      <w:r>
        <w:rPr>
          <w:rFonts w:hint="eastAsia" w:ascii="宋体" w:hAnsi="宋体" w:cs="宋体"/>
          <w:color w:val="auto"/>
          <w:sz w:val="24"/>
          <w:szCs w:val="24"/>
          <w:highlight w:val="none"/>
        </w:rPr>
        <w:t>招标公告信息</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p>
    <w:p w14:paraId="3B0B25BB">
      <w:pPr>
        <w:pStyle w:val="29"/>
        <w:tabs>
          <w:tab w:val="right" w:leader="dot" w:pos="9072"/>
        </w:tabs>
        <w:spacing w:line="700" w:lineRule="exact"/>
        <w:rPr>
          <w:rFonts w:ascii="宋体" w:cs="宋体"/>
          <w:color w:val="auto"/>
          <w:sz w:val="24"/>
          <w:szCs w:val="24"/>
          <w:highlight w:val="none"/>
        </w:rPr>
      </w:pPr>
      <w:r>
        <w:rPr>
          <w:color w:val="auto"/>
          <w:highlight w:val="none"/>
        </w:rPr>
        <w:fldChar w:fldCharType="begin"/>
      </w:r>
      <w:r>
        <w:rPr>
          <w:color w:val="auto"/>
          <w:highlight w:val="none"/>
        </w:rPr>
        <w:instrText xml:space="preserve"> HYPERLINK \l "_Toc8504" </w:instrText>
      </w:r>
      <w:r>
        <w:rPr>
          <w:color w:val="auto"/>
          <w:highlight w:val="none"/>
        </w:rPr>
        <w:fldChar w:fldCharType="separate"/>
      </w:r>
      <w:r>
        <w:rPr>
          <w:rFonts w:hint="eastAsia" w:ascii="宋体" w:hAnsi="宋体" w:cs="宋体"/>
          <w:color w:val="auto"/>
          <w:sz w:val="24"/>
          <w:szCs w:val="24"/>
          <w:highlight w:val="none"/>
        </w:rPr>
        <w:t>第一章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投标人须知</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fldChar w:fldCharType="end"/>
      </w:r>
    </w:p>
    <w:p w14:paraId="74797813">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"_Toc18840" </w:instrText>
      </w:r>
      <w:r>
        <w:rPr>
          <w:color w:val="auto"/>
          <w:highlight w:val="none"/>
        </w:rPr>
        <w:fldChar w:fldCharType="separate"/>
      </w:r>
      <w:r>
        <w:rPr>
          <w:rFonts w:hint="eastAsia" w:ascii="宋体" w:hAnsi="宋体" w:cs="宋体"/>
          <w:color w:val="auto"/>
          <w:sz w:val="24"/>
          <w:szCs w:val="24"/>
          <w:highlight w:val="none"/>
        </w:rPr>
        <w:t>第二章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资格审查办法</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4B10B56E">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"_Toc24443" </w:instrText>
      </w:r>
      <w:r>
        <w:rPr>
          <w:color w:val="auto"/>
          <w:highlight w:val="none"/>
        </w:rPr>
        <w:fldChar w:fldCharType="separate"/>
      </w:r>
      <w:r>
        <w:rPr>
          <w:rFonts w:hint="eastAsia" w:ascii="宋体" w:hAnsi="宋体" w:cs="宋体"/>
          <w:color w:val="auto"/>
          <w:sz w:val="24"/>
          <w:szCs w:val="24"/>
          <w:highlight w:val="none"/>
        </w:rPr>
        <w:t>第三章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评标办法</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08E579FC">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"_Toc16404" </w:instrText>
      </w:r>
      <w:r>
        <w:rPr>
          <w:color w:val="auto"/>
          <w:highlight w:val="none"/>
        </w:rPr>
        <w:fldChar w:fldCharType="separate"/>
      </w:r>
      <w:r>
        <w:rPr>
          <w:rFonts w:hint="eastAsia" w:ascii="宋体" w:hAnsi="宋体" w:cs="宋体"/>
          <w:color w:val="auto"/>
          <w:sz w:val="24"/>
          <w:szCs w:val="24"/>
          <w:highlight w:val="none"/>
        </w:rPr>
        <w:t>第四章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合同条款及格式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6</w:t>
      </w:r>
    </w:p>
    <w:p w14:paraId="3370256B">
      <w:pPr>
        <w:pStyle w:val="29"/>
        <w:tabs>
          <w:tab w:val="right" w:leader="dot" w:pos="9072"/>
        </w:tabs>
        <w:spacing w:line="700" w:lineRule="exact"/>
        <w:rPr>
          <w:rFonts w:hint="eastAsia" w:asci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第五章  检测内容及要求</w:t>
      </w:r>
      <w:r>
        <w:rPr>
          <w:rFonts w:ascii="宋体" w:cs="宋体"/>
          <w:color w:val="auto"/>
          <w:sz w:val="24"/>
          <w:szCs w:val="24"/>
          <w:highlight w:val="none"/>
        </w:rPr>
        <w:tab/>
      </w:r>
      <w:r>
        <w:rPr>
          <w:rFonts w:hint="eastAsia" w:ascii="宋体" w:cs="宋体"/>
          <w:color w:val="auto"/>
          <w:sz w:val="24"/>
          <w:szCs w:val="24"/>
          <w:highlight w:val="none"/>
          <w:lang w:val="en-US" w:eastAsia="zh-CN"/>
        </w:rPr>
        <w:t>32</w:t>
      </w:r>
      <w:bookmarkStart w:id="783" w:name="_GoBack"/>
      <w:bookmarkEnd w:id="783"/>
    </w:p>
    <w:p w14:paraId="06F9A577">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"_Toc16786"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投标文件格式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6</w:t>
      </w:r>
    </w:p>
    <w:p w14:paraId="20837A3B">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"_Toc25735"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招标单位、招标代理机构对本招标文件的确认</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4</w:t>
      </w:r>
    </w:p>
    <w:p w14:paraId="01D6AE83">
      <w:pPr>
        <w:pStyle w:val="44"/>
        <w:spacing w:line="700" w:lineRule="exact"/>
        <w:ind w:left="0" w:leftChars="0" w:firstLine="0" w:firstLineChars="0"/>
        <w:jc w:val="left"/>
        <w:rPr>
          <w:color w:val="auto"/>
          <w:sz w:val="24"/>
          <w:szCs w:val="24"/>
          <w:highlight w:val="none"/>
        </w:rPr>
      </w:pPr>
      <w:r>
        <w:rPr>
          <w:rFonts w:hAnsi="宋体" w:cs="宋体"/>
          <w:b/>
          <w:bCs/>
          <w:caps/>
          <w:color w:val="auto"/>
          <w:sz w:val="24"/>
          <w:szCs w:val="24"/>
          <w:highlight w:val="none"/>
        </w:rPr>
        <w:fldChar w:fldCharType="end"/>
      </w:r>
    </w:p>
    <w:p w14:paraId="30512659">
      <w:pPr>
        <w:pStyle w:val="42"/>
        <w:spacing w:line="700" w:lineRule="exact"/>
        <w:jc w:val="left"/>
        <w:rPr>
          <w:color w:val="auto"/>
          <w:sz w:val="24"/>
          <w:szCs w:val="24"/>
          <w:highlight w:val="none"/>
        </w:rPr>
      </w:pPr>
    </w:p>
    <w:p w14:paraId="6E027E14">
      <w:pPr>
        <w:bidi w:val="0"/>
        <w:rPr>
          <w:color w:val="auto"/>
          <w:highlight w:val="none"/>
        </w:rPr>
      </w:pPr>
    </w:p>
    <w:p w14:paraId="46735590">
      <w:pPr>
        <w:bidi w:val="0"/>
        <w:rPr>
          <w:color w:val="auto"/>
          <w:highlight w:val="none"/>
        </w:rPr>
      </w:pPr>
    </w:p>
    <w:p w14:paraId="116F8071">
      <w:pPr>
        <w:bidi w:val="0"/>
        <w:rPr>
          <w:color w:val="auto"/>
          <w:highlight w:val="none"/>
        </w:rPr>
      </w:pPr>
    </w:p>
    <w:p w14:paraId="5471AD8E">
      <w:pPr>
        <w:bidi w:val="0"/>
        <w:rPr>
          <w:color w:val="auto"/>
          <w:highlight w:val="none"/>
        </w:rPr>
      </w:pPr>
    </w:p>
    <w:p w14:paraId="6219923C">
      <w:pPr>
        <w:bidi w:val="0"/>
        <w:rPr>
          <w:color w:val="auto"/>
          <w:highlight w:val="none"/>
        </w:rPr>
      </w:pPr>
    </w:p>
    <w:p w14:paraId="25DA2343">
      <w:pPr>
        <w:bidi w:val="0"/>
        <w:rPr>
          <w:color w:val="auto"/>
          <w:highlight w:val="none"/>
        </w:rPr>
      </w:pPr>
    </w:p>
    <w:p w14:paraId="200B8EB0">
      <w:pPr>
        <w:bidi w:val="0"/>
        <w:rPr>
          <w:color w:val="auto"/>
          <w:highlight w:val="none"/>
        </w:rPr>
      </w:pPr>
    </w:p>
    <w:p w14:paraId="18C39272">
      <w:pPr>
        <w:bidi w:val="0"/>
        <w:rPr>
          <w:color w:val="auto"/>
          <w:highlight w:val="none"/>
        </w:rPr>
      </w:pPr>
    </w:p>
    <w:p w14:paraId="157A1113">
      <w:pPr>
        <w:tabs>
          <w:tab w:val="left" w:pos="7034"/>
        </w:tabs>
        <w:bidi w:val="0"/>
        <w:jc w:val="left"/>
        <w:rPr>
          <w:rFonts w:hint="eastAsia" w:eastAsia="宋体"/>
          <w:color w:val="auto"/>
          <w:highlight w:val="none"/>
          <w:lang w:eastAsia="zh-CN"/>
        </w:rPr>
        <w:sectPr>
          <w:footerReference r:id="rId6" w:type="default"/>
          <w:pgSz w:w="11906" w:h="16838"/>
          <w:pgMar w:top="1134" w:right="1417" w:bottom="1134" w:left="1417" w:header="851" w:footer="992" w:gutter="0"/>
          <w:pgNumType w:start="1"/>
          <w:cols w:space="720" w:num="1"/>
          <w:docGrid w:type="lines" w:linePitch="312" w:charSpace="0"/>
        </w:sectPr>
      </w:pPr>
      <w:r>
        <w:rPr>
          <w:rFonts w:hint="eastAsia"/>
          <w:color w:val="auto"/>
          <w:highlight w:val="none"/>
          <w:lang w:eastAsia="zh-CN"/>
        </w:rPr>
        <w:tab/>
      </w:r>
    </w:p>
    <w:p w14:paraId="5263545D">
      <w:pPr>
        <w:pStyle w:val="42"/>
        <w:spacing w:beforeLines="50" w:afterLines="50" w:line="440" w:lineRule="exact"/>
        <w:rPr>
          <w:rFonts w:hint="eastAsia"/>
          <w:bCs/>
          <w:color w:val="auto"/>
          <w:szCs w:val="32"/>
          <w:highlight w:val="none"/>
          <w:lang w:val="en-US" w:eastAsia="zh-CN"/>
        </w:rPr>
      </w:pPr>
      <w:bookmarkStart w:id="16" w:name="_Toc3705"/>
      <w:r>
        <w:rPr>
          <w:rFonts w:hint="eastAsia"/>
          <w:bCs/>
          <w:color w:val="auto"/>
          <w:szCs w:val="32"/>
          <w:highlight w:val="none"/>
          <w:lang w:val="en-US" w:eastAsia="zh-CN"/>
        </w:rPr>
        <w:t>中新苏滁高新区（未来产业园）智能制造工业坊项目桩基检测</w:t>
      </w:r>
      <w:r>
        <w:rPr>
          <w:rFonts w:hint="eastAsia"/>
          <w:bCs/>
          <w:color w:val="auto"/>
          <w:szCs w:val="32"/>
          <w:highlight w:val="none"/>
        </w:rPr>
        <w:t>招标公告信息</w:t>
      </w:r>
      <w:bookmarkEnd w:id="16"/>
    </w:p>
    <w:tbl>
      <w:tblPr>
        <w:tblStyle w:val="45"/>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52"/>
        <w:gridCol w:w="8261"/>
      </w:tblGrid>
      <w:tr w14:paraId="1FE8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1D54E6EB">
            <w:pPr>
              <w:keepNext w:val="0"/>
              <w:keepLines w:val="0"/>
              <w:pageBreakBefore w:val="0"/>
              <w:kinsoku/>
              <w:overflowPunct/>
              <w:topLinePunct w:val="0"/>
              <w:autoSpaceDE/>
              <w:autoSpaceDN/>
              <w:bidi w:val="0"/>
              <w:spacing w:line="5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1926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5BD91F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8313" w:type="dxa"/>
            <w:gridSpan w:val="2"/>
            <w:noWrap w:val="0"/>
            <w:vAlign w:val="top"/>
          </w:tcPr>
          <w:p w14:paraId="24DACD9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eastAsia="宋体" w:cs="宋体"/>
                <w:bCs/>
                <w:color w:val="auto"/>
                <w:kern w:val="1"/>
                <w:sz w:val="21"/>
                <w:szCs w:val="21"/>
                <w:highlight w:val="none"/>
                <w:lang w:val="en-US" w:eastAsia="zh-CN"/>
              </w:rPr>
              <w:t>中新苏滁高新区（未来产业园）智能制造工业坊项目桩基检测</w:t>
            </w:r>
          </w:p>
        </w:tc>
      </w:tr>
      <w:tr w14:paraId="3957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531237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项目审批、核准或备案机关名称</w:t>
            </w:r>
          </w:p>
        </w:tc>
        <w:tc>
          <w:tcPr>
            <w:tcW w:w="8313" w:type="dxa"/>
            <w:gridSpan w:val="2"/>
            <w:noWrap w:val="0"/>
            <w:vAlign w:val="center"/>
          </w:tcPr>
          <w:p w14:paraId="26CE6EAB">
            <w:pPr>
              <w:keepNext w:val="0"/>
              <w:keepLines w:val="0"/>
              <w:pageBreakBefore w:val="0"/>
              <w:widowControl/>
              <w:kinsoku/>
              <w:overflowPunct/>
              <w:topLinePunct w:val="0"/>
              <w:autoSpaceDE/>
              <w:autoSpaceDN/>
              <w:bidi w:val="0"/>
              <w:spacing w:line="5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中新苏滁高新技术产业开发区经济运行局</w:t>
            </w:r>
            <w:r>
              <w:rPr>
                <w:rFonts w:hint="eastAsia" w:ascii="宋体" w:hAnsi="宋体" w:eastAsia="宋体" w:cs="宋体"/>
                <w:color w:val="auto"/>
                <w:sz w:val="21"/>
                <w:szCs w:val="21"/>
                <w:highlight w:val="none"/>
              </w:rPr>
              <w:t xml:space="preserve"> </w:t>
            </w:r>
          </w:p>
        </w:tc>
      </w:tr>
      <w:tr w14:paraId="5903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E3D42D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批文名称及编号</w:t>
            </w:r>
          </w:p>
        </w:tc>
        <w:tc>
          <w:tcPr>
            <w:tcW w:w="8313" w:type="dxa"/>
            <w:gridSpan w:val="2"/>
            <w:noWrap w:val="0"/>
            <w:vAlign w:val="center"/>
          </w:tcPr>
          <w:p w14:paraId="3FDD3B56">
            <w:pPr>
              <w:keepNext w:val="0"/>
              <w:keepLines w:val="0"/>
              <w:pageBreakBefore w:val="0"/>
              <w:widowControl/>
              <w:kinsoku/>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关于中新苏滁高新区智能制造工业坊项目立项的批复</w:t>
            </w:r>
          </w:p>
          <w:p w14:paraId="7698916F">
            <w:pPr>
              <w:keepNext w:val="0"/>
              <w:keepLines w:val="0"/>
              <w:pageBreakBefore w:val="0"/>
              <w:widowControl/>
              <w:kinsoku/>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苏滁经发【2023】9号</w:t>
            </w:r>
          </w:p>
        </w:tc>
      </w:tr>
      <w:tr w14:paraId="26F5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992152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8313" w:type="dxa"/>
            <w:gridSpan w:val="2"/>
            <w:noWrap w:val="0"/>
            <w:vAlign w:val="center"/>
          </w:tcPr>
          <w:p w14:paraId="4F2E7F54">
            <w:pPr>
              <w:widowControl/>
              <w:spacing w:line="560" w:lineRule="exact"/>
              <w:jc w:val="left"/>
              <w:rPr>
                <w:rFonts w:hint="eastAsia" w:ascii="宋体" w:hAnsi="宋体" w:eastAsia="宋体" w:cs="宋体"/>
                <w:color w:val="auto"/>
                <w:sz w:val="21"/>
                <w:szCs w:val="21"/>
                <w:highlight w:val="none"/>
                <w:lang w:eastAsia="zh-CN"/>
              </w:rPr>
            </w:pPr>
            <w:r>
              <w:rPr>
                <w:rFonts w:hint="eastAsia" w:ascii="宋体" w:hAnsi="Times New Roman" w:eastAsia="宋体" w:cs="宋体"/>
                <w:bCs/>
                <w:color w:val="auto"/>
                <w:kern w:val="1"/>
                <w:szCs w:val="21"/>
                <w:highlight w:val="none"/>
                <w:lang w:val="en-US" w:eastAsia="zh-CN"/>
              </w:rPr>
              <w:t>滁州苏滁产城开发有限公司</w:t>
            </w:r>
            <w:r>
              <w:rPr>
                <w:rFonts w:hint="eastAsia" w:ascii="宋体" w:hAnsi="宋体" w:cs="宋体"/>
                <w:color w:val="auto"/>
                <w:szCs w:val="21"/>
                <w:highlight w:val="none"/>
              </w:rPr>
              <w:t xml:space="preserve">  </w:t>
            </w:r>
          </w:p>
        </w:tc>
      </w:tr>
      <w:tr w14:paraId="66F9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8C8B58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8313" w:type="dxa"/>
            <w:gridSpan w:val="2"/>
            <w:noWrap w:val="0"/>
            <w:vAlign w:val="center"/>
          </w:tcPr>
          <w:p w14:paraId="6A258ED8">
            <w:pPr>
              <w:widowControl/>
              <w:spacing w:line="56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滁州苏滁产城开发有限公司</w:t>
            </w:r>
            <w:r>
              <w:rPr>
                <w:rFonts w:hint="eastAsia" w:ascii="宋体" w:hAnsi="宋体" w:cs="宋体"/>
                <w:color w:val="auto"/>
                <w:szCs w:val="21"/>
                <w:highlight w:val="none"/>
              </w:rPr>
              <w:t xml:space="preserve">  </w:t>
            </w:r>
          </w:p>
        </w:tc>
      </w:tr>
      <w:tr w14:paraId="3CA7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33" w:type="dxa"/>
            <w:noWrap w:val="0"/>
            <w:vAlign w:val="center"/>
          </w:tcPr>
          <w:p w14:paraId="4640E8E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8313" w:type="dxa"/>
            <w:gridSpan w:val="2"/>
            <w:noWrap w:val="0"/>
            <w:vAlign w:val="center"/>
          </w:tcPr>
          <w:p w14:paraId="39943CF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szCs w:val="21"/>
                <w:highlight w:val="none"/>
                <w:lang w:val="en-US" w:eastAsia="zh-CN"/>
              </w:rPr>
              <w:t>自筹资金</w:t>
            </w:r>
          </w:p>
        </w:tc>
      </w:tr>
      <w:tr w14:paraId="7108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319C955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8313" w:type="dxa"/>
            <w:gridSpan w:val="2"/>
            <w:noWrap w:val="0"/>
            <w:vAlign w:val="center"/>
          </w:tcPr>
          <w:p w14:paraId="0693572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100%</w:t>
            </w:r>
          </w:p>
        </w:tc>
      </w:tr>
      <w:tr w14:paraId="5F91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B61E85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8313" w:type="dxa"/>
            <w:gridSpan w:val="2"/>
            <w:noWrap w:val="0"/>
            <w:vAlign w:val="center"/>
          </w:tcPr>
          <w:p w14:paraId="6126115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公开招标</w:t>
            </w:r>
          </w:p>
        </w:tc>
      </w:tr>
      <w:tr w14:paraId="2D84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E3505B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8313" w:type="dxa"/>
            <w:gridSpan w:val="2"/>
            <w:noWrap w:val="0"/>
            <w:vAlign w:val="center"/>
          </w:tcPr>
          <w:p w14:paraId="222D2EF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综合评分法</w:t>
            </w:r>
          </w:p>
        </w:tc>
      </w:tr>
      <w:tr w14:paraId="3099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1D398A07">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502C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390874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8313" w:type="dxa"/>
            <w:gridSpan w:val="2"/>
            <w:noWrap w:val="0"/>
            <w:vAlign w:val="center"/>
          </w:tcPr>
          <w:p w14:paraId="625591E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中新苏滁高新区（未来产业园）智能制造工业坊项目桩基检测</w:t>
            </w:r>
          </w:p>
        </w:tc>
      </w:tr>
      <w:tr w14:paraId="4D3B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870BD5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招标项目编号</w:t>
            </w:r>
          </w:p>
        </w:tc>
        <w:tc>
          <w:tcPr>
            <w:tcW w:w="8313" w:type="dxa"/>
            <w:gridSpan w:val="2"/>
            <w:noWrap w:val="0"/>
            <w:vAlign w:val="center"/>
          </w:tcPr>
          <w:p w14:paraId="0DB2DD6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HXJY1110001056302001</w:t>
            </w:r>
          </w:p>
        </w:tc>
      </w:tr>
      <w:tr w14:paraId="1D29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682509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8313" w:type="dxa"/>
            <w:gridSpan w:val="2"/>
            <w:noWrap w:val="0"/>
            <w:vAlign w:val="center"/>
          </w:tcPr>
          <w:p w14:paraId="02AF30F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一个标段</w:t>
            </w:r>
          </w:p>
        </w:tc>
      </w:tr>
      <w:tr w14:paraId="22B2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550250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招标项目标段编号</w:t>
            </w:r>
          </w:p>
        </w:tc>
        <w:tc>
          <w:tcPr>
            <w:tcW w:w="8313" w:type="dxa"/>
            <w:gridSpan w:val="2"/>
            <w:noWrap w:val="0"/>
            <w:vAlign w:val="center"/>
          </w:tcPr>
          <w:p w14:paraId="0FB293E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HXJY1110001056302001001</w:t>
            </w:r>
          </w:p>
        </w:tc>
      </w:tr>
      <w:tr w14:paraId="619F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17A796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8313" w:type="dxa"/>
            <w:gridSpan w:val="2"/>
            <w:noWrap w:val="0"/>
            <w:vAlign w:val="center"/>
          </w:tcPr>
          <w:p w14:paraId="7F1036D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安徽省滁州市东至白塔街,南至滁中路,西至滁州大道,北至滨河南路</w:t>
            </w:r>
          </w:p>
        </w:tc>
      </w:tr>
      <w:tr w14:paraId="3962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062725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建设规模</w:t>
            </w:r>
          </w:p>
        </w:tc>
        <w:tc>
          <w:tcPr>
            <w:tcW w:w="8313" w:type="dxa"/>
            <w:gridSpan w:val="2"/>
            <w:noWrap w:val="0"/>
            <w:vAlign w:val="center"/>
          </w:tcPr>
          <w:p w14:paraId="2B88F70A">
            <w:pPr>
              <w:keepNext w:val="0"/>
              <w:keepLines w:val="0"/>
              <w:pageBreakBefore w:val="0"/>
              <w:widowControl/>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建设内容包括1#-12#厂房，均为三层，钢筋混凝土框架结构，建筑面积合计为95142.98m2；13#辅助用房，两层，钢筋混凝土框架结构，建筑面积为2980.56m2；14#-27#厂房，均为两层，钢筋混凝土框架结构，建筑面积合计为83330.76m2；28#综合楼，地下一层，地上八层，钢筋混凝土框架结构，建筑面积为34011.39m2；29#-31#厂房，均为一层，钢筋混凝土框架结构，建筑面积合计为34094.67m2；32#门卫，一层，钢筋混凝土框架结构，建筑面积为101.21m2，及室外附属工程。</w:t>
            </w:r>
          </w:p>
        </w:tc>
      </w:tr>
      <w:tr w14:paraId="6896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D69BAA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8313" w:type="dxa"/>
            <w:gridSpan w:val="2"/>
            <w:noWrap w:val="0"/>
            <w:vAlign w:val="center"/>
          </w:tcPr>
          <w:p w14:paraId="50AA364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检测</w:t>
            </w:r>
            <w:r>
              <w:rPr>
                <w:rFonts w:hint="eastAsia" w:ascii="宋体" w:hAnsi="宋体" w:eastAsia="宋体" w:cs="宋体"/>
                <w:color w:val="auto"/>
                <w:sz w:val="21"/>
                <w:szCs w:val="21"/>
                <w:highlight w:val="none"/>
                <w:lang w:val="en-US" w:eastAsia="zh-CN"/>
              </w:rPr>
              <w:t>费用约</w:t>
            </w:r>
            <w:r>
              <w:rPr>
                <w:rFonts w:hint="eastAsia" w:ascii="宋体" w:hAnsi="宋体" w:cs="宋体"/>
                <w:color w:val="auto"/>
                <w:sz w:val="21"/>
                <w:szCs w:val="21"/>
                <w:highlight w:val="none"/>
                <w:lang w:val="en-US" w:eastAsia="zh-CN"/>
              </w:rPr>
              <w:t>76</w:t>
            </w:r>
            <w:r>
              <w:rPr>
                <w:rFonts w:hint="eastAsia" w:ascii="宋体" w:hAnsi="宋体" w:cs="宋体"/>
                <w:color w:val="auto"/>
                <w:sz w:val="21"/>
                <w:szCs w:val="21"/>
                <w:highlight w:val="none"/>
                <w:lang w:val="en-US" w:eastAsia="zh-CN"/>
              </w:rPr>
              <w:t>万</w:t>
            </w:r>
            <w:r>
              <w:rPr>
                <w:rFonts w:hint="eastAsia" w:ascii="宋体" w:hAnsi="宋体" w:eastAsia="宋体" w:cs="宋体"/>
                <w:color w:val="auto"/>
                <w:sz w:val="21"/>
                <w:szCs w:val="21"/>
                <w:highlight w:val="none"/>
                <w:lang w:val="en-US" w:eastAsia="zh-CN"/>
              </w:rPr>
              <w:t>元</w:t>
            </w:r>
          </w:p>
        </w:tc>
      </w:tr>
      <w:tr w14:paraId="7177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9DDA17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8313" w:type="dxa"/>
            <w:gridSpan w:val="2"/>
            <w:noWrap w:val="0"/>
            <w:vAlign w:val="center"/>
          </w:tcPr>
          <w:p w14:paraId="6425E9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w:t>
            </w:r>
          </w:p>
        </w:tc>
      </w:tr>
      <w:tr w14:paraId="7C48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C5786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8313" w:type="dxa"/>
            <w:gridSpan w:val="2"/>
            <w:noWrap w:val="0"/>
            <w:vAlign w:val="center"/>
          </w:tcPr>
          <w:p w14:paraId="6F7EAD22">
            <w:pPr>
              <w:keepNext w:val="0"/>
              <w:keepLines w:val="0"/>
              <w:pageBreakBefore w:val="0"/>
              <w:widowControl/>
              <w:kinsoku/>
              <w:wordWrap w:val="0"/>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详见第五章检测内容及要求</w:t>
            </w:r>
          </w:p>
        </w:tc>
      </w:tr>
      <w:tr w14:paraId="419A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E9EDEB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项目类别</w:t>
            </w:r>
          </w:p>
        </w:tc>
        <w:tc>
          <w:tcPr>
            <w:tcW w:w="8313" w:type="dxa"/>
            <w:gridSpan w:val="2"/>
            <w:noWrap w:val="0"/>
            <w:vAlign w:val="center"/>
          </w:tcPr>
          <w:p w14:paraId="1F591AB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房屋建筑工程</w:t>
            </w:r>
          </w:p>
        </w:tc>
      </w:tr>
      <w:tr w14:paraId="6D36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FC8C47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8313" w:type="dxa"/>
            <w:gridSpan w:val="2"/>
            <w:noWrap w:val="0"/>
            <w:vAlign w:val="center"/>
          </w:tcPr>
          <w:p w14:paraId="6365DE9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18C2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4E3770E9">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625F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4" w:hRule="atLeast"/>
          <w:jc w:val="center"/>
        </w:trPr>
        <w:tc>
          <w:tcPr>
            <w:tcW w:w="1933" w:type="dxa"/>
            <w:noWrap w:val="0"/>
            <w:vAlign w:val="center"/>
          </w:tcPr>
          <w:p w14:paraId="73B9E93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8313" w:type="dxa"/>
            <w:gridSpan w:val="2"/>
            <w:noWrap w:val="0"/>
            <w:vAlign w:val="center"/>
          </w:tcPr>
          <w:p w14:paraId="2FAB91B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highlight w:val="none"/>
                <w:lang w:val="en-US" w:eastAsia="zh-CN"/>
              </w:rPr>
            </w:pPr>
            <w:r>
              <w:rPr>
                <w:rFonts w:hint="eastAsia"/>
                <w:color w:val="auto"/>
                <w:highlight w:val="none"/>
                <w:lang w:val="en-US" w:eastAsia="zh-CN"/>
              </w:rPr>
              <w:t>同时满足下列要求：</w:t>
            </w:r>
          </w:p>
          <w:p w14:paraId="7E24FC6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highlight w:val="none"/>
                <w:lang w:val="en-US" w:eastAsia="zh-CN"/>
              </w:rPr>
            </w:pPr>
            <w:r>
              <w:rPr>
                <w:rFonts w:hint="eastAsia"/>
                <w:color w:val="auto"/>
                <w:highlight w:val="none"/>
                <w:lang w:val="en-US" w:eastAsia="zh-CN"/>
              </w:rPr>
              <w:t>1.具有建设工程质量检测机构资质证书（资质类别为综合资质或具有地基基础的专项资质）</w:t>
            </w:r>
          </w:p>
          <w:p w14:paraId="6DFAAFD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highlight w:val="none"/>
                <w:lang w:val="en-US" w:eastAsia="zh-CN"/>
              </w:rPr>
            </w:pPr>
            <w:r>
              <w:rPr>
                <w:rFonts w:hint="eastAsia"/>
                <w:color w:val="auto"/>
                <w:highlight w:val="none"/>
                <w:lang w:val="en-US" w:eastAsia="zh-CN"/>
              </w:rPr>
              <w:t>特别说明：（1）因国家政策调整，依据住房和城乡建设部办公厅关于做好建设工程质量检测机构新旧资质标准过渡工作的通知（建办质函〔2023〕100号），按照原标准取得建设工程质量检测机构资质的检测机构应在2024年7月31日前按新标准申请重新核定。逾期未办理重新核定的检测机构，原资质证书作废。</w:t>
            </w:r>
          </w:p>
          <w:p w14:paraId="58DAA48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highlight w:val="none"/>
                <w:lang w:val="en-US" w:eastAsia="zh-CN"/>
              </w:rPr>
            </w:pPr>
            <w:r>
              <w:rPr>
                <w:rFonts w:hint="eastAsia"/>
                <w:color w:val="auto"/>
                <w:highlight w:val="none"/>
                <w:lang w:val="en-US" w:eastAsia="zh-CN"/>
              </w:rPr>
              <w:t>（2）因部分地方部门尚未完成新证全部核定工作，结合实际情况，在此期间，投标人可持有原证书（检测范围包括主体结构工程现场检测和地基基础工程检测）投标，提供原证书的同时还需提供地方部门出具正在办理新证的证明材料（或地方部门出具针对新旧证书过渡的具体文件），以证明其具备相应资质条件。</w:t>
            </w:r>
          </w:p>
          <w:p w14:paraId="4A409AD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color w:val="auto"/>
                <w:highlight w:val="none"/>
                <w:lang w:val="en-US" w:eastAsia="zh-CN"/>
              </w:rPr>
              <w:t>2.具有质量技术监督部门颁发的计量认证资质证书（CMA）且证书在有效期内，附表中计量认证范围符合本项目检测要求。</w:t>
            </w:r>
          </w:p>
        </w:tc>
      </w:tr>
      <w:tr w14:paraId="059F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933" w:type="dxa"/>
            <w:noWrap w:val="0"/>
            <w:vAlign w:val="center"/>
          </w:tcPr>
          <w:p w14:paraId="063D4B4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eastAsia="宋体" w:cs="宋体"/>
                <w:bCs/>
                <w:snapToGrid w:val="0"/>
                <w:color w:val="auto"/>
                <w:kern w:val="0"/>
                <w:sz w:val="21"/>
                <w:szCs w:val="21"/>
                <w:highlight w:val="none"/>
                <w:lang w:val="en-US" w:eastAsia="zh-CN"/>
              </w:rPr>
              <w:t>负责人</w:t>
            </w:r>
            <w:r>
              <w:rPr>
                <w:rFonts w:hint="eastAsia" w:ascii="宋体" w:hAnsi="宋体" w:eastAsia="宋体" w:cs="宋体"/>
                <w:bCs/>
                <w:snapToGrid w:val="0"/>
                <w:color w:val="auto"/>
                <w:kern w:val="0"/>
                <w:sz w:val="21"/>
                <w:szCs w:val="21"/>
                <w:highlight w:val="none"/>
              </w:rPr>
              <w:t>资格要求</w:t>
            </w:r>
          </w:p>
        </w:tc>
        <w:tc>
          <w:tcPr>
            <w:tcW w:w="8313" w:type="dxa"/>
            <w:gridSpan w:val="2"/>
            <w:noWrap w:val="0"/>
            <w:vAlign w:val="center"/>
          </w:tcPr>
          <w:p w14:paraId="204B456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具有建筑工程类中级工程师及以上职称，并持有桩基检测上岗证</w:t>
            </w:r>
            <w:r>
              <w:rPr>
                <w:rFonts w:hint="eastAsia" w:ascii="宋体" w:hAnsi="宋体" w:cs="宋体"/>
                <w:color w:val="auto"/>
                <w:sz w:val="21"/>
                <w:szCs w:val="21"/>
                <w:highlight w:val="none"/>
                <w:lang w:eastAsia="zh-CN"/>
              </w:rPr>
              <w:t>。</w:t>
            </w:r>
          </w:p>
        </w:tc>
      </w:tr>
      <w:tr w14:paraId="1FF6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33" w:type="dxa"/>
            <w:noWrap w:val="0"/>
            <w:vAlign w:val="center"/>
          </w:tcPr>
          <w:p w14:paraId="228B4B2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8313" w:type="dxa"/>
            <w:gridSpan w:val="2"/>
            <w:noWrap w:val="0"/>
            <w:vAlign w:val="center"/>
          </w:tcPr>
          <w:p w14:paraId="4BE96C3A">
            <w:pPr>
              <w:keepNext w:val="0"/>
              <w:keepLines w:val="0"/>
              <w:pageBreakBefore w:val="0"/>
              <w:widowControl/>
              <w:kinsoku/>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本次不接受联合体投标</w:t>
            </w:r>
            <w:r>
              <w:rPr>
                <w:rFonts w:hint="eastAsia" w:ascii="宋体" w:hAnsi="宋体" w:eastAsia="宋体" w:cs="宋体"/>
                <w:color w:val="auto"/>
                <w:sz w:val="21"/>
                <w:szCs w:val="21"/>
                <w:highlight w:val="none"/>
                <w:lang w:eastAsia="zh-CN"/>
              </w:rPr>
              <w:t>。</w:t>
            </w:r>
          </w:p>
        </w:tc>
      </w:tr>
      <w:tr w14:paraId="2115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CCE027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多标段投标</w:t>
            </w:r>
          </w:p>
        </w:tc>
        <w:tc>
          <w:tcPr>
            <w:tcW w:w="8313" w:type="dxa"/>
            <w:gridSpan w:val="2"/>
            <w:noWrap w:val="0"/>
            <w:vAlign w:val="center"/>
          </w:tcPr>
          <w:p w14:paraId="642A524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697A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1093D1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8313" w:type="dxa"/>
            <w:gridSpan w:val="2"/>
            <w:noWrap w:val="0"/>
            <w:vAlign w:val="center"/>
          </w:tcPr>
          <w:p w14:paraId="4414CB3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7ACB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4F63D43E">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4FF4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33" w:type="dxa"/>
            <w:noWrap w:val="0"/>
            <w:vAlign w:val="center"/>
          </w:tcPr>
          <w:p w14:paraId="09A9B89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8313" w:type="dxa"/>
            <w:gridSpan w:val="2"/>
            <w:noWrap w:val="0"/>
            <w:vAlign w:val="center"/>
          </w:tcPr>
          <w:p w14:paraId="1B7B16A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 w:val="21"/>
                <w:szCs w:val="21"/>
                <w:highlight w:val="none"/>
                <w:u w:val="single"/>
                <w:lang w:val="en-US" w:eastAsia="zh-CN"/>
              </w:rPr>
              <w:t>202</w:t>
            </w:r>
            <w:r>
              <w:rPr>
                <w:rFonts w:hint="eastAsia" w:ascii="宋体" w:hAnsi="宋体" w:cs="宋体"/>
                <w:bCs/>
                <w:snapToGrid w:val="0"/>
                <w:color w:val="auto"/>
                <w:kern w:val="0"/>
                <w:sz w:val="21"/>
                <w:szCs w:val="21"/>
                <w:highlight w:val="none"/>
                <w:u w:val="single"/>
                <w:lang w:val="en-US" w:eastAsia="zh-CN"/>
              </w:rPr>
              <w:t>6</w:t>
            </w:r>
            <w:r>
              <w:rPr>
                <w:rFonts w:hint="eastAsia" w:ascii="宋体" w:hAnsi="宋体" w:eastAsia="宋体" w:cs="宋体"/>
                <w:bCs/>
                <w:snapToGrid w:val="0"/>
                <w:color w:val="auto"/>
                <w:kern w:val="0"/>
                <w:sz w:val="21"/>
                <w:szCs w:val="21"/>
                <w:highlight w:val="none"/>
              </w:rPr>
              <w:t>年</w:t>
            </w:r>
            <w:r>
              <w:rPr>
                <w:rFonts w:hint="eastAsia" w:ascii="宋体" w:hAnsi="宋体" w:cs="宋体"/>
                <w:bCs/>
                <w:snapToGrid w:val="0"/>
                <w:color w:val="auto"/>
                <w:kern w:val="0"/>
                <w:sz w:val="21"/>
                <w:szCs w:val="21"/>
                <w:highlight w:val="none"/>
                <w:u w:val="single"/>
                <w:lang w:val="en-US" w:eastAsia="zh-CN"/>
              </w:rPr>
              <w:t>5</w:t>
            </w:r>
            <w:r>
              <w:rPr>
                <w:rFonts w:hint="eastAsia" w:ascii="宋体" w:hAnsi="宋体" w:eastAsia="宋体" w:cs="宋体"/>
                <w:bCs/>
                <w:snapToGrid w:val="0"/>
                <w:color w:val="auto"/>
                <w:kern w:val="0"/>
                <w:sz w:val="21"/>
                <w:szCs w:val="21"/>
                <w:highlight w:val="none"/>
              </w:rPr>
              <w:t>月</w:t>
            </w:r>
            <w:r>
              <w:rPr>
                <w:rFonts w:hint="eastAsia" w:ascii="宋体" w:hAnsi="宋体" w:cs="宋体"/>
                <w:bCs/>
                <w:snapToGrid w:val="0"/>
                <w:color w:val="auto"/>
                <w:kern w:val="0"/>
                <w:sz w:val="21"/>
                <w:szCs w:val="21"/>
                <w:highlight w:val="none"/>
                <w:u w:val="single"/>
                <w:lang w:val="en-US" w:eastAsia="zh-CN"/>
              </w:rPr>
              <w:t>19</w:t>
            </w:r>
            <w:r>
              <w:rPr>
                <w:rFonts w:hint="eastAsia" w:ascii="宋体" w:hAnsi="宋体" w:eastAsia="宋体" w:cs="宋体"/>
                <w:bCs/>
                <w:snapToGrid w:val="0"/>
                <w:color w:val="auto"/>
                <w:kern w:val="0"/>
                <w:sz w:val="21"/>
                <w:szCs w:val="21"/>
                <w:highlight w:val="none"/>
              </w:rPr>
              <w:t>日</w:t>
            </w:r>
            <w:r>
              <w:rPr>
                <w:rFonts w:hint="eastAsia" w:ascii="宋体" w:hAnsi="宋体" w:eastAsia="宋体" w:cs="宋体"/>
                <w:bCs/>
                <w:snapToGrid w:val="0"/>
                <w:color w:val="auto"/>
                <w:kern w:val="0"/>
                <w:sz w:val="21"/>
                <w:szCs w:val="21"/>
                <w:highlight w:val="none"/>
                <w:u w:val="single"/>
              </w:rPr>
              <w:t xml:space="preserve"> </w:t>
            </w:r>
            <w:r>
              <w:rPr>
                <w:rFonts w:hint="eastAsia" w:ascii="宋体" w:hAnsi="宋体" w:eastAsia="宋体" w:cs="宋体"/>
                <w:bCs/>
                <w:snapToGrid w:val="0"/>
                <w:color w:val="auto"/>
                <w:kern w:val="0"/>
                <w:sz w:val="21"/>
                <w:szCs w:val="21"/>
                <w:highlight w:val="none"/>
                <w:u w:val="single"/>
                <w:lang w:val="en-US" w:eastAsia="zh-CN"/>
              </w:rPr>
              <w:t>17</w:t>
            </w:r>
            <w:r>
              <w:rPr>
                <w:rFonts w:hint="eastAsia" w:ascii="宋体" w:hAnsi="宋体" w:eastAsia="宋体" w:cs="宋体"/>
                <w:bCs/>
                <w:snapToGrid w:val="0"/>
                <w:color w:val="auto"/>
                <w:kern w:val="0"/>
                <w:sz w:val="21"/>
                <w:szCs w:val="21"/>
                <w:highlight w:val="none"/>
                <w:u w:val="single"/>
              </w:rPr>
              <w:t xml:space="preserve"> </w:t>
            </w:r>
            <w:r>
              <w:rPr>
                <w:rFonts w:hint="eastAsia" w:ascii="宋体" w:hAnsi="宋体" w:eastAsia="宋体" w:cs="宋体"/>
                <w:bCs/>
                <w:snapToGrid w:val="0"/>
                <w:color w:val="auto"/>
                <w:kern w:val="0"/>
                <w:sz w:val="21"/>
                <w:szCs w:val="21"/>
                <w:highlight w:val="none"/>
              </w:rPr>
              <w:t>时</w:t>
            </w:r>
            <w:r>
              <w:rPr>
                <w:rFonts w:hint="eastAsia" w:ascii="宋体" w:hAnsi="宋体" w:eastAsia="宋体" w:cs="宋体"/>
                <w:bCs/>
                <w:snapToGrid w:val="0"/>
                <w:color w:val="auto"/>
                <w:kern w:val="0"/>
                <w:sz w:val="21"/>
                <w:szCs w:val="21"/>
                <w:highlight w:val="none"/>
                <w:u w:val="single"/>
              </w:rPr>
              <w:t xml:space="preserve"> </w:t>
            </w:r>
            <w:r>
              <w:rPr>
                <w:rFonts w:hint="eastAsia" w:ascii="宋体" w:hAnsi="宋体" w:eastAsia="宋体" w:cs="宋体"/>
                <w:bCs/>
                <w:snapToGrid w:val="0"/>
                <w:color w:val="auto"/>
                <w:kern w:val="0"/>
                <w:sz w:val="21"/>
                <w:szCs w:val="21"/>
                <w:highlight w:val="none"/>
                <w:u w:val="single"/>
                <w:lang w:val="en-US" w:eastAsia="zh-CN"/>
              </w:rPr>
              <w:t>00</w:t>
            </w:r>
            <w:r>
              <w:rPr>
                <w:rFonts w:hint="eastAsia" w:ascii="宋体" w:hAnsi="宋体" w:eastAsia="宋体" w:cs="宋体"/>
                <w:bCs/>
                <w:snapToGrid w:val="0"/>
                <w:color w:val="auto"/>
                <w:kern w:val="0"/>
                <w:sz w:val="21"/>
                <w:szCs w:val="21"/>
                <w:highlight w:val="none"/>
                <w:u w:val="single"/>
              </w:rPr>
              <w:t xml:space="preserve"> </w:t>
            </w:r>
            <w:r>
              <w:rPr>
                <w:rFonts w:hint="eastAsia" w:ascii="宋体" w:hAnsi="宋体" w:eastAsia="宋体" w:cs="宋体"/>
                <w:bCs/>
                <w:snapToGrid w:val="0"/>
                <w:color w:val="auto"/>
                <w:kern w:val="0"/>
                <w:sz w:val="21"/>
                <w:szCs w:val="21"/>
                <w:highlight w:val="none"/>
              </w:rPr>
              <w:t>分至</w:t>
            </w:r>
            <w:r>
              <w:rPr>
                <w:rFonts w:hint="eastAsia" w:ascii="宋体" w:hAnsi="宋体" w:eastAsia="宋体" w:cs="宋体"/>
                <w:bCs/>
                <w:snapToGrid w:val="0"/>
                <w:color w:val="auto"/>
                <w:kern w:val="0"/>
                <w:sz w:val="21"/>
                <w:szCs w:val="21"/>
                <w:highlight w:val="none"/>
                <w:u w:val="single"/>
                <w:lang w:val="en-US" w:eastAsia="zh-CN"/>
              </w:rPr>
              <w:t>202</w:t>
            </w:r>
            <w:r>
              <w:rPr>
                <w:rFonts w:hint="eastAsia" w:ascii="宋体" w:hAnsi="宋体" w:cs="宋体"/>
                <w:bCs/>
                <w:snapToGrid w:val="0"/>
                <w:color w:val="auto"/>
                <w:kern w:val="0"/>
                <w:sz w:val="21"/>
                <w:szCs w:val="21"/>
                <w:highlight w:val="none"/>
                <w:u w:val="single"/>
                <w:lang w:val="en-US" w:eastAsia="zh-CN"/>
              </w:rPr>
              <w:t>6</w:t>
            </w:r>
            <w:r>
              <w:rPr>
                <w:rFonts w:hint="eastAsia" w:ascii="宋体" w:hAnsi="宋体" w:eastAsia="宋体" w:cs="宋体"/>
                <w:bCs/>
                <w:snapToGrid w:val="0"/>
                <w:color w:val="auto"/>
                <w:kern w:val="0"/>
                <w:sz w:val="21"/>
                <w:szCs w:val="21"/>
                <w:highlight w:val="none"/>
              </w:rPr>
              <w:t>年</w:t>
            </w:r>
            <w:r>
              <w:rPr>
                <w:rFonts w:hint="eastAsia" w:ascii="宋体" w:hAnsi="宋体" w:cs="宋体"/>
                <w:bCs/>
                <w:snapToGrid w:val="0"/>
                <w:color w:val="auto"/>
                <w:kern w:val="0"/>
                <w:sz w:val="21"/>
                <w:szCs w:val="21"/>
                <w:highlight w:val="none"/>
                <w:u w:val="single"/>
                <w:lang w:val="en-US" w:eastAsia="zh-CN"/>
              </w:rPr>
              <w:t>5</w:t>
            </w:r>
            <w:r>
              <w:rPr>
                <w:rFonts w:hint="eastAsia" w:ascii="宋体" w:hAnsi="宋体" w:eastAsia="宋体" w:cs="宋体"/>
                <w:bCs/>
                <w:snapToGrid w:val="0"/>
                <w:color w:val="auto"/>
                <w:kern w:val="0"/>
                <w:sz w:val="21"/>
                <w:szCs w:val="21"/>
                <w:highlight w:val="none"/>
              </w:rPr>
              <w:t>月</w:t>
            </w:r>
            <w:r>
              <w:rPr>
                <w:rFonts w:hint="eastAsia" w:ascii="宋体" w:hAnsi="宋体" w:cs="宋体"/>
                <w:bCs/>
                <w:snapToGrid w:val="0"/>
                <w:color w:val="auto"/>
                <w:kern w:val="0"/>
                <w:sz w:val="21"/>
                <w:szCs w:val="21"/>
                <w:highlight w:val="none"/>
                <w:u w:val="single"/>
                <w:lang w:val="en-US" w:eastAsia="zh-CN"/>
              </w:rPr>
              <w:t>27</w:t>
            </w:r>
            <w:r>
              <w:rPr>
                <w:rFonts w:hint="eastAsia" w:ascii="宋体" w:hAnsi="宋体" w:eastAsia="宋体" w:cs="宋体"/>
                <w:bCs/>
                <w:snapToGrid w:val="0"/>
                <w:color w:val="auto"/>
                <w:kern w:val="0"/>
                <w:sz w:val="21"/>
                <w:szCs w:val="21"/>
                <w:highlight w:val="none"/>
              </w:rPr>
              <w:t>日</w:t>
            </w:r>
            <w:r>
              <w:rPr>
                <w:rFonts w:hint="eastAsia" w:ascii="宋体" w:hAnsi="宋体" w:cs="宋体"/>
                <w:bCs/>
                <w:snapToGrid w:val="0"/>
                <w:color w:val="auto"/>
                <w:kern w:val="0"/>
                <w:sz w:val="21"/>
                <w:szCs w:val="21"/>
                <w:highlight w:val="none"/>
                <w:u w:val="single"/>
                <w:lang w:val="en-US" w:eastAsia="zh-CN"/>
              </w:rPr>
              <w:t>9</w:t>
            </w:r>
            <w:r>
              <w:rPr>
                <w:rFonts w:hint="eastAsia" w:ascii="宋体" w:hAnsi="宋体" w:eastAsia="宋体" w:cs="宋体"/>
                <w:bCs/>
                <w:snapToGrid w:val="0"/>
                <w:color w:val="auto"/>
                <w:kern w:val="0"/>
                <w:sz w:val="21"/>
                <w:szCs w:val="21"/>
                <w:highlight w:val="none"/>
              </w:rPr>
              <w:t>时</w:t>
            </w:r>
            <w:r>
              <w:rPr>
                <w:rFonts w:hint="eastAsia" w:ascii="宋体" w:hAnsi="宋体" w:cs="宋体"/>
                <w:bCs/>
                <w:snapToGrid w:val="0"/>
                <w:color w:val="auto"/>
                <w:kern w:val="0"/>
                <w:sz w:val="21"/>
                <w:szCs w:val="21"/>
                <w:highlight w:val="none"/>
                <w:u w:val="single"/>
                <w:lang w:val="en-US" w:eastAsia="zh-CN"/>
              </w:rPr>
              <w:t>00</w:t>
            </w:r>
            <w:r>
              <w:rPr>
                <w:rFonts w:hint="eastAsia" w:ascii="宋体" w:hAnsi="宋体" w:eastAsia="宋体" w:cs="宋体"/>
                <w:bCs/>
                <w:snapToGrid w:val="0"/>
                <w:color w:val="auto"/>
                <w:kern w:val="0"/>
                <w:sz w:val="21"/>
                <w:szCs w:val="21"/>
                <w:highlight w:val="none"/>
              </w:rPr>
              <w:t>分。</w:t>
            </w:r>
          </w:p>
        </w:tc>
      </w:tr>
      <w:tr w14:paraId="2856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A77353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获取方式</w:t>
            </w:r>
          </w:p>
        </w:tc>
        <w:tc>
          <w:tcPr>
            <w:tcW w:w="8313" w:type="dxa"/>
            <w:gridSpan w:val="2"/>
            <w:noWrap w:val="0"/>
            <w:vAlign w:val="center"/>
          </w:tcPr>
          <w:p w14:paraId="50A81418">
            <w:pPr>
              <w:adjustRightInd w:val="0"/>
              <w:snapToGrid w:val="0"/>
              <w:spacing w:afterLines="0" w:line="5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潜在投标人须登录中新苏滁高新技术产业开发区（https://scp.chuzhou.gov.cn/index.html）、滁州市城投工程咨询管理有限公司网站（https://www.czctgczx.com/）查阅并下载电子招标文件。</w:t>
            </w:r>
          </w:p>
          <w:p w14:paraId="05D9AC87">
            <w:pPr>
              <w:adjustRightInd w:val="0"/>
              <w:snapToGrid w:val="0"/>
              <w:spacing w:afterLines="0" w:line="500" w:lineRule="exact"/>
              <w:jc w:val="left"/>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招标文件获取过程中有任何疑问，请在工作时间（工作时间：工作日8:00-12:00,14:30-17:30）拨打0550-3026900。</w:t>
            </w:r>
          </w:p>
        </w:tc>
      </w:tr>
      <w:tr w14:paraId="0918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3" w:type="dxa"/>
            <w:noWrap w:val="0"/>
            <w:vAlign w:val="center"/>
          </w:tcPr>
          <w:p w14:paraId="11D1E6C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8313" w:type="dxa"/>
            <w:gridSpan w:val="2"/>
            <w:noWrap w:val="0"/>
            <w:vAlign w:val="center"/>
          </w:tcPr>
          <w:p w14:paraId="32AA3DB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日</w:t>
            </w:r>
          </w:p>
        </w:tc>
      </w:tr>
      <w:tr w14:paraId="27C2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ACBF63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8313" w:type="dxa"/>
            <w:gridSpan w:val="2"/>
            <w:noWrap w:val="0"/>
            <w:vAlign w:val="center"/>
          </w:tcPr>
          <w:p w14:paraId="5D8BCA2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tc>
      </w:tr>
      <w:tr w14:paraId="117F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877A66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8313" w:type="dxa"/>
            <w:gridSpan w:val="2"/>
            <w:noWrap w:val="0"/>
            <w:vAlign w:val="center"/>
          </w:tcPr>
          <w:p w14:paraId="0CECAA7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tc>
      </w:tr>
      <w:tr w14:paraId="3981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0743B953">
            <w:pPr>
              <w:widowControl/>
              <w:spacing w:afterLines="0"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开标地点</w:t>
            </w:r>
          </w:p>
        </w:tc>
        <w:tc>
          <w:tcPr>
            <w:tcW w:w="8313" w:type="dxa"/>
            <w:gridSpan w:val="2"/>
            <w:noWrap w:val="0"/>
            <w:vAlign w:val="center"/>
          </w:tcPr>
          <w:p w14:paraId="2417ED7C">
            <w:pPr>
              <w:widowControl/>
              <w:spacing w:afterLines="0" w:line="5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网上开标，投标人登录滁州市城投工程咨询有限公司不见面开标系统参与网上开标（网址：http://js.etrading.cn/EpointBidOpening/bidopeninghallaction/hall/login）</w:t>
            </w:r>
          </w:p>
        </w:tc>
      </w:tr>
      <w:tr w14:paraId="0ACB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6E82C9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8313" w:type="dxa"/>
            <w:gridSpan w:val="2"/>
            <w:noWrap w:val="0"/>
            <w:vAlign w:val="center"/>
          </w:tcPr>
          <w:p w14:paraId="05365BC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0元</w:t>
            </w:r>
          </w:p>
        </w:tc>
      </w:tr>
      <w:tr w14:paraId="410B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B702C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8313" w:type="dxa"/>
            <w:gridSpan w:val="2"/>
            <w:noWrap w:val="0"/>
            <w:vAlign w:val="center"/>
          </w:tcPr>
          <w:p w14:paraId="31D8836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本次招标公告在中新苏滁高新技术产业开发区（https://scp.chuzhou.gov.cn/index.html）</w:t>
            </w:r>
            <w:r>
              <w:rPr>
                <w:rFonts w:hint="eastAsia" w:ascii="宋体" w:hAnsi="宋体" w:eastAsia="宋体" w:cs="宋体"/>
                <w:color w:val="auto"/>
                <w:kern w:val="0"/>
                <w:sz w:val="21"/>
                <w:szCs w:val="21"/>
                <w:highlight w:val="none"/>
                <w:lang w:eastAsia="zh-CN"/>
              </w:rPr>
              <w:t>、滁州市城投工程咨询管理有限公司网站（https://www.czctgczx.com/）</w:t>
            </w:r>
            <w:r>
              <w:rPr>
                <w:rFonts w:hint="eastAsia" w:ascii="宋体" w:hAnsi="宋体" w:eastAsia="宋体" w:cs="宋体"/>
                <w:color w:val="auto"/>
                <w:kern w:val="0"/>
                <w:sz w:val="21"/>
                <w:szCs w:val="21"/>
                <w:highlight w:val="none"/>
              </w:rPr>
              <w:t>网站发布。</w:t>
            </w:r>
          </w:p>
        </w:tc>
      </w:tr>
      <w:tr w14:paraId="109C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E700E9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投标人提出异议的截止时间及方式</w:t>
            </w:r>
          </w:p>
        </w:tc>
        <w:tc>
          <w:tcPr>
            <w:tcW w:w="8313" w:type="dxa"/>
            <w:gridSpan w:val="2"/>
            <w:noWrap w:val="0"/>
            <w:vAlign w:val="center"/>
          </w:tcPr>
          <w:p w14:paraId="4076732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color w:val="auto"/>
                <w:kern w:val="0"/>
                <w:szCs w:val="21"/>
                <w:highlight w:val="none"/>
              </w:rPr>
              <w:t>如投标人对招标文件有异议，请于</w:t>
            </w:r>
            <w:r>
              <w:rPr>
                <w:rFonts w:hint="eastAsia" w:ascii="宋体" w:hAnsi="宋体" w:eastAsia="宋体" w:cs="宋体"/>
                <w:b w:val="0"/>
                <w:bCs/>
                <w:color w:val="auto"/>
                <w:kern w:val="0"/>
                <w:szCs w:val="21"/>
                <w:highlight w:val="none"/>
                <w:lang w:val="en-US" w:eastAsia="zh-CN"/>
              </w:rPr>
              <w:t>202</w:t>
            </w:r>
            <w:r>
              <w:rPr>
                <w:rFonts w:hint="eastAsia" w:ascii="宋体" w:hAnsi="宋体" w:cs="宋体"/>
                <w:b w:val="0"/>
                <w:bCs/>
                <w:color w:val="auto"/>
                <w:kern w:val="0"/>
                <w:szCs w:val="21"/>
                <w:highlight w:val="none"/>
                <w:lang w:val="en-US" w:eastAsia="zh-CN"/>
              </w:rPr>
              <w:t>6</w:t>
            </w:r>
            <w:r>
              <w:rPr>
                <w:rFonts w:hint="eastAsia" w:ascii="宋体" w:hAnsi="宋体" w:eastAsia="宋体" w:cs="宋体"/>
                <w:b w:val="0"/>
                <w:bCs/>
                <w:color w:val="auto"/>
                <w:kern w:val="0"/>
                <w:szCs w:val="21"/>
                <w:highlight w:val="none"/>
              </w:rPr>
              <w:t>年</w:t>
            </w:r>
            <w:r>
              <w:rPr>
                <w:rFonts w:hint="eastAsia" w:ascii="宋体" w:hAnsi="宋体" w:cs="宋体"/>
                <w:b w:val="0"/>
                <w:bCs/>
                <w:color w:val="auto"/>
                <w:kern w:val="0"/>
                <w:szCs w:val="21"/>
                <w:highlight w:val="none"/>
                <w:lang w:val="en-US" w:eastAsia="zh-CN"/>
              </w:rPr>
              <w:t>5</w:t>
            </w:r>
            <w:r>
              <w:rPr>
                <w:rFonts w:hint="eastAsia" w:ascii="宋体" w:hAnsi="宋体" w:eastAsia="宋体" w:cs="宋体"/>
                <w:b w:val="0"/>
                <w:bCs/>
                <w:color w:val="auto"/>
                <w:kern w:val="0"/>
                <w:szCs w:val="21"/>
                <w:highlight w:val="none"/>
              </w:rPr>
              <w:t>月</w:t>
            </w:r>
            <w:r>
              <w:rPr>
                <w:rFonts w:hint="eastAsia" w:ascii="宋体" w:hAnsi="宋体" w:cs="宋体"/>
                <w:b w:val="0"/>
                <w:bCs/>
                <w:color w:val="auto"/>
                <w:kern w:val="0"/>
                <w:szCs w:val="21"/>
                <w:highlight w:val="none"/>
                <w:lang w:val="en-US" w:eastAsia="zh-CN"/>
              </w:rPr>
              <w:t>21</w:t>
            </w:r>
            <w:r>
              <w:rPr>
                <w:rFonts w:hint="eastAsia" w:ascii="宋体" w:hAnsi="宋体" w:eastAsia="宋体" w:cs="宋体"/>
                <w:b w:val="0"/>
                <w:bCs/>
                <w:color w:val="auto"/>
                <w:kern w:val="0"/>
                <w:szCs w:val="21"/>
                <w:highlight w:val="none"/>
              </w:rPr>
              <w:t>日</w:t>
            </w:r>
            <w:r>
              <w:rPr>
                <w:rFonts w:hint="eastAsia" w:ascii="宋体" w:hAnsi="宋体" w:cs="宋体"/>
                <w:b w:val="0"/>
                <w:bCs/>
                <w:color w:val="auto"/>
                <w:kern w:val="0"/>
                <w:szCs w:val="21"/>
                <w:highlight w:val="none"/>
                <w:lang w:val="en-US" w:eastAsia="zh-CN"/>
              </w:rPr>
              <w:t>17</w:t>
            </w:r>
            <w:r>
              <w:rPr>
                <w:rFonts w:hint="eastAsia" w:ascii="宋体" w:hAnsi="宋体" w:eastAsia="宋体" w:cs="宋体"/>
                <w:b w:val="0"/>
                <w:bCs/>
                <w:color w:val="auto"/>
                <w:kern w:val="0"/>
                <w:szCs w:val="21"/>
                <w:highlight w:val="none"/>
              </w:rPr>
              <w:t>时</w:t>
            </w:r>
            <w:r>
              <w:rPr>
                <w:rFonts w:hint="eastAsia" w:ascii="宋体" w:hAnsi="宋体" w:eastAsia="宋体" w:cs="宋体"/>
                <w:b w:val="0"/>
                <w:bCs/>
                <w:color w:val="auto"/>
                <w:kern w:val="0"/>
                <w:sz w:val="21"/>
                <w:szCs w:val="21"/>
                <w:highlight w:val="none"/>
              </w:rPr>
              <w:t>前在新点电子交易平台【滁州专区】中在线进行异议。</w:t>
            </w:r>
          </w:p>
        </w:tc>
      </w:tr>
      <w:tr w14:paraId="660C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00FA53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受理异议的联系人及联系方式</w:t>
            </w:r>
          </w:p>
        </w:tc>
        <w:tc>
          <w:tcPr>
            <w:tcW w:w="8313" w:type="dxa"/>
            <w:gridSpan w:val="2"/>
            <w:noWrap w:val="0"/>
            <w:vAlign w:val="center"/>
          </w:tcPr>
          <w:p w14:paraId="0EC5F99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联系人：</w:t>
            </w:r>
            <w:r>
              <w:rPr>
                <w:rFonts w:hint="eastAsia" w:ascii="宋体" w:hAnsi="宋体" w:cs="宋体"/>
                <w:color w:val="auto"/>
                <w:sz w:val="21"/>
                <w:szCs w:val="21"/>
                <w:highlight w:val="none"/>
                <w:shd w:val="clear" w:color="auto" w:fill="FFFFFF"/>
                <w:lang w:val="en-US" w:eastAsia="zh-CN"/>
              </w:rPr>
              <w:t>李工、</w:t>
            </w:r>
            <w:r>
              <w:rPr>
                <w:rFonts w:hint="eastAsia" w:ascii="宋体" w:hAnsi="宋体" w:eastAsia="宋体" w:cs="宋体"/>
                <w:color w:val="auto"/>
                <w:sz w:val="21"/>
                <w:szCs w:val="21"/>
                <w:highlight w:val="none"/>
                <w:shd w:val="clear" w:color="auto" w:fill="FFFFFF"/>
                <w:lang w:val="en-US" w:eastAsia="zh-CN"/>
              </w:rPr>
              <w:t>杨韦</w:t>
            </w:r>
            <w:r>
              <w:rPr>
                <w:rFonts w:hint="eastAsia" w:ascii="宋体" w:hAnsi="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val="en-US" w:eastAsia="zh-CN"/>
              </w:rPr>
              <w:t>联系方式：</w:t>
            </w:r>
            <w:r>
              <w:rPr>
                <w:rFonts w:hint="eastAsia" w:ascii="宋体" w:hAnsi="宋体" w:cs="宋体"/>
                <w:color w:val="auto"/>
                <w:sz w:val="21"/>
                <w:szCs w:val="21"/>
                <w:highlight w:val="none"/>
                <w:shd w:val="clear" w:color="auto" w:fill="FFFFFF"/>
                <w:lang w:val="en-US" w:eastAsia="zh-CN"/>
              </w:rPr>
              <w:t>0550-3026900、</w:t>
            </w:r>
            <w:r>
              <w:rPr>
                <w:rFonts w:hint="eastAsia" w:ascii="宋体" w:hAnsi="宋体" w:eastAsia="宋体" w:cs="宋体"/>
                <w:color w:val="auto"/>
                <w:kern w:val="0"/>
                <w:sz w:val="21"/>
                <w:szCs w:val="21"/>
                <w:highlight w:val="none"/>
                <w:lang w:val="en-US" w:eastAsia="zh-CN"/>
              </w:rPr>
              <w:t>0550-3519590</w:t>
            </w:r>
            <w:r>
              <w:rPr>
                <w:rFonts w:hint="eastAsia" w:ascii="宋体" w:hAnsi="宋体" w:eastAsia="宋体" w:cs="宋体"/>
                <w:color w:val="auto"/>
                <w:sz w:val="21"/>
                <w:szCs w:val="21"/>
                <w:highlight w:val="none"/>
                <w:shd w:val="clear" w:color="auto" w:fill="FFFFFF"/>
                <w:lang w:val="en-US" w:eastAsia="zh-CN"/>
              </w:rPr>
              <w:t>。</w:t>
            </w:r>
          </w:p>
        </w:tc>
      </w:tr>
      <w:tr w14:paraId="6E6B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5EB27DC0">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3C75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100359F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8313" w:type="dxa"/>
            <w:gridSpan w:val="2"/>
            <w:noWrap w:val="0"/>
            <w:vAlign w:val="center"/>
          </w:tcPr>
          <w:p w14:paraId="6B686A6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rPr>
              <w:t>不要求投标人提交投标保证金。</w:t>
            </w:r>
          </w:p>
        </w:tc>
      </w:tr>
      <w:tr w14:paraId="7A74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6" w:type="dxa"/>
            <w:gridSpan w:val="3"/>
            <w:noWrap w:val="0"/>
            <w:vAlign w:val="center"/>
          </w:tcPr>
          <w:p w14:paraId="74C34B93">
            <w:pPr>
              <w:pStyle w:val="44"/>
              <w:keepNext w:val="0"/>
              <w:keepLines w:val="0"/>
              <w:pageBreakBefore w:val="0"/>
              <w:kinsoku/>
              <w:overflowPunct/>
              <w:topLinePunct w:val="0"/>
              <w:autoSpaceDE/>
              <w:autoSpaceDN/>
              <w:bidi w:val="0"/>
              <w:spacing w:after="0" w:afterLines="0" w:line="500" w:lineRule="exact"/>
              <w:ind w:left="0" w:leftChars="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其他说明</w:t>
            </w:r>
          </w:p>
        </w:tc>
      </w:tr>
      <w:tr w14:paraId="2A6F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5" w:type="dxa"/>
            <w:gridSpan w:val="2"/>
            <w:noWrap w:val="0"/>
            <w:vAlign w:val="center"/>
          </w:tcPr>
          <w:p w14:paraId="2F70EFAE">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重要说明</w:t>
            </w:r>
          </w:p>
        </w:tc>
        <w:tc>
          <w:tcPr>
            <w:tcW w:w="8261" w:type="dxa"/>
            <w:noWrap w:val="0"/>
            <w:vAlign w:val="center"/>
          </w:tcPr>
          <w:p w14:paraId="354FE388">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1.投标人从中新苏滁高新技术产业开发区（https://scp.chuzhou.gov.cn/index.html）</w:t>
            </w:r>
            <w:r>
              <w:rPr>
                <w:rFonts w:hint="eastAsia" w:ascii="宋体" w:hAnsi="宋体" w:eastAsia="宋体" w:cs="宋体"/>
                <w:color w:val="auto"/>
                <w:sz w:val="21"/>
                <w:szCs w:val="21"/>
                <w:highlight w:val="none"/>
                <w:lang w:eastAsia="zh-CN"/>
              </w:rPr>
              <w:t>、滁州市城投工程咨询管理有限公司网站（https://www.czctgczx.com/）</w:t>
            </w:r>
            <w:r>
              <w:rPr>
                <w:rFonts w:hint="eastAsia" w:ascii="宋体" w:hAnsi="宋体" w:eastAsia="宋体" w:cs="宋体"/>
                <w:color w:val="auto"/>
                <w:sz w:val="21"/>
                <w:szCs w:val="21"/>
                <w:highlight w:val="none"/>
              </w:rPr>
              <w:t>下载。投标人自行承担因未按要求获取招标文件导致无法上传电子投标文件的风险。</w:t>
            </w:r>
          </w:p>
          <w:p w14:paraId="2241ADCE">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7DA495E0">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（2）投标人登录新点电子交易平台【滁州专区】获取招标文件及其</w:t>
            </w:r>
            <w:r>
              <w:rPr>
                <w:rFonts w:hint="eastAsia" w:ascii="宋体" w:hAnsi="宋体" w:eastAsia="宋体" w:cs="宋体"/>
                <w:color w:val="auto"/>
                <w:sz w:val="21"/>
                <w:szCs w:val="21"/>
                <w:highlight w:val="none"/>
                <w:lang w:val="en-US" w:eastAsia="zh-CN"/>
              </w:rPr>
              <w:t>他</w:t>
            </w:r>
            <w:r>
              <w:rPr>
                <w:rFonts w:hint="eastAsia" w:ascii="宋体" w:hAnsi="宋体" w:eastAsia="宋体" w:cs="宋体"/>
                <w:color w:val="auto"/>
                <w:sz w:val="21"/>
                <w:szCs w:val="21"/>
                <w:highlight w:val="none"/>
              </w:rPr>
              <w:t>资料（含澄清和补充说明等）。如在招标文件获取过程中遇到系统问题，请拨打技术支持服务热线0512-58151515或者网站首页在线客服。</w:t>
            </w:r>
          </w:p>
          <w:p w14:paraId="447D88DE">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招标文件及相关资料售价：人民币0元/套</w:t>
            </w:r>
            <w:r>
              <w:rPr>
                <w:rFonts w:hint="eastAsia" w:ascii="宋体" w:hAnsi="宋体" w:eastAsia="宋体" w:cs="宋体"/>
                <w:color w:val="auto"/>
                <w:sz w:val="21"/>
                <w:szCs w:val="21"/>
                <w:highlight w:val="none"/>
                <w:lang w:eastAsia="zh-CN"/>
              </w:rPr>
              <w:t>。</w:t>
            </w:r>
          </w:p>
          <w:p w14:paraId="5C6595C7">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571AB75A">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本项目采用不见面开标，投标人登录滁州市城投工程咨询</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有限公司不见面开标系统参与网上开标（网址：http://js.etrading.cn/EpointBidOpening/bidopeninghallaction/hall/login）。</w:t>
            </w:r>
          </w:p>
          <w:p w14:paraId="324B54BA">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投标人应在投标截止时间前，登录新点电子交易平台【滁州专区】上传投标文件。</w:t>
            </w:r>
          </w:p>
          <w:p w14:paraId="0C055FDA">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本项目仅接受加密电子投标文件投标人在投标截止时间前通过新点电子交易平台后在【滁州专区】（https://www.etrading.cn/BREpointSSO/login/oauth2login?regioncode=DQ_ChuZhou）交易系统递交电子投标文件。</w:t>
            </w:r>
          </w:p>
          <w:p w14:paraId="0D8F2F55">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6.投标软件制作工具下载：</w:t>
            </w:r>
          </w:p>
          <w:p w14:paraId="13CB61B0">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https://download.bqpoint.com/download/downloaddetail.html?SourceFrom=Ztb&amp;ZtbSoftXiaQuCode=0128&amp;ZtbSoftType=tballinclusive</w:t>
            </w:r>
          </w:p>
        </w:tc>
      </w:tr>
      <w:tr w14:paraId="3047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29D47732">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4178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5AEE59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8313" w:type="dxa"/>
            <w:gridSpan w:val="2"/>
            <w:noWrap w:val="0"/>
            <w:vAlign w:val="center"/>
          </w:tcPr>
          <w:p w14:paraId="11101DB5">
            <w:pPr>
              <w:keepNext w:val="0"/>
              <w:keepLines w:val="0"/>
              <w:pageBreakBefore w:val="0"/>
              <w:widowControl/>
              <w:shd w:val="clear" w:color="auto" w:fill="auto"/>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 xml:space="preserve">滁州苏滁产城开发有限公司 </w:t>
            </w:r>
            <w:r>
              <w:rPr>
                <w:rFonts w:hint="eastAsia" w:ascii="宋体" w:hAnsi="宋体" w:eastAsia="宋体" w:cs="宋体"/>
                <w:color w:val="auto"/>
                <w:kern w:val="0"/>
                <w:sz w:val="21"/>
                <w:szCs w:val="21"/>
                <w:highlight w:val="none"/>
                <w:lang w:eastAsia="zh-CN"/>
              </w:rPr>
              <w:t xml:space="preserve"> </w:t>
            </w:r>
          </w:p>
        </w:tc>
      </w:tr>
      <w:tr w14:paraId="3A84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69871A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8313" w:type="dxa"/>
            <w:gridSpan w:val="2"/>
            <w:noWrap w:val="0"/>
            <w:vAlign w:val="center"/>
          </w:tcPr>
          <w:p w14:paraId="097B0670">
            <w:pPr>
              <w:widowControl/>
              <w:spacing w:afterLines="0" w:line="5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Cs w:val="21"/>
                <w:highlight w:val="none"/>
                <w:lang w:val="en-US" w:eastAsia="zh-CN"/>
              </w:rPr>
              <w:t>滁州市徽州南路1999号苏滁商务中心8楼</w:t>
            </w:r>
          </w:p>
        </w:tc>
      </w:tr>
      <w:tr w14:paraId="07D5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A46551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8313" w:type="dxa"/>
            <w:gridSpan w:val="2"/>
            <w:noWrap w:val="0"/>
            <w:vAlign w:val="center"/>
          </w:tcPr>
          <w:p w14:paraId="6F9231DE">
            <w:pPr>
              <w:widowControl/>
              <w:spacing w:afterLines="0" w:line="500" w:lineRule="exact"/>
              <w:jc w:val="left"/>
              <w:rPr>
                <w:rFonts w:hint="eastAsia" w:ascii="宋体" w:hAnsi="宋体" w:eastAsia="宋体" w:cs="宋体"/>
                <w:color w:val="auto"/>
                <w:kern w:val="0"/>
                <w:sz w:val="21"/>
                <w:szCs w:val="21"/>
                <w:highlight w:val="none"/>
                <w:lang w:eastAsia="zh-CN"/>
              </w:rPr>
            </w:pPr>
            <w:r>
              <w:rPr>
                <w:rFonts w:hint="eastAsia" w:ascii="宋体" w:hAnsi="宋体" w:cs="宋体"/>
                <w:color w:val="auto"/>
                <w:szCs w:val="21"/>
                <w:highlight w:val="none"/>
                <w:lang w:val="en-US" w:eastAsia="zh-CN"/>
              </w:rPr>
              <w:t>李工</w:t>
            </w:r>
          </w:p>
        </w:tc>
      </w:tr>
      <w:tr w14:paraId="3D77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73FB02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8313" w:type="dxa"/>
            <w:gridSpan w:val="2"/>
            <w:noWrap w:val="0"/>
            <w:vAlign w:val="center"/>
          </w:tcPr>
          <w:p w14:paraId="101722CA">
            <w:pPr>
              <w:widowControl/>
              <w:spacing w:afterLines="0" w:line="500" w:lineRule="exact"/>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szCs w:val="21"/>
                <w:highlight w:val="none"/>
                <w:lang w:val="en-US" w:eastAsia="zh-CN"/>
              </w:rPr>
              <w:t>0550-3026900</w:t>
            </w:r>
          </w:p>
        </w:tc>
      </w:tr>
      <w:tr w14:paraId="4695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B05B7D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8313" w:type="dxa"/>
            <w:gridSpan w:val="2"/>
            <w:noWrap w:val="0"/>
            <w:vAlign w:val="center"/>
          </w:tcPr>
          <w:p w14:paraId="012C29DA">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滁州市城投工程咨询管理有限公司</w:t>
            </w:r>
          </w:p>
        </w:tc>
      </w:tr>
      <w:tr w14:paraId="1C1B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995CFE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8313" w:type="dxa"/>
            <w:gridSpan w:val="2"/>
            <w:noWrap w:val="0"/>
            <w:vAlign w:val="center"/>
          </w:tcPr>
          <w:p w14:paraId="474D3D30">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620</w:t>
            </w:r>
            <w:r>
              <w:rPr>
                <w:rFonts w:hint="eastAsia" w:ascii="宋体" w:hAnsi="宋体" w:eastAsia="宋体" w:cs="宋体"/>
                <w:color w:val="auto"/>
                <w:sz w:val="21"/>
                <w:szCs w:val="21"/>
                <w:highlight w:val="none"/>
              </w:rPr>
              <w:t>室</w:t>
            </w:r>
          </w:p>
        </w:tc>
      </w:tr>
      <w:tr w14:paraId="0474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1BFC2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w:t>
            </w:r>
          </w:p>
          <w:p w14:paraId="21A471E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联系人</w:t>
            </w:r>
          </w:p>
        </w:tc>
        <w:tc>
          <w:tcPr>
            <w:tcW w:w="8313" w:type="dxa"/>
            <w:gridSpan w:val="2"/>
            <w:noWrap w:val="0"/>
            <w:vAlign w:val="center"/>
          </w:tcPr>
          <w:p w14:paraId="2BAD6FF0">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杨韦</w:t>
            </w:r>
          </w:p>
        </w:tc>
      </w:tr>
      <w:tr w14:paraId="4131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C28886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8313" w:type="dxa"/>
            <w:gridSpan w:val="2"/>
            <w:noWrap w:val="0"/>
            <w:vAlign w:val="center"/>
          </w:tcPr>
          <w:p w14:paraId="105C48E3">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0550-35195</w:t>
            </w:r>
            <w:r>
              <w:rPr>
                <w:rFonts w:hint="eastAsia" w:ascii="宋体" w:hAnsi="宋体" w:eastAsia="宋体" w:cs="宋体"/>
                <w:color w:val="auto"/>
                <w:sz w:val="21"/>
                <w:szCs w:val="21"/>
                <w:highlight w:val="none"/>
                <w:lang w:val="en-US" w:eastAsia="zh-CN"/>
              </w:rPr>
              <w:t>90、18005501210</w:t>
            </w:r>
          </w:p>
        </w:tc>
      </w:tr>
    </w:tbl>
    <w:p w14:paraId="64247BFD">
      <w:pPr>
        <w:pStyle w:val="42"/>
        <w:spacing w:beforeLines="50" w:afterLines="50" w:line="440" w:lineRule="exact"/>
        <w:rPr>
          <w:rFonts w:hint="eastAsia"/>
          <w:bCs/>
          <w:color w:val="auto"/>
          <w:szCs w:val="32"/>
          <w:highlight w:val="none"/>
          <w:lang w:val="en-US" w:eastAsia="zh-CN"/>
        </w:rPr>
      </w:pPr>
    </w:p>
    <w:p w14:paraId="5B9E8F52">
      <w:pPr>
        <w:pStyle w:val="42"/>
        <w:spacing w:beforeLines="50" w:afterLines="50" w:line="440" w:lineRule="exact"/>
        <w:rPr>
          <w:rFonts w:hint="eastAsia"/>
          <w:bCs/>
          <w:color w:val="auto"/>
          <w:szCs w:val="32"/>
          <w:highlight w:val="none"/>
          <w:lang w:val="en-US" w:eastAsia="zh-CN"/>
        </w:rPr>
      </w:pPr>
    </w:p>
    <w:p w14:paraId="48BAE78B">
      <w:pPr>
        <w:pStyle w:val="42"/>
        <w:spacing w:beforeLines="50" w:afterLines="50" w:line="440" w:lineRule="exact"/>
        <w:rPr>
          <w:rFonts w:hint="eastAsia"/>
          <w:bCs/>
          <w:color w:val="auto"/>
          <w:szCs w:val="32"/>
          <w:highlight w:val="none"/>
          <w:lang w:val="en-US" w:eastAsia="zh-CN"/>
        </w:rPr>
      </w:pPr>
    </w:p>
    <w:bookmarkEnd w:id="12"/>
    <w:bookmarkEnd w:id="13"/>
    <w:bookmarkEnd w:id="14"/>
    <w:bookmarkEnd w:id="15"/>
    <w:p w14:paraId="390CEBB7">
      <w:pPr>
        <w:rPr>
          <w:color w:val="auto"/>
          <w:highlight w:val="none"/>
        </w:rPr>
      </w:pPr>
      <w:bookmarkStart w:id="17" w:name="_Toc246996173"/>
      <w:bookmarkStart w:id="18" w:name="_Toc15058844"/>
      <w:bookmarkStart w:id="19" w:name="_Toc324404813"/>
      <w:bookmarkStart w:id="20" w:name="_Toc152045527"/>
      <w:bookmarkStart w:id="21" w:name="_Toc144974495"/>
      <w:bookmarkStart w:id="22" w:name="_Toc35425050"/>
      <w:bookmarkStart w:id="23" w:name="_Toc35424883"/>
      <w:bookmarkStart w:id="24" w:name="_Toc506107267"/>
      <w:bookmarkStart w:id="25" w:name="_Toc246996916"/>
      <w:bookmarkStart w:id="26" w:name="_Toc247085687"/>
      <w:bookmarkStart w:id="27" w:name="_Toc179632544"/>
      <w:bookmarkStart w:id="28" w:name="_Toc152042303"/>
      <w:r>
        <w:rPr>
          <w:color w:val="auto"/>
          <w:highlight w:val="none"/>
        </w:rPr>
        <w:br w:type="page"/>
      </w:r>
    </w:p>
    <w:p w14:paraId="1D0C9878">
      <w:pPr>
        <w:pStyle w:val="42"/>
        <w:spacing w:beforeLines="50" w:afterLines="50" w:line="440" w:lineRule="exact"/>
        <w:rPr>
          <w:bCs/>
          <w:color w:val="auto"/>
          <w:szCs w:val="32"/>
          <w:highlight w:val="none"/>
        </w:rPr>
      </w:pPr>
      <w:bookmarkStart w:id="29" w:name="_Toc8504"/>
      <w:r>
        <w:rPr>
          <w:rFonts w:hint="eastAsia"/>
          <w:bCs/>
          <w:color w:val="auto"/>
          <w:szCs w:val="32"/>
          <w:highlight w:val="none"/>
        </w:rPr>
        <w:t>第一章</w:t>
      </w:r>
      <w:r>
        <w:rPr>
          <w:bCs/>
          <w:color w:val="auto"/>
          <w:szCs w:val="32"/>
          <w:highlight w:val="none"/>
        </w:rPr>
        <w:t xml:space="preserve"> </w:t>
      </w:r>
      <w:r>
        <w:rPr>
          <w:rFonts w:hint="eastAsia"/>
          <w:bCs/>
          <w:color w:val="auto"/>
          <w:szCs w:val="32"/>
          <w:highlight w:val="none"/>
        </w:rPr>
        <w:t>投标人须知</w:t>
      </w:r>
      <w:bookmarkEnd w:id="17"/>
      <w:bookmarkEnd w:id="18"/>
      <w:bookmarkEnd w:id="19"/>
      <w:bookmarkEnd w:id="20"/>
      <w:bookmarkEnd w:id="21"/>
      <w:bookmarkEnd w:id="22"/>
      <w:bookmarkEnd w:id="23"/>
      <w:bookmarkEnd w:id="24"/>
      <w:bookmarkEnd w:id="25"/>
      <w:bookmarkEnd w:id="26"/>
      <w:bookmarkEnd w:id="27"/>
      <w:bookmarkEnd w:id="28"/>
      <w:bookmarkEnd w:id="29"/>
    </w:p>
    <w:p w14:paraId="39E76530">
      <w:pPr>
        <w:spacing w:beforeLines="50" w:afterLines="50" w:line="440" w:lineRule="exact"/>
        <w:jc w:val="center"/>
        <w:rPr>
          <w:b/>
          <w:bCs/>
          <w:color w:val="auto"/>
          <w:sz w:val="28"/>
          <w:szCs w:val="28"/>
          <w:highlight w:val="none"/>
        </w:rPr>
      </w:pPr>
      <w:bookmarkStart w:id="30" w:name="_Toc35424884"/>
      <w:bookmarkStart w:id="31" w:name="_Toc152045528"/>
      <w:bookmarkStart w:id="32" w:name="_Toc35425051"/>
      <w:bookmarkStart w:id="33" w:name="_Toc179632545"/>
      <w:bookmarkStart w:id="34" w:name="_Toc246996174"/>
      <w:bookmarkStart w:id="35" w:name="_Toc506107268"/>
      <w:bookmarkStart w:id="36" w:name="_Toc144974496"/>
      <w:bookmarkStart w:id="37" w:name="_Toc15058845"/>
      <w:bookmarkStart w:id="38" w:name="_Toc152042304"/>
      <w:bookmarkStart w:id="39" w:name="_Toc247085688"/>
      <w:bookmarkStart w:id="40" w:name="_Toc324404814"/>
      <w:bookmarkStart w:id="41" w:name="_Toc246996917"/>
      <w:r>
        <w:rPr>
          <w:rFonts w:hint="eastAsia"/>
          <w:b/>
          <w:bCs/>
          <w:color w:val="auto"/>
          <w:sz w:val="28"/>
          <w:szCs w:val="28"/>
          <w:highlight w:val="none"/>
        </w:rPr>
        <w:t>投标人须知前附表</w:t>
      </w:r>
      <w:bookmarkEnd w:id="30"/>
      <w:bookmarkEnd w:id="31"/>
      <w:bookmarkEnd w:id="32"/>
      <w:bookmarkEnd w:id="33"/>
      <w:bookmarkEnd w:id="34"/>
      <w:bookmarkEnd w:id="35"/>
      <w:bookmarkEnd w:id="36"/>
      <w:bookmarkEnd w:id="37"/>
      <w:bookmarkEnd w:id="38"/>
      <w:bookmarkEnd w:id="39"/>
      <w:bookmarkEnd w:id="40"/>
      <w:bookmarkEnd w:id="41"/>
    </w:p>
    <w:tbl>
      <w:tblPr>
        <w:tblStyle w:val="45"/>
        <w:tblW w:w="10527" w:type="dxa"/>
        <w:jc w:val="center"/>
        <w:tblLayout w:type="fixed"/>
        <w:tblCellMar>
          <w:top w:w="0" w:type="dxa"/>
          <w:left w:w="108" w:type="dxa"/>
          <w:bottom w:w="0" w:type="dxa"/>
          <w:right w:w="108" w:type="dxa"/>
        </w:tblCellMar>
      </w:tblPr>
      <w:tblGrid>
        <w:gridCol w:w="868"/>
        <w:gridCol w:w="910"/>
        <w:gridCol w:w="1220"/>
        <w:gridCol w:w="7529"/>
      </w:tblGrid>
      <w:tr w14:paraId="748587BB">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6B4EBD0A">
            <w:pPr>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bookmarkStart w:id="42" w:name="_Toc179632546"/>
            <w:bookmarkStart w:id="43" w:name="_Toc247085689"/>
            <w:bookmarkStart w:id="44" w:name="_Toc324404815"/>
            <w:bookmarkStart w:id="45" w:name="_Toc506107269"/>
            <w:bookmarkStart w:id="46" w:name="_Toc152045529"/>
            <w:bookmarkStart w:id="47" w:name="_Toc246996918"/>
            <w:bookmarkStart w:id="48" w:name="_Toc144974497"/>
            <w:bookmarkStart w:id="49" w:name="_Toc246996175"/>
            <w:bookmarkStart w:id="50" w:name="_Toc152042305"/>
            <w:r>
              <w:rPr>
                <w:rFonts w:hint="eastAsia" w:ascii="宋体" w:hAnsi="宋体" w:eastAsia="宋体" w:cs="宋体"/>
                <w:b/>
                <w:color w:val="auto"/>
                <w:sz w:val="21"/>
                <w:szCs w:val="21"/>
                <w:highlight w:val="none"/>
              </w:rPr>
              <w:t>序号</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2392639">
            <w:pPr>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529" w:type="dxa"/>
            <w:tcBorders>
              <w:top w:val="single" w:color="auto" w:sz="4" w:space="0"/>
              <w:left w:val="single" w:color="auto" w:sz="4" w:space="0"/>
              <w:bottom w:val="single" w:color="auto" w:sz="4" w:space="0"/>
              <w:right w:val="single" w:color="auto" w:sz="4" w:space="0"/>
            </w:tcBorders>
            <w:vAlign w:val="center"/>
          </w:tcPr>
          <w:p w14:paraId="6082EB75">
            <w:pPr>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4A74F3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0E7AF10">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D79036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7529" w:type="dxa"/>
            <w:tcBorders>
              <w:top w:val="single" w:color="auto" w:sz="4" w:space="0"/>
              <w:left w:val="single" w:color="auto" w:sz="4" w:space="0"/>
              <w:bottom w:val="single" w:color="auto" w:sz="4" w:space="0"/>
              <w:right w:val="single" w:color="auto" w:sz="4" w:space="0"/>
            </w:tcBorders>
            <w:vAlign w:val="center"/>
          </w:tcPr>
          <w:p w14:paraId="62A8D777">
            <w:pPr>
              <w:pStyle w:val="40"/>
              <w:keepNext w:val="0"/>
              <w:keepLines w:val="0"/>
              <w:pageBreakBefore w:val="0"/>
              <w:kinsoku/>
              <w:overflowPunct/>
              <w:autoSpaceDE/>
              <w:autoSpaceDN/>
              <w:bidi w:val="0"/>
              <w:spacing w:beforeAutospacing="0" w:afterAutospacing="0" w:line="500" w:lineRule="exact"/>
              <w:textAlignment w:val="auto"/>
              <w:rPr>
                <w:rFonts w:hint="default" w:ascii="宋体" w:hAnsi="宋体" w:eastAsia="宋体" w:cs="宋体"/>
                <w:color w:val="auto"/>
                <w:kern w:val="2"/>
                <w:sz w:val="21"/>
                <w:szCs w:val="21"/>
                <w:highlight w:val="none"/>
                <w:lang w:val="en-US" w:eastAsia="zh-CN"/>
              </w:rPr>
            </w:pPr>
            <w:r>
              <w:rPr>
                <w:rFonts w:hint="eastAsia" w:cs="宋体"/>
                <w:color w:val="auto"/>
                <w:sz w:val="21"/>
                <w:szCs w:val="21"/>
                <w:highlight w:val="none"/>
                <w:lang w:val="en-US" w:eastAsia="zh-CN"/>
              </w:rPr>
              <w:t>详见招标公告</w:t>
            </w:r>
          </w:p>
        </w:tc>
      </w:tr>
      <w:tr w14:paraId="1458B5E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C162157">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BA9B48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7529" w:type="dxa"/>
            <w:tcBorders>
              <w:top w:val="single" w:color="auto" w:sz="4" w:space="0"/>
              <w:left w:val="single" w:color="auto" w:sz="4" w:space="0"/>
              <w:bottom w:val="single" w:color="auto" w:sz="4" w:space="0"/>
              <w:right w:val="single" w:color="auto" w:sz="4" w:space="0"/>
            </w:tcBorders>
            <w:vAlign w:val="center"/>
          </w:tcPr>
          <w:p w14:paraId="137E46B2">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详见招标公告</w:t>
            </w:r>
          </w:p>
        </w:tc>
      </w:tr>
      <w:tr w14:paraId="6AC2D34B">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0BC61BB9">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56E4AA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529" w:type="dxa"/>
            <w:tcBorders>
              <w:top w:val="single" w:color="auto" w:sz="4" w:space="0"/>
              <w:left w:val="single" w:color="auto" w:sz="4" w:space="0"/>
              <w:bottom w:val="single" w:color="auto" w:sz="4" w:space="0"/>
              <w:right w:val="single" w:color="auto" w:sz="4" w:space="0"/>
            </w:tcBorders>
            <w:vAlign w:val="center"/>
          </w:tcPr>
          <w:p w14:paraId="45462298">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中新苏滁高新区（未来产业园）智能制造工业坊项目桩基检测</w:t>
            </w:r>
          </w:p>
        </w:tc>
      </w:tr>
      <w:tr w14:paraId="3C15F29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791BFE4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2E8168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7529" w:type="dxa"/>
            <w:tcBorders>
              <w:top w:val="single" w:color="auto" w:sz="4" w:space="0"/>
              <w:left w:val="single" w:color="auto" w:sz="4" w:space="0"/>
              <w:bottom w:val="single" w:color="auto" w:sz="4" w:space="0"/>
              <w:right w:val="single" w:color="auto" w:sz="4" w:space="0"/>
            </w:tcBorders>
            <w:vAlign w:val="center"/>
          </w:tcPr>
          <w:p w14:paraId="7D679AB3">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安徽省滁州市东至白塔街,南至滁中路,西至滁州大道,北至滨河南路</w:t>
            </w:r>
          </w:p>
        </w:tc>
      </w:tr>
      <w:tr w14:paraId="5480B341">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13B3A54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7E2F6C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529" w:type="dxa"/>
            <w:tcBorders>
              <w:top w:val="single" w:color="auto" w:sz="4" w:space="0"/>
              <w:left w:val="single" w:color="auto" w:sz="4" w:space="0"/>
              <w:bottom w:val="single" w:color="auto" w:sz="4" w:space="0"/>
              <w:right w:val="single" w:color="auto" w:sz="4" w:space="0"/>
            </w:tcBorders>
            <w:vAlign w:val="center"/>
          </w:tcPr>
          <w:p w14:paraId="339D356B">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r>
              <w:rPr>
                <w:rFonts w:hint="eastAsia" w:ascii="宋体" w:hAnsi="宋体" w:eastAsia="宋体" w:cs="宋体"/>
                <w:color w:val="auto"/>
                <w:kern w:val="2"/>
                <w:sz w:val="21"/>
                <w:szCs w:val="21"/>
                <w:highlight w:val="none"/>
                <w:lang w:val="en-US" w:eastAsia="zh-CN" w:bidi="ar-SA"/>
              </w:rPr>
              <w:t>自筹资金</w:t>
            </w:r>
            <w:r>
              <w:rPr>
                <w:rFonts w:hint="eastAsia" w:ascii="宋体" w:hAnsi="宋体" w:eastAsia="宋体" w:cs="宋体"/>
                <w:color w:val="auto"/>
                <w:sz w:val="21"/>
                <w:szCs w:val="21"/>
                <w:highlight w:val="none"/>
              </w:rPr>
              <w:t>；比例：100%</w:t>
            </w:r>
          </w:p>
        </w:tc>
      </w:tr>
      <w:tr w14:paraId="781E9D8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6E741A1">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522CA5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7529" w:type="dxa"/>
            <w:tcBorders>
              <w:top w:val="single" w:color="auto" w:sz="4" w:space="0"/>
              <w:left w:val="single" w:color="auto" w:sz="4" w:space="0"/>
              <w:bottom w:val="single" w:color="auto" w:sz="4" w:space="0"/>
              <w:right w:val="single" w:color="auto" w:sz="4" w:space="0"/>
            </w:tcBorders>
            <w:vAlign w:val="center"/>
          </w:tcPr>
          <w:p w14:paraId="55AE24C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详见第五章检测内容及要求</w:t>
            </w:r>
          </w:p>
        </w:tc>
      </w:tr>
      <w:tr w14:paraId="019E5517">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18A9E25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D02F68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29" w:type="dxa"/>
            <w:tcBorders>
              <w:top w:val="single" w:color="auto" w:sz="4" w:space="0"/>
              <w:left w:val="single" w:color="auto" w:sz="4" w:space="0"/>
              <w:bottom w:val="single" w:color="auto" w:sz="4" w:space="0"/>
              <w:right w:val="single" w:color="auto" w:sz="4" w:space="0"/>
            </w:tcBorders>
            <w:vAlign w:val="center"/>
          </w:tcPr>
          <w:p w14:paraId="1BF29738">
            <w:pPr>
              <w:pStyle w:val="1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w:t>
            </w:r>
            <w:r>
              <w:rPr>
                <w:rFonts w:hint="eastAsia" w:ascii="宋体" w:hAnsi="宋体" w:cs="宋体"/>
                <w:color w:val="auto"/>
                <w:sz w:val="21"/>
                <w:szCs w:val="21"/>
                <w:highlight w:val="none"/>
                <w:lang w:val="en-US" w:eastAsia="zh-CN"/>
              </w:rPr>
              <w:t>分</w:t>
            </w:r>
            <w:r>
              <w:rPr>
                <w:rFonts w:hint="eastAsia" w:ascii="宋体" w:hAnsi="宋体" w:eastAsia="宋体" w:cs="宋体"/>
                <w:color w:val="auto"/>
                <w:sz w:val="21"/>
                <w:szCs w:val="21"/>
                <w:highlight w:val="none"/>
              </w:rPr>
              <w:t>法</w:t>
            </w:r>
          </w:p>
        </w:tc>
      </w:tr>
      <w:tr w14:paraId="1E247E0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B67ADF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DB75E0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w:t>
            </w:r>
          </w:p>
        </w:tc>
        <w:tc>
          <w:tcPr>
            <w:tcW w:w="7529" w:type="dxa"/>
            <w:tcBorders>
              <w:top w:val="single" w:color="auto" w:sz="4" w:space="0"/>
              <w:left w:val="single" w:color="auto" w:sz="4" w:space="0"/>
              <w:bottom w:val="single" w:color="auto" w:sz="4" w:space="0"/>
              <w:right w:val="single" w:color="auto" w:sz="4" w:space="0"/>
            </w:tcBorders>
            <w:vAlign w:val="center"/>
          </w:tcPr>
          <w:p w14:paraId="322A122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中标单位</w:t>
            </w:r>
            <w:r>
              <w:rPr>
                <w:rFonts w:hint="eastAsia" w:ascii="宋体" w:hAnsi="宋体" w:cs="宋体"/>
                <w:color w:val="auto"/>
                <w:sz w:val="21"/>
                <w:szCs w:val="21"/>
                <w:highlight w:val="none"/>
                <w:lang w:val="en-US" w:eastAsia="zh-CN"/>
              </w:rPr>
              <w:t>于每次</w:t>
            </w:r>
            <w:r>
              <w:rPr>
                <w:rFonts w:hint="eastAsia" w:ascii="宋体" w:hAnsi="宋体" w:eastAsia="宋体" w:cs="宋体"/>
                <w:color w:val="auto"/>
                <w:sz w:val="21"/>
                <w:szCs w:val="21"/>
                <w:highlight w:val="none"/>
                <w:lang w:val="en-US" w:eastAsia="zh-CN"/>
              </w:rPr>
              <w:t>接到招标单位通知后</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个日历天内完成经监理单位复核确认的全部内容(以合格工程量为准)，并出具正式检测报告。</w:t>
            </w:r>
          </w:p>
        </w:tc>
      </w:tr>
      <w:tr w14:paraId="3C8EC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5F322F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614B10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529" w:type="dxa"/>
            <w:tcBorders>
              <w:top w:val="single" w:color="auto" w:sz="4" w:space="0"/>
              <w:left w:val="single" w:color="auto" w:sz="4" w:space="0"/>
              <w:bottom w:val="single" w:color="auto" w:sz="4" w:space="0"/>
              <w:right w:val="single" w:color="auto" w:sz="4" w:space="0"/>
            </w:tcBorders>
            <w:vAlign w:val="center"/>
          </w:tcPr>
          <w:p w14:paraId="6B57681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检测质量须满足国家和行业有关检测规范的要求，如违反国家和行业有关检测规范的要求，所造成的一切损失和责任由检测单位承担。</w:t>
            </w:r>
          </w:p>
          <w:p w14:paraId="14E39116">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若因检测失误引发灾害的经济责任和法律责任由检测单位承担。</w:t>
            </w:r>
          </w:p>
        </w:tc>
      </w:tr>
      <w:tr w14:paraId="24F54B11">
        <w:tblPrEx>
          <w:tblCellMar>
            <w:top w:w="0" w:type="dxa"/>
            <w:left w:w="108" w:type="dxa"/>
            <w:bottom w:w="0" w:type="dxa"/>
            <w:right w:w="108" w:type="dxa"/>
          </w:tblCellMar>
        </w:tblPrEx>
        <w:trPr>
          <w:trHeight w:val="805" w:hRule="atLeast"/>
          <w:jc w:val="center"/>
        </w:trPr>
        <w:tc>
          <w:tcPr>
            <w:tcW w:w="868" w:type="dxa"/>
            <w:vMerge w:val="restart"/>
            <w:tcBorders>
              <w:top w:val="single" w:color="auto" w:sz="4" w:space="0"/>
              <w:left w:val="single" w:color="auto" w:sz="4" w:space="0"/>
              <w:right w:val="single" w:color="auto" w:sz="4" w:space="0"/>
            </w:tcBorders>
            <w:vAlign w:val="center"/>
          </w:tcPr>
          <w:p w14:paraId="6F32116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0E2A60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投标人资质条件、能力和信誉</w:t>
            </w:r>
          </w:p>
        </w:tc>
        <w:tc>
          <w:tcPr>
            <w:tcW w:w="7529" w:type="dxa"/>
            <w:tcBorders>
              <w:top w:val="single" w:color="auto" w:sz="4" w:space="0"/>
              <w:left w:val="single" w:color="auto" w:sz="4" w:space="0"/>
              <w:bottom w:val="single" w:color="auto" w:sz="4" w:space="0"/>
              <w:right w:val="single" w:color="auto" w:sz="4" w:space="0"/>
            </w:tcBorders>
            <w:vAlign w:val="center"/>
          </w:tcPr>
          <w:p w14:paraId="412A2D13">
            <w:pPr>
              <w:pStyle w:val="44"/>
              <w:keepNext w:val="0"/>
              <w:keepLines w:val="0"/>
              <w:pageBreakBefore w:val="0"/>
              <w:kinsoku/>
              <w:overflowPunct/>
              <w:autoSpaceDE/>
              <w:autoSpaceDN/>
              <w:bidi w:val="0"/>
              <w:spacing w:line="500" w:lineRule="exact"/>
              <w:ind w:left="0" w:leftChars="0"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079EB64F">
        <w:tblPrEx>
          <w:tblCellMar>
            <w:top w:w="0" w:type="dxa"/>
            <w:left w:w="108" w:type="dxa"/>
            <w:bottom w:w="0" w:type="dxa"/>
            <w:right w:w="108" w:type="dxa"/>
          </w:tblCellMar>
        </w:tblPrEx>
        <w:trPr>
          <w:trHeight w:val="575" w:hRule="atLeast"/>
          <w:jc w:val="center"/>
        </w:trPr>
        <w:tc>
          <w:tcPr>
            <w:tcW w:w="868" w:type="dxa"/>
            <w:vMerge w:val="continue"/>
            <w:tcBorders>
              <w:left w:val="single" w:color="auto" w:sz="4" w:space="0"/>
              <w:bottom w:val="single" w:color="auto" w:sz="4" w:space="0"/>
              <w:right w:val="single" w:color="auto" w:sz="4" w:space="0"/>
            </w:tcBorders>
            <w:vAlign w:val="center"/>
          </w:tcPr>
          <w:p w14:paraId="38F61BDD">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5EEE4E4">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招标文件发布时间：</w:t>
            </w:r>
          </w:p>
        </w:tc>
        <w:tc>
          <w:tcPr>
            <w:tcW w:w="7529" w:type="dxa"/>
            <w:tcBorders>
              <w:top w:val="single" w:color="auto" w:sz="4" w:space="0"/>
              <w:left w:val="single" w:color="auto" w:sz="4" w:space="0"/>
              <w:bottom w:val="single" w:color="auto" w:sz="4" w:space="0"/>
              <w:right w:val="single" w:color="auto" w:sz="4" w:space="0"/>
            </w:tcBorders>
            <w:vAlign w:val="center"/>
          </w:tcPr>
          <w:p w14:paraId="145F7CB3">
            <w:pPr>
              <w:keepNext w:val="0"/>
              <w:keepLines w:val="0"/>
              <w:pageBreakBefore w:val="0"/>
              <w:kinsoku/>
              <w:overflowPunct/>
              <w:autoSpaceDE/>
              <w:autoSpaceDN/>
              <w:bidi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详见招标公告</w:t>
            </w:r>
          </w:p>
        </w:tc>
      </w:tr>
      <w:tr w14:paraId="2E94FC6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EE4EC7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C94674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529" w:type="dxa"/>
            <w:tcBorders>
              <w:top w:val="single" w:color="auto" w:sz="4" w:space="0"/>
              <w:left w:val="single" w:color="auto" w:sz="4" w:space="0"/>
              <w:bottom w:val="single" w:color="auto" w:sz="4" w:space="0"/>
              <w:right w:val="single" w:color="auto" w:sz="4" w:space="0"/>
            </w:tcBorders>
            <w:vAlign w:val="center"/>
          </w:tcPr>
          <w:p w14:paraId="5A6A97AF">
            <w:pPr>
              <w:pStyle w:val="15"/>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不组织，投标人自行组织踏勘现场</w:t>
            </w:r>
          </w:p>
        </w:tc>
      </w:tr>
      <w:tr w14:paraId="71CDEA9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717FB30F">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015C18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投标预备会</w:t>
            </w:r>
          </w:p>
        </w:tc>
        <w:tc>
          <w:tcPr>
            <w:tcW w:w="7529" w:type="dxa"/>
            <w:tcBorders>
              <w:top w:val="single" w:color="auto" w:sz="4" w:space="0"/>
              <w:left w:val="single" w:color="auto" w:sz="4" w:space="0"/>
              <w:bottom w:val="single" w:color="auto" w:sz="4" w:space="0"/>
              <w:right w:val="single" w:color="auto" w:sz="4" w:space="0"/>
            </w:tcBorders>
            <w:vAlign w:val="center"/>
          </w:tcPr>
          <w:p w14:paraId="167FF1FC">
            <w:pPr>
              <w:pStyle w:val="15"/>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不召开</w:t>
            </w:r>
          </w:p>
        </w:tc>
      </w:tr>
      <w:tr w14:paraId="56ED5E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524572C1">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1B8B3D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08E6FFA9">
            <w:pPr>
              <w:keepNext w:val="0"/>
              <w:keepLines w:val="0"/>
              <w:pageBreakBefore w:val="0"/>
              <w:kinsoku/>
              <w:wordWrap w:val="0"/>
              <w:overflowPunct/>
              <w:autoSpaceDE/>
              <w:autoSpaceDN/>
              <w:bidi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kern w:val="0"/>
                <w:szCs w:val="21"/>
                <w:highlight w:val="none"/>
              </w:rPr>
              <w:t>如投标人对招标文件有异议，请于</w:t>
            </w:r>
            <w:r>
              <w:rPr>
                <w:rFonts w:hint="eastAsia" w:ascii="宋体" w:hAnsi="宋体" w:eastAsia="宋体" w:cs="宋体"/>
                <w:b/>
                <w:bCs w:val="0"/>
                <w:color w:val="auto"/>
                <w:kern w:val="0"/>
                <w:szCs w:val="21"/>
                <w:highlight w:val="none"/>
                <w:lang w:val="en-US" w:eastAsia="zh-CN"/>
              </w:rPr>
              <w:t>202</w:t>
            </w:r>
            <w:r>
              <w:rPr>
                <w:rFonts w:hint="eastAsia" w:ascii="宋体" w:hAnsi="宋体" w:cs="宋体"/>
                <w:b/>
                <w:bCs w:val="0"/>
                <w:color w:val="auto"/>
                <w:kern w:val="0"/>
                <w:szCs w:val="21"/>
                <w:highlight w:val="none"/>
                <w:lang w:val="en-US" w:eastAsia="zh-CN"/>
              </w:rPr>
              <w:t>6</w:t>
            </w:r>
            <w:r>
              <w:rPr>
                <w:rFonts w:hint="eastAsia" w:ascii="宋体" w:hAnsi="宋体" w:eastAsia="宋体" w:cs="宋体"/>
                <w:b/>
                <w:bCs w:val="0"/>
                <w:color w:val="auto"/>
                <w:kern w:val="0"/>
                <w:szCs w:val="21"/>
                <w:highlight w:val="none"/>
              </w:rPr>
              <w:t>年</w:t>
            </w:r>
            <w:r>
              <w:rPr>
                <w:rFonts w:hint="eastAsia" w:ascii="宋体" w:hAnsi="宋体" w:cs="宋体"/>
                <w:b/>
                <w:bCs w:val="0"/>
                <w:color w:val="auto"/>
                <w:kern w:val="0"/>
                <w:szCs w:val="21"/>
                <w:highlight w:val="none"/>
                <w:lang w:val="en-US" w:eastAsia="zh-CN"/>
              </w:rPr>
              <w:t>5</w:t>
            </w:r>
            <w:r>
              <w:rPr>
                <w:rFonts w:hint="eastAsia" w:ascii="宋体" w:hAnsi="宋体" w:eastAsia="宋体" w:cs="宋体"/>
                <w:b/>
                <w:bCs w:val="0"/>
                <w:color w:val="auto"/>
                <w:kern w:val="0"/>
                <w:szCs w:val="21"/>
                <w:highlight w:val="none"/>
              </w:rPr>
              <w:t>月</w:t>
            </w:r>
            <w:r>
              <w:rPr>
                <w:rFonts w:hint="eastAsia" w:ascii="宋体" w:hAnsi="宋体" w:cs="宋体"/>
                <w:b/>
                <w:bCs w:val="0"/>
                <w:color w:val="auto"/>
                <w:kern w:val="0"/>
                <w:szCs w:val="21"/>
                <w:highlight w:val="none"/>
                <w:lang w:val="en-US" w:eastAsia="zh-CN"/>
              </w:rPr>
              <w:t>21</w:t>
            </w:r>
            <w:r>
              <w:rPr>
                <w:rFonts w:hint="eastAsia" w:ascii="宋体" w:hAnsi="宋体" w:eastAsia="宋体" w:cs="宋体"/>
                <w:b/>
                <w:bCs w:val="0"/>
                <w:color w:val="auto"/>
                <w:kern w:val="0"/>
                <w:szCs w:val="21"/>
                <w:highlight w:val="none"/>
              </w:rPr>
              <w:t>日</w:t>
            </w:r>
            <w:r>
              <w:rPr>
                <w:rFonts w:hint="eastAsia" w:ascii="宋体" w:hAnsi="宋体" w:cs="宋体"/>
                <w:b/>
                <w:bCs w:val="0"/>
                <w:color w:val="auto"/>
                <w:kern w:val="0"/>
                <w:szCs w:val="21"/>
                <w:highlight w:val="none"/>
                <w:lang w:val="en-US" w:eastAsia="zh-CN"/>
              </w:rPr>
              <w:t>7</w:t>
            </w:r>
            <w:r>
              <w:rPr>
                <w:rFonts w:hint="eastAsia" w:ascii="宋体" w:hAnsi="宋体" w:eastAsia="宋体" w:cs="宋体"/>
                <w:b/>
                <w:bCs w:val="0"/>
                <w:color w:val="auto"/>
                <w:kern w:val="0"/>
                <w:szCs w:val="21"/>
                <w:highlight w:val="none"/>
              </w:rPr>
              <w:t>时前</w:t>
            </w:r>
            <w:r>
              <w:rPr>
                <w:rFonts w:hint="eastAsia" w:ascii="宋体" w:hAnsi="宋体" w:eastAsia="宋体" w:cs="宋体"/>
                <w:b w:val="0"/>
                <w:bCs/>
                <w:color w:val="auto"/>
                <w:kern w:val="0"/>
                <w:sz w:val="21"/>
                <w:szCs w:val="21"/>
                <w:highlight w:val="none"/>
              </w:rPr>
              <w:t>在新点电子交易平台【滁州专区】中在线进行异议</w:t>
            </w:r>
            <w:r>
              <w:rPr>
                <w:rFonts w:hint="eastAsia" w:ascii="宋体" w:hAnsi="宋体" w:cs="宋体"/>
                <w:b w:val="0"/>
                <w:bCs/>
                <w:color w:val="auto"/>
                <w:kern w:val="0"/>
                <w:sz w:val="21"/>
                <w:szCs w:val="21"/>
                <w:highlight w:val="none"/>
                <w:lang w:eastAsia="zh-CN"/>
              </w:rPr>
              <w:t>。</w:t>
            </w:r>
          </w:p>
        </w:tc>
      </w:tr>
      <w:tr w14:paraId="7A56797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5DA58E06">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C34C49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招标人澄清的时间及方式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3CB95C9F">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rPr>
              <w:t>日17时前</w:t>
            </w:r>
            <w:r>
              <w:rPr>
                <w:rFonts w:hint="eastAsia" w:ascii="宋体" w:hAnsi="宋体" w:eastAsia="宋体" w:cs="宋体"/>
                <w:color w:val="auto"/>
                <w:kern w:val="0"/>
                <w:sz w:val="21"/>
                <w:szCs w:val="21"/>
                <w:highlight w:val="none"/>
              </w:rPr>
              <w:t>在</w:t>
            </w:r>
            <w:r>
              <w:rPr>
                <w:rFonts w:hint="eastAsia" w:ascii="宋体" w:hAnsi="宋体" w:eastAsia="宋体" w:cs="宋体"/>
                <w:b w:val="0"/>
                <w:bCs w:val="0"/>
                <w:color w:val="auto"/>
                <w:sz w:val="21"/>
                <w:szCs w:val="21"/>
                <w:highlight w:val="none"/>
                <w:lang w:val="en-US" w:eastAsia="zh-CN"/>
              </w:rPr>
              <w:t>中新苏滁高新技术产业开发区（https://scp.chuzhou.gov.cn/index.html）、滁州市城投工程咨询管理有限公司网站（https://www.czctgczx.com/）网站予以公告</w:t>
            </w:r>
            <w:r>
              <w:rPr>
                <w:rFonts w:hint="eastAsia" w:ascii="宋体" w:hAnsi="宋体" w:eastAsia="宋体" w:cs="宋体"/>
                <w:b w:val="0"/>
                <w:bCs w:val="0"/>
                <w:color w:val="auto"/>
                <w:sz w:val="21"/>
                <w:szCs w:val="21"/>
                <w:highlight w:val="none"/>
              </w:rPr>
              <w:t>，请各</w:t>
            </w:r>
            <w:r>
              <w:rPr>
                <w:rFonts w:hint="eastAsia" w:ascii="宋体" w:hAnsi="宋体" w:eastAsia="宋体" w:cs="宋体"/>
                <w:b w:val="0"/>
                <w:bCs w:val="0"/>
                <w:color w:val="auto"/>
                <w:sz w:val="21"/>
                <w:szCs w:val="21"/>
                <w:highlight w:val="none"/>
                <w:lang w:val="en-US" w:eastAsia="zh-CN"/>
              </w:rPr>
              <w:t>潜在</w:t>
            </w:r>
            <w:r>
              <w:rPr>
                <w:rFonts w:hint="eastAsia" w:ascii="宋体" w:hAnsi="宋体" w:eastAsia="宋体" w:cs="宋体"/>
                <w:b w:val="0"/>
                <w:bCs w:val="0"/>
                <w:color w:val="auto"/>
                <w:sz w:val="21"/>
                <w:szCs w:val="21"/>
                <w:highlight w:val="none"/>
              </w:rPr>
              <w:t>投标人注意查看有关澄清内容，如不及时查看或领取造成后果由投标人自负。</w:t>
            </w:r>
          </w:p>
        </w:tc>
      </w:tr>
      <w:tr w14:paraId="1CBB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DFE89E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B6EBF9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7529" w:type="dxa"/>
            <w:tcBorders>
              <w:top w:val="single" w:color="auto" w:sz="4" w:space="0"/>
              <w:left w:val="single" w:color="auto" w:sz="4" w:space="0"/>
              <w:bottom w:val="single" w:color="auto" w:sz="4" w:space="0"/>
              <w:right w:val="single" w:color="auto" w:sz="4" w:space="0"/>
            </w:tcBorders>
            <w:vAlign w:val="center"/>
          </w:tcPr>
          <w:p w14:paraId="268F6BD4">
            <w:pPr>
              <w:pStyle w:val="15"/>
              <w:keepNext w:val="0"/>
              <w:keepLines w:val="0"/>
              <w:pageBreakBefore w:val="0"/>
              <w:kinsoku/>
              <w:overflowPunct/>
              <w:topLine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详见招标文件1.11偏离</w:t>
            </w:r>
          </w:p>
        </w:tc>
      </w:tr>
      <w:tr w14:paraId="1B5C66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49E861F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5F9D06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构成招标文件的其他材料</w:t>
            </w:r>
          </w:p>
        </w:tc>
        <w:tc>
          <w:tcPr>
            <w:tcW w:w="7529" w:type="dxa"/>
            <w:tcBorders>
              <w:top w:val="single" w:color="auto" w:sz="4" w:space="0"/>
              <w:left w:val="single" w:color="auto" w:sz="4" w:space="0"/>
              <w:bottom w:val="single" w:color="auto" w:sz="4" w:space="0"/>
              <w:right w:val="single" w:color="auto" w:sz="4" w:space="0"/>
            </w:tcBorders>
            <w:vAlign w:val="center"/>
          </w:tcPr>
          <w:p w14:paraId="7BD95132">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本工程招标澄清答疑文件等。</w:t>
            </w:r>
          </w:p>
        </w:tc>
      </w:tr>
      <w:tr w14:paraId="63D0014D">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913D41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4796B1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投标人要求澄清招标文件的截止时间及方式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38B586BF">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同本表第13条</w:t>
            </w:r>
          </w:p>
        </w:tc>
      </w:tr>
      <w:tr w14:paraId="35E4877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6774F8B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B12786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7529" w:type="dxa"/>
            <w:tcBorders>
              <w:top w:val="single" w:color="auto" w:sz="4" w:space="0"/>
              <w:left w:val="single" w:color="auto" w:sz="4" w:space="0"/>
              <w:bottom w:val="single" w:color="auto" w:sz="4" w:space="0"/>
              <w:right w:val="single" w:color="auto" w:sz="4" w:space="0"/>
            </w:tcBorders>
            <w:vAlign w:val="center"/>
          </w:tcPr>
          <w:p w14:paraId="75A4D270">
            <w:pPr>
              <w:keepNext w:val="0"/>
              <w:keepLines w:val="0"/>
              <w:pageBreakBefore w:val="0"/>
              <w:numPr>
                <w:ilvl w:val="0"/>
                <w:numId w:val="0"/>
              </w:numPr>
              <w:kinsoku/>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本项目最高限价</w:t>
            </w:r>
            <w:r>
              <w:rPr>
                <w:rFonts w:hint="eastAsia" w:ascii="宋体" w:hAnsi="宋体" w:eastAsia="宋体" w:cs="宋体"/>
                <w:color w:val="auto"/>
                <w:sz w:val="21"/>
                <w:szCs w:val="21"/>
                <w:highlight w:val="none"/>
                <w:lang w:val="en-US" w:eastAsia="zh-CN"/>
              </w:rPr>
              <w:t>为</w:t>
            </w:r>
            <w:r>
              <w:rPr>
                <w:rFonts w:hint="eastAsia" w:ascii="宋体" w:hAnsi="宋体" w:cs="宋体"/>
                <w:color w:val="auto"/>
                <w:sz w:val="21"/>
                <w:szCs w:val="21"/>
                <w:highlight w:val="none"/>
                <w:lang w:val="en-US" w:eastAsia="zh-CN"/>
              </w:rPr>
              <w:t>柒拾伍万壹仟零贰拾伍元整（751025元）</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投标报价（含综合单价）不得高于最高限价（含最高综合单价），否则按无效投标处理。</w:t>
            </w:r>
          </w:p>
        </w:tc>
      </w:tr>
      <w:tr w14:paraId="1113B7E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7D4233A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23AA7F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29" w:type="dxa"/>
            <w:tcBorders>
              <w:top w:val="single" w:color="auto" w:sz="4" w:space="0"/>
              <w:left w:val="single" w:color="auto" w:sz="4" w:space="0"/>
              <w:bottom w:val="single" w:color="auto" w:sz="4" w:space="0"/>
              <w:right w:val="single" w:color="auto" w:sz="4" w:space="0"/>
            </w:tcBorders>
            <w:vAlign w:val="center"/>
          </w:tcPr>
          <w:p w14:paraId="778F0122">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90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76D2FBE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8606667">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0539B8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29" w:type="dxa"/>
            <w:tcBorders>
              <w:top w:val="single" w:color="auto" w:sz="4" w:space="0"/>
              <w:left w:val="single" w:color="auto" w:sz="4" w:space="0"/>
              <w:bottom w:val="single" w:color="auto" w:sz="4" w:space="0"/>
              <w:right w:val="single" w:color="auto" w:sz="4" w:space="0"/>
            </w:tcBorders>
            <w:vAlign w:val="center"/>
          </w:tcPr>
          <w:p w14:paraId="630873E5">
            <w:pPr>
              <w:keepNext w:val="0"/>
              <w:keepLines w:val="0"/>
              <w:pageBreakBefore w:val="0"/>
              <w:kinsoku/>
              <w:overflow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本项目无需缴纳投标保证金。</w:t>
            </w:r>
          </w:p>
        </w:tc>
      </w:tr>
      <w:tr w14:paraId="1747EF2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6ACEBE44">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7D15B9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529" w:type="dxa"/>
            <w:tcBorders>
              <w:top w:val="single" w:color="auto" w:sz="4" w:space="0"/>
              <w:left w:val="single" w:color="auto" w:sz="4" w:space="0"/>
              <w:bottom w:val="single" w:color="auto" w:sz="4" w:space="0"/>
              <w:right w:val="single" w:color="auto" w:sz="4" w:space="0"/>
            </w:tcBorders>
            <w:vAlign w:val="center"/>
          </w:tcPr>
          <w:p w14:paraId="6741ACD0">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投标文件须按格式文件要求签字或盖章。</w:t>
            </w:r>
          </w:p>
        </w:tc>
      </w:tr>
      <w:tr w14:paraId="66CE6403">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2C9BAC4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8868954">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529" w:type="dxa"/>
            <w:tcBorders>
              <w:top w:val="single" w:color="auto" w:sz="4" w:space="0"/>
              <w:left w:val="single" w:color="auto" w:sz="4" w:space="0"/>
              <w:bottom w:val="single" w:color="auto" w:sz="4" w:space="0"/>
              <w:right w:val="single" w:color="auto" w:sz="4" w:space="0"/>
            </w:tcBorders>
            <w:vAlign w:val="center"/>
          </w:tcPr>
          <w:p w14:paraId="1E349287">
            <w:pPr>
              <w:spacing w:line="500" w:lineRule="exact"/>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加密电子投标文件应在投标截止时间前通过</w:t>
            </w:r>
            <w:r>
              <w:rPr>
                <w:rFonts w:hint="eastAsia" w:ascii="宋体" w:hAnsi="宋体" w:eastAsia="宋体" w:cs="宋体"/>
                <w:color w:val="auto"/>
                <w:spacing w:val="-4"/>
                <w:kern w:val="0"/>
                <w:szCs w:val="21"/>
                <w:highlight w:val="none"/>
                <w:lang w:val="en-US" w:eastAsia="zh-CN"/>
              </w:rPr>
              <w:t>新点电子交易平台【滁州专区】</w:t>
            </w:r>
            <w:r>
              <w:rPr>
                <w:rFonts w:hint="eastAsia" w:ascii="宋体" w:hAnsi="宋体" w:eastAsia="宋体" w:cs="宋体"/>
                <w:color w:val="auto"/>
                <w:spacing w:val="-4"/>
                <w:kern w:val="0"/>
                <w:szCs w:val="21"/>
                <w:highlight w:val="none"/>
              </w:rPr>
              <w:t>上传。</w:t>
            </w:r>
          </w:p>
          <w:p w14:paraId="32CC7DF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kern w:val="0"/>
                <w:sz w:val="21"/>
                <w:szCs w:val="21"/>
                <w:highlight w:val="none"/>
                <w:lang w:val="en-US" w:eastAsia="zh-CN" w:bidi="ar-SA"/>
              </w:rPr>
              <w:t>（投标人中标后须递交与网上电子投标文件完全一致的纸质版投标文件，并按要求加盖单位公章；份数：正本1份，副本1份；中标人领取中标通知书时，一并递交给招标代理机构）。</w:t>
            </w:r>
          </w:p>
        </w:tc>
      </w:tr>
      <w:tr w14:paraId="3DDBEB97">
        <w:tblPrEx>
          <w:tblCellMar>
            <w:top w:w="0" w:type="dxa"/>
            <w:left w:w="108" w:type="dxa"/>
            <w:bottom w:w="0" w:type="dxa"/>
            <w:right w:w="108" w:type="dxa"/>
          </w:tblCellMar>
        </w:tblPrEx>
        <w:trPr>
          <w:trHeight w:val="510" w:hRule="atLeast"/>
          <w:jc w:val="center"/>
        </w:trPr>
        <w:tc>
          <w:tcPr>
            <w:tcW w:w="868" w:type="dxa"/>
            <w:vMerge w:val="restart"/>
            <w:tcBorders>
              <w:left w:val="single" w:color="auto" w:sz="4" w:space="0"/>
              <w:right w:val="single" w:color="auto" w:sz="4" w:space="0"/>
            </w:tcBorders>
            <w:vAlign w:val="center"/>
          </w:tcPr>
          <w:p w14:paraId="2E919B0C">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1C16330">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529" w:type="dxa"/>
            <w:tcBorders>
              <w:top w:val="single" w:color="auto" w:sz="4" w:space="0"/>
              <w:left w:val="single" w:color="auto" w:sz="4" w:space="0"/>
              <w:bottom w:val="single" w:color="auto" w:sz="4" w:space="0"/>
              <w:right w:val="single" w:color="auto" w:sz="4" w:space="0"/>
            </w:tcBorders>
            <w:vAlign w:val="center"/>
          </w:tcPr>
          <w:p w14:paraId="63E5E395">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pacing w:val="-4"/>
                <w:kern w:val="0"/>
                <w:sz w:val="21"/>
                <w:szCs w:val="21"/>
                <w:highlight w:val="none"/>
              </w:rPr>
              <w:t>202</w:t>
            </w:r>
            <w:r>
              <w:rPr>
                <w:rFonts w:hint="eastAsia" w:ascii="宋体" w:hAnsi="宋体" w:cs="宋体"/>
                <w:b/>
                <w:color w:val="auto"/>
                <w:spacing w:val="-4"/>
                <w:kern w:val="0"/>
                <w:sz w:val="21"/>
                <w:szCs w:val="21"/>
                <w:highlight w:val="none"/>
                <w:lang w:val="en-US" w:eastAsia="zh-CN"/>
              </w:rPr>
              <w:t>6</w:t>
            </w:r>
            <w:r>
              <w:rPr>
                <w:rFonts w:hint="eastAsia" w:ascii="宋体" w:hAnsi="宋体" w:eastAsia="宋体" w:cs="宋体"/>
                <w:b/>
                <w:color w:val="auto"/>
                <w:spacing w:val="-4"/>
                <w:kern w:val="0"/>
                <w:sz w:val="21"/>
                <w:szCs w:val="21"/>
                <w:highlight w:val="none"/>
              </w:rPr>
              <w:t>年</w:t>
            </w:r>
            <w:r>
              <w:rPr>
                <w:rFonts w:hint="eastAsia" w:ascii="宋体" w:hAnsi="宋体" w:cs="宋体"/>
                <w:b/>
                <w:color w:val="auto"/>
                <w:spacing w:val="-4"/>
                <w:kern w:val="0"/>
                <w:sz w:val="21"/>
                <w:szCs w:val="21"/>
                <w:highlight w:val="none"/>
                <w:lang w:val="en-US" w:eastAsia="zh-CN"/>
              </w:rPr>
              <w:t>5</w:t>
            </w:r>
            <w:r>
              <w:rPr>
                <w:rFonts w:hint="eastAsia" w:ascii="宋体" w:hAnsi="宋体" w:eastAsia="宋体" w:cs="宋体"/>
                <w:b/>
                <w:color w:val="auto"/>
                <w:spacing w:val="-4"/>
                <w:kern w:val="0"/>
                <w:sz w:val="21"/>
                <w:szCs w:val="21"/>
                <w:highlight w:val="none"/>
              </w:rPr>
              <w:t>月</w:t>
            </w:r>
            <w:r>
              <w:rPr>
                <w:rFonts w:hint="eastAsia" w:ascii="宋体" w:hAnsi="宋体" w:cs="宋体"/>
                <w:b/>
                <w:color w:val="auto"/>
                <w:spacing w:val="-4"/>
                <w:kern w:val="0"/>
                <w:sz w:val="21"/>
                <w:szCs w:val="21"/>
                <w:highlight w:val="none"/>
                <w:lang w:val="en-US" w:eastAsia="zh-CN"/>
              </w:rPr>
              <w:t>27</w:t>
            </w:r>
            <w:r>
              <w:rPr>
                <w:rFonts w:hint="eastAsia" w:ascii="宋体" w:hAnsi="宋体" w:eastAsia="宋体" w:cs="宋体"/>
                <w:b/>
                <w:color w:val="auto"/>
                <w:spacing w:val="-4"/>
                <w:kern w:val="0"/>
                <w:sz w:val="21"/>
                <w:szCs w:val="21"/>
                <w:highlight w:val="none"/>
              </w:rPr>
              <w:t>日</w:t>
            </w:r>
            <w:r>
              <w:rPr>
                <w:rFonts w:hint="eastAsia" w:ascii="宋体" w:hAnsi="宋体" w:cs="宋体"/>
                <w:b/>
                <w:color w:val="auto"/>
                <w:spacing w:val="-4"/>
                <w:kern w:val="0"/>
                <w:sz w:val="21"/>
                <w:szCs w:val="21"/>
                <w:highlight w:val="none"/>
                <w:lang w:val="en-US" w:eastAsia="zh-CN"/>
              </w:rPr>
              <w:t>9</w:t>
            </w:r>
            <w:r>
              <w:rPr>
                <w:rFonts w:hint="eastAsia" w:ascii="宋体" w:hAnsi="宋体" w:eastAsia="宋体" w:cs="宋体"/>
                <w:b/>
                <w:color w:val="auto"/>
                <w:spacing w:val="-4"/>
                <w:kern w:val="0"/>
                <w:sz w:val="21"/>
                <w:szCs w:val="21"/>
                <w:highlight w:val="none"/>
              </w:rPr>
              <w:t>时</w:t>
            </w:r>
            <w:r>
              <w:rPr>
                <w:rFonts w:hint="eastAsia" w:ascii="宋体" w:hAnsi="宋体" w:cs="宋体"/>
                <w:b/>
                <w:color w:val="auto"/>
                <w:spacing w:val="-4"/>
                <w:kern w:val="0"/>
                <w:sz w:val="21"/>
                <w:szCs w:val="21"/>
                <w:highlight w:val="none"/>
                <w:lang w:val="en-US" w:eastAsia="zh-CN"/>
              </w:rPr>
              <w:t>00</w:t>
            </w:r>
            <w:r>
              <w:rPr>
                <w:rFonts w:hint="eastAsia" w:ascii="宋体" w:hAnsi="宋体" w:eastAsia="宋体" w:cs="宋体"/>
                <w:b/>
                <w:color w:val="auto"/>
                <w:spacing w:val="-4"/>
                <w:kern w:val="0"/>
                <w:sz w:val="21"/>
                <w:szCs w:val="21"/>
                <w:highlight w:val="none"/>
              </w:rPr>
              <w:t>分（北京时间）</w:t>
            </w:r>
          </w:p>
        </w:tc>
      </w:tr>
      <w:tr w14:paraId="7FF0820C">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7403350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83981C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7529" w:type="dxa"/>
            <w:tcBorders>
              <w:top w:val="single" w:color="auto" w:sz="4" w:space="0"/>
              <w:left w:val="single" w:color="auto" w:sz="4" w:space="0"/>
              <w:bottom w:val="single" w:color="auto" w:sz="4" w:space="0"/>
              <w:right w:val="single" w:color="auto" w:sz="4" w:space="0"/>
            </w:tcBorders>
            <w:vAlign w:val="center"/>
          </w:tcPr>
          <w:p w14:paraId="729B8BA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通过新点电子交易平台后在【滁州专区】（https://www.etrading.cn/BREpointSSO/login/oauth2login?regioncode=DQ_ChuZhou）交易系统递交电子投标文件。</w:t>
            </w:r>
          </w:p>
        </w:tc>
      </w:tr>
      <w:tr w14:paraId="68BDA1A4">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534743DD">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FCA95B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7529" w:type="dxa"/>
            <w:tcBorders>
              <w:top w:val="single" w:color="auto" w:sz="4" w:space="0"/>
              <w:left w:val="single" w:color="auto" w:sz="4" w:space="0"/>
              <w:bottom w:val="single" w:color="auto" w:sz="4" w:space="0"/>
              <w:right w:val="single" w:color="auto" w:sz="4" w:space="0"/>
            </w:tcBorders>
            <w:vAlign w:val="center"/>
          </w:tcPr>
          <w:p w14:paraId="6657B8B5">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14:paraId="65E8B040">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val="en-US" w:eastAsia="zh-CN"/>
              </w:rPr>
              <w:t>见招标公告</w:t>
            </w:r>
          </w:p>
          <w:p w14:paraId="2CD2212E">
            <w:pPr>
              <w:keepNext w:val="0"/>
              <w:keepLines w:val="0"/>
              <w:pageBreakBefore w:val="0"/>
              <w:kinsoku/>
              <w:overflow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注：解密程序开始后30分钟内（以电子交易系统解密倒计时为准），解密时间为2026年5月27日9时00分至2026年5月27日9时30分。</w:t>
            </w:r>
          </w:p>
        </w:tc>
      </w:tr>
      <w:tr w14:paraId="258E7419">
        <w:tblPrEx>
          <w:tblCellMar>
            <w:top w:w="0" w:type="dxa"/>
            <w:left w:w="108" w:type="dxa"/>
            <w:bottom w:w="0" w:type="dxa"/>
            <w:right w:w="108" w:type="dxa"/>
          </w:tblCellMar>
        </w:tblPrEx>
        <w:trPr>
          <w:trHeight w:val="557" w:hRule="atLeast"/>
          <w:jc w:val="center"/>
        </w:trPr>
        <w:tc>
          <w:tcPr>
            <w:tcW w:w="868" w:type="dxa"/>
            <w:vMerge w:val="continue"/>
            <w:tcBorders>
              <w:left w:val="single" w:color="auto" w:sz="4" w:space="0"/>
              <w:right w:val="single" w:color="auto" w:sz="4" w:space="0"/>
            </w:tcBorders>
            <w:vAlign w:val="center"/>
          </w:tcPr>
          <w:p w14:paraId="4220165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3D5ED4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w:t>
            </w:r>
          </w:p>
        </w:tc>
        <w:tc>
          <w:tcPr>
            <w:tcW w:w="7529" w:type="dxa"/>
            <w:tcBorders>
              <w:top w:val="single" w:color="auto" w:sz="4" w:space="0"/>
              <w:left w:val="single" w:color="auto" w:sz="4" w:space="0"/>
              <w:bottom w:val="single" w:color="auto" w:sz="4" w:space="0"/>
              <w:right w:val="single" w:color="auto" w:sz="4" w:space="0"/>
            </w:tcBorders>
            <w:vAlign w:val="center"/>
          </w:tcPr>
          <w:p w14:paraId="11528BF3">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pacing w:val="-4"/>
                <w:kern w:val="0"/>
                <w:szCs w:val="21"/>
                <w:highlight w:val="none"/>
              </w:rPr>
              <w:t>公布在投标截止时间前通过电子交易系统完成投标文件递交的投标人名称</w:t>
            </w:r>
            <w:r>
              <w:rPr>
                <w:rFonts w:hint="eastAsia" w:ascii="宋体" w:hAnsi="宋体" w:cs="宋体"/>
                <w:color w:val="auto"/>
                <w:spacing w:val="-4"/>
                <w:kern w:val="0"/>
                <w:szCs w:val="21"/>
                <w:highlight w:val="none"/>
                <w:lang w:eastAsia="zh-CN"/>
              </w:rPr>
              <w:t>，</w:t>
            </w:r>
            <w:r>
              <w:rPr>
                <w:rFonts w:hint="eastAsia" w:ascii="宋体" w:hAnsi="宋体" w:cs="宋体"/>
                <w:color w:val="auto"/>
                <w:sz w:val="21"/>
                <w:szCs w:val="21"/>
                <w:highlight w:val="none"/>
                <w:lang w:val="en-US" w:eastAsia="zh-CN"/>
              </w:rPr>
              <w:t>再</w:t>
            </w:r>
            <w:r>
              <w:rPr>
                <w:rFonts w:hint="eastAsia" w:ascii="宋体" w:hAnsi="宋体" w:eastAsia="宋体" w:cs="宋体"/>
                <w:color w:val="auto"/>
                <w:sz w:val="21"/>
                <w:szCs w:val="21"/>
                <w:highlight w:val="none"/>
              </w:rPr>
              <w:t>进行符合性审查，</w:t>
            </w:r>
            <w:r>
              <w:rPr>
                <w:rFonts w:hint="eastAsia" w:ascii="宋体" w:hAnsi="宋体" w:cs="宋体"/>
                <w:color w:val="auto"/>
                <w:sz w:val="21"/>
                <w:szCs w:val="21"/>
                <w:highlight w:val="none"/>
                <w:lang w:val="en-US" w:eastAsia="zh-CN"/>
              </w:rPr>
              <w:t>最后</w:t>
            </w:r>
            <w:r>
              <w:rPr>
                <w:rFonts w:hint="eastAsia" w:ascii="宋体" w:hAnsi="宋体" w:eastAsia="宋体" w:cs="宋体"/>
                <w:color w:val="auto"/>
                <w:sz w:val="21"/>
                <w:szCs w:val="21"/>
                <w:highlight w:val="none"/>
              </w:rPr>
              <w:t>进行综合评审。</w:t>
            </w:r>
          </w:p>
        </w:tc>
      </w:tr>
      <w:tr w14:paraId="7467580B">
        <w:tblPrEx>
          <w:tblCellMar>
            <w:top w:w="0" w:type="dxa"/>
            <w:left w:w="108" w:type="dxa"/>
            <w:bottom w:w="0" w:type="dxa"/>
            <w:right w:w="108" w:type="dxa"/>
          </w:tblCellMar>
        </w:tblPrEx>
        <w:trPr>
          <w:trHeight w:val="91"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3DC6A2A3">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E27E140">
            <w:pPr>
              <w:keepNext w:val="0"/>
              <w:keepLines w:val="0"/>
              <w:pageBreakBefore w:val="0"/>
              <w:kinsoku/>
              <w:overflowPunct/>
              <w:autoSpaceDE/>
              <w:autoSpaceDN/>
              <w:bidi w:val="0"/>
              <w:spacing w:line="50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是否退还</w:t>
            </w:r>
            <w:r>
              <w:rPr>
                <w:rFonts w:hint="eastAsia" w:ascii="宋体" w:hAnsi="宋体" w:cs="宋体"/>
                <w:bCs/>
                <w:color w:val="auto"/>
                <w:sz w:val="21"/>
                <w:szCs w:val="21"/>
                <w:highlight w:val="none"/>
                <w:lang w:val="en-US" w:eastAsia="zh-CN"/>
              </w:rPr>
              <w:t>投标文件</w:t>
            </w:r>
          </w:p>
        </w:tc>
        <w:tc>
          <w:tcPr>
            <w:tcW w:w="7529" w:type="dxa"/>
            <w:tcBorders>
              <w:top w:val="single" w:color="auto" w:sz="4" w:space="0"/>
              <w:left w:val="single" w:color="auto" w:sz="4" w:space="0"/>
              <w:bottom w:val="single" w:color="auto" w:sz="4" w:space="0"/>
              <w:right w:val="single" w:color="auto" w:sz="4" w:space="0"/>
            </w:tcBorders>
            <w:vAlign w:val="center"/>
          </w:tcPr>
          <w:p w14:paraId="5AA15E09">
            <w:pPr>
              <w:pStyle w:val="15"/>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BDF6972">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07F1569">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F521F1D">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529" w:type="dxa"/>
            <w:tcBorders>
              <w:top w:val="single" w:color="auto" w:sz="4" w:space="0"/>
              <w:left w:val="single" w:color="auto" w:sz="4" w:space="0"/>
              <w:bottom w:val="single" w:color="auto" w:sz="4" w:space="0"/>
              <w:right w:val="single" w:color="auto" w:sz="4" w:space="0"/>
            </w:tcBorders>
            <w:vAlign w:val="center"/>
          </w:tcPr>
          <w:p w14:paraId="22E296D0">
            <w:pPr>
              <w:keepNext w:val="0"/>
              <w:keepLines w:val="0"/>
              <w:pageBreakBefore w:val="0"/>
              <w:kinsoku/>
              <w:wordWrap w:val="0"/>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评标委员会构成：</w:t>
            </w:r>
            <w:r>
              <w:rPr>
                <w:rFonts w:hint="eastAsia" w:ascii="宋体" w:hAnsi="宋体" w:eastAsia="宋体" w:cs="宋体"/>
                <w:b/>
                <w:bCs/>
                <w:color w:val="auto"/>
                <w:sz w:val="21"/>
                <w:szCs w:val="21"/>
                <w:highlight w:val="none"/>
                <w:u w:val="none"/>
                <w:lang w:val="en-US" w:eastAsia="zh-CN"/>
              </w:rPr>
              <w:t>招标人依法组建</w:t>
            </w:r>
            <w:r>
              <w:rPr>
                <w:rFonts w:hint="eastAsia" w:ascii="宋体" w:hAnsi="宋体" w:cs="宋体"/>
                <w:b/>
                <w:bCs/>
                <w:color w:val="auto"/>
                <w:sz w:val="21"/>
                <w:szCs w:val="21"/>
                <w:highlight w:val="none"/>
                <w:u w:val="none"/>
                <w:lang w:val="en-US" w:eastAsia="zh-CN"/>
              </w:rPr>
              <w:t>。</w:t>
            </w:r>
          </w:p>
          <w:p w14:paraId="3FBAF243">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w:t>
            </w:r>
            <w:r>
              <w:rPr>
                <w:rFonts w:hint="eastAsia" w:ascii="宋体" w:hAnsi="宋体" w:cs="宋体"/>
                <w:b/>
                <w:bCs/>
                <w:color w:val="auto"/>
                <w:sz w:val="21"/>
                <w:szCs w:val="21"/>
                <w:highlight w:val="none"/>
                <w:lang w:val="en-US" w:eastAsia="zh-CN"/>
              </w:rPr>
              <w:t>随机抽取</w:t>
            </w:r>
            <w:r>
              <w:rPr>
                <w:rFonts w:hint="eastAsia" w:ascii="宋体" w:hAnsi="宋体" w:eastAsia="宋体" w:cs="宋体"/>
                <w:b/>
                <w:bCs/>
                <w:color w:val="auto"/>
                <w:sz w:val="21"/>
                <w:szCs w:val="21"/>
                <w:highlight w:val="none"/>
                <w:u w:val="none"/>
                <w:lang w:val="en-US" w:eastAsia="zh-CN"/>
              </w:rPr>
              <w:t>。</w:t>
            </w:r>
          </w:p>
        </w:tc>
      </w:tr>
      <w:tr w14:paraId="5A57B91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5A5CCA7F">
            <w:pPr>
              <w:keepNext w:val="0"/>
              <w:keepLines w:val="0"/>
              <w:pageBreakBefore w:val="0"/>
              <w:kinsoku/>
              <w:overflowPunct/>
              <w:autoSpaceDE/>
              <w:autoSpaceDN/>
              <w:bidi w:val="0"/>
              <w:spacing w:line="5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5929B95">
            <w:pPr>
              <w:keepNext w:val="0"/>
              <w:keepLines w:val="0"/>
              <w:pageBreakBefore w:val="0"/>
              <w:kinsoku/>
              <w:overflowPunct/>
              <w:autoSpaceDE/>
              <w:autoSpaceDN/>
              <w:bidi w:val="0"/>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是否授权评标委员会确定中标候选人</w:t>
            </w:r>
          </w:p>
        </w:tc>
        <w:tc>
          <w:tcPr>
            <w:tcW w:w="7529" w:type="dxa"/>
            <w:tcBorders>
              <w:top w:val="single" w:color="auto" w:sz="4" w:space="0"/>
              <w:left w:val="single" w:color="auto" w:sz="4" w:space="0"/>
              <w:bottom w:val="single" w:color="auto" w:sz="4" w:space="0"/>
              <w:right w:val="single" w:color="auto" w:sz="4" w:space="0"/>
            </w:tcBorders>
            <w:vAlign w:val="center"/>
          </w:tcPr>
          <w:p w14:paraId="7782666B">
            <w:pPr>
              <w:keepNext w:val="0"/>
              <w:keepLines w:val="0"/>
              <w:pageBreakBefore w:val="0"/>
              <w:kinsoku/>
              <w:overflowPunct/>
              <w:autoSpaceDE/>
              <w:autoSpaceDN/>
              <w:bidi w:val="0"/>
              <w:spacing w:line="5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是，推荐的中标候选人数：</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名，并标明排序。</w:t>
            </w:r>
          </w:p>
        </w:tc>
      </w:tr>
      <w:tr w14:paraId="5CE29EEE">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66A11B1E">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2130" w:type="dxa"/>
            <w:gridSpan w:val="2"/>
            <w:tcBorders>
              <w:top w:val="single" w:color="auto" w:sz="4" w:space="0"/>
              <w:left w:val="single" w:color="auto" w:sz="4" w:space="0"/>
              <w:right w:val="single" w:color="auto" w:sz="4" w:space="0"/>
            </w:tcBorders>
            <w:vAlign w:val="center"/>
          </w:tcPr>
          <w:p w14:paraId="0A78473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w:t>
            </w:r>
          </w:p>
        </w:tc>
        <w:tc>
          <w:tcPr>
            <w:tcW w:w="7529" w:type="dxa"/>
            <w:tcBorders>
              <w:top w:val="single" w:color="auto" w:sz="4" w:space="0"/>
              <w:left w:val="single" w:color="auto" w:sz="4" w:space="0"/>
              <w:right w:val="single" w:color="auto" w:sz="4" w:space="0"/>
            </w:tcBorders>
            <w:vAlign w:val="center"/>
          </w:tcPr>
          <w:p w14:paraId="14EAF808">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中新苏滁高新技术产业开发区（https://scp.chuzhou.gov.cn/index.html）、滁州市城投工程咨询管理有限公司网站（https://www.czctgczx.com/）网站</w:t>
            </w:r>
          </w:p>
        </w:tc>
      </w:tr>
      <w:tr w14:paraId="400F4D59">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3649D7A0">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2130" w:type="dxa"/>
            <w:gridSpan w:val="2"/>
            <w:tcBorders>
              <w:top w:val="single" w:color="auto" w:sz="4" w:space="0"/>
              <w:left w:val="single" w:color="auto" w:sz="4" w:space="0"/>
              <w:right w:val="single" w:color="auto" w:sz="4" w:space="0"/>
            </w:tcBorders>
            <w:vAlign w:val="center"/>
          </w:tcPr>
          <w:p w14:paraId="5B137C86">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中标通知书发出形式</w:t>
            </w:r>
          </w:p>
        </w:tc>
        <w:tc>
          <w:tcPr>
            <w:tcW w:w="7529" w:type="dxa"/>
            <w:tcBorders>
              <w:top w:val="single" w:color="auto" w:sz="4" w:space="0"/>
              <w:left w:val="single" w:color="auto" w:sz="4" w:space="0"/>
              <w:right w:val="single" w:color="auto" w:sz="4" w:space="0"/>
            </w:tcBorders>
            <w:vAlign w:val="center"/>
          </w:tcPr>
          <w:p w14:paraId="43A86472">
            <w:pPr>
              <w:keepNext w:val="0"/>
              <w:keepLines w:val="0"/>
              <w:pageBreakBefore w:val="0"/>
              <w:widowControl/>
              <w:kinsoku/>
              <w:wordWrap/>
              <w:overflowPunct/>
              <w:autoSpaceDE/>
              <w:autoSpaceDN/>
              <w:bidi w:val="0"/>
              <w:adjustRightInd w:val="0"/>
              <w:snapToGrid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纸质</w:t>
            </w:r>
          </w:p>
        </w:tc>
      </w:tr>
      <w:tr w14:paraId="15AA952E">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6D814A2F">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CFD929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529" w:type="dxa"/>
            <w:tcBorders>
              <w:top w:val="single" w:color="auto" w:sz="4" w:space="0"/>
              <w:left w:val="single" w:color="auto" w:sz="4" w:space="0"/>
              <w:bottom w:val="single" w:color="auto" w:sz="4" w:space="0"/>
              <w:right w:val="single" w:color="auto" w:sz="4" w:space="0"/>
            </w:tcBorders>
            <w:vAlign w:val="center"/>
          </w:tcPr>
          <w:p w14:paraId="5F1BD6EE">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不要求中标人提交履约保证金。</w:t>
            </w:r>
          </w:p>
        </w:tc>
      </w:tr>
      <w:tr w14:paraId="024102EB">
        <w:tblPrEx>
          <w:tblCellMar>
            <w:top w:w="0" w:type="dxa"/>
            <w:left w:w="108" w:type="dxa"/>
            <w:bottom w:w="0" w:type="dxa"/>
            <w:right w:w="108" w:type="dxa"/>
          </w:tblCellMar>
        </w:tblPrEx>
        <w:trPr>
          <w:trHeight w:val="90" w:hRule="atLeast"/>
          <w:jc w:val="center"/>
        </w:trPr>
        <w:tc>
          <w:tcPr>
            <w:tcW w:w="10527" w:type="dxa"/>
            <w:gridSpan w:val="4"/>
            <w:tcBorders>
              <w:top w:val="single" w:color="auto" w:sz="4" w:space="0"/>
              <w:left w:val="single" w:color="auto" w:sz="4" w:space="0"/>
              <w:bottom w:val="single" w:color="auto" w:sz="4" w:space="0"/>
              <w:right w:val="single" w:color="auto" w:sz="4" w:space="0"/>
            </w:tcBorders>
            <w:vAlign w:val="center"/>
          </w:tcPr>
          <w:p w14:paraId="442548B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351F58D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616CECBB">
            <w:pPr>
              <w:keepNext w:val="0"/>
              <w:keepLines w:val="0"/>
              <w:pageBreakBefore w:val="0"/>
              <w:kinsoku/>
              <w:wordWrap/>
              <w:overflowPunct/>
              <w:autoSpaceDE/>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126A25F">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代理服务费具体金额</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3000</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w:t>
            </w:r>
          </w:p>
          <w:p w14:paraId="1EEA0567">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代理服务费主体：</w:t>
            </w:r>
            <w:r>
              <w:rPr>
                <w:rFonts w:hint="eastAsia" w:ascii="宋体" w:hAnsi="宋体" w:eastAsia="宋体" w:cs="宋体"/>
                <w:color w:val="auto"/>
                <w:sz w:val="21"/>
                <w:szCs w:val="21"/>
                <w:highlight w:val="none"/>
                <w:lang w:val="en-US" w:eastAsia="zh-CN"/>
              </w:rPr>
              <w:t>中标单位</w:t>
            </w:r>
          </w:p>
        </w:tc>
      </w:tr>
      <w:tr w14:paraId="7FC1F5A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6AD73985">
            <w:pPr>
              <w:keepNext w:val="0"/>
              <w:keepLines w:val="0"/>
              <w:pageBreakBefore w:val="0"/>
              <w:kinsoku/>
              <w:wordWrap/>
              <w:overflowPunct/>
              <w:autoSpaceDE/>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专家评审劳务费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02C7DF9E">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费用或支付标准：</w:t>
            </w:r>
            <w:r>
              <w:rPr>
                <w:rFonts w:hint="eastAsia" w:ascii="宋体" w:hAnsi="宋体" w:eastAsia="宋体" w:cs="宋体"/>
                <w:color w:val="auto"/>
                <w:sz w:val="21"/>
                <w:szCs w:val="21"/>
                <w:highlight w:val="none"/>
                <w:lang w:val="en-US" w:eastAsia="zh-CN"/>
              </w:rPr>
              <w:t>以实际发生为准；</w:t>
            </w:r>
          </w:p>
          <w:p w14:paraId="2015AD46">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支付主体：中标单位</w:t>
            </w:r>
          </w:p>
        </w:tc>
      </w:tr>
      <w:tr w14:paraId="2E535B7A">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3EE258E0">
            <w:pPr>
              <w:keepNext w:val="0"/>
              <w:keepLines w:val="0"/>
              <w:pageBreakBefore w:val="0"/>
              <w:kinsoku/>
              <w:wordWrap/>
              <w:overflowPunct/>
              <w:autoSpaceDE/>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解释权</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3EA2CD7">
            <w:pPr>
              <w:pStyle w:val="119"/>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1.构成本招标文件的各个组成文件应互为解释，互为说明；</w:t>
            </w:r>
          </w:p>
          <w:p w14:paraId="177E4D2E">
            <w:pPr>
              <w:pStyle w:val="119"/>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2.同一组成文件中就同一事项的规定或约定不一致的，以编排顺序在后者为准；</w:t>
            </w:r>
          </w:p>
          <w:p w14:paraId="37A8D32D">
            <w:pPr>
              <w:pStyle w:val="119"/>
              <w:keepNext w:val="0"/>
              <w:keepLines w:val="0"/>
              <w:pageBreakBefore w:val="0"/>
              <w:tabs>
                <w:tab w:val="left" w:pos="351"/>
              </w:tabs>
              <w:kinsoku/>
              <w:wordWrap/>
              <w:overflowPunct/>
              <w:autoSpaceDE/>
              <w:autoSpaceDN/>
              <w:bidi w:val="0"/>
              <w:adjustRightInd w:val="0"/>
              <w:snapToGrid w:val="0"/>
              <w:spacing w:line="5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3.如有不明确或不一致，构成合同文件组成内容的，以合同文件约定内容为准，且以专用合同条款约定的合同文件优先顺序解释；</w:t>
            </w:r>
          </w:p>
          <w:p w14:paraId="3980C3B1">
            <w:pPr>
              <w:pStyle w:val="119"/>
              <w:keepNext w:val="0"/>
              <w:keepLines w:val="0"/>
              <w:pageBreakBefore w:val="0"/>
              <w:tabs>
                <w:tab w:val="left" w:pos="636"/>
              </w:tabs>
              <w:kinsoku/>
              <w:wordWrap/>
              <w:overflowPunct/>
              <w:autoSpaceDE/>
              <w:autoSpaceDN/>
              <w:bidi w:val="0"/>
              <w:adjustRightInd w:val="0"/>
              <w:snapToGrid w:val="0"/>
              <w:spacing w:line="500" w:lineRule="exact"/>
              <w:jc w:val="left"/>
              <w:textAlignment w:val="auto"/>
              <w:rPr>
                <w:rFonts w:hint="eastAsia" w:ascii="宋体" w:hAnsi="宋体" w:eastAsia="宋体" w:cs="宋体"/>
                <w:strike/>
                <w:color w:val="auto"/>
                <w:sz w:val="21"/>
                <w:szCs w:val="21"/>
                <w:highlight w:val="none"/>
              </w:rPr>
            </w:pPr>
            <w:r>
              <w:rPr>
                <w:rFonts w:hint="eastAsia"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.按本款前述规定仍不能形成结论的，由招标人负责解释。</w:t>
            </w:r>
          </w:p>
        </w:tc>
      </w:tr>
      <w:tr w14:paraId="408AE77C">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7EBFAE6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人员配备要求</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4C077A5">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除项目负责人外，还须配备满足下列要求的项目组成员（不得少于5人）：</w:t>
            </w:r>
          </w:p>
          <w:p w14:paraId="00FF2514">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（1）桩检测专业技术人员不少于1名，具有中级及以上职称。</w:t>
            </w:r>
          </w:p>
          <w:p w14:paraId="2A76A80C">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（2）试验工程师不少于1名，具有中级及以上职称（或具有检测岗位资格证书）</w:t>
            </w:r>
            <w:r>
              <w:rPr>
                <w:rFonts w:hint="eastAsia" w:ascii="宋体" w:hAnsi="宋体" w:eastAsia="宋体" w:cs="宋体"/>
                <w:color w:val="auto"/>
                <w:sz w:val="21"/>
                <w:szCs w:val="21"/>
                <w:highlight w:val="none"/>
                <w:lang w:eastAsia="zh-CN"/>
              </w:rPr>
              <w:t>。</w:t>
            </w:r>
          </w:p>
          <w:p w14:paraId="20DD635F">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（3）试验检测人员不少于2名。</w:t>
            </w:r>
          </w:p>
          <w:p w14:paraId="6432AD1A">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（4）项目资料员不少于1名。</w:t>
            </w:r>
          </w:p>
          <w:p w14:paraId="4032C637">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b/>
                <w:bCs/>
                <w:color w:val="auto"/>
                <w:sz w:val="21"/>
                <w:szCs w:val="21"/>
                <w:highlight w:val="none"/>
              </w:rPr>
              <w:t>①</w:t>
            </w:r>
            <w:r>
              <w:rPr>
                <w:rFonts w:hint="eastAsia" w:ascii="宋体" w:hAnsi="宋体" w:cs="宋体"/>
                <w:b/>
                <w:bCs/>
                <w:color w:val="auto"/>
                <w:sz w:val="21"/>
                <w:szCs w:val="21"/>
                <w:highlight w:val="none"/>
                <w:lang w:val="en-US" w:eastAsia="zh-CN"/>
              </w:rPr>
              <w:t>投标文件中</w:t>
            </w:r>
            <w:r>
              <w:rPr>
                <w:rFonts w:hint="eastAsia" w:ascii="宋体" w:hAnsi="宋体" w:eastAsia="宋体" w:cs="宋体"/>
                <w:b/>
                <w:bCs/>
                <w:color w:val="auto"/>
                <w:sz w:val="21"/>
                <w:szCs w:val="21"/>
                <w:highlight w:val="none"/>
              </w:rPr>
              <w:t>须</w:t>
            </w:r>
            <w:r>
              <w:rPr>
                <w:rFonts w:hint="eastAsia" w:ascii="宋体" w:hAnsi="宋体" w:cs="宋体"/>
                <w:b/>
                <w:bCs/>
                <w:color w:val="auto"/>
                <w:sz w:val="21"/>
                <w:szCs w:val="21"/>
                <w:highlight w:val="none"/>
                <w:lang w:val="en-US" w:eastAsia="zh-CN"/>
              </w:rPr>
              <w:t>同时</w:t>
            </w:r>
            <w:r>
              <w:rPr>
                <w:rFonts w:hint="eastAsia" w:ascii="宋体" w:hAnsi="宋体" w:eastAsia="宋体" w:cs="宋体"/>
                <w:b/>
                <w:bCs/>
                <w:color w:val="auto"/>
                <w:sz w:val="21"/>
                <w:szCs w:val="21"/>
                <w:highlight w:val="none"/>
                <w:lang w:val="en-US" w:eastAsia="zh-CN"/>
              </w:rPr>
              <w:t>提供</w:t>
            </w:r>
            <w:r>
              <w:rPr>
                <w:rFonts w:hint="eastAsia" w:ascii="宋体" w:hAnsi="宋体" w:cs="宋体"/>
                <w:b/>
                <w:bCs/>
                <w:color w:val="auto"/>
                <w:sz w:val="21"/>
                <w:szCs w:val="21"/>
                <w:highlight w:val="none"/>
                <w:lang w:val="en-US" w:eastAsia="zh-CN"/>
              </w:rPr>
              <w:t>下列材料复印件并加盖单位公章：</w:t>
            </w:r>
            <w:r>
              <w:rPr>
                <w:rFonts w:hint="eastAsia" w:ascii="宋体" w:hAnsi="宋体" w:eastAsia="宋体" w:cs="宋体"/>
                <w:b/>
                <w:bCs/>
                <w:color w:val="auto"/>
                <w:sz w:val="21"/>
                <w:szCs w:val="21"/>
                <w:highlight w:val="none"/>
                <w:lang w:val="en-US" w:eastAsia="zh-CN"/>
              </w:rPr>
              <w:t>上述人员有效</w:t>
            </w:r>
            <w:r>
              <w:rPr>
                <w:rFonts w:hint="eastAsia" w:ascii="宋体" w:hAnsi="宋体" w:eastAsia="宋体" w:cs="宋体"/>
                <w:b/>
                <w:bCs/>
                <w:color w:val="auto"/>
                <w:sz w:val="21"/>
                <w:szCs w:val="21"/>
                <w:highlight w:val="none"/>
              </w:rPr>
              <w:t>身份证、证书及社保部门出具的本单位为其缴纳的投标前近三个月连续的养老保险证明（含官网在线打印件，证明文件两个月内有效），投标人是事业单位的，暂未缴纳社保的，须由其主管部门出具证明。</w:t>
            </w:r>
            <w:r>
              <w:rPr>
                <w:rFonts w:hint="eastAsia" w:ascii="宋体" w:hAnsi="宋体" w:cs="宋体"/>
                <w:b/>
                <w:bCs/>
                <w:color w:val="auto"/>
                <w:sz w:val="21"/>
                <w:szCs w:val="21"/>
                <w:highlight w:val="none"/>
                <w:lang w:val="en-US" w:eastAsia="zh-CN"/>
              </w:rPr>
              <w:t>未按上述要求提供材料的，按无效标处理。</w:t>
            </w:r>
          </w:p>
          <w:p w14:paraId="0355AE86">
            <w:pPr>
              <w:pStyle w:val="4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②在合同履行期间，中标人须按此要求进行人员组织，保证人员的到位，及时进行检测工作，并在服务期内保证人员的稳定。项目组成员非特殊原因一律不得更换，若确因特殊原因需要更换时，须提前</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天提交与拟更换人员具备同等或更高资质的人员报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批准，经</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批准后方可更换。</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更换项目负责人、其他人员的，均需</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书面同意且更换人员资格不得低于招标文件要求。未经</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同意擅自更换视为</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支付违约金，违约金标准为项目负责人5万元（人民币）/人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各专业技术人员</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试验工程师2万元/人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其他人员1万元/人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shd w:val="clear" w:color="auto" w:fill="auto"/>
              </w:rPr>
              <w:t>若招标人提出人员更换要求，</w:t>
            </w:r>
            <w:r>
              <w:rPr>
                <w:rFonts w:hint="eastAsia" w:ascii="宋体" w:hAnsi="宋体" w:eastAsia="宋体" w:cs="宋体"/>
                <w:color w:val="auto"/>
                <w:kern w:val="0"/>
                <w:sz w:val="21"/>
                <w:szCs w:val="21"/>
                <w:highlight w:val="none"/>
                <w:shd w:val="clear" w:color="auto" w:fill="auto"/>
              </w:rPr>
              <w:t>中标人</w:t>
            </w:r>
            <w:r>
              <w:rPr>
                <w:rFonts w:hint="eastAsia" w:ascii="宋体" w:hAnsi="宋体" w:eastAsia="宋体" w:cs="宋体"/>
                <w:color w:val="auto"/>
                <w:sz w:val="21"/>
                <w:szCs w:val="21"/>
                <w:highlight w:val="none"/>
                <w:shd w:val="clear" w:color="auto" w:fill="auto"/>
              </w:rPr>
              <w:t>应在接到通知的7天内</w:t>
            </w:r>
            <w:r>
              <w:rPr>
                <w:rFonts w:hint="eastAsia" w:ascii="宋体" w:hAnsi="宋体" w:eastAsia="宋体" w:cs="宋体"/>
                <w:color w:val="auto"/>
                <w:sz w:val="21"/>
                <w:szCs w:val="21"/>
                <w:highlight w:val="none"/>
                <w:shd w:val="clear" w:color="auto" w:fill="auto"/>
                <w:lang w:val="en-US" w:eastAsia="zh-CN"/>
              </w:rPr>
              <w:t>委派同</w:t>
            </w:r>
            <w:r>
              <w:rPr>
                <w:rFonts w:hint="eastAsia" w:ascii="宋体" w:hAnsi="宋体" w:eastAsia="宋体" w:cs="宋体"/>
                <w:color w:val="auto"/>
                <w:sz w:val="21"/>
                <w:szCs w:val="21"/>
                <w:highlight w:val="none"/>
                <w:shd w:val="clear" w:color="auto" w:fill="auto"/>
              </w:rPr>
              <w:t>等或更高资质的人员</w:t>
            </w:r>
            <w:r>
              <w:rPr>
                <w:rFonts w:hint="eastAsia" w:ascii="宋体" w:hAnsi="宋体" w:eastAsia="宋体" w:cs="宋体"/>
                <w:color w:val="auto"/>
                <w:sz w:val="21"/>
                <w:szCs w:val="21"/>
                <w:highlight w:val="none"/>
                <w:shd w:val="clear" w:color="auto" w:fill="auto"/>
                <w:lang w:val="en-US" w:eastAsia="zh-CN"/>
              </w:rPr>
              <w:t>且经招标人认可</w:t>
            </w:r>
            <w:r>
              <w:rPr>
                <w:rFonts w:hint="eastAsia" w:ascii="宋体" w:hAnsi="宋体" w:eastAsia="宋体" w:cs="宋体"/>
                <w:color w:val="auto"/>
                <w:sz w:val="21"/>
                <w:szCs w:val="21"/>
                <w:highlight w:val="none"/>
                <w:shd w:val="clear" w:color="auto" w:fill="auto"/>
              </w:rPr>
              <w:t>，不配合更换视为违约，</w:t>
            </w:r>
            <w:r>
              <w:rPr>
                <w:rFonts w:hint="eastAsia" w:ascii="宋体" w:hAnsi="宋体" w:eastAsia="宋体" w:cs="宋体"/>
                <w:color w:val="auto"/>
                <w:sz w:val="21"/>
                <w:szCs w:val="21"/>
                <w:highlight w:val="none"/>
                <w:shd w:val="clear" w:color="auto" w:fill="auto"/>
                <w:lang w:val="en-US" w:eastAsia="zh-CN"/>
              </w:rPr>
              <w:t>中标人</w:t>
            </w:r>
            <w:r>
              <w:rPr>
                <w:rFonts w:hint="eastAsia" w:ascii="宋体" w:hAnsi="宋体" w:eastAsia="宋体" w:cs="宋体"/>
                <w:color w:val="auto"/>
                <w:sz w:val="21"/>
                <w:szCs w:val="21"/>
                <w:highlight w:val="none"/>
                <w:shd w:val="clear" w:color="auto" w:fill="auto"/>
              </w:rPr>
              <w:t>应向</w:t>
            </w:r>
            <w:r>
              <w:rPr>
                <w:rFonts w:hint="eastAsia" w:ascii="宋体" w:hAnsi="宋体" w:eastAsia="宋体" w:cs="宋体"/>
                <w:color w:val="auto"/>
                <w:sz w:val="21"/>
                <w:szCs w:val="21"/>
                <w:highlight w:val="none"/>
                <w:shd w:val="clear" w:color="auto" w:fill="auto"/>
                <w:lang w:val="en-US" w:eastAsia="zh-CN"/>
              </w:rPr>
              <w:t>招标人</w:t>
            </w:r>
            <w:r>
              <w:rPr>
                <w:rFonts w:hint="eastAsia" w:ascii="宋体" w:hAnsi="宋体" w:eastAsia="宋体" w:cs="宋体"/>
                <w:color w:val="auto"/>
                <w:sz w:val="21"/>
                <w:szCs w:val="21"/>
                <w:highlight w:val="none"/>
                <w:shd w:val="clear" w:color="auto" w:fill="auto"/>
              </w:rPr>
              <w:t>支付违约金，违约金标准为项目负责人5万元（人民币）/人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auto"/>
              </w:rPr>
              <w:t>次、各专业技术人员、试验工程师2万元/人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auto"/>
              </w:rPr>
              <w:t>次、其他人员1万元/人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auto"/>
              </w:rPr>
              <w:t>次。由于更换人员引起的费用由中标人承担。</w:t>
            </w:r>
          </w:p>
        </w:tc>
      </w:tr>
      <w:tr w14:paraId="37F0566B">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4D420315">
            <w:pPr>
              <w:keepNext w:val="0"/>
              <w:keepLines w:val="0"/>
              <w:pageBreakBefore w:val="0"/>
              <w:shd w:val="clear" w:color="auto" w:fill="auto"/>
              <w:kinsoku/>
              <w:overflowPunct/>
              <w:autoSpaceDE/>
              <w:autoSpaceDN/>
              <w:bidi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安全质量</w:t>
            </w:r>
          </w:p>
        </w:tc>
        <w:tc>
          <w:tcPr>
            <w:tcW w:w="8749" w:type="dxa"/>
            <w:gridSpan w:val="2"/>
            <w:tcBorders>
              <w:top w:val="single" w:color="auto" w:sz="4" w:space="0"/>
              <w:left w:val="single" w:color="auto" w:sz="4" w:space="0"/>
              <w:bottom w:val="single" w:color="auto" w:sz="4" w:space="0"/>
              <w:right w:val="single" w:color="auto" w:sz="4" w:space="0"/>
            </w:tcBorders>
            <w:vAlign w:val="top"/>
          </w:tcPr>
          <w:p w14:paraId="642DAF83">
            <w:pPr>
              <w:keepNext w:val="0"/>
              <w:keepLines w:val="0"/>
              <w:pageBreakBefore w:val="0"/>
              <w:shd w:val="clear" w:color="auto" w:fill="auto"/>
              <w:kinsoku/>
              <w:overflowPunct/>
              <w:autoSpaceDE/>
              <w:autoSpaceDN/>
              <w:bidi w:val="0"/>
              <w:spacing w:line="500" w:lineRule="exac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1.检测质量满足国家和行业有关检测规范的要求，如违反国家和行业有关检测规范的要求，所造成的一切损失和责任由检测单位承担。</w:t>
            </w:r>
          </w:p>
          <w:p w14:paraId="4FA97450">
            <w:pPr>
              <w:keepNext w:val="0"/>
              <w:keepLines w:val="0"/>
              <w:pageBreakBefore w:val="0"/>
              <w:shd w:val="clear" w:color="auto" w:fill="auto"/>
              <w:kinsoku/>
              <w:overflowPunct/>
              <w:autoSpaceDE/>
              <w:autoSpaceDN/>
              <w:bidi w:val="0"/>
              <w:spacing w:line="500" w:lineRule="exac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2.若因检测失误引发灾害的经济责任和法律责任由检测单位承担。</w:t>
            </w:r>
          </w:p>
          <w:p w14:paraId="11BC033D">
            <w:pPr>
              <w:pStyle w:val="44"/>
              <w:keepNext w:val="0"/>
              <w:keepLines w:val="0"/>
              <w:pageBreakBefore w:val="0"/>
              <w:shd w:val="clear" w:color="auto" w:fill="auto"/>
              <w:kinsoku/>
              <w:overflowPunct/>
              <w:autoSpaceDE/>
              <w:autoSpaceDN/>
              <w:bidi w:val="0"/>
              <w:spacing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3.现场测试期间，服从工程建设部的指挥管理，确保测试过程中的安全。</w:t>
            </w:r>
          </w:p>
        </w:tc>
      </w:tr>
      <w:tr w14:paraId="673C5B79">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6C064C19">
            <w:pPr>
              <w:keepNext w:val="0"/>
              <w:keepLines w:val="0"/>
              <w:pageBreakBefore w:val="0"/>
              <w:shd w:val="clear" w:color="auto" w:fill="auto"/>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bookmarkStart w:id="51" w:name="_Toc35425053"/>
            <w:bookmarkStart w:id="52" w:name="_Toc15058846"/>
            <w:bookmarkStart w:id="53" w:name="_Toc5813"/>
            <w:bookmarkStart w:id="54" w:name="_Toc35424887"/>
            <w:r>
              <w:rPr>
                <w:rFonts w:hint="eastAsia" w:ascii="宋体" w:hAnsi="宋体" w:cs="宋体"/>
                <w:color w:val="auto"/>
                <w:sz w:val="21"/>
                <w:szCs w:val="21"/>
                <w:highlight w:val="none"/>
                <w:lang w:val="en-US" w:eastAsia="zh-CN"/>
              </w:rPr>
              <w:t>其他要求</w:t>
            </w:r>
          </w:p>
        </w:tc>
        <w:tc>
          <w:tcPr>
            <w:tcW w:w="8749" w:type="dxa"/>
            <w:gridSpan w:val="2"/>
            <w:tcBorders>
              <w:top w:val="single" w:color="auto" w:sz="4" w:space="0"/>
              <w:left w:val="single" w:color="auto" w:sz="4" w:space="0"/>
              <w:bottom w:val="single" w:color="auto" w:sz="4" w:space="0"/>
              <w:right w:val="single" w:color="auto" w:sz="4" w:space="0"/>
            </w:tcBorders>
            <w:vAlign w:val="top"/>
          </w:tcPr>
          <w:p w14:paraId="08C0DA2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主管部门如有其他备案（登记）要求的，如外省检测机构入皖备案，中标人须在中标后15日内按照规定进行备案（登记），如无法进行备案登记或不能按招标人要求期限备案登记而影响施工进度的，招标人有权给予按违约或取消中标资格等处理，并根据中标候选人排序依次选择中标人或重新招标。</w:t>
            </w:r>
          </w:p>
          <w:p w14:paraId="753AE3D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2.中标单位在承担本项目的检测工作前，如安徽省和滁州市建设行政主管部门有相关规定须获得各项批准等手续的，中标人需无条件办理，且相关费用由中标人自理，中标后综合单价不再调整。</w:t>
            </w:r>
          </w:p>
          <w:p w14:paraId="7FACE4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lang w:val="en-US" w:eastAsia="zh-CN"/>
              </w:rPr>
              <w:t>3.合同履约过程中如遇中标人自身能力无法完成的项目，经招标人事先书面同意，可委托具有相应资质和能力的单位承担，但中标人须对总成果负责，费用含在投标报价中，招标人不再另行支付其他任何费用。</w:t>
            </w:r>
          </w:p>
        </w:tc>
      </w:tr>
    </w:tbl>
    <w:p w14:paraId="4ED1E86B">
      <w:pPr>
        <w:pageBreakBefore w:val="0"/>
        <w:widowControl w:val="0"/>
        <w:kinsoku/>
        <w:wordWrap/>
        <w:overflowPunct/>
        <w:topLinePunct w:val="0"/>
        <w:autoSpaceDE/>
        <w:autoSpaceDN/>
        <w:bidi w:val="0"/>
        <w:spacing w:line="500" w:lineRule="exact"/>
        <w:textAlignment w:val="auto"/>
        <w:rPr>
          <w:rFonts w:ascii="宋体" w:hAnsi="宋体" w:eastAsia="宋体" w:cs="宋体"/>
          <w:color w:val="auto"/>
          <w:sz w:val="24"/>
          <w:szCs w:val="24"/>
          <w:highlight w:val="none"/>
        </w:rPr>
      </w:pPr>
      <w:r>
        <w:rPr>
          <w:rFonts w:ascii="宋体" w:cs="宋体"/>
          <w:color w:val="auto"/>
          <w:sz w:val="24"/>
          <w:highlight w:val="none"/>
        </w:rPr>
        <w:br w:type="page"/>
      </w:r>
      <w:r>
        <w:rPr>
          <w:rFonts w:ascii="宋体" w:hAnsi="宋体" w:eastAsia="宋体" w:cs="宋体"/>
          <w:b/>
          <w:bCs/>
          <w:color w:val="auto"/>
          <w:sz w:val="24"/>
          <w:szCs w:val="24"/>
          <w:highlight w:val="none"/>
        </w:rPr>
        <w:t xml:space="preserve">1. </w:t>
      </w:r>
      <w:r>
        <w:rPr>
          <w:rFonts w:hint="eastAsia" w:ascii="宋体" w:hAnsi="宋体" w:eastAsia="宋体" w:cs="宋体"/>
          <w:b/>
          <w:bCs/>
          <w:color w:val="auto"/>
          <w:sz w:val="24"/>
          <w:szCs w:val="24"/>
          <w:highlight w:val="none"/>
        </w:rPr>
        <w:t>总则</w:t>
      </w:r>
      <w:bookmarkEnd w:id="42"/>
      <w:bookmarkEnd w:id="43"/>
      <w:bookmarkEnd w:id="44"/>
      <w:bookmarkEnd w:id="45"/>
      <w:bookmarkEnd w:id="46"/>
      <w:bookmarkEnd w:id="47"/>
      <w:bookmarkEnd w:id="48"/>
      <w:bookmarkEnd w:id="49"/>
      <w:bookmarkEnd w:id="50"/>
      <w:bookmarkEnd w:id="51"/>
      <w:bookmarkEnd w:id="52"/>
      <w:bookmarkEnd w:id="53"/>
      <w:bookmarkEnd w:id="54"/>
    </w:p>
    <w:p w14:paraId="0E5C6C6D">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kern w:val="44"/>
          <w:highlight w:val="none"/>
        </w:rPr>
      </w:pPr>
      <w:bookmarkStart w:id="55" w:name="_Toc179632547"/>
      <w:bookmarkStart w:id="56" w:name="_Toc152042306"/>
      <w:bookmarkStart w:id="57" w:name="_Toc324404816"/>
      <w:bookmarkStart w:id="58" w:name="_Toc144974498"/>
      <w:bookmarkStart w:id="59" w:name="_Toc35425054"/>
      <w:bookmarkStart w:id="60" w:name="_Toc152045530"/>
      <w:bookmarkStart w:id="61" w:name="_Toc35424888"/>
      <w:bookmarkStart w:id="62" w:name="_Toc296602421"/>
      <w:bookmarkStart w:id="63" w:name="_Toc15058847"/>
      <w:bookmarkStart w:id="64" w:name="_Toc4678"/>
      <w:bookmarkStart w:id="65" w:name="_Toc506107270"/>
      <w:bookmarkStart w:id="66" w:name="_Toc246996176"/>
      <w:bookmarkStart w:id="67" w:name="_Toc246996919"/>
      <w:bookmarkStart w:id="68" w:name="_Toc247085690"/>
      <w:r>
        <w:rPr>
          <w:rFonts w:ascii="宋体" w:hAnsi="宋体" w:eastAsia="宋体" w:cs="宋体"/>
          <w:color w:val="auto"/>
          <w:kern w:val="44"/>
          <w:highlight w:val="none"/>
        </w:rPr>
        <w:t xml:space="preserve">1.1 </w:t>
      </w:r>
      <w:r>
        <w:rPr>
          <w:rFonts w:hint="eastAsia" w:ascii="宋体" w:hAnsi="宋体" w:eastAsia="宋体" w:cs="宋体"/>
          <w:color w:val="auto"/>
          <w:kern w:val="44"/>
          <w:highlight w:val="none"/>
        </w:rPr>
        <w:t>项目概况</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21DECF6">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1.1.1</w:t>
      </w:r>
      <w:r>
        <w:rPr>
          <w:rFonts w:hint="eastAsia" w:ascii="宋体" w:hAnsi="宋体" w:cs="宋体"/>
          <w:color w:val="auto"/>
          <w:szCs w:val="21"/>
          <w:highlight w:val="none"/>
        </w:rPr>
        <w:t>根据《中华人民共和国招标投标法》《中华人民共和国招标投标法实施条例》等有关法律、法规和规章的规定，本招标项目已具备招标条件，现对本项目进行招标。</w:t>
      </w:r>
    </w:p>
    <w:p w14:paraId="6C2ADD7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1.1.2 </w:t>
      </w:r>
      <w:r>
        <w:rPr>
          <w:rFonts w:hint="eastAsia" w:ascii="宋体" w:hAnsi="宋体" w:cs="宋体"/>
          <w:color w:val="auto"/>
          <w:szCs w:val="21"/>
          <w:highlight w:val="none"/>
        </w:rPr>
        <w:t>本招标项目招标人：见投标人须知前附表。</w:t>
      </w:r>
    </w:p>
    <w:p w14:paraId="4E19506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1.1.3 </w:t>
      </w:r>
      <w:r>
        <w:rPr>
          <w:rFonts w:hint="eastAsia" w:ascii="宋体" w:hAnsi="宋体" w:cs="宋体"/>
          <w:color w:val="auto"/>
          <w:szCs w:val="21"/>
          <w:highlight w:val="none"/>
        </w:rPr>
        <w:t>本招标项目招标代理机构：见投标人须知前附表。</w:t>
      </w:r>
    </w:p>
    <w:p w14:paraId="7E9A9943">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1.1.4 </w:t>
      </w:r>
      <w:r>
        <w:rPr>
          <w:rFonts w:hint="eastAsia" w:ascii="宋体" w:hAnsi="宋体" w:cs="宋体"/>
          <w:color w:val="auto"/>
          <w:szCs w:val="21"/>
          <w:highlight w:val="none"/>
        </w:rPr>
        <w:t>本招标项目名称：见投标人须知前附表。</w:t>
      </w:r>
    </w:p>
    <w:p w14:paraId="7A8B39B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1.1.5 </w:t>
      </w:r>
      <w:r>
        <w:rPr>
          <w:rFonts w:hint="eastAsia" w:ascii="宋体" w:hAnsi="宋体" w:cs="宋体"/>
          <w:color w:val="auto"/>
          <w:szCs w:val="21"/>
          <w:highlight w:val="none"/>
        </w:rPr>
        <w:t>本招标项目建设地点：见投标人须知前附表。</w:t>
      </w:r>
    </w:p>
    <w:p w14:paraId="3C37191C">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69" w:name="_Toc247085691"/>
      <w:bookmarkStart w:id="70" w:name="_Toc35425055"/>
      <w:bookmarkStart w:id="71" w:name="_Toc7142"/>
      <w:bookmarkStart w:id="72" w:name="_Toc152042307"/>
      <w:bookmarkStart w:id="73" w:name="_Toc15058848"/>
      <w:bookmarkStart w:id="74" w:name="_Toc296602422"/>
      <w:bookmarkStart w:id="75" w:name="_Toc179632548"/>
      <w:bookmarkStart w:id="76" w:name="_Toc246996920"/>
      <w:bookmarkStart w:id="77" w:name="_Toc506107271"/>
      <w:bookmarkStart w:id="78" w:name="_Toc35424889"/>
      <w:bookmarkStart w:id="79" w:name="_Toc324404817"/>
      <w:bookmarkStart w:id="80" w:name="_Toc144974499"/>
      <w:bookmarkStart w:id="81" w:name="_Toc246996177"/>
      <w:bookmarkStart w:id="82" w:name="_Toc152045531"/>
      <w:r>
        <w:rPr>
          <w:rFonts w:ascii="宋体" w:hAnsi="宋体" w:eastAsia="宋体" w:cs="宋体"/>
          <w:color w:val="auto"/>
          <w:highlight w:val="none"/>
        </w:rPr>
        <w:t xml:space="preserve">1.2 </w:t>
      </w:r>
      <w:r>
        <w:rPr>
          <w:rFonts w:hint="eastAsia" w:ascii="宋体" w:hAnsi="宋体" w:eastAsia="宋体" w:cs="宋体"/>
          <w:color w:val="auto"/>
          <w:highlight w:val="none"/>
        </w:rPr>
        <w:t>资金来源和落实情况</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4E913A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1.2.1 </w:t>
      </w:r>
      <w:r>
        <w:rPr>
          <w:rFonts w:hint="eastAsia" w:ascii="宋体" w:hAnsi="宋体" w:cs="宋体"/>
          <w:color w:val="auto"/>
          <w:szCs w:val="21"/>
          <w:highlight w:val="none"/>
        </w:rPr>
        <w:t>本招标项目的资金来源及出资比例：见投标人须知前附表。</w:t>
      </w:r>
    </w:p>
    <w:p w14:paraId="5F0F50F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1.2.2 </w:t>
      </w:r>
      <w:r>
        <w:rPr>
          <w:rFonts w:hint="eastAsia" w:ascii="宋体" w:hAnsi="宋体" w:cs="宋体"/>
          <w:color w:val="auto"/>
          <w:szCs w:val="21"/>
          <w:highlight w:val="none"/>
        </w:rPr>
        <w:t>本招标项目的资金落实情况：见投标人须知前附表。</w:t>
      </w:r>
    </w:p>
    <w:p w14:paraId="2F27D4C1">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83" w:name="_Toc324404818"/>
      <w:bookmarkStart w:id="84" w:name="_Toc35424890"/>
      <w:bookmarkStart w:id="85" w:name="_Toc246996921"/>
      <w:bookmarkStart w:id="86" w:name="_Toc144974500"/>
      <w:bookmarkStart w:id="87" w:name="_Toc296602423"/>
      <w:bookmarkStart w:id="88" w:name="_Toc6330"/>
      <w:bookmarkStart w:id="89" w:name="_Toc506107272"/>
      <w:bookmarkStart w:id="90" w:name="_Toc35425056"/>
      <w:bookmarkStart w:id="91" w:name="_Toc179632549"/>
      <w:bookmarkStart w:id="92" w:name="_Toc246996178"/>
      <w:bookmarkStart w:id="93" w:name="_Toc152042308"/>
      <w:bookmarkStart w:id="94" w:name="_Toc152045532"/>
      <w:bookmarkStart w:id="95" w:name="_Toc247085692"/>
      <w:bookmarkStart w:id="96" w:name="_Toc15058849"/>
      <w:r>
        <w:rPr>
          <w:rFonts w:ascii="宋体" w:hAnsi="宋体" w:eastAsia="宋体" w:cs="宋体"/>
          <w:color w:val="auto"/>
          <w:highlight w:val="none"/>
        </w:rPr>
        <w:t xml:space="preserve">1.3 </w:t>
      </w:r>
      <w:r>
        <w:rPr>
          <w:rFonts w:hint="eastAsia" w:ascii="宋体" w:hAnsi="宋体" w:eastAsia="宋体" w:cs="宋体"/>
          <w:color w:val="auto"/>
          <w:highlight w:val="none"/>
        </w:rPr>
        <w:t>招标范围、服务期限、质量要求</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3E4411B">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1.3.1 </w:t>
      </w:r>
      <w:r>
        <w:rPr>
          <w:rFonts w:hint="eastAsia" w:ascii="宋体" w:hAnsi="宋体" w:cs="宋体"/>
          <w:color w:val="auto"/>
          <w:szCs w:val="21"/>
          <w:highlight w:val="none"/>
        </w:rPr>
        <w:t>本次招标范围：见投标人须知前附表。</w:t>
      </w:r>
    </w:p>
    <w:p w14:paraId="620492BC">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1.3.2 </w:t>
      </w:r>
      <w:r>
        <w:rPr>
          <w:rFonts w:hint="eastAsia" w:ascii="宋体" w:hAnsi="宋体" w:cs="宋体"/>
          <w:color w:val="auto"/>
          <w:szCs w:val="21"/>
          <w:highlight w:val="none"/>
        </w:rPr>
        <w:t>本招标项目的服务期限：见投标人须知前附表。</w:t>
      </w:r>
    </w:p>
    <w:p w14:paraId="756FCA70">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1.3.3 </w:t>
      </w:r>
      <w:r>
        <w:rPr>
          <w:rFonts w:hint="eastAsia" w:ascii="宋体" w:hAnsi="宋体" w:cs="宋体"/>
          <w:color w:val="auto"/>
          <w:szCs w:val="21"/>
          <w:highlight w:val="none"/>
        </w:rPr>
        <w:t>本招标项目的质量要求：见投标人须知前附表。</w:t>
      </w:r>
    </w:p>
    <w:p w14:paraId="2CD246C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97" w:name="_Toc247085693"/>
      <w:bookmarkStart w:id="98" w:name="_Toc324404819"/>
      <w:bookmarkStart w:id="99" w:name="_Toc152045534"/>
      <w:bookmarkStart w:id="100" w:name="_Toc35425057"/>
      <w:bookmarkStart w:id="101" w:name="_Toc506107273"/>
      <w:bookmarkStart w:id="102" w:name="_Toc246996922"/>
      <w:bookmarkStart w:id="103" w:name="_Toc15058850"/>
      <w:bookmarkStart w:id="104" w:name="_Toc296602424"/>
      <w:bookmarkStart w:id="105" w:name="_Toc152042310"/>
      <w:bookmarkStart w:id="106" w:name="_Toc35424891"/>
      <w:bookmarkStart w:id="107" w:name="_Toc26897"/>
      <w:bookmarkStart w:id="108" w:name="_Toc246996179"/>
      <w:bookmarkStart w:id="109" w:name="_Toc144974502"/>
      <w:bookmarkStart w:id="110" w:name="_Toc179632551"/>
      <w:r>
        <w:rPr>
          <w:rFonts w:ascii="宋体" w:hAnsi="宋体" w:eastAsia="宋体" w:cs="宋体"/>
          <w:color w:val="auto"/>
          <w:highlight w:val="none"/>
        </w:rPr>
        <w:t xml:space="preserve">1.4 </w:t>
      </w:r>
      <w:r>
        <w:rPr>
          <w:rFonts w:hint="eastAsia" w:ascii="宋体" w:hAnsi="宋体" w:eastAsia="宋体" w:cs="宋体"/>
          <w:color w:val="auto"/>
          <w:highlight w:val="none"/>
        </w:rPr>
        <w:t>投标人资格要求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71F0ED6">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1.4.1 </w:t>
      </w:r>
      <w:r>
        <w:rPr>
          <w:rFonts w:hint="eastAsia" w:ascii="宋体" w:hAnsi="宋体" w:cs="宋体"/>
          <w:color w:val="auto"/>
          <w:szCs w:val="21"/>
          <w:highlight w:val="none"/>
        </w:rPr>
        <w:t>投标人应具备承担本项目监理的资质条件、能力和信誉。</w:t>
      </w:r>
    </w:p>
    <w:p w14:paraId="45E744E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（1）资质条件：见投标人须知前附表；</w:t>
      </w:r>
    </w:p>
    <w:p w14:paraId="3434B23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（2）信誉要求：见投标人须知前附表；</w:t>
      </w:r>
    </w:p>
    <w:p w14:paraId="2ADF7A9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rPr>
        <w:t>资格：见投标人须知前附表；</w:t>
      </w:r>
    </w:p>
    <w:p w14:paraId="2CCC554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（4）其他要求：见投标人须知前附表。</w:t>
      </w:r>
    </w:p>
    <w:p w14:paraId="5519237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投标人（包括联合体各成员）不得与本标段相关单位存在下列关联关系：</w:t>
      </w:r>
    </w:p>
    <w:p w14:paraId="7A18C93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（1）为招标人不具有独立法人资格的附属机构（单位）；</w:t>
      </w:r>
    </w:p>
    <w:p w14:paraId="170BE32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（2）与招标人存在利害关系且可能影响招标公正性；</w:t>
      </w:r>
    </w:p>
    <w:p w14:paraId="47DB91F2">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（3）与本标段的其他投标人同为一个单位负责人；</w:t>
      </w:r>
    </w:p>
    <w:p w14:paraId="60BE246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（4）与本标段的其他投标人存在控股、管理关系；</w:t>
      </w:r>
    </w:p>
    <w:p w14:paraId="327F63E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（5）为本标段前期准备提供设计或咨询服务的法人或其任何附属机构（单位）；</w:t>
      </w:r>
    </w:p>
    <w:p w14:paraId="0C3EC4C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）为本标段的代建人；</w:t>
      </w:r>
    </w:p>
    <w:p w14:paraId="6EC8E96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）为本标段的招标代理机构；</w:t>
      </w:r>
    </w:p>
    <w:p w14:paraId="3AEB403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）与本标段的代建人或招标代理机构同为一个法定代表人；</w:t>
      </w:r>
    </w:p>
    <w:p w14:paraId="173732E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）与本标段的代建人或招标代理机构存在控股或参股关系；</w:t>
      </w:r>
    </w:p>
    <w:p w14:paraId="386154B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）法律法规或投标人须知前附表规定的其他情形。</w:t>
      </w:r>
    </w:p>
    <w:p w14:paraId="32B04A4D">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11" w:name="_Toc246996180"/>
      <w:bookmarkStart w:id="112" w:name="_Toc179632552"/>
      <w:bookmarkStart w:id="113" w:name="_Toc144974503"/>
      <w:bookmarkStart w:id="114" w:name="_Toc152045535"/>
      <w:bookmarkStart w:id="115" w:name="_Toc152042311"/>
      <w:bookmarkStart w:id="116" w:name="_Toc246996923"/>
      <w:bookmarkStart w:id="117" w:name="_Toc324404820"/>
      <w:bookmarkStart w:id="118" w:name="_Toc247085694"/>
      <w:bookmarkStart w:id="119" w:name="_Toc35425058"/>
      <w:bookmarkStart w:id="120" w:name="_Toc10179"/>
      <w:bookmarkStart w:id="121" w:name="_Toc35424892"/>
      <w:bookmarkStart w:id="122" w:name="_Toc15058851"/>
      <w:bookmarkStart w:id="123" w:name="_Toc506107274"/>
      <w:bookmarkStart w:id="124" w:name="_Toc296602425"/>
      <w:r>
        <w:rPr>
          <w:rFonts w:ascii="宋体" w:hAnsi="宋体" w:eastAsia="宋体" w:cs="宋体"/>
          <w:color w:val="auto"/>
          <w:highlight w:val="none"/>
        </w:rPr>
        <w:t xml:space="preserve">1.5 </w:t>
      </w:r>
      <w:r>
        <w:rPr>
          <w:rFonts w:hint="eastAsia" w:ascii="宋体" w:hAnsi="宋体" w:eastAsia="宋体" w:cs="宋体"/>
          <w:color w:val="auto"/>
          <w:highlight w:val="none"/>
        </w:rPr>
        <w:t>费用承担</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ACEEC9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投标人准备和参加投标活动发生的费用自理。</w:t>
      </w:r>
    </w:p>
    <w:p w14:paraId="56322EFB">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25" w:name="_Toc179632553"/>
      <w:bookmarkStart w:id="126" w:name="_Toc324404821"/>
      <w:bookmarkStart w:id="127" w:name="_Toc152045536"/>
      <w:bookmarkStart w:id="128" w:name="_Toc247085695"/>
      <w:bookmarkStart w:id="129" w:name="_Toc35424893"/>
      <w:bookmarkStart w:id="130" w:name="_Toc506107275"/>
      <w:bookmarkStart w:id="131" w:name="_Toc246996181"/>
      <w:bookmarkStart w:id="132" w:name="_Toc144974504"/>
      <w:bookmarkStart w:id="133" w:name="_Toc296602426"/>
      <w:bookmarkStart w:id="134" w:name="_Toc246996924"/>
      <w:bookmarkStart w:id="135" w:name="_Toc15058852"/>
      <w:bookmarkStart w:id="136" w:name="_Toc4092"/>
      <w:bookmarkStart w:id="137" w:name="_Toc152042312"/>
      <w:bookmarkStart w:id="138" w:name="_Toc35425059"/>
      <w:r>
        <w:rPr>
          <w:rFonts w:ascii="宋体" w:hAnsi="宋体" w:eastAsia="宋体" w:cs="宋体"/>
          <w:color w:val="auto"/>
          <w:highlight w:val="none"/>
        </w:rPr>
        <w:t xml:space="preserve">1.6 </w:t>
      </w:r>
      <w:r>
        <w:rPr>
          <w:rFonts w:hint="eastAsia" w:ascii="宋体" w:hAnsi="宋体" w:eastAsia="宋体" w:cs="宋体"/>
          <w:color w:val="auto"/>
          <w:highlight w:val="none"/>
        </w:rPr>
        <w:t>保密</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3A6522C0">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参与招标投标活动的各方应对招标文件和投标文件中的商业和技术等秘密保密，违者应对由此造成的后果承担法律责任。</w:t>
      </w:r>
      <w:r>
        <w:rPr>
          <w:rFonts w:ascii="宋体" w:hAnsi="宋体" w:cs="宋体"/>
          <w:color w:val="auto"/>
          <w:szCs w:val="21"/>
          <w:highlight w:val="none"/>
        </w:rPr>
        <w:t xml:space="preserve"> </w:t>
      </w:r>
    </w:p>
    <w:p w14:paraId="38C9060B">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39" w:name="_Toc144974505"/>
      <w:bookmarkStart w:id="140" w:name="_Toc15058853"/>
      <w:bookmarkStart w:id="141" w:name="_Toc4119"/>
      <w:bookmarkStart w:id="142" w:name="_Toc152042313"/>
      <w:bookmarkStart w:id="143" w:name="_Toc246996925"/>
      <w:bookmarkStart w:id="144" w:name="_Toc246996182"/>
      <w:bookmarkStart w:id="145" w:name="_Toc35424894"/>
      <w:bookmarkStart w:id="146" w:name="_Toc247085696"/>
      <w:bookmarkStart w:id="147" w:name="_Toc296602427"/>
      <w:bookmarkStart w:id="148" w:name="_Toc506107276"/>
      <w:bookmarkStart w:id="149" w:name="_Toc324404822"/>
      <w:bookmarkStart w:id="150" w:name="_Toc152045537"/>
      <w:bookmarkStart w:id="151" w:name="_Toc35425060"/>
      <w:bookmarkStart w:id="152" w:name="_Toc179632554"/>
      <w:r>
        <w:rPr>
          <w:rFonts w:ascii="宋体" w:hAnsi="宋体" w:eastAsia="宋体" w:cs="宋体"/>
          <w:color w:val="auto"/>
          <w:highlight w:val="none"/>
        </w:rPr>
        <w:t xml:space="preserve">1.7 </w:t>
      </w:r>
      <w:r>
        <w:rPr>
          <w:rFonts w:hint="eastAsia" w:ascii="宋体" w:hAnsi="宋体" w:eastAsia="宋体" w:cs="宋体"/>
          <w:color w:val="auto"/>
          <w:highlight w:val="none"/>
        </w:rPr>
        <w:t>语言</w:t>
      </w:r>
      <w:bookmarkEnd w:id="139"/>
      <w:r>
        <w:rPr>
          <w:rFonts w:hint="eastAsia" w:ascii="宋体" w:hAnsi="宋体" w:eastAsia="宋体" w:cs="宋体"/>
          <w:color w:val="auto"/>
          <w:highlight w:val="none"/>
        </w:rPr>
        <w:t>文字</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1AE78A3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bookmarkStart w:id="153" w:name="_Toc246996183"/>
      <w:bookmarkStart w:id="154" w:name="_Toc144974506"/>
      <w:bookmarkStart w:id="155" w:name="_Toc152042314"/>
      <w:bookmarkStart w:id="156" w:name="_Toc152045538"/>
      <w:bookmarkStart w:id="157" w:name="_Toc247085697"/>
      <w:bookmarkStart w:id="158" w:name="_Toc246996926"/>
      <w:bookmarkStart w:id="159" w:name="_Toc179632555"/>
      <w:r>
        <w:rPr>
          <w:rFonts w:hint="eastAsia" w:ascii="宋体" w:hAnsi="宋体" w:cs="宋体"/>
          <w:color w:val="auto"/>
          <w:szCs w:val="21"/>
          <w:highlight w:val="none"/>
        </w:rPr>
        <w:t>招标投标文件使用的语言文字为中文。专用术语使用外文的，应附有中文注释。</w:t>
      </w:r>
    </w:p>
    <w:p w14:paraId="4174E491">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60" w:name="_Toc15058854"/>
      <w:bookmarkStart w:id="161" w:name="_Toc506107277"/>
      <w:bookmarkStart w:id="162" w:name="_Toc13408"/>
      <w:bookmarkStart w:id="163" w:name="_Toc324404823"/>
      <w:bookmarkStart w:id="164" w:name="_Toc35424895"/>
      <w:bookmarkStart w:id="165" w:name="_Toc296602428"/>
      <w:bookmarkStart w:id="166" w:name="_Toc35425061"/>
      <w:r>
        <w:rPr>
          <w:rFonts w:ascii="宋体" w:hAnsi="宋体" w:eastAsia="宋体" w:cs="宋体"/>
          <w:color w:val="auto"/>
          <w:highlight w:val="none"/>
        </w:rPr>
        <w:t xml:space="preserve">1.8 </w:t>
      </w:r>
      <w:r>
        <w:rPr>
          <w:rFonts w:hint="eastAsia" w:ascii="宋体" w:hAnsi="宋体" w:eastAsia="宋体" w:cs="宋体"/>
          <w:color w:val="auto"/>
          <w:highlight w:val="none"/>
        </w:rPr>
        <w:t>计量单位</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2A74194">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5EB03E0E">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67" w:name="_Toc247527563"/>
      <w:bookmarkStart w:id="168" w:name="_Toc152045539"/>
      <w:bookmarkStart w:id="169" w:name="_Toc324404824"/>
      <w:bookmarkStart w:id="170" w:name="_Toc247513962"/>
      <w:bookmarkStart w:id="171" w:name="_Toc152042315"/>
      <w:bookmarkStart w:id="172" w:name="_Toc506107278"/>
      <w:bookmarkStart w:id="173" w:name="_Toc35424896"/>
      <w:bookmarkStart w:id="174" w:name="_Toc247592876"/>
      <w:bookmarkStart w:id="175" w:name="_Toc15058855"/>
      <w:bookmarkStart w:id="176" w:name="_Toc296602429"/>
      <w:bookmarkStart w:id="177" w:name="_Toc35425062"/>
      <w:bookmarkStart w:id="178" w:name="_Toc144974507"/>
      <w:bookmarkStart w:id="179" w:name="_Toc11493"/>
      <w:r>
        <w:rPr>
          <w:rFonts w:ascii="宋体" w:hAnsi="宋体" w:eastAsia="宋体" w:cs="宋体"/>
          <w:color w:val="auto"/>
          <w:highlight w:val="none"/>
        </w:rPr>
        <w:t xml:space="preserve">1.9 </w:t>
      </w:r>
      <w:r>
        <w:rPr>
          <w:rFonts w:hint="eastAsia" w:ascii="宋体" w:hAnsi="宋体" w:eastAsia="宋体" w:cs="宋体"/>
          <w:color w:val="auto"/>
          <w:highlight w:val="none"/>
        </w:rPr>
        <w:t>踏勘现场</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58D78C9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180" w:name="_Toc35424897"/>
      <w:bookmarkStart w:id="181" w:name="_Toc35425063"/>
      <w:bookmarkStart w:id="182" w:name="_Toc247513963"/>
      <w:bookmarkStart w:id="183" w:name="_Toc152042316"/>
      <w:bookmarkStart w:id="184" w:name="_Toc247527564"/>
      <w:bookmarkStart w:id="185" w:name="_Toc506107279"/>
      <w:bookmarkStart w:id="186" w:name="_Toc296602430"/>
      <w:bookmarkStart w:id="187" w:name="_Toc324404825"/>
      <w:bookmarkStart w:id="188" w:name="_Toc22954"/>
      <w:bookmarkStart w:id="189" w:name="_Toc152045540"/>
      <w:bookmarkStart w:id="190" w:name="_Toc15058856"/>
      <w:bookmarkStart w:id="191" w:name="_Toc247592877"/>
      <w:bookmarkStart w:id="192" w:name="_Toc144974508"/>
      <w:r>
        <w:rPr>
          <w:rFonts w:hint="eastAsia" w:ascii="宋体" w:hAnsi="宋体" w:eastAsia="宋体" w:cs="宋体"/>
          <w:color w:val="auto"/>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50BF1D2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投标人踏勘现场发生的费用自理。</w:t>
      </w:r>
    </w:p>
    <w:p w14:paraId="60199C1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除招标人的原因外，投标人自行负责在踏勘现场中所发生的人员伤亡和财产损失。</w:t>
      </w:r>
    </w:p>
    <w:p w14:paraId="41C74A0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 招标人在踏勘现场中介绍的工程场地和相关的周边环境情况，供投标人在编制投标文件时参考，招标人不对投标人据此作出的判断和决策负责。</w:t>
      </w:r>
    </w:p>
    <w:p w14:paraId="435F7B1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52278334">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1.10 </w:t>
      </w:r>
      <w:r>
        <w:rPr>
          <w:rFonts w:hint="eastAsia" w:ascii="宋体" w:hAnsi="宋体" w:eastAsia="宋体" w:cs="宋体"/>
          <w:color w:val="auto"/>
          <w:highlight w:val="none"/>
        </w:rPr>
        <w:t>投标预备会</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49FF739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1.10.1投标人须知前附表规定召开投标预备会的，招标人按投标人须知前附表规定的时间和地点召开投标预备会，澄清投标人提出的问题。</w:t>
      </w:r>
    </w:p>
    <w:p w14:paraId="7DF638E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1.10.2投标人应在投标人须知前附表规定的时间前，将提出的问题送达招标人，以便招标人澄清。</w:t>
      </w:r>
    </w:p>
    <w:p w14:paraId="63424D19">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93" w:name="_Toc506107280"/>
      <w:bookmarkStart w:id="194" w:name="_Toc35424898"/>
      <w:bookmarkStart w:id="195" w:name="_Toc15058857"/>
      <w:bookmarkStart w:id="196" w:name="_Toc35425064"/>
      <w:bookmarkStart w:id="197" w:name="_Toc324404826"/>
      <w:bookmarkStart w:id="198" w:name="_Toc296602431"/>
      <w:bookmarkStart w:id="199" w:name="_Toc32016"/>
      <w:r>
        <w:rPr>
          <w:rFonts w:ascii="宋体" w:hAnsi="宋体" w:eastAsia="宋体" w:cs="宋体"/>
          <w:color w:val="auto"/>
          <w:highlight w:val="none"/>
        </w:rPr>
        <w:t xml:space="preserve">1.11 </w:t>
      </w:r>
      <w:r>
        <w:rPr>
          <w:rFonts w:hint="eastAsia" w:ascii="宋体" w:hAnsi="宋体" w:eastAsia="宋体" w:cs="宋体"/>
          <w:color w:val="auto"/>
          <w:highlight w:val="none"/>
        </w:rPr>
        <w:t>偏离</w:t>
      </w:r>
      <w:bookmarkEnd w:id="193"/>
      <w:bookmarkEnd w:id="194"/>
      <w:bookmarkEnd w:id="195"/>
      <w:bookmarkEnd w:id="196"/>
      <w:bookmarkEnd w:id="197"/>
      <w:bookmarkEnd w:id="198"/>
      <w:bookmarkEnd w:id="199"/>
    </w:p>
    <w:p w14:paraId="7BF3D87F">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200" w:name="_Toc4012"/>
      <w:bookmarkStart w:id="201" w:name="_Toc506107281"/>
      <w:bookmarkStart w:id="202" w:name="_Toc15058858"/>
      <w:bookmarkStart w:id="203" w:name="_Toc246996187"/>
      <w:bookmarkStart w:id="204" w:name="_Toc247085701"/>
      <w:bookmarkStart w:id="205" w:name="_Toc152045542"/>
      <w:bookmarkStart w:id="206" w:name="_Toc246996930"/>
      <w:bookmarkStart w:id="207" w:name="_Toc179632560"/>
      <w:bookmarkStart w:id="208" w:name="_Toc152042318"/>
      <w:bookmarkStart w:id="209" w:name="_Toc35425065"/>
      <w:bookmarkStart w:id="210" w:name="_Toc324404827"/>
      <w:bookmarkStart w:id="211" w:name="_Toc144974510"/>
      <w:bookmarkStart w:id="212" w:name="_Toc35424899"/>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.1投标文件偏离招标文件某些要求，视为投标文件存在偏差。偏差包括重大偏差和细微偏差。</w:t>
      </w:r>
    </w:p>
    <w:p w14:paraId="2828E66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.2投标文件应对招标文件的实质性要求和条件作出满足性或更有利于招标人的响应，否则，视为投标文件存在重大偏差，投标人的投标将被否决。</w:t>
      </w:r>
    </w:p>
    <w:p w14:paraId="239B937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章“评标办法”中所列任一无效投标情形的，均属于存在重大偏差。</w:t>
      </w:r>
    </w:p>
    <w:p w14:paraId="0189A97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.3投标文件中的下列偏差为细微偏差：</w:t>
      </w:r>
    </w:p>
    <w:p w14:paraId="6047546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章“评标办法”规定的算术性错误和投标报价的其他错误；</w:t>
      </w:r>
    </w:p>
    <w:p w14:paraId="49841C5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（2）投标文件个别文字有遗漏错误等不影响投标文件实质性内容的偏差。</w:t>
      </w:r>
    </w:p>
    <w:p w14:paraId="263E119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.4评标委员会对投标文件中的细微偏差按如下规定处理：</w:t>
      </w:r>
    </w:p>
    <w:p w14:paraId="74C24D8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 项（1）目所述的细微偏差，按照第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章“评标办法”的规定予以修正并要求投标人进行澄清；</w:t>
      </w:r>
    </w:p>
    <w:p w14:paraId="2A5F5CE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 项（2）目所述的细微偏差，可要求投标人对细微偏差进行澄清。</w:t>
      </w:r>
    </w:p>
    <w:p w14:paraId="4BE6BBB3">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招标文件</w:t>
      </w:r>
      <w:bookmarkEnd w:id="200"/>
      <w:bookmarkEnd w:id="201"/>
      <w:bookmarkEnd w:id="202"/>
      <w:bookmarkEnd w:id="203"/>
      <w:bookmarkEnd w:id="204"/>
      <w:bookmarkEnd w:id="205"/>
      <w:bookmarkEnd w:id="206"/>
      <w:bookmarkEnd w:id="207"/>
      <w:bookmarkEnd w:id="208"/>
      <w:bookmarkEnd w:id="209"/>
      <w:bookmarkEnd w:id="210"/>
      <w:bookmarkEnd w:id="211"/>
      <w:bookmarkEnd w:id="212"/>
    </w:p>
    <w:p w14:paraId="15E97858">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13" w:name="_Toc35424900"/>
      <w:bookmarkStart w:id="214" w:name="_Toc13213"/>
      <w:bookmarkStart w:id="215" w:name="_Toc246996931"/>
      <w:bookmarkStart w:id="216" w:name="_Toc247085702"/>
      <w:bookmarkStart w:id="217" w:name="_Toc324404828"/>
      <w:bookmarkStart w:id="218" w:name="_Toc144974511"/>
      <w:bookmarkStart w:id="219" w:name="_Toc506107282"/>
      <w:bookmarkStart w:id="220" w:name="_Toc15058859"/>
      <w:bookmarkStart w:id="221" w:name="_Toc152045543"/>
      <w:bookmarkStart w:id="222" w:name="_Toc152042319"/>
      <w:bookmarkStart w:id="223" w:name="_Toc246996188"/>
      <w:bookmarkStart w:id="224" w:name="_Toc35425066"/>
      <w:bookmarkStart w:id="225" w:name="_Toc179632561"/>
      <w:bookmarkStart w:id="226" w:name="_Toc296602433"/>
      <w:r>
        <w:rPr>
          <w:rFonts w:ascii="宋体" w:hAnsi="宋体" w:eastAsia="宋体" w:cs="宋体"/>
          <w:color w:val="auto"/>
          <w:highlight w:val="none"/>
        </w:rPr>
        <w:t xml:space="preserve">2.1 </w:t>
      </w:r>
      <w:r>
        <w:rPr>
          <w:rFonts w:hint="eastAsia" w:ascii="宋体" w:hAnsi="宋体" w:eastAsia="宋体" w:cs="宋体"/>
          <w:color w:val="auto"/>
          <w:highlight w:val="none"/>
        </w:rPr>
        <w:t>招标文件的组成</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21D075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2.1.1 </w:t>
      </w:r>
      <w:r>
        <w:rPr>
          <w:rFonts w:hint="eastAsia" w:ascii="宋体" w:hAnsi="宋体" w:cs="宋体"/>
          <w:color w:val="auto"/>
          <w:szCs w:val="21"/>
          <w:highlight w:val="none"/>
        </w:rPr>
        <w:t>本招标文件包括：</w:t>
      </w:r>
    </w:p>
    <w:p w14:paraId="5AC3E69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）招标公告；</w:t>
      </w:r>
    </w:p>
    <w:p w14:paraId="0A58B5C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）投标人须知；</w:t>
      </w:r>
    </w:p>
    <w:p w14:paraId="4527B6BC">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）资格审查办法</w:t>
      </w:r>
    </w:p>
    <w:p w14:paraId="26AC9AB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）评标办法；</w:t>
      </w:r>
    </w:p>
    <w:p w14:paraId="5A9B4E0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）合同条款及格式；</w:t>
      </w:r>
    </w:p>
    <w:p w14:paraId="49631B98">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6）检测内容及要求；</w:t>
      </w:r>
    </w:p>
    <w:p w14:paraId="5916542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）投标文件格式；</w:t>
      </w:r>
    </w:p>
    <w:p w14:paraId="6C7200A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）投标人须知前附表规定的其他材料。</w:t>
      </w:r>
    </w:p>
    <w:p w14:paraId="3CFFAA9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根据本章第</w:t>
      </w:r>
      <w:r>
        <w:rPr>
          <w:rFonts w:ascii="宋体" w:hAnsi="宋体" w:cs="宋体"/>
          <w:color w:val="auto"/>
          <w:szCs w:val="21"/>
          <w:highlight w:val="none"/>
        </w:rPr>
        <w:t>1.10</w:t>
      </w:r>
      <w:r>
        <w:rPr>
          <w:rFonts w:hint="eastAsia" w:ascii="宋体" w:hAnsi="宋体" w:cs="宋体"/>
          <w:color w:val="auto"/>
          <w:szCs w:val="21"/>
          <w:highlight w:val="none"/>
        </w:rPr>
        <w:t>款、第</w:t>
      </w:r>
      <w:r>
        <w:rPr>
          <w:rFonts w:ascii="宋体" w:hAnsi="宋体" w:cs="宋体"/>
          <w:color w:val="auto"/>
          <w:szCs w:val="21"/>
          <w:highlight w:val="none"/>
        </w:rPr>
        <w:t>2.2</w:t>
      </w:r>
      <w:r>
        <w:rPr>
          <w:rFonts w:hint="eastAsia" w:ascii="宋体" w:hAnsi="宋体" w:cs="宋体"/>
          <w:color w:val="auto"/>
          <w:szCs w:val="21"/>
          <w:highlight w:val="none"/>
        </w:rPr>
        <w:t>款和第</w:t>
      </w:r>
      <w:r>
        <w:rPr>
          <w:rFonts w:ascii="宋体" w:hAnsi="宋体" w:cs="宋体"/>
          <w:color w:val="auto"/>
          <w:szCs w:val="21"/>
          <w:highlight w:val="none"/>
        </w:rPr>
        <w:t>2.3</w:t>
      </w:r>
      <w:r>
        <w:rPr>
          <w:rFonts w:hint="eastAsia" w:ascii="宋体" w:hAnsi="宋体" w:cs="宋体"/>
          <w:color w:val="auto"/>
          <w:szCs w:val="21"/>
          <w:highlight w:val="none"/>
        </w:rPr>
        <w:t>款对招标文件所作的澄清、修改，构成招标文件的组成部分。</w:t>
      </w:r>
    </w:p>
    <w:p w14:paraId="1DD97B52">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27" w:name="_Toc35424901"/>
      <w:bookmarkStart w:id="228" w:name="_Toc152042320"/>
      <w:bookmarkStart w:id="229" w:name="_Toc246996932"/>
      <w:bookmarkStart w:id="230" w:name="_Toc296602434"/>
      <w:bookmarkStart w:id="231" w:name="_Toc247085703"/>
      <w:bookmarkStart w:id="232" w:name="_Toc246996189"/>
      <w:bookmarkStart w:id="233" w:name="_Toc324404829"/>
      <w:bookmarkStart w:id="234" w:name="_Toc152045544"/>
      <w:bookmarkStart w:id="235" w:name="_Toc144974512"/>
      <w:bookmarkStart w:id="236" w:name="_Toc506107283"/>
      <w:bookmarkStart w:id="237" w:name="_Toc32239"/>
      <w:bookmarkStart w:id="238" w:name="_Toc15058860"/>
      <w:bookmarkStart w:id="239" w:name="_Toc35425067"/>
      <w:bookmarkStart w:id="240" w:name="_Toc179632562"/>
      <w:r>
        <w:rPr>
          <w:rFonts w:ascii="宋体" w:hAnsi="宋体" w:eastAsia="宋体" w:cs="宋体"/>
          <w:color w:val="auto"/>
          <w:highlight w:val="none"/>
        </w:rPr>
        <w:t xml:space="preserve">2.2 </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黑体" w:hAnsi="黑体" w:eastAsia="黑体" w:cs="黑体"/>
          <w:color w:val="auto"/>
          <w:sz w:val="21"/>
          <w:szCs w:val="21"/>
          <w:highlight w:val="none"/>
        </w:rPr>
        <w:t>招标文件的异议</w:t>
      </w:r>
      <w:r>
        <w:rPr>
          <w:rFonts w:ascii="宋体" w:hAnsi="宋体" w:eastAsia="宋体" w:cs="宋体"/>
          <w:color w:val="auto"/>
          <w:highlight w:val="none"/>
        </w:rPr>
        <w:t xml:space="preserve"> </w:t>
      </w:r>
    </w:p>
    <w:p w14:paraId="37C0409B">
      <w:pPr>
        <w:pageBreakBefore w:val="0"/>
        <w:widowControl w:val="0"/>
        <w:kinsoku/>
        <w:wordWrap/>
        <w:overflowPunct/>
        <w:topLinePunct w:val="0"/>
        <w:autoSpaceDE/>
        <w:autoSpaceDN/>
        <w:bidi w:val="0"/>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投标人或其他利害关系人投标人应仔细阅读和检查招标文件的全部内容，对招标文件有异议的，应在</w:t>
      </w:r>
      <w:r>
        <w:rPr>
          <w:rFonts w:hint="eastAsia" w:ascii="宋体" w:hAnsi="宋体" w:eastAsia="宋体" w:cs="宋体"/>
          <w:b/>
          <w:bCs w:val="0"/>
          <w:color w:val="auto"/>
          <w:kern w:val="0"/>
          <w:szCs w:val="21"/>
          <w:highlight w:val="none"/>
          <w:lang w:val="en-US" w:eastAsia="zh-CN"/>
        </w:rPr>
        <w:t>202</w:t>
      </w:r>
      <w:r>
        <w:rPr>
          <w:rFonts w:hint="eastAsia" w:ascii="宋体" w:hAnsi="宋体" w:cs="宋体"/>
          <w:b/>
          <w:bCs w:val="0"/>
          <w:color w:val="auto"/>
          <w:kern w:val="0"/>
          <w:szCs w:val="21"/>
          <w:highlight w:val="none"/>
          <w:lang w:val="en-US" w:eastAsia="zh-CN"/>
        </w:rPr>
        <w:t>6</w:t>
      </w:r>
      <w:r>
        <w:rPr>
          <w:rFonts w:hint="eastAsia" w:ascii="宋体" w:hAnsi="宋体" w:eastAsia="宋体" w:cs="宋体"/>
          <w:b/>
          <w:bCs w:val="0"/>
          <w:color w:val="auto"/>
          <w:kern w:val="0"/>
          <w:szCs w:val="21"/>
          <w:highlight w:val="none"/>
        </w:rPr>
        <w:t>年</w:t>
      </w:r>
      <w:r>
        <w:rPr>
          <w:rFonts w:hint="eastAsia" w:ascii="宋体" w:hAnsi="宋体" w:cs="宋体"/>
          <w:b/>
          <w:bCs w:val="0"/>
          <w:color w:val="auto"/>
          <w:kern w:val="0"/>
          <w:szCs w:val="21"/>
          <w:highlight w:val="none"/>
          <w:lang w:val="en-US" w:eastAsia="zh-CN"/>
        </w:rPr>
        <w:t>5</w:t>
      </w:r>
      <w:r>
        <w:rPr>
          <w:rFonts w:hint="eastAsia" w:ascii="宋体" w:hAnsi="宋体" w:eastAsia="宋体" w:cs="宋体"/>
          <w:b/>
          <w:bCs w:val="0"/>
          <w:color w:val="auto"/>
          <w:kern w:val="0"/>
          <w:szCs w:val="21"/>
          <w:highlight w:val="none"/>
        </w:rPr>
        <w:t>月</w:t>
      </w:r>
      <w:r>
        <w:rPr>
          <w:rFonts w:hint="eastAsia" w:ascii="宋体" w:hAnsi="宋体" w:cs="宋体"/>
          <w:b/>
          <w:bCs w:val="0"/>
          <w:color w:val="auto"/>
          <w:kern w:val="0"/>
          <w:szCs w:val="21"/>
          <w:highlight w:val="none"/>
          <w:lang w:val="en-US" w:eastAsia="zh-CN"/>
        </w:rPr>
        <w:t>21</w:t>
      </w:r>
      <w:r>
        <w:rPr>
          <w:rFonts w:hint="eastAsia" w:ascii="宋体" w:hAnsi="宋体" w:eastAsia="宋体" w:cs="宋体"/>
          <w:b/>
          <w:bCs w:val="0"/>
          <w:color w:val="auto"/>
          <w:kern w:val="0"/>
          <w:szCs w:val="21"/>
          <w:highlight w:val="none"/>
        </w:rPr>
        <w:t>日</w:t>
      </w:r>
      <w:r>
        <w:rPr>
          <w:rFonts w:hint="eastAsia" w:ascii="宋体" w:hAnsi="宋体" w:cs="宋体"/>
          <w:b/>
          <w:bCs w:val="0"/>
          <w:color w:val="auto"/>
          <w:kern w:val="0"/>
          <w:szCs w:val="21"/>
          <w:highlight w:val="none"/>
          <w:lang w:val="en-US" w:eastAsia="zh-CN"/>
        </w:rPr>
        <w:t>17</w:t>
      </w:r>
      <w:r>
        <w:rPr>
          <w:rFonts w:hint="eastAsia" w:ascii="宋体" w:hAnsi="宋体" w:eastAsia="宋体" w:cs="宋体"/>
          <w:b/>
          <w:bCs w:val="0"/>
          <w:color w:val="auto"/>
          <w:kern w:val="0"/>
          <w:szCs w:val="21"/>
          <w:highlight w:val="none"/>
        </w:rPr>
        <w:t>时前</w:t>
      </w:r>
      <w:r>
        <w:rPr>
          <w:rFonts w:hint="eastAsia" w:ascii="宋体" w:hAnsi="宋体" w:eastAsia="宋体" w:cs="宋体"/>
          <w:b w:val="0"/>
          <w:bCs/>
          <w:color w:val="auto"/>
          <w:kern w:val="0"/>
          <w:szCs w:val="21"/>
          <w:highlight w:val="none"/>
        </w:rPr>
        <w:t>在</w:t>
      </w:r>
      <w:r>
        <w:rPr>
          <w:rFonts w:hint="eastAsia" w:ascii="宋体" w:hAnsi="宋体" w:eastAsia="宋体" w:cs="宋体"/>
          <w:b w:val="0"/>
          <w:bCs/>
          <w:color w:val="auto"/>
          <w:kern w:val="0"/>
          <w:szCs w:val="21"/>
          <w:highlight w:val="none"/>
          <w:lang w:val="en-US" w:eastAsia="zh-CN"/>
        </w:rPr>
        <w:fldChar w:fldCharType="begin"/>
      </w:r>
      <w:r>
        <w:rPr>
          <w:rFonts w:hint="eastAsia" w:ascii="宋体" w:hAnsi="宋体" w:eastAsia="宋体" w:cs="宋体"/>
          <w:b w:val="0"/>
          <w:bCs/>
          <w:color w:val="auto"/>
          <w:kern w:val="0"/>
          <w:szCs w:val="21"/>
          <w:highlight w:val="none"/>
          <w:lang w:val="en-US" w:eastAsia="zh-CN"/>
        </w:rPr>
        <w:instrText xml:space="preserve"> HYPERLINK "mailto:投标人将所遇到的问题以电子邮件形式传至cxzbdlgs@163.com" </w:instrText>
      </w:r>
      <w:r>
        <w:rPr>
          <w:rFonts w:hint="eastAsia" w:ascii="宋体" w:hAnsi="宋体" w:eastAsia="宋体" w:cs="宋体"/>
          <w:b w:val="0"/>
          <w:bCs/>
          <w:color w:val="auto"/>
          <w:kern w:val="0"/>
          <w:szCs w:val="21"/>
          <w:highlight w:val="none"/>
          <w:lang w:val="en-US" w:eastAsia="zh-CN"/>
        </w:rPr>
        <w:fldChar w:fldCharType="separate"/>
      </w:r>
      <w:r>
        <w:rPr>
          <w:rFonts w:hint="eastAsia" w:ascii="宋体" w:hAnsi="宋体" w:eastAsia="宋体" w:cs="宋体"/>
          <w:b w:val="0"/>
          <w:bCs/>
          <w:color w:val="auto"/>
          <w:kern w:val="0"/>
          <w:szCs w:val="21"/>
          <w:highlight w:val="none"/>
          <w:lang w:val="en-US" w:eastAsia="zh-CN"/>
        </w:rPr>
        <w:t>将以电子邮件形式传至</w:t>
      </w:r>
      <w:r>
        <w:rPr>
          <w:rFonts w:hint="eastAsia" w:ascii="宋体" w:hAnsi="宋体" w:cs="宋体"/>
          <w:b w:val="0"/>
          <w:bCs/>
          <w:color w:val="auto"/>
          <w:kern w:val="0"/>
          <w:szCs w:val="21"/>
          <w:highlight w:val="none"/>
          <w:lang w:val="en-US" w:eastAsia="zh-CN"/>
        </w:rPr>
        <w:t>6</w:t>
      </w:r>
      <w:r>
        <w:rPr>
          <w:rFonts w:hint="eastAsia" w:ascii="宋体" w:hAnsi="宋体" w:eastAsia="宋体" w:cs="宋体"/>
          <w:b w:val="0"/>
          <w:bCs/>
          <w:color w:val="auto"/>
          <w:kern w:val="0"/>
          <w:szCs w:val="21"/>
          <w:highlight w:val="none"/>
          <w:lang w:val="en-US" w:eastAsia="zh-CN"/>
        </w:rPr>
        <w:fldChar w:fldCharType="end"/>
      </w:r>
      <w:r>
        <w:rPr>
          <w:rFonts w:hint="eastAsia" w:ascii="宋体" w:hAnsi="宋体" w:cs="宋体"/>
          <w:b w:val="0"/>
          <w:bCs/>
          <w:color w:val="auto"/>
          <w:kern w:val="0"/>
          <w:szCs w:val="21"/>
          <w:highlight w:val="none"/>
          <w:lang w:val="en-US" w:eastAsia="zh-CN"/>
        </w:rPr>
        <w:t>03727167@qq.com</w:t>
      </w:r>
      <w:r>
        <w:rPr>
          <w:rFonts w:hint="eastAsia" w:ascii="宋体" w:hAnsi="宋体" w:eastAsia="宋体" w:cs="宋体"/>
          <w:color w:val="auto"/>
          <w:szCs w:val="21"/>
          <w:highlight w:val="none"/>
        </w:rPr>
        <w:t>提出。</w:t>
      </w:r>
      <w:r>
        <w:rPr>
          <w:rFonts w:hint="eastAsia" w:ascii="宋体" w:hAnsi="宋体" w:cs="宋体"/>
          <w:color w:val="auto"/>
          <w:szCs w:val="21"/>
          <w:highlight w:val="none"/>
          <w:lang w:val="en-US" w:eastAsia="zh-CN"/>
        </w:rPr>
        <w:t>招标人将于</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rPr>
        <w:t>日17时前</w:t>
      </w:r>
      <w:r>
        <w:rPr>
          <w:rFonts w:hint="eastAsia" w:ascii="宋体" w:hAnsi="宋体" w:eastAsia="宋体" w:cs="宋体"/>
          <w:color w:val="auto"/>
          <w:kern w:val="0"/>
          <w:sz w:val="21"/>
          <w:szCs w:val="21"/>
          <w:highlight w:val="none"/>
        </w:rPr>
        <w:t>在中新苏滁高新技术产业开发区（https://scp.chuzhou.gov.cn/index.html）、滁州市城投工程咨询管理有限公司网站（https://www.czctgczx.com/）</w:t>
      </w:r>
      <w:r>
        <w:rPr>
          <w:rFonts w:hint="eastAsia" w:ascii="宋体" w:hAnsi="宋体" w:eastAsia="宋体" w:cs="宋体"/>
          <w:color w:val="auto"/>
          <w:sz w:val="21"/>
          <w:szCs w:val="21"/>
          <w:highlight w:val="none"/>
        </w:rPr>
        <w:t>予以公告</w:t>
      </w:r>
      <w:r>
        <w:rPr>
          <w:rFonts w:hint="eastAsia" w:ascii="宋体" w:hAnsi="宋体" w:eastAsia="宋体" w:cs="宋体"/>
          <w:color w:val="auto"/>
          <w:kern w:val="0"/>
          <w:sz w:val="21"/>
          <w:szCs w:val="21"/>
          <w:highlight w:val="none"/>
        </w:rPr>
        <w:t>。</w:t>
      </w:r>
      <w:r>
        <w:rPr>
          <w:rFonts w:ascii="宋体" w:hAnsi="宋体" w:eastAsia="宋体" w:cs="宋体"/>
          <w:color w:val="auto"/>
          <w:szCs w:val="21"/>
          <w:highlight w:val="none"/>
        </w:rPr>
        <w:t xml:space="preserve"> </w:t>
      </w:r>
    </w:p>
    <w:p w14:paraId="163E322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41" w:name="_Toc247085704"/>
      <w:bookmarkStart w:id="242" w:name="_Toc35424902"/>
      <w:bookmarkStart w:id="243" w:name="_Toc246996933"/>
      <w:bookmarkStart w:id="244" w:name="_Toc152045545"/>
      <w:bookmarkStart w:id="245" w:name="_Toc179632563"/>
      <w:bookmarkStart w:id="246" w:name="_Toc144974513"/>
      <w:bookmarkStart w:id="247" w:name="_Toc24633"/>
      <w:bookmarkStart w:id="248" w:name="_Toc506107284"/>
      <w:bookmarkStart w:id="249" w:name="_Toc324404830"/>
      <w:bookmarkStart w:id="250" w:name="_Toc296602435"/>
      <w:bookmarkStart w:id="251" w:name="_Toc15058861"/>
      <w:bookmarkStart w:id="252" w:name="_Toc246996190"/>
      <w:bookmarkStart w:id="253" w:name="_Toc152042321"/>
      <w:bookmarkStart w:id="254" w:name="_Toc35425068"/>
      <w:r>
        <w:rPr>
          <w:rFonts w:ascii="宋体" w:hAnsi="宋体" w:eastAsia="宋体" w:cs="宋体"/>
          <w:color w:val="auto"/>
          <w:highlight w:val="none"/>
        </w:rPr>
        <w:t xml:space="preserve">2.3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黑体" w:hAnsi="黑体" w:eastAsia="黑体" w:cs="黑体"/>
          <w:color w:val="auto"/>
          <w:sz w:val="21"/>
          <w:szCs w:val="21"/>
          <w:highlight w:val="none"/>
        </w:rPr>
        <w:t>招标文件的澄清</w:t>
      </w:r>
    </w:p>
    <w:p w14:paraId="5DA8C43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255" w:name="_Toc324404831"/>
      <w:bookmarkStart w:id="256" w:name="_Toc35424903"/>
      <w:bookmarkStart w:id="257" w:name="_Toc35425069"/>
      <w:bookmarkStart w:id="258" w:name="_Toc2696"/>
      <w:bookmarkStart w:id="259" w:name="_Toc15058862"/>
      <w:r>
        <w:rPr>
          <w:rFonts w:hint="eastAsia" w:ascii="宋体" w:hAnsi="宋体" w:eastAsia="宋体" w:cs="宋体"/>
          <w:color w:val="auto"/>
          <w:szCs w:val="21"/>
          <w:highlight w:val="none"/>
        </w:rPr>
        <w:t>招标人可以澄清招标文件，并以投标人须知前附表规定澄清的方式在</w:t>
      </w:r>
      <w:r>
        <w:rPr>
          <w:rFonts w:hint="eastAsia" w:ascii="宋体" w:hAnsi="宋体" w:eastAsia="宋体" w:cs="宋体"/>
          <w:color w:val="auto"/>
          <w:kern w:val="0"/>
          <w:sz w:val="21"/>
          <w:szCs w:val="21"/>
          <w:highlight w:val="none"/>
          <w:lang w:val="zh-CN" w:eastAsia="zh-CN"/>
        </w:rPr>
        <w:t>中新苏滁高新技术产业开发区（https://scp.chuzhou.gov.cn/index.html）、滁州市城投工程咨询管理有限公司网站（https://www.czctgczx.com/）</w:t>
      </w:r>
      <w:r>
        <w:rPr>
          <w:rFonts w:hint="eastAsia" w:ascii="宋体" w:hAnsi="宋体" w:eastAsia="宋体" w:cs="宋体"/>
          <w:color w:val="auto"/>
          <w:szCs w:val="21"/>
          <w:highlight w:val="none"/>
        </w:rPr>
        <w:t>发布。</w:t>
      </w:r>
    </w:p>
    <w:p w14:paraId="3C26B391">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2.4</w:t>
      </w:r>
      <w:bookmarkEnd w:id="255"/>
      <w:r>
        <w:rPr>
          <w:rFonts w:hint="eastAsia" w:ascii="宋体" w:hAnsi="宋体" w:eastAsia="宋体" w:cs="宋体"/>
          <w:color w:val="auto"/>
          <w:highlight w:val="none"/>
        </w:rPr>
        <w:t>最高投标限价</w:t>
      </w:r>
      <w:bookmarkEnd w:id="256"/>
      <w:bookmarkEnd w:id="257"/>
      <w:bookmarkEnd w:id="258"/>
      <w:bookmarkEnd w:id="259"/>
    </w:p>
    <w:p w14:paraId="7F03169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2.4.1</w:t>
      </w:r>
      <w:r>
        <w:rPr>
          <w:rFonts w:hint="eastAsia" w:ascii="宋体" w:hAnsi="宋体" w:cs="宋体"/>
          <w:color w:val="auto"/>
          <w:szCs w:val="21"/>
          <w:highlight w:val="none"/>
        </w:rPr>
        <w:t>最高投标限价的作用和说明</w:t>
      </w:r>
    </w:p>
    <w:p w14:paraId="6B08952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highlight w:val="none"/>
        </w:rPr>
        <w:t>投标人的投标报价不得超过最高投标限价，最高投标限价的发布时间及方式在投标人须知前附表中载明。</w:t>
      </w:r>
    </w:p>
    <w:p w14:paraId="0F7F7953">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）投标人对最高投标限价有异议的，可在</w:t>
      </w:r>
      <w:r>
        <w:rPr>
          <w:rFonts w:hint="eastAsia" w:ascii="宋体" w:hAnsi="宋体" w:cs="宋体"/>
          <w:color w:val="auto"/>
          <w:highlight w:val="none"/>
        </w:rPr>
        <w:t>投标人须知前附表规定的时间内向招标人提出异议，</w:t>
      </w:r>
      <w:r>
        <w:rPr>
          <w:rFonts w:hint="eastAsia" w:ascii="宋体" w:hAnsi="宋体" w:cs="宋体"/>
          <w:color w:val="auto"/>
          <w:szCs w:val="21"/>
          <w:highlight w:val="none"/>
        </w:rPr>
        <w:t>未在规定时间内提出异议的或投标人提出异议经招标人复核后的最高投标限价，视为合理有效。</w:t>
      </w:r>
    </w:p>
    <w:p w14:paraId="4654D879">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bookmarkStart w:id="260" w:name="_Toc246996934"/>
      <w:bookmarkStart w:id="261" w:name="_Toc35425070"/>
      <w:bookmarkStart w:id="262" w:name="_Toc152042322"/>
      <w:bookmarkStart w:id="263" w:name="_Toc247085705"/>
      <w:bookmarkStart w:id="264" w:name="_Toc15058863"/>
      <w:bookmarkStart w:id="265" w:name="_Toc179632564"/>
      <w:bookmarkStart w:id="266" w:name="_Toc246996191"/>
      <w:bookmarkStart w:id="267" w:name="_Toc506107285"/>
      <w:bookmarkStart w:id="268" w:name="_Toc144974514"/>
      <w:bookmarkStart w:id="269" w:name="_Toc6464"/>
      <w:bookmarkStart w:id="270" w:name="_Toc152045546"/>
      <w:bookmarkStart w:id="271" w:name="_Toc35424904"/>
      <w:bookmarkStart w:id="272" w:name="_Toc324404832"/>
      <w:r>
        <w:rPr>
          <w:rFonts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rPr>
        <w:t>投标文件</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4E47C4C4">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73" w:name="_Toc152045547"/>
      <w:bookmarkStart w:id="274" w:name="_Toc247085706"/>
      <w:bookmarkStart w:id="275" w:name="_Toc152042323"/>
      <w:bookmarkStart w:id="276" w:name="_Toc15058864"/>
      <w:bookmarkStart w:id="277" w:name="_Toc506107286"/>
      <w:bookmarkStart w:id="278" w:name="_Toc35425071"/>
      <w:bookmarkStart w:id="279" w:name="_Toc246996935"/>
      <w:bookmarkStart w:id="280" w:name="_Toc144974515"/>
      <w:bookmarkStart w:id="281" w:name="_Toc296602437"/>
      <w:bookmarkStart w:id="282" w:name="_Toc157"/>
      <w:bookmarkStart w:id="283" w:name="_Toc179632565"/>
      <w:bookmarkStart w:id="284" w:name="_Toc324404833"/>
      <w:bookmarkStart w:id="285" w:name="_Toc35424905"/>
      <w:bookmarkStart w:id="286" w:name="_Toc246996192"/>
      <w:r>
        <w:rPr>
          <w:rFonts w:ascii="宋体" w:hAnsi="宋体" w:eastAsia="宋体" w:cs="宋体"/>
          <w:color w:val="auto"/>
          <w:highlight w:val="none"/>
        </w:rPr>
        <w:t xml:space="preserve">3.1 </w:t>
      </w:r>
      <w:r>
        <w:rPr>
          <w:rFonts w:hint="eastAsia" w:ascii="宋体" w:hAnsi="宋体" w:eastAsia="宋体" w:cs="宋体"/>
          <w:color w:val="auto"/>
          <w:highlight w:val="none"/>
        </w:rPr>
        <w:t>投标文件的组成</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E43919B">
      <w:pPr>
        <w:pageBreakBefore w:val="0"/>
        <w:widowControl w:val="0"/>
        <w:kinsoku/>
        <w:wordWrap/>
        <w:overflowPunct/>
        <w:topLinePunct w:val="0"/>
        <w:autoSpaceDE/>
        <w:autoSpaceDN/>
        <w:bidi w:val="0"/>
        <w:spacing w:line="500" w:lineRule="exact"/>
        <w:ind w:firstLine="420" w:firstLineChars="200"/>
        <w:jc w:val="left"/>
        <w:textAlignment w:val="auto"/>
        <w:rPr>
          <w:rFonts w:ascii="宋体" w:hAnsi="宋体" w:cs="宋体"/>
          <w:color w:val="auto"/>
          <w:szCs w:val="21"/>
          <w:highlight w:val="none"/>
        </w:rPr>
      </w:pPr>
      <w:bookmarkStart w:id="287" w:name="_Toc35424906"/>
      <w:bookmarkStart w:id="288" w:name="_Toc152042324"/>
      <w:bookmarkStart w:id="289" w:name="_Toc152045548"/>
      <w:bookmarkStart w:id="290" w:name="_Toc246996936"/>
      <w:bookmarkStart w:id="291" w:name="_Toc15058865"/>
      <w:bookmarkStart w:id="292" w:name="_Toc246996193"/>
      <w:bookmarkStart w:id="293" w:name="_Toc324404834"/>
      <w:bookmarkStart w:id="294" w:name="_Toc179632566"/>
      <w:bookmarkStart w:id="295" w:name="_Toc506107287"/>
      <w:bookmarkStart w:id="296" w:name="_Toc247085707"/>
      <w:bookmarkStart w:id="297" w:name="_Toc296602438"/>
      <w:bookmarkStart w:id="298" w:name="_Toc6829"/>
      <w:bookmarkStart w:id="299" w:name="_Toc35425072"/>
      <w:bookmarkStart w:id="300" w:name="_Toc144974516"/>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w:t>
      </w:r>
    </w:p>
    <w:p w14:paraId="691FC97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3.2 </w:t>
      </w:r>
      <w:r>
        <w:rPr>
          <w:rFonts w:hint="eastAsia" w:ascii="宋体" w:hAnsi="宋体" w:eastAsia="宋体" w:cs="宋体"/>
          <w:color w:val="auto"/>
          <w:highlight w:val="none"/>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273668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bookmarkStart w:id="301" w:name="_Toc296602439"/>
      <w:bookmarkStart w:id="302" w:name="_Toc152042325"/>
      <w:bookmarkStart w:id="303" w:name="_Toc179632567"/>
      <w:bookmarkStart w:id="304" w:name="_Toc246996937"/>
      <w:bookmarkStart w:id="305" w:name="_Toc246996194"/>
      <w:bookmarkStart w:id="306" w:name="_Toc247085708"/>
      <w:bookmarkStart w:id="307" w:name="_Toc144974517"/>
      <w:bookmarkStart w:id="308" w:name="_Toc324404835"/>
      <w:bookmarkStart w:id="309" w:name="_Toc152045549"/>
      <w:r>
        <w:rPr>
          <w:rFonts w:ascii="宋体" w:hAnsi="宋体" w:cs="宋体"/>
          <w:color w:val="auto"/>
          <w:highlight w:val="none"/>
        </w:rPr>
        <w:t>3.2.1</w:t>
      </w:r>
      <w:r>
        <w:rPr>
          <w:rFonts w:hint="eastAsia" w:ascii="宋体" w:hAnsi="宋体" w:cs="宋体"/>
          <w:color w:val="auto"/>
          <w:highlight w:val="none"/>
        </w:rPr>
        <w:t>投标人的投标报价不得超过最高投标限价，最高投标限价的发布时间及方式在投标人须知前附表中载明。</w:t>
      </w:r>
    </w:p>
    <w:p w14:paraId="76E7F69B">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ascii="宋体" w:hAnsi="宋体" w:cs="宋体"/>
          <w:color w:val="auto"/>
          <w:highlight w:val="none"/>
        </w:rPr>
        <w:t>3.2.2</w:t>
      </w:r>
      <w:r>
        <w:rPr>
          <w:rFonts w:hint="eastAsia" w:ascii="宋体" w:hAnsi="宋体" w:cs="宋体"/>
          <w:color w:val="auto"/>
          <w:highlight w:val="none"/>
        </w:rPr>
        <w:t>投标报价应由法定代表人或被授权人签署。</w:t>
      </w:r>
    </w:p>
    <w:p w14:paraId="479B65EF">
      <w:pPr>
        <w:pageBreakBefore w:val="0"/>
        <w:widowControl w:val="0"/>
        <w:kinsoku/>
        <w:wordWrap/>
        <w:overflowPunct/>
        <w:topLinePunct w:val="0"/>
        <w:autoSpaceDE/>
        <w:autoSpaceDN/>
        <w:bidi w:val="0"/>
        <w:spacing w:line="500" w:lineRule="exact"/>
        <w:ind w:left="15" w:leftChars="7" w:firstLine="420" w:firstLineChars="200"/>
        <w:jc w:val="left"/>
        <w:textAlignment w:val="auto"/>
        <w:rPr>
          <w:rFonts w:hint="eastAsia" w:ascii="宋体" w:hAnsi="宋体" w:eastAsia="宋体" w:cs="宋体"/>
          <w:color w:val="auto"/>
          <w:highlight w:val="none"/>
        </w:rPr>
      </w:pPr>
      <w:r>
        <w:rPr>
          <w:rFonts w:ascii="宋体" w:hAnsi="宋体" w:cs="宋体"/>
          <w:color w:val="auto"/>
          <w:highlight w:val="none"/>
        </w:rPr>
        <w:t>3.2.3</w:t>
      </w:r>
      <w:r>
        <w:rPr>
          <w:rFonts w:hint="eastAsia" w:ascii="宋体" w:hAnsi="宋体" w:cs="宋体"/>
          <w:color w:val="auto"/>
          <w:highlight w:val="none"/>
        </w:rPr>
        <w:t>投标报价的价格是完成项目全部内容（包括后期的相关服务）交付验收的价格，若合同履行期间工作内容发生调整的，</w:t>
      </w:r>
      <w:r>
        <w:rPr>
          <w:rFonts w:ascii="宋体" w:hAnsi="宋体" w:cs="宋体"/>
          <w:color w:val="auto"/>
          <w:highlight w:val="none"/>
        </w:rPr>
        <w:t>中标</w:t>
      </w:r>
      <w:r>
        <w:rPr>
          <w:rFonts w:hint="eastAsia" w:ascii="宋体" w:hAnsi="宋体" w:cs="宋体"/>
          <w:color w:val="auto"/>
          <w:highlight w:val="none"/>
        </w:rPr>
        <w:t>人须无条件响应招标人要求，且其投标单价不作任何调整。</w:t>
      </w:r>
      <w:r>
        <w:rPr>
          <w:rFonts w:hint="eastAsia" w:ascii="宋体" w:hAnsi="宋体" w:eastAsia="宋体" w:cs="宋体"/>
          <w:color w:val="auto"/>
          <w:highlight w:val="none"/>
          <w:lang w:val="en-US" w:eastAsia="zh-CN"/>
        </w:rPr>
        <w:t>综合单价包括但不限于：所有检测项目的费用、大型机械进出场费、机械设备费用，政策性文件规定费用等检测现场的所有配合费用、基础资料整理、评定评估、报告出版和辅助平台设施、加载车辆、荷载试验、招标代理费用、各种税费所有等以及可能发生的一切所有费用，结算时单价不作调整，招标人不再另行支付任何费用的总和。如出现同一根桩第一次检测不合格后经整改检测合格情况，只按一根合格工程量结算。</w:t>
      </w:r>
    </w:p>
    <w:p w14:paraId="6F9BC38B">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highlight w:val="none"/>
        </w:rPr>
        <w:t>3.2.4</w:t>
      </w:r>
      <w:r>
        <w:rPr>
          <w:rFonts w:hint="eastAsia" w:ascii="宋体" w:hAnsi="宋体" w:cs="宋体"/>
          <w:color w:val="auto"/>
          <w:highlight w:val="none"/>
        </w:rPr>
        <w:t>不论任何原因导致的工期延长，招标人均不再补偿费用。</w:t>
      </w:r>
    </w:p>
    <w:p w14:paraId="7D4C6BE7">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310" w:name="_Toc35425073"/>
      <w:bookmarkStart w:id="311" w:name="_Toc506107288"/>
      <w:bookmarkStart w:id="312" w:name="_Toc35424907"/>
      <w:bookmarkStart w:id="313" w:name="_Toc31735"/>
      <w:bookmarkStart w:id="314" w:name="_Toc15058866"/>
      <w:r>
        <w:rPr>
          <w:rFonts w:ascii="宋体" w:hAnsi="宋体" w:eastAsia="宋体" w:cs="宋体"/>
          <w:color w:val="auto"/>
          <w:highlight w:val="none"/>
        </w:rPr>
        <w:t xml:space="preserve">3.3 </w:t>
      </w:r>
      <w:r>
        <w:rPr>
          <w:rFonts w:hint="eastAsia" w:ascii="宋体" w:hAnsi="宋体" w:eastAsia="宋体" w:cs="宋体"/>
          <w:color w:val="auto"/>
          <w:highlight w:val="none"/>
        </w:rPr>
        <w:t>投标有效期</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7F96CA7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3.3.1</w:t>
      </w:r>
      <w:r>
        <w:rPr>
          <w:rFonts w:hint="eastAsia" w:ascii="宋体" w:hAnsi="宋体" w:cs="宋体"/>
          <w:color w:val="auto"/>
          <w:szCs w:val="21"/>
          <w:highlight w:val="none"/>
        </w:rPr>
        <w:t>除投标人须知前附表另有规定外，投标有效期为</w:t>
      </w:r>
      <w:r>
        <w:rPr>
          <w:rFonts w:ascii="宋体" w:hAnsi="宋体" w:cs="宋体"/>
          <w:color w:val="auto"/>
          <w:szCs w:val="21"/>
          <w:highlight w:val="none"/>
        </w:rPr>
        <w:t>90</w:t>
      </w:r>
      <w:r>
        <w:rPr>
          <w:rFonts w:hint="eastAsia" w:ascii="宋体" w:hAnsi="宋体" w:cs="宋体"/>
          <w:color w:val="auto"/>
          <w:szCs w:val="21"/>
          <w:highlight w:val="none"/>
        </w:rPr>
        <w:t>天。</w:t>
      </w:r>
    </w:p>
    <w:p w14:paraId="4C9A2B4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3.3.2</w:t>
      </w:r>
      <w:r>
        <w:rPr>
          <w:rFonts w:hint="eastAsia" w:ascii="宋体" w:hAnsi="宋体" w:cs="宋体"/>
          <w:color w:val="auto"/>
          <w:szCs w:val="21"/>
          <w:highlight w:val="none"/>
        </w:rPr>
        <w:t>在投标有效期内，投标人撤销或修改其投标文件的，应承担招标文件和法律规定的责任。</w:t>
      </w:r>
    </w:p>
    <w:p w14:paraId="269D9BC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3.3.3</w:t>
      </w:r>
      <w:r>
        <w:rPr>
          <w:rFonts w:hint="eastAsia" w:ascii="宋体" w:hAnsi="宋体" w:cs="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740D1A3">
      <w:pPr>
        <w:pStyle w:val="3"/>
        <w:pageBreakBefore w:val="0"/>
        <w:widowControl w:val="0"/>
        <w:kinsoku/>
        <w:wordWrap/>
        <w:overflowPunct/>
        <w:topLinePunct w:val="0"/>
        <w:autoSpaceDE/>
        <w:autoSpaceDN/>
        <w:bidi w:val="0"/>
        <w:spacing w:line="500" w:lineRule="exact"/>
        <w:ind w:firstLine="422" w:firstLineChars="200"/>
        <w:textAlignment w:val="auto"/>
        <w:rPr>
          <w:rFonts w:hint="default" w:ascii="宋体" w:hAnsi="宋体" w:eastAsia="宋体" w:cs="宋体"/>
          <w:color w:val="auto"/>
          <w:highlight w:val="none"/>
          <w:lang w:val="en-US" w:eastAsia="zh-CN"/>
        </w:rPr>
      </w:pPr>
      <w:bookmarkStart w:id="315" w:name="_Toc179632568"/>
      <w:bookmarkStart w:id="316" w:name="_Toc10714"/>
      <w:bookmarkStart w:id="317" w:name="_Toc246996195"/>
      <w:bookmarkStart w:id="318" w:name="_Toc324404836"/>
      <w:bookmarkStart w:id="319" w:name="_Toc246996938"/>
      <w:bookmarkStart w:id="320" w:name="_Toc152042326"/>
      <w:bookmarkStart w:id="321" w:name="_Toc144974518"/>
      <w:bookmarkStart w:id="322" w:name="_Toc506107289"/>
      <w:bookmarkStart w:id="323" w:name="_Toc296602440"/>
      <w:bookmarkStart w:id="324" w:name="_Toc35425074"/>
      <w:bookmarkStart w:id="325" w:name="_Toc35424908"/>
      <w:bookmarkStart w:id="326" w:name="_Toc247085709"/>
      <w:bookmarkStart w:id="327" w:name="_Toc152045550"/>
      <w:bookmarkStart w:id="328" w:name="_Toc15058867"/>
      <w:r>
        <w:rPr>
          <w:rFonts w:ascii="宋体" w:hAnsi="宋体" w:eastAsia="宋体" w:cs="宋体"/>
          <w:color w:val="auto"/>
          <w:highlight w:val="none"/>
        </w:rPr>
        <w:t xml:space="preserve">3.4 </w:t>
      </w:r>
      <w:r>
        <w:rPr>
          <w:rFonts w:hint="eastAsia" w:ascii="宋体" w:hAnsi="宋体" w:eastAsia="宋体" w:cs="宋体"/>
          <w:color w:val="auto"/>
          <w:highlight w:val="none"/>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本项目不采用）</w:t>
      </w:r>
    </w:p>
    <w:p w14:paraId="28BB0F4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3.4.1投标人须知前附表规定递交投标保证金的，投标人在递交投标文件的同时，应按投标人须知前附表规定的金额、担保形式和第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章“投标文件格式”规定的或者事先经过招标人认可的保证金格式递交保证金，并作为其投标文件的组成部分。</w:t>
      </w:r>
    </w:p>
    <w:p w14:paraId="0E3E349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3.3.3项的规定延长了投标有效期，则投标保证金的有效期也相应延长。</w:t>
      </w:r>
    </w:p>
    <w:p w14:paraId="34A7F64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060DC23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有下列情形之一的，投标保证金将不予退还： </w:t>
      </w:r>
    </w:p>
    <w:p w14:paraId="1DA4AB6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EAA1E4B">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612098FB">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329" w:name="_Toc296602442"/>
      <w:bookmarkStart w:id="330" w:name="_Toc35424909"/>
      <w:bookmarkStart w:id="331" w:name="_Toc35425075"/>
      <w:bookmarkStart w:id="332" w:name="_Toc324404837"/>
      <w:bookmarkStart w:id="333" w:name="_Toc19037"/>
      <w:bookmarkStart w:id="334" w:name="_Toc506107290"/>
      <w:bookmarkStart w:id="335" w:name="_Toc15058868"/>
      <w:bookmarkStart w:id="336" w:name="_Toc179632571"/>
      <w:bookmarkStart w:id="337" w:name="_Toc152042329"/>
      <w:bookmarkStart w:id="338" w:name="_Toc246996940"/>
      <w:bookmarkStart w:id="339" w:name="_Toc247085711"/>
      <w:bookmarkStart w:id="340" w:name="_Toc246996197"/>
      <w:bookmarkStart w:id="341" w:name="_Toc152045553"/>
      <w:bookmarkStart w:id="342" w:name="_Toc144974521"/>
      <w:r>
        <w:rPr>
          <w:rFonts w:ascii="宋体" w:hAnsi="宋体" w:eastAsia="宋体" w:cs="宋体"/>
          <w:color w:val="auto"/>
          <w:highlight w:val="none"/>
        </w:rPr>
        <w:t>3.5</w:t>
      </w:r>
      <w:r>
        <w:rPr>
          <w:rFonts w:hint="eastAsia" w:ascii="宋体" w:hAnsi="宋体" w:eastAsia="宋体" w:cs="宋体"/>
          <w:color w:val="auto"/>
          <w:highlight w:val="none"/>
        </w:rPr>
        <w:t>投标文件的编制</w:t>
      </w:r>
      <w:bookmarkEnd w:id="329"/>
      <w:bookmarkEnd w:id="330"/>
      <w:bookmarkEnd w:id="331"/>
      <w:bookmarkEnd w:id="332"/>
      <w:bookmarkEnd w:id="333"/>
      <w:bookmarkEnd w:id="334"/>
      <w:bookmarkEnd w:id="335"/>
    </w:p>
    <w:bookmarkEnd w:id="336"/>
    <w:bookmarkEnd w:id="337"/>
    <w:bookmarkEnd w:id="338"/>
    <w:bookmarkEnd w:id="339"/>
    <w:bookmarkEnd w:id="340"/>
    <w:bookmarkEnd w:id="341"/>
    <w:bookmarkEnd w:id="342"/>
    <w:p w14:paraId="3545380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bookmarkStart w:id="343" w:name="_Toc144974523"/>
      <w:bookmarkStart w:id="344" w:name="_Toc15058869"/>
      <w:bookmarkStart w:id="345" w:name="_Toc152042331"/>
      <w:bookmarkStart w:id="346" w:name="_Toc247085713"/>
      <w:bookmarkStart w:id="347" w:name="_Toc19455"/>
      <w:bookmarkStart w:id="348" w:name="_Toc324404838"/>
      <w:bookmarkStart w:id="349" w:name="_Toc152045555"/>
      <w:bookmarkStart w:id="350" w:name="_Toc179632573"/>
      <w:bookmarkStart w:id="351" w:name="_Toc246996199"/>
      <w:bookmarkStart w:id="352" w:name="_Toc35425076"/>
      <w:bookmarkStart w:id="353" w:name="_Toc246996942"/>
      <w:bookmarkStart w:id="354" w:name="_Toc35424910"/>
      <w:bookmarkStart w:id="355" w:name="_Toc506107291"/>
      <w:r>
        <w:rPr>
          <w:rFonts w:hint="eastAsia" w:ascii="宋体" w:hAnsi="宋体" w:cs="宋体"/>
          <w:color w:val="auto"/>
          <w:sz w:val="21"/>
          <w:szCs w:val="21"/>
          <w:highlight w:val="none"/>
          <w:lang w:val="en-US" w:eastAsia="zh-CN"/>
        </w:rPr>
        <w:t>3.5.1</w:t>
      </w:r>
      <w:r>
        <w:rPr>
          <w:rFonts w:hint="eastAsia" w:ascii="宋体" w:hAnsi="宋体" w:eastAsia="宋体" w:cs="宋体"/>
          <w:color w:val="auto"/>
          <w:sz w:val="21"/>
          <w:szCs w:val="21"/>
          <w:highlight w:val="none"/>
          <w:lang w:val="en-US" w:eastAsia="zh-CN"/>
        </w:rPr>
        <w:t>投标文件应按第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lang w:val="en-US" w:eastAsia="zh-CN"/>
        </w:rPr>
        <w:t>章“投标文件格式”进行编写，如有必要，可以增加附页，作为投标文件的组成部分。其中，投标函在满足招标文件实质性要求的基础上，可以提出比招标文件要求更有利于招标人的承诺。</w:t>
      </w:r>
    </w:p>
    <w:p w14:paraId="625212D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3.5.2</w:t>
      </w:r>
      <w:r>
        <w:rPr>
          <w:rFonts w:hint="eastAsia" w:ascii="宋体" w:hAnsi="宋体" w:eastAsia="宋体" w:cs="宋体"/>
          <w:color w:val="auto"/>
          <w:sz w:val="21"/>
          <w:szCs w:val="21"/>
          <w:highlight w:val="none"/>
          <w:lang w:val="en-US" w:eastAsia="zh-CN"/>
        </w:rPr>
        <w:t>投标文件应当对招标文件有关设计周期、投标有效期、质量要求、技术标准和要求、招标范围等实质性内容作出响应。</w:t>
      </w:r>
    </w:p>
    <w:p w14:paraId="116FB15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3.5.3</w:t>
      </w:r>
      <w:r>
        <w:rPr>
          <w:rFonts w:hint="eastAsia" w:ascii="宋体" w:hAnsi="宋体" w:eastAsia="宋体" w:cs="宋体"/>
          <w:color w:val="auto"/>
          <w:sz w:val="21"/>
          <w:szCs w:val="21"/>
          <w:highlight w:val="none"/>
          <w:lang w:val="en-US" w:eastAsia="zh-CN"/>
        </w:rPr>
        <w:t>本次投标不需要提供纸质投标文件，投标人应按照电子招标投标的要求，在投标人的电子系统中制作、签章、上传加密的电子投标文件。</w:t>
      </w:r>
    </w:p>
    <w:p w14:paraId="0609B8B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3.5.4</w:t>
      </w:r>
      <w:r>
        <w:rPr>
          <w:rFonts w:hint="eastAsia" w:ascii="宋体" w:hAnsi="宋体" w:eastAsia="宋体" w:cs="宋体"/>
          <w:color w:val="auto"/>
          <w:sz w:val="21"/>
          <w:szCs w:val="21"/>
          <w:highlight w:val="none"/>
          <w:lang w:val="en-US" w:eastAsia="zh-CN"/>
        </w:rPr>
        <w:t>投标人须知前附表规定接受联合体投标的，资格审查资料应包括联合体各方相关情况。</w:t>
      </w:r>
    </w:p>
    <w:p w14:paraId="44B3EA21">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3.5.6</w:t>
      </w:r>
      <w:r>
        <w:rPr>
          <w:rFonts w:hint="eastAsia" w:ascii="宋体" w:hAnsi="宋体" w:eastAsia="宋体" w:cs="宋体"/>
          <w:color w:val="auto"/>
          <w:sz w:val="21"/>
          <w:szCs w:val="21"/>
          <w:highlight w:val="none"/>
          <w:lang w:val="en-US" w:eastAsia="zh-CN"/>
        </w:rPr>
        <w:t>招标人有权核查投标人在投标文件中提供的资料，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4B5BBE21">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3.5.7</w:t>
      </w:r>
      <w:r>
        <w:rPr>
          <w:rFonts w:hint="eastAsia" w:ascii="宋体" w:hAnsi="宋体" w:eastAsia="宋体" w:cs="宋体"/>
          <w:color w:val="auto"/>
          <w:sz w:val="21"/>
          <w:szCs w:val="21"/>
          <w:highlight w:val="none"/>
          <w:lang w:val="en-US" w:eastAsia="zh-CN"/>
        </w:rPr>
        <w:t>投标文件的制作应满足以下规定：</w:t>
      </w:r>
    </w:p>
    <w:p w14:paraId="5334DA9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文件由投标人使用电子交易系统提供的“投标文件制作工具”制作生成。“投标文件制作工具”下载链接为https://download.bqpoint.com/download/downloaddetail.html?SourceFrom=Ztb&amp;ZtbSoftXiaQuCode=0128&amp;ZtbSoftType=tballinclusive。</w:t>
      </w:r>
    </w:p>
    <w:p w14:paraId="4D30713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文件中“签章”是指签字或盖章。在第六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9C5238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4B11678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20.7因投标人自身原因而导致投标文件无法导入电子交易系统电子开标、评标系统，该投标视为无效投标，投标人自行承担由此导致的全部责任。</w:t>
      </w:r>
    </w:p>
    <w:p w14:paraId="32B4A1C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20.8 投标人中标后须递交与网上电子投标文件完全一致的纸质版投标文件，在领取中标通知书时，一并递交给招标代理机构。</w:t>
      </w:r>
    </w:p>
    <w:p w14:paraId="3CC1791A">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投标</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3C7C7E40">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lang w:eastAsia="zh-CN"/>
        </w:rPr>
      </w:pPr>
      <w:bookmarkStart w:id="356" w:name="_Toc15058870"/>
      <w:bookmarkStart w:id="357" w:name="_Toc14473"/>
      <w:bookmarkStart w:id="358" w:name="_Toc35425077"/>
      <w:bookmarkStart w:id="359" w:name="_Toc35424911"/>
      <w:bookmarkStart w:id="360" w:name="_Toc78803346"/>
      <w:bookmarkStart w:id="361" w:name="_Toc35424915"/>
      <w:bookmarkStart w:id="362" w:name="_Toc29639"/>
      <w:bookmarkStart w:id="363" w:name="_Toc35425081"/>
      <w:bookmarkStart w:id="364" w:name="_Toc144974527"/>
      <w:bookmarkStart w:id="365" w:name="_Toc506107295"/>
      <w:bookmarkStart w:id="366" w:name="_Toc152042335"/>
      <w:bookmarkStart w:id="367" w:name="_Toc179632577"/>
      <w:bookmarkStart w:id="368" w:name="_Toc247085717"/>
      <w:bookmarkStart w:id="369" w:name="_Toc324404842"/>
      <w:bookmarkStart w:id="370" w:name="_Toc246996203"/>
      <w:bookmarkStart w:id="371" w:name="_Toc246996946"/>
      <w:bookmarkStart w:id="372" w:name="_Toc15058874"/>
      <w:bookmarkStart w:id="373" w:name="_Toc152045559"/>
      <w:r>
        <w:rPr>
          <w:rFonts w:hint="eastAsia" w:ascii="宋体" w:hAnsi="宋体" w:eastAsia="宋体" w:cs="宋体"/>
          <w:color w:val="auto"/>
          <w:highlight w:val="none"/>
        </w:rPr>
        <w:t>4.1</w:t>
      </w:r>
      <w:bookmarkEnd w:id="356"/>
      <w:bookmarkEnd w:id="357"/>
      <w:bookmarkEnd w:id="358"/>
      <w:bookmarkEnd w:id="359"/>
      <w:bookmarkEnd w:id="360"/>
      <w:r>
        <w:rPr>
          <w:rFonts w:hint="eastAsia" w:ascii="宋体" w:hAnsi="宋体" w:eastAsia="宋体" w:cs="宋体"/>
          <w:color w:val="auto"/>
          <w:highlight w:val="none"/>
        </w:rPr>
        <w:t>投标文件上传</w:t>
      </w:r>
    </w:p>
    <w:p w14:paraId="2F6CC2BF">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4.1.1请投标人通过系统下载投标工具制作投标文件，并利用CA数字证书进行上传投标文件，上传已加密的投标文件，务必通过此方式上传投标文件。。</w:t>
      </w:r>
    </w:p>
    <w:p w14:paraId="1430AF1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2</w:t>
      </w:r>
      <w:bookmarkStart w:id="374" w:name="_Toc152042332"/>
      <w:bookmarkStart w:id="375" w:name="_Toc179632574"/>
      <w:bookmarkStart w:id="376" w:name="_Toc35425078"/>
      <w:bookmarkStart w:id="377" w:name="_Toc152045556"/>
      <w:bookmarkStart w:id="378" w:name="_Toc247085714"/>
      <w:bookmarkStart w:id="379" w:name="_Toc246996200"/>
      <w:bookmarkStart w:id="380" w:name="_Toc144974524"/>
      <w:bookmarkStart w:id="381" w:name="_Toc324404839"/>
      <w:bookmarkStart w:id="382" w:name="_Toc3526"/>
      <w:bookmarkStart w:id="383" w:name="_Toc15058871"/>
      <w:bookmarkStart w:id="384" w:name="_Toc246996943"/>
      <w:bookmarkStart w:id="385" w:name="_Toc506107292"/>
      <w:bookmarkStart w:id="386" w:name="_Toc35424912"/>
      <w:bookmarkStart w:id="387" w:name="_Toc296602444"/>
      <w:r>
        <w:rPr>
          <w:rFonts w:hint="eastAsia" w:ascii="宋体" w:hAnsi="宋体" w:cs="宋体"/>
          <w:color w:val="auto"/>
          <w:szCs w:val="21"/>
          <w:highlight w:val="none"/>
          <w:lang w:val="en-US" w:eastAsia="zh-CN"/>
        </w:rPr>
        <w:t>投标人在投标文件编制、签章、上传过程中如有任何操作的疑问请及时联系技术支持，电话：0512-58151515（工作日）。</w:t>
      </w:r>
    </w:p>
    <w:p w14:paraId="6BFC449F">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4.2投标文件的密封和标记</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4FCD9CA8">
      <w:pPr>
        <w:pageBreakBefore w:val="0"/>
        <w:widowControl w:val="0"/>
        <w:kinsoku/>
        <w:wordWrap/>
        <w:overflowPunct/>
        <w:topLinePunct w:val="0"/>
        <w:autoSpaceDE/>
        <w:autoSpaceDN/>
        <w:bidi w:val="0"/>
        <w:spacing w:line="500" w:lineRule="exact"/>
        <w:ind w:firstLine="420" w:firstLineChars="200"/>
        <w:jc w:val="left"/>
        <w:textAlignment w:val="auto"/>
        <w:rPr>
          <w:rFonts w:ascii="宋体" w:hAnsi="宋体" w:cs="宋体"/>
          <w:color w:val="auto"/>
          <w:szCs w:val="21"/>
          <w:highlight w:val="none"/>
        </w:rPr>
      </w:pPr>
      <w:bookmarkStart w:id="388" w:name="_Toc152042333"/>
      <w:bookmarkStart w:id="389" w:name="_Toc246996944"/>
      <w:bookmarkStart w:id="390" w:name="_Toc296602445"/>
      <w:bookmarkStart w:id="391" w:name="_Toc152045557"/>
      <w:bookmarkStart w:id="392" w:name="_Toc247085715"/>
      <w:bookmarkStart w:id="393" w:name="_Toc246996201"/>
      <w:bookmarkStart w:id="394" w:name="_Toc179632575"/>
      <w:bookmarkStart w:id="395" w:name="_Toc324404840"/>
      <w:bookmarkStart w:id="396" w:name="_Toc144974525"/>
      <w:r>
        <w:rPr>
          <w:rFonts w:hint="eastAsia" w:ascii="宋体" w:hAnsi="宋体" w:cs="宋体"/>
          <w:color w:val="auto"/>
          <w:szCs w:val="21"/>
          <w:highlight w:val="none"/>
        </w:rPr>
        <w:t>4.2.1</w:t>
      </w:r>
      <w:r>
        <w:rPr>
          <w:rFonts w:hint="eastAsia" w:ascii="宋体" w:hAnsi="宋体" w:eastAsia="宋体" w:cs="宋体"/>
          <w:color w:val="auto"/>
          <w:sz w:val="21"/>
          <w:szCs w:val="21"/>
          <w:highlight w:val="none"/>
        </w:rPr>
        <w:t>投标文件应按照本章第</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项要求制作并加密，否则招标人不予接收，以投标人在投标截止时间前网上递交的电子投标文件为准。</w:t>
      </w:r>
    </w:p>
    <w:bookmarkEnd w:id="388"/>
    <w:bookmarkEnd w:id="389"/>
    <w:bookmarkEnd w:id="390"/>
    <w:bookmarkEnd w:id="391"/>
    <w:bookmarkEnd w:id="392"/>
    <w:bookmarkEnd w:id="393"/>
    <w:bookmarkEnd w:id="394"/>
    <w:bookmarkEnd w:id="395"/>
    <w:bookmarkEnd w:id="396"/>
    <w:p w14:paraId="2B489D41">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397" w:name="_Toc246996945"/>
      <w:bookmarkStart w:id="398" w:name="_Toc506107294"/>
      <w:bookmarkStart w:id="399" w:name="_Toc324404841"/>
      <w:bookmarkStart w:id="400" w:name="_Toc247085716"/>
      <w:bookmarkStart w:id="401" w:name="_Toc296602446"/>
      <w:bookmarkStart w:id="402" w:name="_Toc19572"/>
      <w:bookmarkStart w:id="403" w:name="_Toc246996202"/>
      <w:bookmarkStart w:id="404" w:name="_Toc78803347"/>
      <w:bookmarkStart w:id="405" w:name="_Toc15058873"/>
      <w:bookmarkStart w:id="406" w:name="_Toc35424914"/>
      <w:bookmarkStart w:id="407" w:name="_Toc152045558"/>
      <w:bookmarkStart w:id="408" w:name="_Toc35425080"/>
      <w:bookmarkStart w:id="409" w:name="_Toc144974526"/>
      <w:bookmarkStart w:id="410" w:name="_Toc152042334"/>
      <w:bookmarkStart w:id="411" w:name="_Toc17963257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hint="eastAsia" w:ascii="宋体" w:hAnsi="宋体" w:eastAsia="宋体" w:cs="宋体"/>
          <w:color w:val="auto"/>
          <w:highlight w:val="none"/>
        </w:rPr>
        <w:t>投标文件的递交</w:t>
      </w:r>
    </w:p>
    <w:p w14:paraId="2BD79474">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.1投标人应当在第一章“招标公告”规定的投标截止时间前，将加密投标文件上传至电子交易平台【滁州专区】</w:t>
      </w:r>
    </w:p>
    <w:p w14:paraId="6C481577">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val="0"/>
          <w:color w:val="auto"/>
          <w:szCs w:val="21"/>
          <w:highlight w:val="none"/>
          <w:lang w:val="en-US" w:eastAsia="zh-CN"/>
        </w:rPr>
        <w:t>4.3.2</w:t>
      </w:r>
      <w:r>
        <w:rPr>
          <w:rFonts w:hint="eastAsia" w:ascii="宋体" w:hAnsi="宋体" w:eastAsia="宋体" w:cs="宋体"/>
          <w:color w:val="auto"/>
          <w:sz w:val="21"/>
          <w:szCs w:val="21"/>
          <w:highlight w:val="none"/>
        </w:rPr>
        <w:t>除投标人须知前附表另有规定外，投标人所递交的投标文件不予退还。</w:t>
      </w:r>
    </w:p>
    <w:p w14:paraId="12FCBDFE">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4.3.3</w:t>
      </w:r>
      <w:r>
        <w:rPr>
          <w:rFonts w:hint="eastAsia" w:ascii="宋体" w:hAnsi="宋体" w:eastAsia="宋体" w:cs="宋体"/>
          <w:color w:val="auto"/>
          <w:sz w:val="21"/>
          <w:szCs w:val="21"/>
          <w:highlight w:val="none"/>
        </w:rPr>
        <w:t>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5C7AA47E">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4投标文件的修改与撤回</w:t>
      </w:r>
    </w:p>
    <w:p w14:paraId="68D68031">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4.4.1在第一章“招标公告”规定的投标截止时间前，投标人可以自行从网上招投标系统撤回已递交的投标文件，并可修改后重新加密上传，开标时以投标截止时间前投标人最终上传的投标文件为准。</w:t>
      </w:r>
    </w:p>
    <w:p w14:paraId="4199FE4B">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rPr>
        <w:t>开标</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35278C8C">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412" w:name="_Toc246996947"/>
      <w:bookmarkStart w:id="413" w:name="_Toc35425082"/>
      <w:bookmarkStart w:id="414" w:name="_Toc152045560"/>
      <w:bookmarkStart w:id="415" w:name="_Toc506107296"/>
      <w:bookmarkStart w:id="416" w:name="_Toc13691"/>
      <w:bookmarkStart w:id="417" w:name="_Toc247085718"/>
      <w:bookmarkStart w:id="418" w:name="_Toc35424916"/>
      <w:bookmarkStart w:id="419" w:name="_Toc296602448"/>
      <w:bookmarkStart w:id="420" w:name="_Toc246996204"/>
      <w:bookmarkStart w:id="421" w:name="_Toc144974528"/>
      <w:bookmarkStart w:id="422" w:name="_Toc179632578"/>
      <w:bookmarkStart w:id="423" w:name="_Toc152042336"/>
      <w:bookmarkStart w:id="424" w:name="_Toc15058875"/>
      <w:bookmarkStart w:id="425" w:name="_Toc324404843"/>
      <w:r>
        <w:rPr>
          <w:rFonts w:ascii="宋体" w:hAnsi="宋体" w:eastAsia="宋体" w:cs="宋体"/>
          <w:color w:val="auto"/>
          <w:highlight w:val="none"/>
        </w:rPr>
        <w:t xml:space="preserve">5.1 </w:t>
      </w:r>
      <w:r>
        <w:rPr>
          <w:rFonts w:hint="eastAsia" w:ascii="宋体" w:hAnsi="宋体" w:eastAsia="宋体" w:cs="宋体"/>
          <w:color w:val="auto"/>
          <w:highlight w:val="none"/>
        </w:rPr>
        <w:t>开标时间和地点</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B1270F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426" w:name="_Toc324404844"/>
      <w:bookmarkStart w:id="427" w:name="_Toc152042337"/>
      <w:bookmarkStart w:id="428" w:name="_Toc35425083"/>
      <w:bookmarkStart w:id="429" w:name="_Toc246996205"/>
      <w:bookmarkStart w:id="430" w:name="_Toc247085719"/>
      <w:bookmarkStart w:id="431" w:name="_Toc144974529"/>
      <w:bookmarkStart w:id="432" w:name="_Toc296602449"/>
      <w:bookmarkStart w:id="433" w:name="_Toc152045561"/>
      <w:bookmarkStart w:id="434" w:name="_Toc179632579"/>
      <w:bookmarkStart w:id="435" w:name="_Toc506107297"/>
      <w:bookmarkStart w:id="436" w:name="_Toc15058876"/>
      <w:bookmarkStart w:id="437" w:name="_Toc246996948"/>
      <w:bookmarkStart w:id="438" w:name="_Toc35424917"/>
      <w:bookmarkStart w:id="439" w:name="_Toc32451"/>
      <w:r>
        <w:rPr>
          <w:rFonts w:hint="eastAsia" w:ascii="宋体" w:hAnsi="宋体" w:eastAsia="宋体" w:cs="宋体"/>
          <w:color w:val="auto"/>
          <w:szCs w:val="21"/>
          <w:highlight w:val="none"/>
          <w:lang w:val="en-US" w:eastAsia="zh-CN"/>
        </w:rPr>
        <w:t>招标人在第一章“招标公告”规定的投标截止时间前（开标时间）和地点通过电子交易系统公开开标。</w:t>
      </w:r>
    </w:p>
    <w:p w14:paraId="096889E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5.2 </w:t>
      </w:r>
      <w:r>
        <w:rPr>
          <w:rFonts w:hint="eastAsia" w:ascii="宋体" w:hAnsi="宋体" w:eastAsia="宋体" w:cs="宋体"/>
          <w:color w:val="auto"/>
          <w:highlight w:val="none"/>
        </w:rPr>
        <w:t>开标程序</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C4A1AD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440" w:name="_Toc35424918"/>
      <w:bookmarkStart w:id="441" w:name="_Toc296602450"/>
      <w:bookmarkStart w:id="442" w:name="_Toc35425084"/>
      <w:bookmarkStart w:id="443" w:name="_Toc15058883"/>
      <w:bookmarkStart w:id="444" w:name="_Toc506107298"/>
      <w:bookmarkStart w:id="445" w:name="_Toc5999"/>
      <w:bookmarkStart w:id="446" w:name="_Toc324404845"/>
      <w:r>
        <w:rPr>
          <w:rFonts w:hint="eastAsia" w:ascii="宋体" w:hAnsi="宋体" w:eastAsia="宋体" w:cs="宋体"/>
          <w:color w:val="auto"/>
          <w:szCs w:val="21"/>
          <w:highlight w:val="none"/>
        </w:rPr>
        <w:t>主持人按下列程序进行开标：</w:t>
      </w:r>
    </w:p>
    <w:p w14:paraId="6EC7C89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（1）公布在投标截止时间前通过电子交易系统完成投标文件递交的投标人名称；</w:t>
      </w:r>
    </w:p>
    <w:p w14:paraId="51AA306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（2）投标人在投标截止时间后在投标人须知前附表规定的解密时间内完成投标文件的解密工作；</w:t>
      </w:r>
    </w:p>
    <w:p w14:paraId="6334234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（3）招标人或招标代理机构完成解密工作，导入并读取所有成功解密的投标文件；</w:t>
      </w:r>
    </w:p>
    <w:p w14:paraId="62E7F6E4">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（4）按投标人须知前附表规定公布投标人名称、标段名称、投标报价、质量目标、工期及其他内容；</w:t>
      </w:r>
    </w:p>
    <w:p w14:paraId="2EA2791F">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69C791EF">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5.3 </w:t>
      </w:r>
      <w:r>
        <w:rPr>
          <w:rFonts w:hint="eastAsia" w:ascii="宋体" w:hAnsi="宋体" w:eastAsia="宋体" w:cs="宋体"/>
          <w:color w:val="auto"/>
          <w:highlight w:val="none"/>
        </w:rPr>
        <w:t>开标异议</w:t>
      </w:r>
      <w:bookmarkEnd w:id="440"/>
      <w:bookmarkEnd w:id="441"/>
      <w:bookmarkEnd w:id="442"/>
      <w:bookmarkEnd w:id="443"/>
      <w:bookmarkEnd w:id="444"/>
      <w:bookmarkEnd w:id="445"/>
      <w:bookmarkEnd w:id="446"/>
    </w:p>
    <w:p w14:paraId="0B14C8B5">
      <w:pPr>
        <w:spacing w:line="500" w:lineRule="exact"/>
        <w:ind w:firstLine="420" w:firstLineChars="200"/>
        <w:jc w:val="left"/>
        <w:rPr>
          <w:rFonts w:ascii="宋体" w:cs="宋体"/>
          <w:color w:val="auto"/>
          <w:szCs w:val="21"/>
          <w:highlight w:val="none"/>
        </w:rPr>
      </w:pPr>
      <w:r>
        <w:rPr>
          <w:rFonts w:hint="eastAsia" w:ascii="宋体" w:hAnsi="宋体" w:eastAsia="宋体" w:cs="宋体"/>
          <w:color w:val="auto"/>
          <w:szCs w:val="21"/>
          <w:highlight w:val="none"/>
          <w:lang w:val="en-US" w:eastAsia="zh-CN"/>
        </w:rPr>
        <w:t>投标人对开标有异议的，应当在开标过程中提出，招标人在开标过程中作出答复，并制作记录。异议与</w:t>
      </w:r>
      <w:r>
        <w:rPr>
          <w:rFonts w:hint="eastAsia" w:ascii="宋体" w:hAnsi="宋体" w:eastAsia="宋体" w:cs="宋体"/>
          <w:color w:val="auto"/>
          <w:szCs w:val="21"/>
          <w:highlight w:val="none"/>
        </w:rPr>
        <w:t>答复应通过电子交易系统进行。</w:t>
      </w:r>
    </w:p>
    <w:p w14:paraId="2F933883">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bookmarkStart w:id="447" w:name="_Toc35424919"/>
      <w:bookmarkStart w:id="448" w:name="_Toc179632580"/>
      <w:bookmarkStart w:id="449" w:name="_Toc506107299"/>
      <w:bookmarkStart w:id="450" w:name="_Toc35425085"/>
      <w:bookmarkStart w:id="451" w:name="_Toc152042338"/>
      <w:bookmarkStart w:id="452" w:name="_Toc246996949"/>
      <w:bookmarkStart w:id="453" w:name="_Toc247085720"/>
      <w:bookmarkStart w:id="454" w:name="_Toc152045562"/>
      <w:bookmarkStart w:id="455" w:name="_Toc15058884"/>
      <w:bookmarkStart w:id="456" w:name="_Toc144974530"/>
      <w:bookmarkStart w:id="457" w:name="_Toc324404846"/>
      <w:bookmarkStart w:id="458" w:name="_Toc246996206"/>
      <w:bookmarkStart w:id="459" w:name="_Toc20689"/>
      <w:r>
        <w:rPr>
          <w:rFonts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rPr>
        <w:t>评标</w:t>
      </w:r>
      <w:bookmarkEnd w:id="447"/>
      <w:bookmarkEnd w:id="448"/>
      <w:bookmarkEnd w:id="449"/>
      <w:bookmarkEnd w:id="450"/>
      <w:bookmarkEnd w:id="451"/>
      <w:bookmarkEnd w:id="452"/>
      <w:bookmarkEnd w:id="453"/>
      <w:bookmarkEnd w:id="454"/>
      <w:bookmarkEnd w:id="455"/>
      <w:bookmarkEnd w:id="456"/>
      <w:bookmarkEnd w:id="457"/>
      <w:bookmarkEnd w:id="458"/>
      <w:bookmarkEnd w:id="459"/>
    </w:p>
    <w:p w14:paraId="18AD1499">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460" w:name="_Toc324404847"/>
      <w:bookmarkStart w:id="461" w:name="_Toc246996207"/>
      <w:bookmarkStart w:id="462" w:name="_Toc14249"/>
      <w:bookmarkStart w:id="463" w:name="_Toc179632581"/>
      <w:bookmarkStart w:id="464" w:name="_Toc247085721"/>
      <w:bookmarkStart w:id="465" w:name="_Toc246996950"/>
      <w:bookmarkStart w:id="466" w:name="_Toc152045563"/>
      <w:bookmarkStart w:id="467" w:name="_Toc35425086"/>
      <w:bookmarkStart w:id="468" w:name="_Toc15058885"/>
      <w:bookmarkStart w:id="469" w:name="_Toc506107300"/>
      <w:bookmarkStart w:id="470" w:name="_Toc144974531"/>
      <w:bookmarkStart w:id="471" w:name="_Toc296602452"/>
      <w:bookmarkStart w:id="472" w:name="_Toc152042339"/>
      <w:bookmarkStart w:id="473" w:name="_Toc35424920"/>
      <w:r>
        <w:rPr>
          <w:rFonts w:ascii="宋体" w:hAnsi="宋体" w:eastAsia="宋体" w:cs="宋体"/>
          <w:color w:val="auto"/>
          <w:highlight w:val="none"/>
        </w:rPr>
        <w:t xml:space="preserve">6.1 </w:t>
      </w:r>
      <w:r>
        <w:rPr>
          <w:rFonts w:hint="eastAsia" w:ascii="宋体" w:hAnsi="宋体" w:eastAsia="宋体" w:cs="宋体"/>
          <w:color w:val="auto"/>
          <w:highlight w:val="none"/>
        </w:rPr>
        <w:t>评标委员会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377065D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6.1.1 </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6D899D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6.1.2 </w:t>
      </w:r>
      <w:r>
        <w:rPr>
          <w:rFonts w:hint="eastAsia" w:ascii="宋体" w:hAnsi="宋体" w:cs="宋体"/>
          <w:color w:val="auto"/>
          <w:szCs w:val="21"/>
          <w:highlight w:val="none"/>
        </w:rPr>
        <w:t>评标委员会成员有下列情形之一的，应当回避：</w:t>
      </w:r>
    </w:p>
    <w:p w14:paraId="4EF7C6E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14FABAFB">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748ECFF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37A1B20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55A382B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3D68649D">
      <w:pPr>
        <w:pStyle w:val="44"/>
        <w:pageBreakBefore w:val="0"/>
        <w:widowControl w:val="0"/>
        <w:kinsoku/>
        <w:wordWrap/>
        <w:overflowPunct/>
        <w:topLinePunct w:val="0"/>
        <w:autoSpaceDE/>
        <w:autoSpaceDN/>
        <w:bidi w:val="0"/>
        <w:adjustRightInd w:val="0"/>
        <w:snapToGrid w:val="0"/>
        <w:spacing w:after="0" w:line="500" w:lineRule="exact"/>
        <w:ind w:left="0" w:leftChars="0"/>
        <w:textAlignment w:val="auto"/>
        <w:rPr>
          <w:rFonts w:hint="eastAsia"/>
          <w:color w:val="auto"/>
          <w:highlight w:val="none"/>
        </w:rPr>
      </w:pPr>
      <w:bookmarkStart w:id="474" w:name="_Toc15058886"/>
      <w:bookmarkStart w:id="475" w:name="_Toc246996951"/>
      <w:bookmarkStart w:id="476" w:name="_Toc35425087"/>
      <w:bookmarkStart w:id="477" w:name="_Toc179632582"/>
      <w:bookmarkStart w:id="478" w:name="_Toc35424921"/>
      <w:bookmarkStart w:id="479" w:name="_Toc296602453"/>
      <w:bookmarkStart w:id="480" w:name="_Toc144974532"/>
      <w:bookmarkStart w:id="481" w:name="_Toc506107301"/>
      <w:bookmarkStart w:id="482" w:name="_Toc152042340"/>
      <w:bookmarkStart w:id="483" w:name="_Toc246996208"/>
      <w:bookmarkStart w:id="484" w:name="_Toc12948"/>
      <w:bookmarkStart w:id="485" w:name="_Toc247085722"/>
      <w:bookmarkStart w:id="486" w:name="_Toc324404848"/>
      <w:bookmarkStart w:id="487" w:name="_Toc152045564"/>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6C095CC2">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6.2 </w:t>
      </w:r>
      <w:r>
        <w:rPr>
          <w:rFonts w:hint="eastAsia" w:ascii="宋体" w:hAnsi="宋体" w:eastAsia="宋体" w:cs="宋体"/>
          <w:color w:val="auto"/>
          <w:highlight w:val="none"/>
        </w:rPr>
        <w:t>评标原则</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18EA652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评标活动遵循公平、公正、科学和择优的原则。</w:t>
      </w:r>
    </w:p>
    <w:p w14:paraId="6849A3A3">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488" w:name="_Toc35425088"/>
      <w:bookmarkStart w:id="489" w:name="_Toc324404849"/>
      <w:bookmarkStart w:id="490" w:name="_Toc15058887"/>
      <w:bookmarkStart w:id="491" w:name="_Toc296602454"/>
      <w:bookmarkStart w:id="492" w:name="_Toc144974533"/>
      <w:bookmarkStart w:id="493" w:name="_Toc506107302"/>
      <w:bookmarkStart w:id="494" w:name="_Toc152042341"/>
      <w:bookmarkStart w:id="495" w:name="_Toc35424922"/>
      <w:bookmarkStart w:id="496" w:name="_Toc246996952"/>
      <w:bookmarkStart w:id="497" w:name="_Toc247085723"/>
      <w:bookmarkStart w:id="498" w:name="_Toc152045565"/>
      <w:bookmarkStart w:id="499" w:name="_Toc14892"/>
      <w:bookmarkStart w:id="500" w:name="_Toc179632583"/>
      <w:bookmarkStart w:id="501" w:name="_Toc246996209"/>
      <w:r>
        <w:rPr>
          <w:rFonts w:ascii="宋体" w:hAnsi="宋体" w:eastAsia="宋体" w:cs="宋体"/>
          <w:color w:val="auto"/>
          <w:highlight w:val="none"/>
        </w:rPr>
        <w:t xml:space="preserve">6.3 </w:t>
      </w:r>
      <w:r>
        <w:rPr>
          <w:rFonts w:hint="eastAsia" w:ascii="宋体" w:hAnsi="宋体" w:eastAsia="宋体" w:cs="宋体"/>
          <w:color w:val="auto"/>
          <w:highlight w:val="none"/>
        </w:rPr>
        <w:t>评标</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2000E577">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bookmarkStart w:id="502" w:name="_Toc246996210"/>
      <w:bookmarkStart w:id="503" w:name="_Toc246996953"/>
      <w:bookmarkStart w:id="504" w:name="_Toc152045566"/>
      <w:bookmarkStart w:id="505" w:name="_Toc144974534"/>
      <w:bookmarkStart w:id="506" w:name="_Toc324404850"/>
      <w:bookmarkStart w:id="507" w:name="_Toc152042342"/>
      <w:bookmarkStart w:id="508" w:name="_Toc247085724"/>
      <w:bookmarkStart w:id="509" w:name="_Toc179632584"/>
      <w:r>
        <w:rPr>
          <w:rFonts w:hint="eastAsia" w:ascii="宋体" w:hAnsi="宋体" w:cs="宋体"/>
          <w:color w:val="auto"/>
          <w:szCs w:val="21"/>
          <w:highlight w:val="none"/>
        </w:rPr>
        <w:t>6.3.1评标委员会按照第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章“评标办法”规定的方法、评审因素、标准和程序对投标文件进行评审。第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章“评标办法”没有规定的方法、评审因素和标准，不作为评标依据。</w:t>
      </w:r>
    </w:p>
    <w:p w14:paraId="4B3DA14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00C1321">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bookmarkStart w:id="510" w:name="_Toc506107303"/>
      <w:bookmarkStart w:id="511" w:name="_Toc35425089"/>
      <w:bookmarkStart w:id="512" w:name="_Toc15058888"/>
      <w:bookmarkStart w:id="513" w:name="_Toc35424923"/>
      <w:bookmarkStart w:id="514" w:name="_Toc26182"/>
      <w:r>
        <w:rPr>
          <w:rFonts w:ascii="宋体" w:hAnsi="宋体" w:eastAsia="宋体" w:cs="宋体"/>
          <w:color w:val="auto"/>
          <w:sz w:val="24"/>
          <w:szCs w:val="24"/>
          <w:highlight w:val="none"/>
        </w:rPr>
        <w:t xml:space="preserve">7. </w:t>
      </w:r>
      <w:r>
        <w:rPr>
          <w:rFonts w:hint="eastAsia" w:ascii="宋体" w:hAnsi="宋体" w:eastAsia="宋体" w:cs="宋体"/>
          <w:color w:val="auto"/>
          <w:sz w:val="24"/>
          <w:szCs w:val="24"/>
          <w:highlight w:val="none"/>
        </w:rPr>
        <w:t>合同授予</w:t>
      </w:r>
      <w:bookmarkEnd w:id="502"/>
      <w:bookmarkEnd w:id="503"/>
      <w:bookmarkEnd w:id="504"/>
      <w:bookmarkEnd w:id="505"/>
      <w:bookmarkEnd w:id="506"/>
      <w:bookmarkEnd w:id="507"/>
      <w:bookmarkEnd w:id="508"/>
      <w:bookmarkEnd w:id="509"/>
      <w:bookmarkEnd w:id="510"/>
      <w:bookmarkEnd w:id="511"/>
      <w:bookmarkEnd w:id="512"/>
      <w:bookmarkEnd w:id="513"/>
      <w:bookmarkEnd w:id="514"/>
    </w:p>
    <w:p w14:paraId="62F1A6D1">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15" w:name="_Toc324404852"/>
      <w:bookmarkStart w:id="516" w:name="_Toc506107305"/>
      <w:bookmarkStart w:id="517" w:name="_Toc95223374"/>
      <w:bookmarkStart w:id="518" w:name="_Toc60061472"/>
      <w:bookmarkStart w:id="519" w:name="_Toc296602457"/>
      <w:bookmarkStart w:id="520" w:name="_Toc83301726"/>
      <w:bookmarkStart w:id="521" w:name="_Toc15058890"/>
      <w:bookmarkStart w:id="522" w:name="_Toc35425092"/>
      <w:bookmarkStart w:id="523" w:name="_Toc247085726"/>
      <w:bookmarkStart w:id="524" w:name="_Toc296602458"/>
      <w:bookmarkStart w:id="525" w:name="_Toc152042344"/>
      <w:bookmarkStart w:id="526" w:name="_Toc246996955"/>
      <w:bookmarkStart w:id="527" w:name="_Toc152045568"/>
      <w:bookmarkStart w:id="528" w:name="_Toc179632586"/>
      <w:bookmarkStart w:id="529" w:name="_Toc35424926"/>
      <w:bookmarkStart w:id="530" w:name="_Toc246996212"/>
      <w:bookmarkStart w:id="531" w:name="_Toc324404853"/>
      <w:bookmarkStart w:id="532" w:name="_Toc6833"/>
      <w:bookmarkStart w:id="533" w:name="_Toc144974536"/>
      <w:r>
        <w:rPr>
          <w:rFonts w:hint="eastAsia" w:ascii="宋体" w:hAnsi="宋体" w:eastAsia="宋体" w:cs="宋体"/>
          <w:color w:val="auto"/>
          <w:highlight w:val="none"/>
        </w:rPr>
        <w:t>7.1 中标候选人公示</w:t>
      </w:r>
      <w:bookmarkEnd w:id="515"/>
      <w:bookmarkEnd w:id="516"/>
      <w:bookmarkEnd w:id="517"/>
      <w:bookmarkEnd w:id="518"/>
      <w:bookmarkEnd w:id="519"/>
      <w:bookmarkEnd w:id="520"/>
      <w:bookmarkEnd w:id="521"/>
    </w:p>
    <w:p w14:paraId="300AD97C">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bookmarkStart w:id="534" w:name="_Toc60061473"/>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61AB6E1B">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457868C">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投标人或其他利害关系人对评标结果有异议的，应在中标候选人公示期间提出。招标人将在收到异议之日起3日内作出答复；作出答复前，将暂停招标投标活动。</w:t>
      </w:r>
    </w:p>
    <w:p w14:paraId="3FBCF8A1">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4F20E0EB">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4"/>
    <w:p w14:paraId="6ED3CF3B">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35" w:name="_Toc95223375"/>
      <w:bookmarkStart w:id="536" w:name="_Toc83301727"/>
      <w:bookmarkStart w:id="537" w:name="_Toc506107306"/>
      <w:bookmarkStart w:id="538" w:name="_Toc15058891"/>
      <w:bookmarkStart w:id="539" w:name="_Toc60061474"/>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定标</w:t>
      </w:r>
      <w:bookmarkEnd w:id="535"/>
      <w:bookmarkEnd w:id="536"/>
    </w:p>
    <w:p w14:paraId="082805EF">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招标人确定</w:t>
      </w:r>
      <w:r>
        <w:rPr>
          <w:rFonts w:hint="eastAsia" w:ascii="宋体" w:hAnsi="宋体" w:cs="宋体"/>
          <w:color w:val="auto"/>
          <w:szCs w:val="21"/>
          <w:highlight w:val="none"/>
          <w:lang w:val="en-US" w:eastAsia="zh-CN"/>
        </w:rPr>
        <w:t>排名第一的中标候选人为</w:t>
      </w:r>
      <w:r>
        <w:rPr>
          <w:rFonts w:hint="eastAsia" w:ascii="宋体" w:hAnsi="宋体" w:cs="宋体"/>
          <w:color w:val="auto"/>
          <w:szCs w:val="21"/>
          <w:highlight w:val="none"/>
        </w:rPr>
        <w:t>中标人。排名第一的中标候选人放弃中标、因不可抗力不能履行合同、不按照招标文件要求提交履约保证金，或者被查实存在影响中标结果的违法行为等情形，</w:t>
      </w:r>
      <w:r>
        <w:rPr>
          <w:rFonts w:hint="eastAsia" w:ascii="宋体" w:hAnsi="宋体" w:eastAsia="宋体" w:cs="宋体"/>
          <w:color w:val="auto"/>
          <w:szCs w:val="21"/>
          <w:highlight w:val="none"/>
        </w:rPr>
        <w:t>不符合中标条件的，招标人可以按照评标委员</w:t>
      </w:r>
      <w:r>
        <w:rPr>
          <w:rFonts w:hint="eastAsia" w:ascii="宋体" w:hAnsi="宋体" w:cs="宋体"/>
          <w:color w:val="auto"/>
          <w:szCs w:val="21"/>
          <w:highlight w:val="none"/>
        </w:rPr>
        <w:t>会提出的中标候选人名单排序依次确定其他中标候选人为中标人，也可以重新招标。</w:t>
      </w:r>
    </w:p>
    <w:p w14:paraId="0455288F">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40" w:name="_Toc95223376"/>
      <w:bookmarkStart w:id="541"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37"/>
      <w:bookmarkEnd w:id="538"/>
      <w:bookmarkEnd w:id="539"/>
      <w:bookmarkEnd w:id="540"/>
      <w:bookmarkEnd w:id="541"/>
    </w:p>
    <w:p w14:paraId="54D62EF0">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在本招标文件规定的投标有效期内，招标人以数据电文形式向中标人发出中标通知书，同时将中标结果通知未中标的投标人。</w:t>
      </w:r>
    </w:p>
    <w:p w14:paraId="62B25E2B">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42" w:name="_Toc324404854"/>
      <w:bookmarkStart w:id="543" w:name="_Toc246996213"/>
      <w:bookmarkStart w:id="544" w:name="_Toc95223378"/>
      <w:bookmarkStart w:id="545" w:name="_Toc296602459"/>
      <w:bookmarkStart w:id="546" w:name="_Toc506107307"/>
      <w:bookmarkStart w:id="547" w:name="_Toc179632587"/>
      <w:bookmarkStart w:id="548" w:name="_Toc152042345"/>
      <w:bookmarkStart w:id="549" w:name="_Toc60061476"/>
      <w:bookmarkStart w:id="550" w:name="_Toc83301730"/>
      <w:bookmarkStart w:id="551" w:name="_Toc15058892"/>
      <w:bookmarkStart w:id="552" w:name="_Toc152045569"/>
      <w:bookmarkStart w:id="553" w:name="_Toc144974537"/>
      <w:bookmarkStart w:id="554" w:name="_Toc246996956"/>
      <w:bookmarkStart w:id="555" w:name="_Toc24708572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履约担保</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6FA35E5E">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.1在签订合同前，中标人应按投标人须知前附表规定的担保形式和招标文件第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w:t>
      </w:r>
      <w:r>
        <w:rPr>
          <w:rFonts w:hint="eastAsia"/>
          <w:color w:val="auto"/>
          <w:highlight w:val="none"/>
          <w:lang w:val="en-US" w:eastAsia="zh-CN"/>
        </w:rPr>
        <w:t>四</w:t>
      </w:r>
      <w:r>
        <w:rPr>
          <w:rFonts w:hint="eastAsia"/>
          <w:color w:val="auto"/>
          <w:highlight w:val="none"/>
        </w:rPr>
        <w:t>章“合同条款及格式”规定的履约担保格式要求。</w:t>
      </w:r>
    </w:p>
    <w:p w14:paraId="32961B0B">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 中标人不能按本章第7.</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.1项要求提交履约担保的，视为放弃中标，其投标保证金不予退还，给招标人造成的损失超过投标保证金数额的，中标人还应当对超过部分予以赔偿。</w:t>
      </w:r>
    </w:p>
    <w:p w14:paraId="668E7E2A">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56" w:name="_Toc246996214"/>
      <w:bookmarkStart w:id="557" w:name="_Toc15058893"/>
      <w:bookmarkStart w:id="558" w:name="_Toc246996957"/>
      <w:bookmarkStart w:id="559" w:name="_Toc144974538"/>
      <w:bookmarkStart w:id="560" w:name="_Toc152042346"/>
      <w:bookmarkStart w:id="561" w:name="_Toc152045570"/>
      <w:bookmarkStart w:id="562" w:name="_Toc247085728"/>
      <w:bookmarkStart w:id="563" w:name="_Toc95223379"/>
      <w:bookmarkStart w:id="564" w:name="_Toc296602460"/>
      <w:bookmarkStart w:id="565" w:name="_Toc179632588"/>
      <w:bookmarkStart w:id="566" w:name="_Toc83301731"/>
      <w:bookmarkStart w:id="567" w:name="_Toc324404855"/>
      <w:bookmarkStart w:id="568" w:name="_Toc60061477"/>
      <w:bookmarkStart w:id="569" w:name="_Toc50610730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 签订合同</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0541A8B2">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.1本招标工程的施工合同将授予按本须知第7.</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款规定所确定的中标人。</w:t>
      </w:r>
    </w:p>
    <w:bookmarkEnd w:id="522"/>
    <w:bookmarkEnd w:id="523"/>
    <w:bookmarkEnd w:id="524"/>
    <w:bookmarkEnd w:id="525"/>
    <w:bookmarkEnd w:id="526"/>
    <w:bookmarkEnd w:id="527"/>
    <w:bookmarkEnd w:id="528"/>
    <w:bookmarkEnd w:id="529"/>
    <w:bookmarkEnd w:id="530"/>
    <w:bookmarkEnd w:id="531"/>
    <w:bookmarkEnd w:id="532"/>
    <w:bookmarkEnd w:id="533"/>
    <w:p w14:paraId="5A3DC32F">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bookmarkStart w:id="570" w:name="_Toc506107309"/>
      <w:bookmarkStart w:id="571" w:name="_Toc15058894"/>
      <w:bookmarkStart w:id="572" w:name="_Toc324404856"/>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.2中标通知书发出之日起，</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个日历天内根据招标文件和中标人的投标文件订立书面合同。招标人和中标人不得再行订立背离合同实质性内容的其他协议。</w:t>
      </w:r>
    </w:p>
    <w:p w14:paraId="05B19D43">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.3 发出中标通知书后，招标人无正当理由拒签合同的，招标人向中标人退还投标保证金；给中标人造成损失的，还应当赔偿损失。</w:t>
      </w:r>
    </w:p>
    <w:p w14:paraId="6285A0D5">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.4  除法定情形外，建设工程合同履行期间项目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不得更换。项目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确需变更的，应根据招标文件要求，变更后的项目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不低于投标文件中拟派项目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的资格条件。</w:t>
      </w:r>
    </w:p>
    <w:p w14:paraId="4C15190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color w:val="auto"/>
          <w:highlight w:val="none"/>
        </w:rPr>
        <w:t>7.</w:t>
      </w:r>
      <w:r>
        <w:rPr>
          <w:rFonts w:hint="eastAsia" w:ascii="宋体" w:hAnsi="宋体" w:cs="宋体"/>
          <w:color w:val="auto"/>
          <w:highlight w:val="none"/>
          <w:lang w:val="en-US" w:eastAsia="zh-CN"/>
        </w:rPr>
        <w:t>7</w:t>
      </w:r>
      <w:r>
        <w:rPr>
          <w:rFonts w:hint="eastAsia" w:ascii="宋体" w:hAnsi="宋体" w:cs="宋体"/>
          <w:color w:val="auto"/>
          <w:highlight w:val="none"/>
        </w:rPr>
        <w:t xml:space="preserve">.5 </w:t>
      </w:r>
      <w:r>
        <w:rPr>
          <w:rFonts w:hint="eastAsia" w:ascii="宋体" w:hAnsi="宋体" w:cs="宋体"/>
          <w:bCs/>
          <w:snapToGrid w:val="0"/>
          <w:color w:val="auto"/>
          <w:kern w:val="0"/>
          <w:szCs w:val="21"/>
          <w:highlight w:val="none"/>
        </w:rPr>
        <w:t>联合体中标的，联合体各方应当共同与招标人签订合同，就中标项目向招标人承担连带责任。</w:t>
      </w:r>
    </w:p>
    <w:p w14:paraId="602A59F0">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hint="eastAsia" w:ascii="宋体" w:hAnsi="宋体" w:eastAsia="宋体" w:cs="宋体"/>
          <w:color w:val="auto"/>
          <w:sz w:val="24"/>
          <w:szCs w:val="24"/>
          <w:highlight w:val="none"/>
        </w:rPr>
      </w:pPr>
      <w:bookmarkStart w:id="573" w:name="_Toc83301732"/>
      <w:bookmarkStart w:id="574" w:name="_Toc95223381"/>
      <w:bookmarkStart w:id="575" w:name="_Toc144974539"/>
      <w:bookmarkStart w:id="576" w:name="_Toc152045571"/>
      <w:bookmarkStart w:id="577" w:name="_Toc60061478"/>
      <w:bookmarkStart w:id="578" w:name="_Toc179632589"/>
      <w:bookmarkStart w:id="579" w:name="_Toc152042347"/>
      <w:bookmarkStart w:id="580" w:name="_Toc29809"/>
      <w:bookmarkStart w:id="581" w:name="_Toc35425097"/>
      <w:bookmarkStart w:id="582" w:name="_Toc35424931"/>
      <w:r>
        <w:rPr>
          <w:rFonts w:hint="eastAsia" w:ascii="宋体" w:hAnsi="宋体" w:eastAsia="宋体" w:cs="宋体"/>
          <w:color w:val="auto"/>
          <w:sz w:val="24"/>
          <w:szCs w:val="24"/>
          <w:highlight w:val="none"/>
        </w:rPr>
        <w:t>8. 重新招标和不再招标</w:t>
      </w:r>
      <w:bookmarkEnd w:id="573"/>
      <w:bookmarkEnd w:id="574"/>
      <w:bookmarkEnd w:id="575"/>
      <w:bookmarkEnd w:id="576"/>
      <w:bookmarkEnd w:id="577"/>
      <w:bookmarkEnd w:id="578"/>
      <w:bookmarkEnd w:id="579"/>
    </w:p>
    <w:p w14:paraId="31D1A7B0">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583" w:name="_Toc179632590"/>
      <w:bookmarkStart w:id="584" w:name="_Toc152042348"/>
      <w:bookmarkStart w:id="585" w:name="_Toc95223382"/>
      <w:bookmarkStart w:id="586" w:name="_Toc83301733"/>
      <w:bookmarkStart w:id="587" w:name="_Toc144974540"/>
      <w:bookmarkStart w:id="588" w:name="_Toc152045572"/>
      <w:bookmarkStart w:id="589" w:name="_Toc60061479"/>
      <w:r>
        <w:rPr>
          <w:rFonts w:hint="eastAsia" w:ascii="宋体" w:hAnsi="宋体" w:eastAsia="宋体" w:cs="宋体"/>
          <w:b/>
          <w:bCs/>
          <w:color w:val="auto"/>
          <w:kern w:val="2"/>
          <w:sz w:val="21"/>
          <w:szCs w:val="32"/>
          <w:highlight w:val="none"/>
          <w:lang w:val="en-US" w:eastAsia="zh-CN" w:bidi="ar-SA"/>
        </w:rPr>
        <w:t>8.1 重新招标</w:t>
      </w:r>
      <w:bookmarkEnd w:id="583"/>
      <w:bookmarkEnd w:id="584"/>
      <w:bookmarkEnd w:id="585"/>
      <w:bookmarkEnd w:id="586"/>
      <w:bookmarkEnd w:id="587"/>
      <w:bookmarkEnd w:id="588"/>
      <w:bookmarkEnd w:id="589"/>
    </w:p>
    <w:p w14:paraId="6F9C5BFA">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依法必须招标的项目有下列情形之一的，招标人将重新招标：</w:t>
      </w:r>
    </w:p>
    <w:p w14:paraId="20E36BA4">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（1）投标截止时间止，投标人少于3个的；</w:t>
      </w:r>
    </w:p>
    <w:p w14:paraId="0002DCB8">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（2）经评标委员会评审后否决所有投标的；</w:t>
      </w:r>
    </w:p>
    <w:p w14:paraId="76326F3F">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（3）中标候选人均未与招标人签订合同的；</w:t>
      </w:r>
    </w:p>
    <w:p w14:paraId="1547F884">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（4）法律、法规规定的其他情形。</w:t>
      </w:r>
    </w:p>
    <w:p w14:paraId="3DF31C83">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590" w:name="_Toc83301734"/>
      <w:bookmarkStart w:id="591" w:name="_Toc144974541"/>
      <w:bookmarkStart w:id="592" w:name="_Toc179632591"/>
      <w:bookmarkStart w:id="593" w:name="_Toc60061480"/>
      <w:bookmarkStart w:id="594" w:name="_Toc152042349"/>
      <w:bookmarkStart w:id="595" w:name="_Toc152045573"/>
      <w:bookmarkStart w:id="596" w:name="_Toc95223383"/>
      <w:r>
        <w:rPr>
          <w:rFonts w:hint="eastAsia" w:ascii="宋体" w:hAnsi="宋体" w:eastAsia="宋体" w:cs="宋体"/>
          <w:b/>
          <w:bCs/>
          <w:color w:val="auto"/>
          <w:kern w:val="2"/>
          <w:sz w:val="21"/>
          <w:szCs w:val="32"/>
          <w:highlight w:val="none"/>
          <w:lang w:val="en-US" w:eastAsia="zh-CN" w:bidi="ar-SA"/>
        </w:rPr>
        <w:t>8.2 不再招标</w:t>
      </w:r>
      <w:bookmarkEnd w:id="590"/>
      <w:bookmarkEnd w:id="591"/>
      <w:bookmarkEnd w:id="592"/>
      <w:bookmarkEnd w:id="593"/>
      <w:bookmarkEnd w:id="594"/>
      <w:bookmarkEnd w:id="595"/>
      <w:bookmarkEnd w:id="596"/>
    </w:p>
    <w:p w14:paraId="43A2AA27">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重新招标后投标人仍少于3个或者所有投标被否决的，属于必须审批或核准的工程建设项目，经原审批或核准部门批准后不再进行招标。</w:t>
      </w:r>
    </w:p>
    <w:p w14:paraId="4A4CE7D3">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hint="eastAsia" w:ascii="宋体" w:hAnsi="宋体" w:eastAsia="宋体" w:cs="宋体"/>
          <w:color w:val="auto"/>
          <w:sz w:val="24"/>
          <w:szCs w:val="24"/>
          <w:highlight w:val="none"/>
        </w:rPr>
      </w:pPr>
      <w:bookmarkStart w:id="597" w:name="_Toc95223384"/>
      <w:bookmarkStart w:id="598" w:name="_Toc83301735"/>
      <w:bookmarkStart w:id="599" w:name="_Toc60061481"/>
      <w:r>
        <w:rPr>
          <w:rFonts w:hint="eastAsia" w:ascii="宋体" w:hAnsi="宋体" w:eastAsia="宋体" w:cs="宋体"/>
          <w:color w:val="auto"/>
          <w:sz w:val="24"/>
          <w:szCs w:val="24"/>
          <w:highlight w:val="none"/>
        </w:rPr>
        <w:t>9. 纪律和监督</w:t>
      </w:r>
      <w:bookmarkEnd w:id="597"/>
      <w:bookmarkEnd w:id="598"/>
      <w:bookmarkEnd w:id="599"/>
    </w:p>
    <w:p w14:paraId="65CEEB0D">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0" w:name="_Toc60061482"/>
      <w:bookmarkStart w:id="601" w:name="_Toc95223385"/>
      <w:bookmarkStart w:id="602" w:name="_Toc83301736"/>
      <w:r>
        <w:rPr>
          <w:rFonts w:hint="eastAsia" w:ascii="宋体" w:hAnsi="宋体" w:eastAsia="宋体" w:cs="宋体"/>
          <w:b/>
          <w:bCs/>
          <w:color w:val="auto"/>
          <w:kern w:val="2"/>
          <w:sz w:val="21"/>
          <w:szCs w:val="32"/>
          <w:highlight w:val="none"/>
          <w:lang w:val="en-US" w:eastAsia="zh-CN" w:bidi="ar-SA"/>
        </w:rPr>
        <w:t>9.1 对招标人的纪律要求</w:t>
      </w:r>
      <w:bookmarkEnd w:id="600"/>
      <w:bookmarkEnd w:id="601"/>
      <w:bookmarkEnd w:id="602"/>
    </w:p>
    <w:p w14:paraId="31B9A2D4">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178EDC33">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3" w:name="_Toc60061483"/>
      <w:bookmarkStart w:id="604" w:name="_Toc95223386"/>
      <w:bookmarkStart w:id="605" w:name="_Toc83301737"/>
      <w:r>
        <w:rPr>
          <w:rFonts w:hint="eastAsia" w:ascii="宋体" w:hAnsi="宋体" w:eastAsia="宋体" w:cs="宋体"/>
          <w:b/>
          <w:bCs/>
          <w:color w:val="auto"/>
          <w:kern w:val="2"/>
          <w:sz w:val="21"/>
          <w:szCs w:val="32"/>
          <w:highlight w:val="none"/>
          <w:lang w:val="en-US" w:eastAsia="zh-CN" w:bidi="ar-SA"/>
        </w:rPr>
        <w:t>9.2 对投标人的纪律要求</w:t>
      </w:r>
      <w:bookmarkEnd w:id="603"/>
      <w:bookmarkEnd w:id="604"/>
      <w:bookmarkEnd w:id="605"/>
    </w:p>
    <w:p w14:paraId="28555611">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9A08F28">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6" w:name="_Toc95223387"/>
      <w:bookmarkStart w:id="607" w:name="_Toc60061484"/>
      <w:bookmarkStart w:id="608" w:name="_Toc83301738"/>
      <w:r>
        <w:rPr>
          <w:rFonts w:hint="eastAsia" w:ascii="宋体" w:hAnsi="宋体" w:eastAsia="宋体" w:cs="宋体"/>
          <w:b/>
          <w:bCs/>
          <w:color w:val="auto"/>
          <w:kern w:val="2"/>
          <w:sz w:val="21"/>
          <w:szCs w:val="32"/>
          <w:highlight w:val="none"/>
          <w:lang w:val="en-US" w:eastAsia="zh-CN" w:bidi="ar-SA"/>
        </w:rPr>
        <w:t>9.3 对评标委员会成员的纪律要求</w:t>
      </w:r>
      <w:bookmarkEnd w:id="606"/>
      <w:bookmarkEnd w:id="607"/>
      <w:bookmarkEnd w:id="608"/>
    </w:p>
    <w:p w14:paraId="4E85E05E">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章“评标办法”没有规定的评审因素和标准进行评标。</w:t>
      </w:r>
    </w:p>
    <w:p w14:paraId="7FE78436">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9" w:name="_Toc60061485"/>
      <w:bookmarkStart w:id="610" w:name="_Toc83301739"/>
      <w:bookmarkStart w:id="611" w:name="_Toc95223388"/>
      <w:r>
        <w:rPr>
          <w:rFonts w:hint="eastAsia" w:ascii="宋体" w:hAnsi="宋体" w:eastAsia="宋体" w:cs="宋体"/>
          <w:b/>
          <w:bCs/>
          <w:color w:val="auto"/>
          <w:kern w:val="2"/>
          <w:sz w:val="21"/>
          <w:szCs w:val="32"/>
          <w:highlight w:val="none"/>
          <w:lang w:val="en-US" w:eastAsia="zh-CN" w:bidi="ar-SA"/>
        </w:rPr>
        <w:t>9.4 对与评标活动有关的工作人员的纪律要求</w:t>
      </w:r>
      <w:bookmarkEnd w:id="609"/>
      <w:bookmarkEnd w:id="610"/>
      <w:bookmarkEnd w:id="611"/>
    </w:p>
    <w:p w14:paraId="7EFBA9AD">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A8EF355">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12" w:name="_Toc95223389"/>
      <w:bookmarkStart w:id="613" w:name="_Toc60061486"/>
      <w:bookmarkStart w:id="614" w:name="_Toc83301740"/>
      <w:r>
        <w:rPr>
          <w:rFonts w:hint="eastAsia" w:ascii="宋体" w:hAnsi="宋体" w:eastAsia="宋体" w:cs="宋体"/>
          <w:b/>
          <w:bCs/>
          <w:color w:val="auto"/>
          <w:kern w:val="2"/>
          <w:sz w:val="21"/>
          <w:szCs w:val="32"/>
          <w:highlight w:val="none"/>
          <w:lang w:val="en-US" w:eastAsia="zh-CN" w:bidi="ar-SA"/>
        </w:rPr>
        <w:t>9.5 投诉</w:t>
      </w:r>
      <w:bookmarkEnd w:id="612"/>
      <w:bookmarkEnd w:id="613"/>
      <w:bookmarkEnd w:id="614"/>
    </w:p>
    <w:p w14:paraId="64B973F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601436C">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002A2E75">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hint="eastAsia" w:ascii="宋体" w:hAnsi="宋体" w:eastAsia="宋体" w:cs="宋体"/>
          <w:color w:val="auto"/>
          <w:sz w:val="24"/>
          <w:szCs w:val="24"/>
          <w:highlight w:val="none"/>
        </w:rPr>
      </w:pPr>
      <w:bookmarkStart w:id="615" w:name="_Toc60061487"/>
      <w:bookmarkStart w:id="616" w:name="_Toc95223390"/>
      <w:bookmarkStart w:id="617" w:name="_Toc83301741"/>
      <w:r>
        <w:rPr>
          <w:rFonts w:hint="eastAsia" w:ascii="宋体" w:hAnsi="宋体" w:eastAsia="宋体" w:cs="宋体"/>
          <w:color w:val="auto"/>
          <w:sz w:val="24"/>
          <w:szCs w:val="24"/>
          <w:highlight w:val="none"/>
        </w:rPr>
        <w:t>10.需要补充的其他内容</w:t>
      </w:r>
      <w:bookmarkEnd w:id="615"/>
      <w:bookmarkEnd w:id="616"/>
      <w:bookmarkEnd w:id="617"/>
      <w:bookmarkStart w:id="618" w:name="_Toc60061488"/>
    </w:p>
    <w:p w14:paraId="1D36B3A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618"/>
    </w:p>
    <w:p w14:paraId="65B212F5">
      <w:pPr>
        <w:pStyle w:val="3"/>
        <w:spacing w:beforeLines="50" w:afterLines="50"/>
        <w:ind w:firstLine="482" w:firstLineChars="200"/>
        <w:rPr>
          <w:rFonts w:ascii="宋体" w:hAnsi="宋体" w:eastAsia="宋体" w:cs="宋体"/>
          <w:color w:val="auto"/>
          <w:sz w:val="24"/>
          <w:szCs w:val="24"/>
          <w:highlight w:val="none"/>
        </w:rPr>
      </w:pPr>
    </w:p>
    <w:bookmarkEnd w:id="570"/>
    <w:bookmarkEnd w:id="571"/>
    <w:bookmarkEnd w:id="572"/>
    <w:bookmarkEnd w:id="580"/>
    <w:bookmarkEnd w:id="581"/>
    <w:bookmarkEnd w:id="582"/>
    <w:p w14:paraId="41998900">
      <w:pPr>
        <w:pStyle w:val="2"/>
        <w:rPr>
          <w:color w:val="auto"/>
          <w:highlight w:val="none"/>
        </w:rPr>
      </w:pPr>
      <w:bookmarkStart w:id="619" w:name="_Toc324404864"/>
      <w:bookmarkStart w:id="620" w:name="_Toc506107317"/>
      <w:bookmarkStart w:id="621" w:name="_Toc15058902"/>
      <w:bookmarkStart w:id="622" w:name="_Toc35424939"/>
      <w:bookmarkStart w:id="623" w:name="_Toc35425105"/>
      <w:bookmarkStart w:id="624" w:name="_Toc296602475"/>
      <w:r>
        <w:rPr>
          <w:color w:val="auto"/>
          <w:highlight w:val="none"/>
        </w:rPr>
        <w:br w:type="page"/>
      </w:r>
      <w:bookmarkStart w:id="625" w:name="_Toc18840"/>
      <w:r>
        <w:rPr>
          <w:rFonts w:hint="eastAsia" w:ascii="Arial" w:hAnsi="Arial"/>
          <w:color w:val="auto"/>
          <w:kern w:val="0"/>
          <w:sz w:val="32"/>
          <w:szCs w:val="32"/>
          <w:highlight w:val="none"/>
        </w:rPr>
        <w:t>第二章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资格审查</w:t>
      </w:r>
      <w:bookmarkEnd w:id="619"/>
      <w:r>
        <w:rPr>
          <w:rFonts w:hint="eastAsia" w:ascii="Arial" w:hAnsi="Arial"/>
          <w:color w:val="auto"/>
          <w:kern w:val="0"/>
          <w:sz w:val="32"/>
          <w:szCs w:val="32"/>
          <w:highlight w:val="none"/>
        </w:rPr>
        <w:t>办法</w:t>
      </w:r>
      <w:bookmarkEnd w:id="620"/>
      <w:bookmarkEnd w:id="621"/>
      <w:bookmarkEnd w:id="622"/>
      <w:bookmarkEnd w:id="623"/>
      <w:bookmarkEnd w:id="625"/>
    </w:p>
    <w:p w14:paraId="10E01D96">
      <w:pPr>
        <w:spacing w:beforeLines="50" w:afterLines="50" w:line="440" w:lineRule="exact"/>
        <w:jc w:val="center"/>
        <w:rPr>
          <w:rFonts w:ascii="宋体" w:cs="宋体"/>
          <w:b/>
          <w:bCs/>
          <w:color w:val="auto"/>
          <w:sz w:val="28"/>
          <w:szCs w:val="22"/>
          <w:highlight w:val="none"/>
        </w:rPr>
      </w:pPr>
      <w:bookmarkStart w:id="626" w:name="_Toc15058903"/>
      <w:bookmarkStart w:id="627" w:name="_Toc324404865"/>
      <w:bookmarkStart w:id="628" w:name="_Toc35424940"/>
      <w:bookmarkStart w:id="629" w:name="_Toc35425106"/>
      <w:bookmarkStart w:id="630" w:name="_Toc506107318"/>
      <w:r>
        <w:rPr>
          <w:rFonts w:hint="eastAsia" w:ascii="宋体" w:hAnsi="宋体" w:cs="宋体"/>
          <w:b/>
          <w:bCs/>
          <w:color w:val="auto"/>
          <w:sz w:val="28"/>
          <w:szCs w:val="22"/>
          <w:highlight w:val="none"/>
        </w:rPr>
        <w:t>资格审查办法前附表</w:t>
      </w:r>
      <w:bookmarkEnd w:id="626"/>
      <w:bookmarkEnd w:id="627"/>
      <w:bookmarkEnd w:id="628"/>
      <w:bookmarkEnd w:id="629"/>
      <w:bookmarkEnd w:id="630"/>
    </w:p>
    <w:p w14:paraId="144A5F71">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78D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vAlign w:val="center"/>
          </w:tcPr>
          <w:p w14:paraId="155E30EC">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序号</w:t>
            </w:r>
          </w:p>
        </w:tc>
        <w:tc>
          <w:tcPr>
            <w:tcW w:w="6183" w:type="dxa"/>
            <w:vAlign w:val="center"/>
          </w:tcPr>
          <w:p w14:paraId="24443FED">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审查内容</w:t>
            </w:r>
          </w:p>
        </w:tc>
        <w:tc>
          <w:tcPr>
            <w:tcW w:w="1860" w:type="dxa"/>
            <w:vAlign w:val="center"/>
          </w:tcPr>
          <w:p w14:paraId="4B19CD20">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评审标准</w:t>
            </w:r>
          </w:p>
        </w:tc>
      </w:tr>
      <w:tr w14:paraId="0833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vAlign w:val="center"/>
          </w:tcPr>
          <w:p w14:paraId="6B7C1876">
            <w:pPr>
              <w:spacing w:line="440" w:lineRule="exact"/>
              <w:jc w:val="center"/>
              <w:rPr>
                <w:rFonts w:ascii="宋体" w:cs="宋体"/>
                <w:color w:val="auto"/>
                <w:szCs w:val="21"/>
                <w:highlight w:val="none"/>
              </w:rPr>
            </w:pPr>
            <w:r>
              <w:rPr>
                <w:rFonts w:ascii="宋体" w:hAnsi="宋体" w:cs="宋体"/>
                <w:color w:val="auto"/>
                <w:szCs w:val="21"/>
                <w:highlight w:val="none"/>
              </w:rPr>
              <w:t>1</w:t>
            </w:r>
          </w:p>
        </w:tc>
        <w:tc>
          <w:tcPr>
            <w:tcW w:w="1258" w:type="dxa"/>
            <w:vMerge w:val="restart"/>
            <w:vAlign w:val="center"/>
          </w:tcPr>
          <w:p w14:paraId="1BD5DD9C">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审查资料</w:t>
            </w:r>
          </w:p>
        </w:tc>
        <w:tc>
          <w:tcPr>
            <w:tcW w:w="6183" w:type="dxa"/>
            <w:vAlign w:val="center"/>
          </w:tcPr>
          <w:p w14:paraId="329C4C9F">
            <w:pPr>
              <w:spacing w:line="440" w:lineRule="exact"/>
              <w:rPr>
                <w:rFonts w:ascii="宋体" w:cs="宋体"/>
                <w:color w:val="auto"/>
                <w:szCs w:val="21"/>
                <w:highlight w:val="none"/>
              </w:rPr>
            </w:pP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p>
        </w:tc>
        <w:tc>
          <w:tcPr>
            <w:tcW w:w="1860" w:type="dxa"/>
            <w:vAlign w:val="center"/>
          </w:tcPr>
          <w:p w14:paraId="398FB42D">
            <w:pPr>
              <w:spacing w:line="440" w:lineRule="exact"/>
              <w:jc w:val="center"/>
              <w:rPr>
                <w:rFonts w:ascii="宋体" w:cs="宋体"/>
                <w:b/>
                <w:color w:val="auto"/>
                <w:szCs w:val="21"/>
                <w:highlight w:val="none"/>
              </w:rPr>
            </w:pPr>
            <w:r>
              <w:rPr>
                <w:rFonts w:hint="eastAsia" w:ascii="宋体" w:hAnsi="宋体" w:cs="宋体"/>
                <w:b/>
                <w:color w:val="auto"/>
                <w:szCs w:val="21"/>
                <w:highlight w:val="none"/>
              </w:rPr>
              <w:t>检验电子标书</w:t>
            </w:r>
          </w:p>
        </w:tc>
      </w:tr>
      <w:tr w14:paraId="5FFE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4D015E03">
            <w:pPr>
              <w:spacing w:line="440" w:lineRule="exact"/>
              <w:jc w:val="center"/>
              <w:rPr>
                <w:rFonts w:ascii="宋体" w:cs="宋体"/>
                <w:color w:val="auto"/>
                <w:szCs w:val="21"/>
                <w:highlight w:val="none"/>
              </w:rPr>
            </w:pPr>
          </w:p>
        </w:tc>
        <w:tc>
          <w:tcPr>
            <w:tcW w:w="1258" w:type="dxa"/>
            <w:vMerge w:val="continue"/>
            <w:vAlign w:val="center"/>
          </w:tcPr>
          <w:p w14:paraId="5242BDCE">
            <w:pPr>
              <w:spacing w:line="440" w:lineRule="exact"/>
              <w:jc w:val="center"/>
              <w:rPr>
                <w:rFonts w:ascii="宋体" w:cs="宋体"/>
                <w:b/>
                <w:bCs/>
                <w:color w:val="auto"/>
                <w:szCs w:val="21"/>
                <w:highlight w:val="none"/>
              </w:rPr>
            </w:pPr>
          </w:p>
        </w:tc>
        <w:tc>
          <w:tcPr>
            <w:tcW w:w="6183" w:type="dxa"/>
            <w:vAlign w:val="center"/>
          </w:tcPr>
          <w:p w14:paraId="31C1374C">
            <w:pPr>
              <w:spacing w:line="440" w:lineRule="exact"/>
              <w:rPr>
                <w:rFonts w:ascii="宋体" w:cs="宋体"/>
                <w:color w:val="auto"/>
                <w:szCs w:val="21"/>
                <w:highlight w:val="none"/>
              </w:rPr>
            </w:pPr>
            <w:r>
              <w:rPr>
                <w:rFonts w:hint="eastAsia" w:ascii="宋体" w:cs="宋体"/>
                <w:color w:val="auto"/>
                <w:szCs w:val="21"/>
                <w:highlight w:val="none"/>
              </w:rPr>
              <w:t>诚信投标承诺书（或《公共信用信息报告（无违法违规证明版</w:t>
            </w:r>
            <w:r>
              <w:rPr>
                <w:rFonts w:hint="eastAsia" w:ascii="宋体" w:cs="宋体"/>
                <w:color w:val="auto"/>
                <w:szCs w:val="21"/>
                <w:highlight w:val="none"/>
                <w:lang w:val="en-US" w:eastAsia="zh-CN"/>
              </w:rPr>
              <w:t>或核查版</w:t>
            </w:r>
            <w:r>
              <w:rPr>
                <w:rFonts w:hint="eastAsia" w:ascii="宋体" w:cs="宋体"/>
                <w:color w:val="auto"/>
                <w:szCs w:val="21"/>
                <w:highlight w:val="none"/>
              </w:rPr>
              <w:t>）》）</w:t>
            </w:r>
          </w:p>
        </w:tc>
        <w:tc>
          <w:tcPr>
            <w:tcW w:w="1860" w:type="dxa"/>
            <w:vMerge w:val="restart"/>
            <w:vAlign w:val="center"/>
          </w:tcPr>
          <w:p w14:paraId="776B0DE3">
            <w:pPr>
              <w:spacing w:line="440" w:lineRule="exact"/>
              <w:jc w:val="center"/>
              <w:rPr>
                <w:rFonts w:ascii="宋体" w:cs="宋体"/>
                <w:b/>
                <w:color w:val="auto"/>
                <w:szCs w:val="21"/>
                <w:highlight w:val="none"/>
              </w:rPr>
            </w:pPr>
            <w:r>
              <w:rPr>
                <w:rFonts w:hint="eastAsia" w:ascii="宋体" w:hAnsi="宋体" w:cs="宋体"/>
                <w:b/>
                <w:color w:val="auto"/>
                <w:szCs w:val="21"/>
                <w:highlight w:val="none"/>
              </w:rPr>
              <w:t>检验电子标书</w:t>
            </w:r>
          </w:p>
        </w:tc>
      </w:tr>
      <w:tr w14:paraId="37E5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4329FA58">
            <w:pPr>
              <w:spacing w:line="440" w:lineRule="exact"/>
              <w:jc w:val="center"/>
              <w:rPr>
                <w:rFonts w:ascii="宋体" w:cs="宋体"/>
                <w:color w:val="auto"/>
                <w:szCs w:val="21"/>
                <w:highlight w:val="none"/>
              </w:rPr>
            </w:pPr>
          </w:p>
        </w:tc>
        <w:tc>
          <w:tcPr>
            <w:tcW w:w="1258" w:type="dxa"/>
            <w:vMerge w:val="continue"/>
            <w:vAlign w:val="center"/>
          </w:tcPr>
          <w:p w14:paraId="00177B02">
            <w:pPr>
              <w:spacing w:line="440" w:lineRule="exact"/>
              <w:jc w:val="center"/>
              <w:rPr>
                <w:rFonts w:ascii="宋体" w:cs="宋体"/>
                <w:b/>
                <w:bCs/>
                <w:color w:val="auto"/>
                <w:szCs w:val="21"/>
                <w:highlight w:val="none"/>
              </w:rPr>
            </w:pPr>
          </w:p>
        </w:tc>
        <w:tc>
          <w:tcPr>
            <w:tcW w:w="6183" w:type="dxa"/>
            <w:vAlign w:val="center"/>
          </w:tcPr>
          <w:p w14:paraId="135AD29D">
            <w:pPr>
              <w:spacing w:line="440" w:lineRule="exact"/>
              <w:rPr>
                <w:rFonts w:asci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vAlign w:val="center"/>
          </w:tcPr>
          <w:p w14:paraId="2B224867">
            <w:pPr>
              <w:spacing w:line="440" w:lineRule="exact"/>
              <w:rPr>
                <w:rFonts w:ascii="宋体" w:cs="宋体"/>
                <w:b/>
                <w:color w:val="auto"/>
                <w:szCs w:val="21"/>
                <w:highlight w:val="none"/>
              </w:rPr>
            </w:pPr>
          </w:p>
        </w:tc>
      </w:tr>
      <w:tr w14:paraId="1AE6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vAlign w:val="center"/>
          </w:tcPr>
          <w:p w14:paraId="7F36E372">
            <w:pPr>
              <w:spacing w:line="440" w:lineRule="exact"/>
              <w:jc w:val="center"/>
              <w:rPr>
                <w:rFonts w:ascii="宋体" w:cs="宋体"/>
                <w:color w:val="auto"/>
                <w:szCs w:val="21"/>
                <w:highlight w:val="none"/>
              </w:rPr>
            </w:pPr>
          </w:p>
        </w:tc>
        <w:tc>
          <w:tcPr>
            <w:tcW w:w="1258" w:type="dxa"/>
            <w:vMerge w:val="continue"/>
            <w:vAlign w:val="center"/>
          </w:tcPr>
          <w:p w14:paraId="6660F934">
            <w:pPr>
              <w:spacing w:line="440" w:lineRule="exact"/>
              <w:jc w:val="center"/>
              <w:rPr>
                <w:rFonts w:ascii="宋体" w:cs="宋体"/>
                <w:b/>
                <w:bCs/>
                <w:color w:val="auto"/>
                <w:szCs w:val="21"/>
                <w:highlight w:val="none"/>
              </w:rPr>
            </w:pPr>
          </w:p>
        </w:tc>
        <w:tc>
          <w:tcPr>
            <w:tcW w:w="6183" w:type="dxa"/>
            <w:vAlign w:val="center"/>
          </w:tcPr>
          <w:p w14:paraId="30EFBFE2">
            <w:pPr>
              <w:spacing w:line="440" w:lineRule="exact"/>
              <w:rPr>
                <w:rFonts w:asci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vAlign w:val="center"/>
          </w:tcPr>
          <w:p w14:paraId="2659B267">
            <w:pPr>
              <w:spacing w:line="440" w:lineRule="exact"/>
              <w:rPr>
                <w:rFonts w:ascii="宋体" w:cs="宋体"/>
                <w:color w:val="auto"/>
                <w:szCs w:val="21"/>
                <w:highlight w:val="none"/>
              </w:rPr>
            </w:pPr>
          </w:p>
        </w:tc>
      </w:tr>
      <w:tr w14:paraId="7756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vAlign w:val="center"/>
          </w:tcPr>
          <w:p w14:paraId="7CCC4477">
            <w:pPr>
              <w:spacing w:line="440" w:lineRule="exact"/>
              <w:jc w:val="center"/>
              <w:rPr>
                <w:rFonts w:ascii="宋体" w:cs="宋体"/>
                <w:color w:val="auto"/>
                <w:szCs w:val="21"/>
                <w:highlight w:val="none"/>
              </w:rPr>
            </w:pPr>
          </w:p>
        </w:tc>
        <w:tc>
          <w:tcPr>
            <w:tcW w:w="1258" w:type="dxa"/>
            <w:vMerge w:val="continue"/>
            <w:vAlign w:val="center"/>
          </w:tcPr>
          <w:p w14:paraId="3A7B2286">
            <w:pPr>
              <w:spacing w:line="440" w:lineRule="exact"/>
              <w:jc w:val="center"/>
              <w:rPr>
                <w:rFonts w:ascii="宋体" w:cs="宋体"/>
                <w:b/>
                <w:bCs/>
                <w:color w:val="auto"/>
                <w:szCs w:val="21"/>
                <w:highlight w:val="none"/>
              </w:rPr>
            </w:pPr>
          </w:p>
        </w:tc>
        <w:tc>
          <w:tcPr>
            <w:tcW w:w="6183" w:type="dxa"/>
            <w:vAlign w:val="center"/>
          </w:tcPr>
          <w:p w14:paraId="021E9D56">
            <w:pPr>
              <w:spacing w:line="440" w:lineRule="exact"/>
              <w:rPr>
                <w:rFonts w:hint="eastAsia" w:ascii="宋体" w:hAnsi="宋体" w:cs="宋体"/>
                <w:color w:val="auto"/>
                <w:szCs w:val="21"/>
                <w:highlight w:val="none"/>
              </w:rPr>
            </w:pPr>
            <w:r>
              <w:rPr>
                <w:rFonts w:hint="eastAsia"/>
                <w:color w:val="auto"/>
                <w:highlight w:val="none"/>
                <w:lang w:val="en-US" w:eastAsia="zh-CN"/>
              </w:rPr>
              <w:t>质量技术监督部门颁发的计量认证资质证书（CMA）</w:t>
            </w:r>
          </w:p>
        </w:tc>
        <w:tc>
          <w:tcPr>
            <w:tcW w:w="1860" w:type="dxa"/>
            <w:vMerge w:val="continue"/>
            <w:vAlign w:val="center"/>
          </w:tcPr>
          <w:p w14:paraId="3938A80C">
            <w:pPr>
              <w:spacing w:line="440" w:lineRule="exact"/>
              <w:rPr>
                <w:rFonts w:ascii="宋体" w:cs="宋体"/>
                <w:color w:val="auto"/>
                <w:szCs w:val="21"/>
                <w:highlight w:val="none"/>
              </w:rPr>
            </w:pPr>
          </w:p>
        </w:tc>
      </w:tr>
      <w:tr w14:paraId="1E39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vAlign w:val="center"/>
          </w:tcPr>
          <w:p w14:paraId="7B45B2F8">
            <w:pPr>
              <w:spacing w:line="440" w:lineRule="exact"/>
              <w:jc w:val="center"/>
              <w:rPr>
                <w:rFonts w:ascii="宋体" w:cs="宋体"/>
                <w:color w:val="auto"/>
                <w:szCs w:val="21"/>
                <w:highlight w:val="none"/>
              </w:rPr>
            </w:pPr>
          </w:p>
        </w:tc>
        <w:tc>
          <w:tcPr>
            <w:tcW w:w="1258" w:type="dxa"/>
            <w:vMerge w:val="continue"/>
            <w:vAlign w:val="center"/>
          </w:tcPr>
          <w:p w14:paraId="124BE70D">
            <w:pPr>
              <w:spacing w:line="440" w:lineRule="exact"/>
              <w:jc w:val="center"/>
              <w:rPr>
                <w:rFonts w:ascii="宋体" w:cs="宋体"/>
                <w:b/>
                <w:bCs/>
                <w:color w:val="auto"/>
                <w:szCs w:val="21"/>
                <w:highlight w:val="none"/>
              </w:rPr>
            </w:pPr>
          </w:p>
        </w:tc>
        <w:tc>
          <w:tcPr>
            <w:tcW w:w="6183" w:type="dxa"/>
            <w:vAlign w:val="center"/>
          </w:tcPr>
          <w:p w14:paraId="5BCB4B6B">
            <w:pPr>
              <w:spacing w:line="440" w:lineRule="exact"/>
              <w:rPr>
                <w:rFonts w:hint="default" w:ascii="宋体" w:eastAsia="宋体" w:cs="宋体"/>
                <w:color w:val="auto"/>
                <w:szCs w:val="21"/>
                <w:highlight w:val="none"/>
                <w:lang w:val="en-US" w:eastAsia="zh-CN"/>
              </w:rPr>
            </w:pP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hAnsi="宋体" w:cs="宋体"/>
                <w:color w:val="auto"/>
                <w:szCs w:val="21"/>
                <w:highlight w:val="none"/>
              </w:rPr>
              <w:t>和</w:t>
            </w:r>
            <w:r>
              <w:rPr>
                <w:rFonts w:hint="eastAsia" w:ascii="宋体" w:hAnsi="宋体" w:cs="宋体"/>
                <w:color w:val="auto"/>
                <w:highlight w:val="none"/>
              </w:rPr>
              <w:t>证书</w:t>
            </w:r>
          </w:p>
        </w:tc>
        <w:tc>
          <w:tcPr>
            <w:tcW w:w="1860" w:type="dxa"/>
            <w:vMerge w:val="continue"/>
            <w:vAlign w:val="center"/>
          </w:tcPr>
          <w:p w14:paraId="003D2960">
            <w:pPr>
              <w:spacing w:line="440" w:lineRule="exact"/>
              <w:rPr>
                <w:rFonts w:ascii="宋体" w:cs="宋体"/>
                <w:color w:val="auto"/>
                <w:szCs w:val="21"/>
                <w:highlight w:val="none"/>
              </w:rPr>
            </w:pPr>
          </w:p>
        </w:tc>
      </w:tr>
      <w:tr w14:paraId="11DA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60140236">
            <w:pPr>
              <w:spacing w:line="440" w:lineRule="exact"/>
              <w:jc w:val="center"/>
              <w:rPr>
                <w:rFonts w:ascii="宋体" w:cs="宋体"/>
                <w:color w:val="auto"/>
                <w:szCs w:val="21"/>
                <w:highlight w:val="none"/>
              </w:rPr>
            </w:pPr>
          </w:p>
        </w:tc>
        <w:tc>
          <w:tcPr>
            <w:tcW w:w="1258" w:type="dxa"/>
            <w:vMerge w:val="continue"/>
            <w:vAlign w:val="center"/>
          </w:tcPr>
          <w:p w14:paraId="646F4834">
            <w:pPr>
              <w:spacing w:line="440" w:lineRule="exact"/>
              <w:jc w:val="center"/>
              <w:rPr>
                <w:rFonts w:ascii="宋体" w:cs="宋体"/>
                <w:b/>
                <w:bCs/>
                <w:color w:val="auto"/>
                <w:szCs w:val="21"/>
                <w:highlight w:val="none"/>
              </w:rPr>
            </w:pPr>
          </w:p>
        </w:tc>
        <w:tc>
          <w:tcPr>
            <w:tcW w:w="6183" w:type="dxa"/>
            <w:vAlign w:val="center"/>
          </w:tcPr>
          <w:p w14:paraId="47D86A09">
            <w:pPr>
              <w:spacing w:line="440" w:lineRule="exact"/>
              <w:rPr>
                <w:rFonts w:hint="eastAsia" w:eastAsia="宋体"/>
                <w:color w:val="auto"/>
                <w:highlight w:val="none"/>
                <w:lang w:val="en-US" w:eastAsia="zh-CN"/>
              </w:rPr>
            </w:pP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拟任项目负责人须持有社保部门出具的本单位为其缴纳的投标前近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tc>
        <w:tc>
          <w:tcPr>
            <w:tcW w:w="1860" w:type="dxa"/>
            <w:vMerge w:val="continue"/>
            <w:vAlign w:val="center"/>
          </w:tcPr>
          <w:p w14:paraId="353DAABF">
            <w:pPr>
              <w:spacing w:line="440" w:lineRule="exact"/>
              <w:rPr>
                <w:rFonts w:ascii="宋体" w:cs="宋体"/>
                <w:color w:val="auto"/>
                <w:szCs w:val="21"/>
                <w:highlight w:val="none"/>
              </w:rPr>
            </w:pPr>
          </w:p>
        </w:tc>
      </w:tr>
      <w:tr w14:paraId="38D8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12C8ACFE">
            <w:pPr>
              <w:spacing w:line="440" w:lineRule="exact"/>
              <w:jc w:val="center"/>
              <w:rPr>
                <w:rFonts w:ascii="宋体" w:cs="宋体"/>
                <w:color w:val="auto"/>
                <w:szCs w:val="21"/>
                <w:highlight w:val="none"/>
              </w:rPr>
            </w:pPr>
          </w:p>
        </w:tc>
        <w:tc>
          <w:tcPr>
            <w:tcW w:w="1258" w:type="dxa"/>
            <w:vMerge w:val="continue"/>
            <w:vAlign w:val="center"/>
          </w:tcPr>
          <w:p w14:paraId="0AC45AC6">
            <w:pPr>
              <w:spacing w:line="440" w:lineRule="exact"/>
              <w:jc w:val="center"/>
              <w:rPr>
                <w:rFonts w:ascii="宋体" w:cs="宋体"/>
                <w:b/>
                <w:bCs/>
                <w:color w:val="auto"/>
                <w:szCs w:val="21"/>
                <w:highlight w:val="none"/>
              </w:rPr>
            </w:pPr>
          </w:p>
        </w:tc>
        <w:tc>
          <w:tcPr>
            <w:tcW w:w="6183" w:type="dxa"/>
            <w:vAlign w:val="center"/>
          </w:tcPr>
          <w:p w14:paraId="0B0D3E74">
            <w:pPr>
              <w:spacing w:line="440" w:lineRule="exact"/>
              <w:rPr>
                <w:rFonts w:hint="eastAsia" w:ascii="宋体" w:hAnsi="宋体" w:cs="宋体"/>
                <w:color w:val="auto"/>
                <w:szCs w:val="21"/>
                <w:highlight w:val="none"/>
              </w:rPr>
            </w:pPr>
            <w:r>
              <w:rPr>
                <w:rFonts w:hint="eastAsia" w:ascii="宋体"/>
                <w:color w:val="auto"/>
                <w:szCs w:val="21"/>
                <w:highlight w:val="none"/>
              </w:rPr>
              <w:t>服务承诺</w:t>
            </w:r>
            <w:r>
              <w:rPr>
                <w:rFonts w:hint="eastAsia" w:ascii="宋体"/>
                <w:color w:val="auto"/>
                <w:szCs w:val="21"/>
                <w:highlight w:val="none"/>
                <w:lang w:val="en-US" w:eastAsia="zh-CN"/>
              </w:rPr>
              <w:t>书</w:t>
            </w:r>
            <w:r>
              <w:rPr>
                <w:rFonts w:hint="eastAsia" w:ascii="宋体"/>
                <w:color w:val="auto"/>
                <w:szCs w:val="21"/>
                <w:highlight w:val="none"/>
                <w:lang w:eastAsia="zh-CN"/>
              </w:rPr>
              <w:t>（</w:t>
            </w:r>
            <w:r>
              <w:rPr>
                <w:rFonts w:hint="eastAsia" w:ascii="宋体"/>
                <w:color w:val="auto"/>
                <w:szCs w:val="21"/>
                <w:highlight w:val="none"/>
                <w:lang w:val="en-US" w:eastAsia="zh-CN"/>
              </w:rPr>
              <w:t>格式详见附件</w:t>
            </w:r>
            <w:r>
              <w:rPr>
                <w:rFonts w:hint="eastAsia" w:ascii="宋体"/>
                <w:color w:val="auto"/>
                <w:szCs w:val="21"/>
                <w:highlight w:val="none"/>
                <w:lang w:eastAsia="zh-CN"/>
              </w:rPr>
              <w:t>）</w:t>
            </w:r>
          </w:p>
        </w:tc>
        <w:tc>
          <w:tcPr>
            <w:tcW w:w="1860" w:type="dxa"/>
            <w:vMerge w:val="continue"/>
            <w:vAlign w:val="center"/>
          </w:tcPr>
          <w:p w14:paraId="46CF9611">
            <w:pPr>
              <w:spacing w:line="440" w:lineRule="exact"/>
              <w:rPr>
                <w:rFonts w:ascii="宋体" w:cs="宋体"/>
                <w:color w:val="auto"/>
                <w:szCs w:val="21"/>
                <w:highlight w:val="none"/>
              </w:rPr>
            </w:pPr>
          </w:p>
        </w:tc>
      </w:tr>
    </w:tbl>
    <w:p w14:paraId="4808679C">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bookmarkStart w:id="631" w:name="_Toc35424941"/>
      <w:bookmarkStart w:id="632" w:name="_Toc324404866"/>
      <w:bookmarkStart w:id="633" w:name="_Toc35425107"/>
      <w:bookmarkStart w:id="634" w:name="_Toc506107319"/>
      <w:bookmarkStart w:id="635" w:name="_Toc15058904"/>
      <w:bookmarkStart w:id="636" w:name="_Toc27127"/>
      <w:r>
        <w:rPr>
          <w:rFonts w:ascii="宋体" w:hAnsi="宋体" w:eastAsia="宋体" w:cs="宋体"/>
          <w:color w:val="auto"/>
          <w:highlight w:val="none"/>
        </w:rPr>
        <w:t>1.</w:t>
      </w:r>
      <w:r>
        <w:rPr>
          <w:rFonts w:hint="eastAsia" w:ascii="宋体" w:hAnsi="宋体" w:eastAsia="宋体" w:cs="宋体"/>
          <w:color w:val="auto"/>
          <w:highlight w:val="none"/>
        </w:rPr>
        <w:t>审查资料</w:t>
      </w:r>
      <w:bookmarkEnd w:id="631"/>
      <w:bookmarkEnd w:id="632"/>
      <w:bookmarkEnd w:id="633"/>
      <w:bookmarkEnd w:id="634"/>
      <w:bookmarkEnd w:id="635"/>
      <w:bookmarkEnd w:id="636"/>
    </w:p>
    <w:p w14:paraId="74C5196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bookmarkStart w:id="637" w:name="_Toc15058905"/>
      <w:bookmarkStart w:id="638" w:name="_Toc324404867"/>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rPr>
        <w:t>；</w:t>
      </w:r>
    </w:p>
    <w:p w14:paraId="4A5C309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cs="宋体"/>
          <w:color w:val="auto"/>
          <w:szCs w:val="21"/>
          <w:highlight w:val="none"/>
        </w:rPr>
        <w:t>诚信投标承诺书（或《公共信用信息报告（无违法违规证明版</w:t>
      </w:r>
      <w:r>
        <w:rPr>
          <w:rFonts w:hint="eastAsia" w:ascii="宋体" w:cs="宋体"/>
          <w:color w:val="auto"/>
          <w:szCs w:val="21"/>
          <w:highlight w:val="none"/>
          <w:lang w:val="en-US" w:eastAsia="zh-CN"/>
        </w:rPr>
        <w:t>或核查版</w:t>
      </w:r>
      <w:r>
        <w:rPr>
          <w:rFonts w:hint="eastAsia" w:asci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15ADCDD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）企业法人营业执照；</w:t>
      </w:r>
    </w:p>
    <w:p w14:paraId="6A51A08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w:t>
      </w:r>
      <w:r>
        <w:rPr>
          <w:rFonts w:hint="eastAsia" w:ascii="宋体" w:hAnsi="宋体" w:cs="宋体"/>
          <w:color w:val="auto"/>
          <w:szCs w:val="21"/>
          <w:highlight w:val="none"/>
        </w:rPr>
        <w:t>企业资质证书</w:t>
      </w:r>
      <w:r>
        <w:rPr>
          <w:rFonts w:hint="eastAsia" w:ascii="宋体" w:hAnsi="宋体" w:cs="宋体"/>
          <w:color w:val="auto"/>
          <w:highlight w:val="none"/>
        </w:rPr>
        <w:t>；</w:t>
      </w:r>
    </w:p>
    <w:p w14:paraId="48A6C0B1">
      <w:pPr>
        <w:pageBreakBefore w:val="0"/>
        <w:widowControl w:val="0"/>
        <w:kinsoku/>
        <w:wordWrap/>
        <w:overflowPunct/>
        <w:topLinePunct w:val="0"/>
        <w:autoSpaceDE/>
        <w:autoSpaceDN/>
        <w:bidi w:val="0"/>
        <w:spacing w:line="500" w:lineRule="exact"/>
        <w:ind w:firstLine="420" w:firstLineChars="200"/>
        <w:jc w:val="left"/>
        <w:textAlignment w:val="auto"/>
        <w:rPr>
          <w:rFonts w:hint="eastAsia"/>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color w:val="auto"/>
          <w:highlight w:val="none"/>
          <w:lang w:val="en-US" w:eastAsia="zh-CN"/>
        </w:rPr>
        <w:t>质量技术监督部门颁发的计量认证资质证书（CMA）；</w:t>
      </w:r>
    </w:p>
    <w:p w14:paraId="1FBF7AAA">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hAnsi="宋体" w:cs="宋体"/>
          <w:color w:val="auto"/>
          <w:szCs w:val="21"/>
          <w:highlight w:val="none"/>
        </w:rPr>
        <w:t>和</w:t>
      </w:r>
      <w:r>
        <w:rPr>
          <w:rFonts w:hint="eastAsia" w:ascii="宋体" w:hAnsi="宋体" w:cs="宋体"/>
          <w:color w:val="auto"/>
          <w:highlight w:val="none"/>
        </w:rPr>
        <w:t>证书；</w:t>
      </w:r>
    </w:p>
    <w:p w14:paraId="6DD3A25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拟任项目负责人须持有社保部门出具的本单位为其缴纳的投标前近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w:t>
      </w:r>
      <w:r>
        <w:rPr>
          <w:rFonts w:hint="eastAsia" w:ascii="宋体" w:hAnsi="宋体" w:eastAsia="宋体" w:cs="宋体"/>
          <w:color w:val="auto"/>
          <w:szCs w:val="21"/>
          <w:highlight w:val="none"/>
          <w:lang w:val="en-US" w:eastAsia="zh-CN"/>
        </w:rPr>
        <w:t>其缴纳养老保险证明材料），投标人是事业单位的，暂未缴纳社保的，须由其主管部门出具证明；</w:t>
      </w:r>
    </w:p>
    <w:p w14:paraId="0992D6DF">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（8）服务承诺书（格式详见附件）。</w:t>
      </w:r>
    </w:p>
    <w:p w14:paraId="416D67BB">
      <w:pPr>
        <w:pageBreakBefore w:val="0"/>
        <w:widowControl w:val="0"/>
        <w:kinsoku/>
        <w:wordWrap/>
        <w:overflowPunct/>
        <w:topLinePunct w:val="0"/>
        <w:autoSpaceDE/>
        <w:autoSpaceDN/>
        <w:bidi w:val="0"/>
        <w:spacing w:line="500" w:lineRule="exact"/>
        <w:ind w:firstLine="422" w:firstLineChars="200"/>
        <w:jc w:val="left"/>
        <w:textAlignment w:val="auto"/>
        <w:rPr>
          <w:rFonts w:ascii="宋体" w:cs="宋体"/>
          <w:b w:val="0"/>
          <w:bCs w:val="0"/>
          <w:color w:val="auto"/>
          <w:highlight w:val="none"/>
        </w:rPr>
      </w:pPr>
      <w:r>
        <w:rPr>
          <w:rFonts w:hint="eastAsia" w:ascii="宋体" w:hAnsi="宋体" w:cs="宋体"/>
          <w:b/>
          <w:bCs/>
          <w:color w:val="auto"/>
          <w:highlight w:val="none"/>
        </w:rPr>
        <w:t>温馨提示：</w:t>
      </w:r>
      <w:bookmarkEnd w:id="637"/>
      <w:bookmarkStart w:id="639" w:name="_Toc15058907"/>
      <w:bookmarkStart w:id="640" w:name="_Toc58229032"/>
      <w:r>
        <w:rPr>
          <w:rFonts w:hint="eastAsia" w:ascii="宋体" w:cs="宋体"/>
          <w:b w:val="0"/>
          <w:bCs w:val="0"/>
          <w:color w:val="auto"/>
          <w:highlight w:val="none"/>
        </w:rPr>
        <w:t>请投标人认真准备投标文件资格审查资料,如评标专家在</w:t>
      </w:r>
      <w:r>
        <w:rPr>
          <w:rFonts w:hint="eastAsia" w:ascii="宋体" w:cs="宋体"/>
          <w:b w:val="0"/>
          <w:bCs w:val="0"/>
          <w:color w:val="auto"/>
          <w:highlight w:val="none"/>
          <w:lang w:val="en-US" w:eastAsia="zh-CN"/>
        </w:rPr>
        <w:t>评审过程</w:t>
      </w:r>
      <w:r>
        <w:rPr>
          <w:rFonts w:hint="eastAsia" w:ascii="宋体" w:cs="宋体"/>
          <w:b w:val="0"/>
          <w:bCs w:val="0"/>
          <w:color w:val="auto"/>
          <w:highlight w:val="none"/>
        </w:rPr>
        <w:t>中，如果由于投标人自身原因导致评标专家无法查看并检验</w:t>
      </w:r>
      <w:r>
        <w:rPr>
          <w:rFonts w:hint="eastAsia" w:ascii="宋体" w:cs="宋体"/>
          <w:b w:val="0"/>
          <w:bCs w:val="0"/>
          <w:color w:val="auto"/>
          <w:highlight w:val="none"/>
          <w:lang w:val="en-US" w:eastAsia="zh-CN"/>
        </w:rPr>
        <w:t>投标文件</w:t>
      </w:r>
      <w:r>
        <w:rPr>
          <w:rFonts w:hint="eastAsia" w:ascii="宋体" w:cs="宋体"/>
          <w:b w:val="0"/>
          <w:bCs w:val="0"/>
          <w:color w:val="auto"/>
          <w:highlight w:val="none"/>
        </w:rPr>
        <w:t>中相关资料的，视为无效标处理。即使投标人将原件携带至现场的，同样按无效标处理。</w:t>
      </w:r>
      <w:bookmarkEnd w:id="639"/>
      <w:bookmarkEnd w:id="640"/>
    </w:p>
    <w:p w14:paraId="7DA5DCEE">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bookmarkStart w:id="641" w:name="_Toc35425108"/>
      <w:bookmarkStart w:id="642" w:name="_Toc35424942"/>
      <w:bookmarkStart w:id="643" w:name="_Toc15058909"/>
      <w:bookmarkStart w:id="644" w:name="_Toc506107320"/>
      <w:bookmarkStart w:id="645" w:name="_Toc12549"/>
      <w:r>
        <w:rPr>
          <w:rFonts w:ascii="宋体" w:hAnsi="宋体" w:eastAsia="宋体" w:cs="宋体"/>
          <w:color w:val="auto"/>
          <w:highlight w:val="none"/>
        </w:rPr>
        <w:t>2.</w:t>
      </w:r>
      <w:r>
        <w:rPr>
          <w:rFonts w:hint="eastAsia" w:ascii="宋体" w:hAnsi="宋体" w:eastAsia="宋体" w:cs="宋体"/>
          <w:color w:val="auto"/>
          <w:highlight w:val="none"/>
        </w:rPr>
        <w:t>审查办法</w:t>
      </w:r>
      <w:bookmarkEnd w:id="638"/>
      <w:bookmarkEnd w:id="641"/>
      <w:bookmarkEnd w:id="642"/>
      <w:bookmarkEnd w:id="643"/>
      <w:bookmarkEnd w:id="644"/>
      <w:bookmarkEnd w:id="645"/>
    </w:p>
    <w:p w14:paraId="247136B1">
      <w:pPr>
        <w:pStyle w:val="3"/>
        <w:pageBreakBefore w:val="0"/>
        <w:widowControl w:val="0"/>
        <w:kinsoku/>
        <w:wordWrap/>
        <w:overflowPunct/>
        <w:topLinePunct w:val="0"/>
        <w:autoSpaceDE/>
        <w:autoSpaceDN/>
        <w:bidi w:val="0"/>
        <w:spacing w:beforeLines="50" w:afterLines="5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bookmarkStart w:id="646" w:name="_Toc506107321"/>
      <w:bookmarkStart w:id="647" w:name="_Toc35425109"/>
      <w:bookmarkStart w:id="648" w:name="_Toc324404868"/>
      <w:bookmarkStart w:id="649" w:name="_Toc35424943"/>
      <w:bookmarkStart w:id="650" w:name="_Toc15058910"/>
      <w:bookmarkStart w:id="651" w:name="_Toc15626"/>
      <w:r>
        <w:rPr>
          <w:rFonts w:hint="eastAsia" w:ascii="宋体" w:hAnsi="宋体" w:eastAsia="宋体" w:cs="宋体"/>
          <w:b w:val="0"/>
          <w:bCs w:val="0"/>
          <w:color w:val="auto"/>
          <w:kern w:val="2"/>
          <w:sz w:val="21"/>
          <w:szCs w:val="21"/>
          <w:highlight w:val="none"/>
          <w:lang w:val="en-US" w:eastAsia="zh-CN" w:bidi="ar-SA"/>
        </w:rPr>
        <w:t>由资格审查委员会（评标委员会）按资格审查办法前附表中资格审查必要合格条件评审表要求对投标人审查资料进行核验。</w:t>
      </w:r>
    </w:p>
    <w:p w14:paraId="2D27C604">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3.</w:t>
      </w:r>
      <w:r>
        <w:rPr>
          <w:rFonts w:hint="eastAsia" w:ascii="宋体" w:hAnsi="宋体" w:eastAsia="宋体" w:cs="宋体"/>
          <w:color w:val="auto"/>
          <w:highlight w:val="none"/>
        </w:rPr>
        <w:t>资格审查委员会和审查标准</w:t>
      </w:r>
      <w:bookmarkEnd w:id="646"/>
      <w:bookmarkEnd w:id="647"/>
      <w:bookmarkEnd w:id="648"/>
      <w:bookmarkEnd w:id="649"/>
      <w:bookmarkEnd w:id="650"/>
      <w:bookmarkEnd w:id="651"/>
    </w:p>
    <w:p w14:paraId="2EDA42C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bookmarkStart w:id="652" w:name="_Toc15058911"/>
      <w:bookmarkStart w:id="653" w:name="_Toc35425110"/>
      <w:bookmarkStart w:id="654" w:name="_Toc506107322"/>
      <w:bookmarkStart w:id="655" w:name="_Toc10330"/>
      <w:bookmarkStart w:id="656" w:name="_Toc35424944"/>
      <w:bookmarkStart w:id="657" w:name="_Toc324404869"/>
      <w:r>
        <w:rPr>
          <w:rFonts w:hint="eastAsia" w:ascii="宋体" w:hAnsi="宋体" w:eastAsia="宋体" w:cs="宋体"/>
          <w:b w:val="0"/>
          <w:bCs w:val="0"/>
          <w:color w:val="auto"/>
          <w:kern w:val="2"/>
          <w:sz w:val="21"/>
          <w:szCs w:val="21"/>
          <w:highlight w:val="none"/>
          <w:lang w:val="en-US" w:eastAsia="zh-CN" w:bidi="ar-SA"/>
        </w:rPr>
        <w:t>3.1资格审查由招标人依法组建的资格审查委员会（或评标委员会）负责。审查标准见资格审查办法前附表。</w:t>
      </w:r>
    </w:p>
    <w:p w14:paraId="109A781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3.2由资格审查委员会（评标委员会）按资格审查办法前附表要求对投标人的审查资料进行核验。投标申请人有下列情形之一的，其资格审查为不合格： </w:t>
      </w:r>
    </w:p>
    <w:p w14:paraId="32F8102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（1）未上传电子标书或电子标书经审查不合格；</w:t>
      </w:r>
    </w:p>
    <w:p w14:paraId="52FFFD1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（2）联合体投标人没有提交联合体协议书；</w:t>
      </w:r>
    </w:p>
    <w:p w14:paraId="7105B72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（3）保证金不按第二章“投标人须知”及其前附表要求提交投标保证金的； </w:t>
      </w:r>
    </w:p>
    <w:p w14:paraId="60292C2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（4）投标人投标 MAC 地址一致的；</w:t>
      </w:r>
    </w:p>
    <w:p w14:paraId="4072AA4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（5）投标人申请开具电子保函MAC地址一致的；</w:t>
      </w:r>
    </w:p>
    <w:p w14:paraId="027F34F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（6）投标人投标文件制作机器码、文件创建标识码及造价软件加密锁号信息雷同的；</w:t>
      </w:r>
    </w:p>
    <w:p w14:paraId="68FB3BD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（7）法律法规规定的其他情形。</w:t>
      </w:r>
    </w:p>
    <w:p w14:paraId="3FCB405F">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审查结果</w:t>
      </w:r>
      <w:bookmarkEnd w:id="652"/>
      <w:bookmarkEnd w:id="653"/>
      <w:bookmarkEnd w:id="654"/>
      <w:bookmarkEnd w:id="655"/>
      <w:bookmarkEnd w:id="656"/>
      <w:bookmarkEnd w:id="657"/>
    </w:p>
    <w:p w14:paraId="30D9DCDC">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658" w:name="_Toc506107323"/>
    </w:p>
    <w:p w14:paraId="033D312E">
      <w:pPr>
        <w:pStyle w:val="2"/>
        <w:spacing w:beforeLines="50" w:afterLines="50"/>
        <w:rPr>
          <w:rFonts w:hint="eastAsia" w:ascii="宋体" w:hAnsi="宋体"/>
          <w:color w:val="auto"/>
          <w:sz w:val="21"/>
          <w:szCs w:val="21"/>
          <w:highlight w:val="none"/>
        </w:rPr>
      </w:pPr>
      <w:bookmarkStart w:id="659" w:name="_Toc35424945"/>
      <w:bookmarkStart w:id="660" w:name="_Toc35425111"/>
      <w:bookmarkStart w:id="661" w:name="_Toc15058912"/>
      <w:r>
        <w:rPr>
          <w:color w:val="auto"/>
          <w:highlight w:val="none"/>
        </w:rPr>
        <w:br w:type="page"/>
      </w:r>
      <w:bookmarkStart w:id="662" w:name="_Toc24443"/>
      <w:r>
        <w:rPr>
          <w:rFonts w:hint="eastAsia" w:ascii="Arial" w:hAnsi="Arial"/>
          <w:color w:val="auto"/>
          <w:kern w:val="0"/>
          <w:sz w:val="32"/>
          <w:szCs w:val="32"/>
          <w:highlight w:val="none"/>
        </w:rPr>
        <w:t>第三章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评标办法</w:t>
      </w:r>
      <w:bookmarkEnd w:id="624"/>
      <w:bookmarkEnd w:id="658"/>
      <w:bookmarkEnd w:id="659"/>
      <w:bookmarkEnd w:id="660"/>
      <w:bookmarkEnd w:id="661"/>
      <w:bookmarkEnd w:id="662"/>
    </w:p>
    <w:p w14:paraId="5D353D34">
      <w:pPr>
        <w:spacing w:beforeLines="80" w:afterLines="80" w:line="440" w:lineRule="exact"/>
        <w:jc w:val="center"/>
        <w:rPr>
          <w:rFonts w:ascii="宋体" w:cs="宋体"/>
          <w:b/>
          <w:bCs/>
          <w:color w:val="auto"/>
          <w:sz w:val="24"/>
          <w:highlight w:val="none"/>
        </w:rPr>
      </w:pPr>
      <w:r>
        <w:rPr>
          <w:rFonts w:hint="eastAsia" w:ascii="宋体" w:hAnsi="宋体" w:cs="宋体"/>
          <w:b/>
          <w:bCs/>
          <w:color w:val="auto"/>
          <w:sz w:val="24"/>
          <w:highlight w:val="none"/>
          <w:lang w:val="en-US" w:eastAsia="zh-CN"/>
        </w:rPr>
        <w:t>投标文件</w:t>
      </w:r>
      <w:r>
        <w:rPr>
          <w:rFonts w:hint="eastAsia" w:ascii="宋体" w:hAnsi="宋体" w:cs="宋体"/>
          <w:b/>
          <w:bCs/>
          <w:color w:val="auto"/>
          <w:sz w:val="24"/>
          <w:highlight w:val="none"/>
        </w:rPr>
        <w:t>评审</w:t>
      </w:r>
    </w:p>
    <w:tbl>
      <w:tblPr>
        <w:tblStyle w:val="4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137"/>
        <w:gridCol w:w="2881"/>
        <w:gridCol w:w="4727"/>
      </w:tblGrid>
      <w:tr w14:paraId="154E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48" w:type="dxa"/>
            <w:gridSpan w:val="2"/>
            <w:vAlign w:val="center"/>
          </w:tcPr>
          <w:p w14:paraId="723450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881" w:type="dxa"/>
            <w:vAlign w:val="center"/>
          </w:tcPr>
          <w:p w14:paraId="5574C8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727" w:type="dxa"/>
            <w:vAlign w:val="center"/>
          </w:tcPr>
          <w:p w14:paraId="6BF881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4B43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vAlign w:val="center"/>
          </w:tcPr>
          <w:p w14:paraId="3BEB30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137" w:type="dxa"/>
            <w:vMerge w:val="restart"/>
            <w:vAlign w:val="center"/>
          </w:tcPr>
          <w:p w14:paraId="525144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881" w:type="dxa"/>
            <w:vAlign w:val="center"/>
          </w:tcPr>
          <w:p w14:paraId="10FCE0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4727" w:type="dxa"/>
          </w:tcPr>
          <w:p w14:paraId="38D37FF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有投标人及其法定代表人签章</w:t>
            </w:r>
          </w:p>
        </w:tc>
      </w:tr>
      <w:tr w14:paraId="0D96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11" w:type="dxa"/>
            <w:vMerge w:val="continue"/>
          </w:tcPr>
          <w:p w14:paraId="7B8D3C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4C3A10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10591F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4727" w:type="dxa"/>
          </w:tcPr>
          <w:p w14:paraId="794C58E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章“投标文件格式”的要求</w:t>
            </w:r>
          </w:p>
        </w:tc>
      </w:tr>
      <w:tr w14:paraId="341C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1" w:type="dxa"/>
            <w:vMerge w:val="continue"/>
          </w:tcPr>
          <w:p w14:paraId="154F54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7500EB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3D3AC8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4727" w:type="dxa"/>
          </w:tcPr>
          <w:p w14:paraId="1F479A9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w:t>
            </w:r>
          </w:p>
        </w:tc>
      </w:tr>
      <w:tr w14:paraId="716C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vAlign w:val="center"/>
          </w:tcPr>
          <w:p w14:paraId="7F89D2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137" w:type="dxa"/>
            <w:vMerge w:val="restart"/>
            <w:vAlign w:val="center"/>
          </w:tcPr>
          <w:p w14:paraId="745AAE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p w14:paraId="6F44E6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2881" w:type="dxa"/>
            <w:vAlign w:val="center"/>
          </w:tcPr>
          <w:p w14:paraId="1655AE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4727" w:type="dxa"/>
            <w:vAlign w:val="center"/>
          </w:tcPr>
          <w:p w14:paraId="2E2A44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10DA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tcPr>
          <w:p w14:paraId="1EDF10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26FF68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036DC9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4727" w:type="dxa"/>
            <w:vAlign w:val="center"/>
          </w:tcPr>
          <w:p w14:paraId="1ED10E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17C2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tcPr>
          <w:p w14:paraId="24F73F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58FA45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2072F1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c>
          <w:tcPr>
            <w:tcW w:w="4727" w:type="dxa"/>
            <w:vAlign w:val="center"/>
          </w:tcPr>
          <w:p w14:paraId="5477B44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4520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tcPr>
          <w:p w14:paraId="54F6FA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3D928D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66887F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4727" w:type="dxa"/>
            <w:vAlign w:val="center"/>
          </w:tcPr>
          <w:p w14:paraId="673B48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2EE1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tcPr>
          <w:p w14:paraId="7F041C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1AA2E3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7E2979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727" w:type="dxa"/>
            <w:vAlign w:val="center"/>
          </w:tcPr>
          <w:p w14:paraId="4CB392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不高于最高投标限价</w:t>
            </w:r>
          </w:p>
        </w:tc>
      </w:tr>
      <w:tr w14:paraId="60A7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948" w:type="dxa"/>
            <w:gridSpan w:val="2"/>
            <w:vAlign w:val="center"/>
          </w:tcPr>
          <w:p w14:paraId="06D2DE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bookmarkStart w:id="663" w:name="_Toc35425113"/>
            <w:bookmarkStart w:id="664" w:name="_Toc152042366"/>
            <w:bookmarkStart w:id="665" w:name="_Toc144974556"/>
            <w:bookmarkStart w:id="666" w:name="_Toc152045589"/>
            <w:bookmarkStart w:id="667" w:name="_Toc247085747"/>
            <w:bookmarkStart w:id="668" w:name="_Toc35424947"/>
            <w:bookmarkStart w:id="669" w:name="_Toc324404872"/>
            <w:bookmarkStart w:id="670" w:name="_Toc15058913"/>
            <w:bookmarkStart w:id="671" w:name="_Toc179632607"/>
            <w:bookmarkStart w:id="672" w:name="_Toc246996975"/>
            <w:bookmarkStart w:id="673" w:name="_Toc506107324"/>
            <w:bookmarkStart w:id="674" w:name="_Toc246996232"/>
            <w:bookmarkStart w:id="675" w:name="_Toc6491"/>
            <w:r>
              <w:rPr>
                <w:rFonts w:hint="eastAsia" w:ascii="宋体" w:hAnsi="宋体" w:eastAsia="宋体" w:cs="宋体"/>
                <w:color w:val="auto"/>
                <w:sz w:val="21"/>
                <w:szCs w:val="21"/>
                <w:highlight w:val="none"/>
                <w:lang w:val="en-US" w:eastAsia="zh-CN"/>
              </w:rPr>
              <w:t>报价得分（90分）</w:t>
            </w:r>
          </w:p>
        </w:tc>
        <w:tc>
          <w:tcPr>
            <w:tcW w:w="7608" w:type="dxa"/>
            <w:gridSpan w:val="2"/>
            <w:vAlign w:val="center"/>
          </w:tcPr>
          <w:p w14:paraId="3BD9E5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评分按下列步骤计算：</w:t>
            </w:r>
          </w:p>
          <w:p w14:paraId="10FE40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第一步：计算B值。</w:t>
            </w:r>
          </w:p>
          <w:p w14:paraId="49226A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①B值为</w:t>
            </w:r>
            <w:r>
              <w:rPr>
                <w:rFonts w:hint="eastAsia" w:ascii="宋体" w:hAnsi="宋体" w:cs="宋体"/>
                <w:color w:val="auto"/>
                <w:szCs w:val="21"/>
                <w:highlight w:val="none"/>
                <w:lang w:val="en-US" w:eastAsia="zh-CN"/>
              </w:rPr>
              <w:t>企业业绩</w:t>
            </w:r>
            <w:r>
              <w:rPr>
                <w:rFonts w:hint="eastAsia" w:ascii="宋体" w:hAnsi="宋体" w:cs="宋体"/>
                <w:color w:val="auto"/>
                <w:szCs w:val="21"/>
                <w:highlight w:val="none"/>
              </w:rPr>
              <w:t>分值大于等于所有通过</w:t>
            </w:r>
            <w:r>
              <w:rPr>
                <w:rFonts w:hint="eastAsia" w:ascii="宋体" w:hAnsi="宋体" w:cs="宋体"/>
                <w:color w:val="auto"/>
                <w:szCs w:val="21"/>
                <w:highlight w:val="none"/>
                <w:lang w:val="en-US" w:eastAsia="zh-CN"/>
              </w:rPr>
              <w:t>符合性</w:t>
            </w:r>
            <w:r>
              <w:rPr>
                <w:rFonts w:hint="eastAsia" w:ascii="宋体" w:hAnsi="宋体" w:cs="宋体"/>
                <w:color w:val="auto"/>
                <w:szCs w:val="21"/>
                <w:highlight w:val="none"/>
              </w:rPr>
              <w:t>评审有效投标人</w:t>
            </w:r>
            <w:r>
              <w:rPr>
                <w:rFonts w:hint="eastAsia" w:ascii="宋体" w:hAnsi="宋体" w:cs="宋体"/>
                <w:color w:val="auto"/>
                <w:szCs w:val="21"/>
                <w:highlight w:val="none"/>
                <w:lang w:val="en-US" w:eastAsia="zh-CN"/>
              </w:rPr>
              <w:t>企业业绩</w:t>
            </w:r>
            <w:r>
              <w:rPr>
                <w:rFonts w:hint="eastAsia" w:ascii="宋体" w:hAnsi="宋体" w:cs="宋体"/>
                <w:color w:val="auto"/>
                <w:szCs w:val="21"/>
                <w:highlight w:val="none"/>
              </w:rPr>
              <w:t>平均分值的</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投标人报价的算术平均值。</w:t>
            </w:r>
          </w:p>
          <w:p w14:paraId="184690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第二步：计算评标基准价F值。</w:t>
            </w:r>
          </w:p>
          <w:p w14:paraId="06F736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①F=B×（1-K），其中K为调整系数，K的取值为-0.5%（1号），0%（2号），0.5%（3号），1.0%（4号），1.5%（5号）。</w:t>
            </w:r>
          </w:p>
          <w:p w14:paraId="3129F0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第三步：计算报价偏差率。</w:t>
            </w:r>
          </w:p>
          <w:p w14:paraId="07C0D8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①偏差率=|（投标报价-评标基准价）/评标基准价|×100%</w:t>
            </w:r>
          </w:p>
          <w:p w14:paraId="5525D6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第四步：计算报价得分</w:t>
            </w:r>
          </w:p>
          <w:p w14:paraId="47ECB7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①投标报价等于评标基准价的得满分。</w:t>
            </w:r>
          </w:p>
          <w:p w14:paraId="01BB0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②投标报价高于评标基准价的，投标报价得分=报价满分值-偏差率×100×1</w:t>
            </w:r>
          </w:p>
          <w:p w14:paraId="33C8B7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③投标报价低于评标基准价的，投标报价得分=报价满分值-偏差率×100×0.5</w:t>
            </w:r>
          </w:p>
          <w:p w14:paraId="3A32D3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注：计算过程中，B值、评标基准价F值、偏差率、报价得分均保留两位小数，小数点后第三位四舍五入。</w:t>
            </w:r>
          </w:p>
        </w:tc>
      </w:tr>
      <w:tr w14:paraId="3EF4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948" w:type="dxa"/>
            <w:gridSpan w:val="2"/>
            <w:vAlign w:val="center"/>
          </w:tcPr>
          <w:p w14:paraId="7E7B0B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企业业绩</w:t>
            </w:r>
          </w:p>
          <w:p w14:paraId="22DB0A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7608" w:type="dxa"/>
            <w:gridSpan w:val="2"/>
            <w:vAlign w:val="center"/>
          </w:tcPr>
          <w:p w14:paraId="4FD748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年1月1日至投标截止时间止，投标人每提供一个合同金额</w:t>
            </w:r>
            <w:r>
              <w:rPr>
                <w:rFonts w:hint="eastAsia" w:ascii="宋体" w:hAnsi="宋体" w:eastAsia="宋体" w:cs="宋体"/>
                <w:color w:val="auto"/>
                <w:sz w:val="21"/>
                <w:szCs w:val="21"/>
                <w:highlight w:val="none"/>
                <w:lang w:val="en-US" w:eastAsia="zh-CN"/>
              </w:rPr>
              <w:t>为</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万元及以上的</w:t>
            </w:r>
            <w:r>
              <w:rPr>
                <w:rFonts w:hint="eastAsia" w:ascii="宋体" w:hAnsi="宋体" w:cs="宋体"/>
                <w:color w:val="auto"/>
                <w:sz w:val="21"/>
                <w:szCs w:val="21"/>
                <w:highlight w:val="none"/>
                <w:lang w:val="en-US" w:eastAsia="zh-CN"/>
              </w:rPr>
              <w:t>工业建筑的</w:t>
            </w:r>
            <w:r>
              <w:rPr>
                <w:rFonts w:hint="eastAsia" w:ascii="宋体" w:hAnsi="宋体" w:eastAsia="宋体" w:cs="宋体"/>
                <w:color w:val="auto"/>
                <w:sz w:val="21"/>
                <w:szCs w:val="21"/>
                <w:highlight w:val="none"/>
                <w:lang w:val="en-US" w:eastAsia="zh-CN"/>
              </w:rPr>
              <w:t>桩基检测业绩的得5分，满分10分。</w:t>
            </w:r>
          </w:p>
          <w:p w14:paraId="013BD0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须同时提供下列材料原件（或复印件并加盖单位公章）：①中标通知书；②合同；③桩基检测报告，三项材料缺一不可，如上述三项不能够充分有效证明该业绩的金额、项目类型等内容，则须提供建设单位出具的加盖建设单位公章的证明材料。具体时间及金额均以合同为准。】</w:t>
            </w:r>
          </w:p>
        </w:tc>
      </w:tr>
    </w:tbl>
    <w:p w14:paraId="046E8BC2">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 xml:space="preserve">1. </w:t>
      </w:r>
      <w:r>
        <w:rPr>
          <w:rFonts w:hint="eastAsia" w:ascii="宋体" w:hAnsi="宋体" w:eastAsia="宋体" w:cs="宋体"/>
          <w:color w:val="auto"/>
          <w:highlight w:val="none"/>
        </w:rPr>
        <w:t>评标方法</w:t>
      </w:r>
      <w:bookmarkEnd w:id="663"/>
      <w:bookmarkEnd w:id="664"/>
      <w:bookmarkEnd w:id="665"/>
      <w:bookmarkEnd w:id="666"/>
      <w:bookmarkEnd w:id="667"/>
      <w:bookmarkEnd w:id="668"/>
      <w:bookmarkEnd w:id="669"/>
      <w:bookmarkEnd w:id="670"/>
      <w:bookmarkEnd w:id="671"/>
      <w:bookmarkEnd w:id="672"/>
      <w:bookmarkEnd w:id="673"/>
      <w:bookmarkEnd w:id="674"/>
      <w:bookmarkEnd w:id="675"/>
    </w:p>
    <w:p w14:paraId="4249B254">
      <w:pPr>
        <w:snapToGrid w:val="0"/>
        <w:spacing w:line="440" w:lineRule="exact"/>
        <w:ind w:right="252" w:rightChars="120" w:firstLine="420" w:firstLineChars="200"/>
        <w:jc w:val="left"/>
        <w:rPr>
          <w:rFonts w:hint="eastAsia" w:ascii="宋体" w:hAnsi="宋体" w:eastAsia="宋体" w:cs="宋体"/>
          <w:color w:val="auto"/>
          <w:szCs w:val="21"/>
          <w:highlight w:val="none"/>
        </w:rPr>
      </w:pPr>
      <w:bookmarkStart w:id="676" w:name="_Toc35424948"/>
      <w:bookmarkStart w:id="677" w:name="_Toc35425114"/>
      <w:bookmarkStart w:id="678" w:name="_Toc15058914"/>
      <w:bookmarkStart w:id="679" w:name="_Toc11945"/>
      <w:bookmarkStart w:id="680" w:name="_Toc506107325"/>
      <w:bookmarkStart w:id="681" w:name="_Toc324404873"/>
      <w:bookmarkStart w:id="682" w:name="_Toc152042367"/>
      <w:bookmarkStart w:id="683" w:name="_Toc296602478"/>
      <w:bookmarkStart w:id="684" w:name="_Toc247085748"/>
      <w:bookmarkStart w:id="685" w:name="_Toc152045590"/>
      <w:bookmarkStart w:id="686" w:name="_Toc246996233"/>
      <w:bookmarkStart w:id="687" w:name="_Toc179632608"/>
      <w:bookmarkStart w:id="688" w:name="_Toc246996976"/>
      <w:bookmarkStart w:id="689" w:name="_Toc144974557"/>
      <w:r>
        <w:rPr>
          <w:rFonts w:hint="eastAsia" w:ascii="宋体" w:hAnsi="宋体" w:eastAsia="宋体" w:cs="宋体"/>
          <w:color w:val="auto"/>
          <w:szCs w:val="21"/>
          <w:highlight w:val="none"/>
        </w:rPr>
        <w:t>本次评标采用</w:t>
      </w:r>
      <w:r>
        <w:rPr>
          <w:rFonts w:hint="eastAsia" w:ascii="宋体" w:hAnsi="宋体" w:eastAsia="宋体" w:cs="宋体"/>
          <w:color w:val="auto"/>
          <w:szCs w:val="21"/>
          <w:highlight w:val="none"/>
          <w:lang w:val="en-US" w:eastAsia="zh-CN"/>
        </w:rPr>
        <w:t>综合评分法</w:t>
      </w:r>
      <w:r>
        <w:rPr>
          <w:rFonts w:hint="eastAsia" w:ascii="宋体" w:hAnsi="宋体" w:eastAsia="宋体" w:cs="宋体"/>
          <w:color w:val="auto"/>
          <w:szCs w:val="21"/>
          <w:highlight w:val="none"/>
        </w:rPr>
        <w:t>。标委员会对满足招标文件实质性要求的</w:t>
      </w:r>
      <w:bookmarkStart w:id="690" w:name="_Toc60061511"/>
      <w:r>
        <w:rPr>
          <w:rFonts w:hint="eastAsia" w:ascii="宋体" w:hAnsi="宋体" w:eastAsia="宋体" w:cs="宋体"/>
          <w:color w:val="auto"/>
          <w:szCs w:val="21"/>
          <w:highlight w:val="none"/>
        </w:rPr>
        <w:t>投标文件，按照</w:t>
      </w:r>
      <w:bookmarkEnd w:id="690"/>
      <w:r>
        <w:rPr>
          <w:rFonts w:hint="eastAsia" w:ascii="宋体" w:hAnsi="宋体" w:eastAsia="宋体" w:cs="宋体"/>
          <w:color w:val="auto"/>
          <w:szCs w:val="21"/>
          <w:highlight w:val="none"/>
        </w:rPr>
        <w:t>本章规定的评分标准进行打分，并按总得分由高到低顺序推荐</w:t>
      </w:r>
      <w:r>
        <w:rPr>
          <w:rFonts w:hint="eastAsia" w:ascii="宋体" w:hAnsi="宋体" w:eastAsia="宋体" w:cs="宋体"/>
          <w:color w:val="auto"/>
          <w:szCs w:val="21"/>
          <w:highlight w:val="none"/>
          <w:lang w:val="en-US" w:eastAsia="zh-CN"/>
        </w:rPr>
        <w:t>3名</w:t>
      </w:r>
      <w:r>
        <w:rPr>
          <w:rFonts w:hint="eastAsia" w:ascii="宋体" w:hAnsi="宋体" w:eastAsia="宋体" w:cs="宋体"/>
          <w:color w:val="auto"/>
          <w:szCs w:val="21"/>
          <w:highlight w:val="none"/>
        </w:rPr>
        <w:t>中标候选人，并标明排序，但投标报价低于其成本的除外。总得分相等，以投标报价低的优先，投标报价仍相等，由评标委员会或招标人随机抽取确定排名。</w:t>
      </w:r>
    </w:p>
    <w:p w14:paraId="5CF80E1D">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评标委员会的职责</w:t>
      </w:r>
      <w:bookmarkEnd w:id="676"/>
      <w:bookmarkEnd w:id="677"/>
      <w:bookmarkEnd w:id="678"/>
      <w:bookmarkEnd w:id="679"/>
      <w:bookmarkEnd w:id="680"/>
      <w:bookmarkEnd w:id="681"/>
    </w:p>
    <w:p w14:paraId="5E4CBF0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0BC0EF9">
      <w:pPr>
        <w:pStyle w:val="3"/>
        <w:ind w:firstLine="422" w:firstLineChars="200"/>
        <w:rPr>
          <w:rFonts w:eastAsia="宋体"/>
          <w:color w:val="auto"/>
          <w:highlight w:val="none"/>
        </w:rPr>
      </w:pPr>
      <w:r>
        <w:rPr>
          <w:color w:val="auto"/>
          <w:highlight w:val="none"/>
        </w:rPr>
        <w:t xml:space="preserve"> </w:t>
      </w:r>
      <w:r>
        <w:rPr>
          <w:rFonts w:hint="eastAsia" w:ascii="宋体" w:hAnsi="宋体" w:eastAsia="宋体" w:cs="宋体"/>
          <w:b w:val="0"/>
          <w:bCs w:val="0"/>
          <w:color w:val="auto"/>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p>
    <w:p w14:paraId="62C2C7BD">
      <w:pPr>
        <w:pStyle w:val="3"/>
        <w:spacing w:beforeLines="50" w:afterLines="50"/>
        <w:ind w:firstLine="422" w:firstLineChars="200"/>
        <w:rPr>
          <w:rFonts w:ascii="宋体" w:hAnsi="宋体" w:eastAsia="宋体" w:cs="宋体"/>
          <w:color w:val="auto"/>
          <w:highlight w:val="none"/>
        </w:rPr>
      </w:pPr>
      <w:bookmarkStart w:id="691" w:name="_Toc324404874"/>
      <w:bookmarkStart w:id="692" w:name="_Toc506107326"/>
      <w:bookmarkStart w:id="693" w:name="_Toc35425115"/>
      <w:bookmarkStart w:id="694" w:name="_Toc35424949"/>
      <w:bookmarkStart w:id="695" w:name="_Toc15058915"/>
      <w:bookmarkStart w:id="696" w:name="_Toc17377"/>
      <w:r>
        <w:rPr>
          <w:rFonts w:ascii="宋体" w:hAnsi="宋体" w:eastAsia="宋体" w:cs="宋体"/>
          <w:color w:val="auto"/>
          <w:highlight w:val="none"/>
        </w:rPr>
        <w:t>3.</w:t>
      </w:r>
      <w:r>
        <w:rPr>
          <w:rFonts w:hint="eastAsia" w:ascii="宋体" w:hAnsi="宋体" w:eastAsia="宋体" w:cs="宋体"/>
          <w:color w:val="auto"/>
          <w:highlight w:val="none"/>
        </w:rPr>
        <w:t>评标程序</w:t>
      </w:r>
      <w:bookmarkEnd w:id="691"/>
      <w:bookmarkEnd w:id="692"/>
      <w:bookmarkEnd w:id="693"/>
      <w:bookmarkEnd w:id="694"/>
      <w:bookmarkEnd w:id="695"/>
      <w:bookmarkEnd w:id="696"/>
    </w:p>
    <w:p w14:paraId="3D39CDC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评标先做准备工作，先进行评审。</w:t>
      </w:r>
    </w:p>
    <w:p w14:paraId="49F00585">
      <w:pPr>
        <w:pStyle w:val="3"/>
        <w:ind w:firstLine="422" w:firstLineChars="200"/>
        <w:rPr>
          <w:rFonts w:ascii="宋体" w:hAnsi="宋体" w:eastAsia="宋体" w:cs="宋体"/>
          <w:color w:val="auto"/>
          <w:highlight w:val="none"/>
        </w:rPr>
      </w:pPr>
      <w:bookmarkStart w:id="697" w:name="_Toc35425116"/>
      <w:bookmarkStart w:id="698" w:name="_Toc15058916"/>
      <w:bookmarkStart w:id="699" w:name="_Toc35424950"/>
      <w:bookmarkStart w:id="700" w:name="_Toc27389"/>
      <w:r>
        <w:rPr>
          <w:rFonts w:ascii="宋体" w:hAnsi="宋体" w:eastAsia="宋体" w:cs="宋体"/>
          <w:color w:val="auto"/>
          <w:highlight w:val="none"/>
        </w:rPr>
        <w:t>3.1</w:t>
      </w:r>
      <w:r>
        <w:rPr>
          <w:rFonts w:hint="eastAsia" w:ascii="宋体" w:hAnsi="宋体" w:eastAsia="宋体" w:cs="宋体"/>
          <w:color w:val="auto"/>
          <w:highlight w:val="none"/>
        </w:rPr>
        <w:t>评标准备工作</w:t>
      </w:r>
      <w:bookmarkEnd w:id="697"/>
      <w:bookmarkEnd w:id="698"/>
      <w:bookmarkEnd w:id="699"/>
      <w:bookmarkEnd w:id="700"/>
    </w:p>
    <w:p w14:paraId="36F6E39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评标委员会熟悉评标工作情况：</w:t>
      </w:r>
    </w:p>
    <w:p w14:paraId="225D500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）阅读由招标人或者其委托的工程代理机构编制的招标项目情况材料。</w:t>
      </w:r>
    </w:p>
    <w:p w14:paraId="4B91886C">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）阅读、研究招标文件和相关评标资料，获取评标所需要的重要信息和数据，至少应了解和熟悉以下内容：招标项目的范围和性质，招标文件规定的主要技术要求、标准和商务条款。</w:t>
      </w:r>
    </w:p>
    <w:p w14:paraId="3CBA062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）熟悉招标文件规定的评标标准和评标方法及在评标过程中需要考虑的相关因素。</w:t>
      </w:r>
    </w:p>
    <w:p w14:paraId="134B14B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）核对评标工作用表。</w:t>
      </w:r>
    </w:p>
    <w:p w14:paraId="4B00F4B7">
      <w:pPr>
        <w:pStyle w:val="3"/>
        <w:ind w:firstLine="422" w:firstLineChars="200"/>
        <w:rPr>
          <w:rFonts w:ascii="宋体" w:hAnsi="宋体" w:eastAsia="宋体" w:cs="宋体"/>
          <w:color w:val="auto"/>
          <w:highlight w:val="none"/>
        </w:rPr>
      </w:pPr>
      <w:bookmarkStart w:id="701" w:name="_Toc35425118"/>
      <w:bookmarkStart w:id="702" w:name="_Toc11990"/>
      <w:bookmarkStart w:id="703" w:name="_Toc35424952"/>
      <w:bookmarkStart w:id="704" w:name="_Toc17468"/>
      <w:bookmarkStart w:id="705" w:name="_Toc15058918"/>
      <w:bookmarkStart w:id="706" w:name="_Toc15058919"/>
      <w:bookmarkStart w:id="707" w:name="_Toc35425120"/>
      <w:bookmarkStart w:id="708" w:name="_Toc506107327"/>
      <w:bookmarkStart w:id="709" w:name="_Toc12200"/>
      <w:bookmarkStart w:id="710" w:name="_Toc35424954"/>
      <w:bookmarkStart w:id="711" w:name="_Toc324404875"/>
      <w:r>
        <w:rPr>
          <w:rFonts w:ascii="宋体" w:hAnsi="宋体" w:eastAsia="宋体" w:cs="宋体"/>
          <w:color w:val="auto"/>
          <w:highlight w:val="none"/>
        </w:rPr>
        <w:t>3.</w:t>
      </w:r>
      <w:r>
        <w:rPr>
          <w:rFonts w:hint="eastAsia" w:ascii="宋体" w:hAnsi="宋体" w:eastAsia="宋体" w:cs="宋体"/>
          <w:color w:val="auto"/>
          <w:highlight w:val="none"/>
          <w:lang w:val="en-US" w:eastAsia="zh-CN"/>
        </w:rPr>
        <w:t>2投标文件</w:t>
      </w:r>
      <w:r>
        <w:rPr>
          <w:rFonts w:hint="eastAsia" w:ascii="宋体" w:hAnsi="宋体" w:eastAsia="宋体" w:cs="宋体"/>
          <w:color w:val="auto"/>
          <w:highlight w:val="none"/>
        </w:rPr>
        <w:t>评审</w:t>
      </w:r>
      <w:bookmarkEnd w:id="701"/>
      <w:bookmarkEnd w:id="702"/>
      <w:bookmarkEnd w:id="703"/>
      <w:bookmarkEnd w:id="704"/>
      <w:bookmarkEnd w:id="705"/>
    </w:p>
    <w:p w14:paraId="080ED7BD">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详见评审表。</w:t>
      </w:r>
    </w:p>
    <w:p w14:paraId="2B429E12">
      <w:pPr>
        <w:spacing w:line="440" w:lineRule="exact"/>
        <w:ind w:firstLine="422" w:firstLineChars="200"/>
        <w:rPr>
          <w:rFonts w:ascii="宋体" w:cs="宋体"/>
          <w:color w:val="auto"/>
          <w:szCs w:val="21"/>
          <w:highlight w:val="none"/>
        </w:rPr>
      </w:pPr>
      <w:bookmarkStart w:id="712" w:name="_Toc26895"/>
      <w:bookmarkStart w:id="713" w:name="_Toc35425119"/>
      <w:bookmarkStart w:id="714" w:name="_Toc18087"/>
      <w:bookmarkStart w:id="715" w:name="_Toc35424953"/>
      <w:r>
        <w:rPr>
          <w:rStyle w:val="66"/>
          <w:rFonts w:ascii="宋体" w:hAnsi="宋体" w:eastAsia="宋体" w:cs="宋体"/>
          <w:bCs/>
          <w:color w:val="auto"/>
          <w:sz w:val="21"/>
          <w:szCs w:val="32"/>
          <w:highlight w:val="none"/>
        </w:rPr>
        <w:t>3.4</w:t>
      </w:r>
      <w:r>
        <w:rPr>
          <w:rStyle w:val="66"/>
          <w:rFonts w:hint="eastAsia" w:ascii="宋体" w:hAnsi="宋体" w:eastAsia="宋体" w:cs="宋体"/>
          <w:bCs/>
          <w:color w:val="auto"/>
          <w:sz w:val="21"/>
          <w:szCs w:val="32"/>
          <w:highlight w:val="none"/>
        </w:rPr>
        <w:t>推荐中标候选人</w:t>
      </w:r>
      <w:bookmarkEnd w:id="712"/>
      <w:bookmarkEnd w:id="713"/>
      <w:bookmarkEnd w:id="714"/>
      <w:bookmarkEnd w:id="715"/>
      <w:r>
        <w:rPr>
          <w:rFonts w:hint="eastAsia" w:ascii="宋体" w:hAnsi="宋体" w:cs="宋体"/>
          <w:b/>
          <w:bCs/>
          <w:color w:val="auto"/>
          <w:highlight w:val="none"/>
        </w:rPr>
        <w:t>：</w:t>
      </w:r>
      <w:r>
        <w:rPr>
          <w:rFonts w:hint="eastAsia" w:ascii="宋体" w:hAnsi="宋体" w:cs="宋体"/>
          <w:color w:val="auto"/>
          <w:highlight w:val="none"/>
        </w:rPr>
        <w:t>评审后，推荐</w:t>
      </w:r>
      <w:r>
        <w:rPr>
          <w:rFonts w:hint="eastAsia" w:ascii="宋体" w:hAnsi="宋体" w:cs="宋体"/>
          <w:color w:val="auto"/>
          <w:highlight w:val="none"/>
          <w:u w:val="single"/>
          <w:lang w:val="en-US" w:eastAsia="zh-CN"/>
        </w:rPr>
        <w:t>3</w:t>
      </w:r>
      <w:r>
        <w:rPr>
          <w:rFonts w:ascii="宋体" w:hAnsi="宋体" w:cs="宋体"/>
          <w:color w:val="auto"/>
          <w:highlight w:val="none"/>
          <w:u w:val="single"/>
        </w:rPr>
        <w:t xml:space="preserve"> </w:t>
      </w:r>
      <w:r>
        <w:rPr>
          <w:rFonts w:hint="eastAsia" w:ascii="宋体" w:hAnsi="宋体" w:cs="宋体"/>
          <w:color w:val="auto"/>
          <w:highlight w:val="none"/>
        </w:rPr>
        <w:t>名中标候选人，并标明排序。</w:t>
      </w:r>
    </w:p>
    <w:p w14:paraId="605D21C5">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评审内容</w:t>
      </w:r>
      <w:bookmarkEnd w:id="706"/>
      <w:bookmarkEnd w:id="707"/>
      <w:bookmarkEnd w:id="708"/>
      <w:bookmarkEnd w:id="709"/>
      <w:bookmarkEnd w:id="710"/>
      <w:bookmarkEnd w:id="711"/>
    </w:p>
    <w:p w14:paraId="59D2BB87">
      <w:pPr>
        <w:pStyle w:val="3"/>
        <w:ind w:firstLine="422" w:firstLineChars="200"/>
        <w:rPr>
          <w:rFonts w:ascii="宋体" w:hAnsi="宋体" w:eastAsia="宋体" w:cs="宋体"/>
          <w:color w:val="auto"/>
          <w:highlight w:val="none"/>
        </w:rPr>
      </w:pPr>
      <w:bookmarkStart w:id="716" w:name="_Toc35425122"/>
      <w:bookmarkStart w:id="717" w:name="_Toc35424956"/>
      <w:bookmarkStart w:id="718" w:name="_Toc3531"/>
      <w:bookmarkStart w:id="719" w:name="_Toc15058921"/>
      <w:bookmarkStart w:id="720" w:name="_Toc324404876"/>
      <w:r>
        <w:rPr>
          <w:rFonts w:ascii="宋体" w:hAnsi="宋体" w:eastAsia="宋体" w:cs="宋体"/>
          <w:color w:val="auto"/>
          <w:highlight w:val="none"/>
        </w:rPr>
        <w:t>4.</w:t>
      </w:r>
      <w:r>
        <w:rPr>
          <w:rFonts w:hint="eastAsia" w:ascii="宋体" w:hAnsi="宋体" w:eastAsia="宋体" w:cs="宋体"/>
          <w:color w:val="auto"/>
          <w:highlight w:val="none"/>
          <w:lang w:val="en-US" w:eastAsia="zh-CN"/>
        </w:rPr>
        <w:t>1投标文件</w:t>
      </w:r>
      <w:r>
        <w:rPr>
          <w:rFonts w:hint="eastAsia" w:ascii="宋体" w:hAnsi="宋体" w:eastAsia="宋体" w:cs="宋体"/>
          <w:color w:val="auto"/>
          <w:highlight w:val="none"/>
        </w:rPr>
        <w:t>评审</w:t>
      </w:r>
      <w:bookmarkEnd w:id="716"/>
      <w:bookmarkEnd w:id="717"/>
      <w:bookmarkEnd w:id="718"/>
      <w:bookmarkEnd w:id="719"/>
    </w:p>
    <w:p w14:paraId="6ACF378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只有通过</w:t>
      </w:r>
      <w:r>
        <w:rPr>
          <w:rFonts w:hint="eastAsia" w:ascii="宋体" w:hAnsi="宋体" w:cs="宋体"/>
          <w:color w:val="auto"/>
          <w:highlight w:val="none"/>
          <w:lang w:val="en-US" w:eastAsia="zh-CN"/>
        </w:rPr>
        <w:t>资格</w:t>
      </w:r>
      <w:r>
        <w:rPr>
          <w:rFonts w:hint="eastAsia" w:ascii="宋体" w:hAnsi="宋体" w:cs="宋体"/>
          <w:color w:val="auto"/>
          <w:highlight w:val="none"/>
        </w:rPr>
        <w:t>评审的投标才能够进入本阶段评审。</w:t>
      </w:r>
    </w:p>
    <w:p w14:paraId="7D11176E">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.1</w:t>
      </w:r>
      <w:r>
        <w:rPr>
          <w:rFonts w:hint="eastAsia" w:ascii="宋体" w:hAnsi="宋体" w:cs="宋体"/>
          <w:color w:val="auto"/>
          <w:highlight w:val="none"/>
        </w:rPr>
        <w:t>形式性评审标准：见</w:t>
      </w:r>
      <w:r>
        <w:rPr>
          <w:rFonts w:hint="eastAsia" w:ascii="宋体" w:hAnsi="宋体" w:cs="宋体"/>
          <w:color w:val="auto"/>
          <w:highlight w:val="none"/>
          <w:lang w:val="en-US" w:eastAsia="zh-CN"/>
        </w:rPr>
        <w:t>投标文件</w:t>
      </w:r>
      <w:r>
        <w:rPr>
          <w:rFonts w:hint="eastAsia" w:ascii="宋体" w:hAnsi="宋体" w:cs="宋体"/>
          <w:color w:val="auto"/>
          <w:highlight w:val="none"/>
        </w:rPr>
        <w:t>评审表。</w:t>
      </w:r>
    </w:p>
    <w:p w14:paraId="5717920E">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.2</w:t>
      </w:r>
      <w:r>
        <w:rPr>
          <w:rFonts w:hint="eastAsia" w:ascii="宋体" w:hAnsi="宋体" w:cs="宋体"/>
          <w:color w:val="auto"/>
          <w:highlight w:val="none"/>
        </w:rPr>
        <w:t>响应性评审标准：见</w:t>
      </w:r>
      <w:r>
        <w:rPr>
          <w:rFonts w:hint="eastAsia" w:ascii="宋体" w:hAnsi="宋体" w:cs="宋体"/>
          <w:color w:val="auto"/>
          <w:highlight w:val="none"/>
          <w:lang w:val="en-US" w:eastAsia="zh-CN"/>
        </w:rPr>
        <w:t>投标文件</w:t>
      </w:r>
      <w:r>
        <w:rPr>
          <w:rFonts w:hint="eastAsia" w:ascii="宋体" w:hAnsi="宋体" w:cs="宋体"/>
          <w:color w:val="auto"/>
          <w:highlight w:val="none"/>
        </w:rPr>
        <w:t>评审表。</w:t>
      </w:r>
    </w:p>
    <w:p w14:paraId="02B0947A">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49CE7AAC">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.3</w:t>
      </w:r>
      <w:r>
        <w:rPr>
          <w:rFonts w:hint="eastAsia" w:ascii="宋体" w:hAnsi="宋体" w:cs="宋体"/>
          <w:color w:val="auto"/>
          <w:highlight w:val="none"/>
        </w:rPr>
        <w:t>投标报价评审</w:t>
      </w:r>
    </w:p>
    <w:p w14:paraId="6B92244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DFF9DD3">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.4</w:t>
      </w:r>
      <w:r>
        <w:rPr>
          <w:rFonts w:hint="eastAsia" w:ascii="宋体" w:hAnsi="宋体" w:cs="宋体"/>
          <w:color w:val="auto"/>
          <w:highlight w:val="none"/>
        </w:rPr>
        <w:t>评标委员会审查投标文件，投标报价有错误的，评标委员会按以下原则对投标报价进行修正。</w:t>
      </w:r>
    </w:p>
    <w:p w14:paraId="1423B7B4">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）投标文件中的大写金额与小写金额不一致的，以大写金额为准。</w:t>
      </w:r>
    </w:p>
    <w:p w14:paraId="5ED296E6">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）总价金额与依据单价计算出的结果不一致的，以单价金额为准修正总价，但单价金额小数点有明显错误的除外。</w:t>
      </w:r>
    </w:p>
    <w:p w14:paraId="7B0D22D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7188614E">
      <w:pPr>
        <w:pStyle w:val="3"/>
        <w:spacing w:beforeLines="50" w:afterLines="50"/>
        <w:ind w:firstLine="422" w:firstLineChars="200"/>
        <w:rPr>
          <w:rFonts w:ascii="宋体" w:hAnsi="宋体" w:eastAsia="宋体" w:cs="宋体"/>
          <w:color w:val="auto"/>
          <w:highlight w:val="none"/>
        </w:rPr>
      </w:pPr>
      <w:bookmarkStart w:id="721" w:name="_Toc13125"/>
      <w:bookmarkStart w:id="722" w:name="_Toc15058922"/>
      <w:bookmarkStart w:id="723" w:name="_Toc506107328"/>
      <w:bookmarkStart w:id="724" w:name="_Toc35424957"/>
      <w:bookmarkStart w:id="725" w:name="_Toc35425123"/>
      <w:r>
        <w:rPr>
          <w:rFonts w:ascii="宋体" w:hAnsi="宋体" w:eastAsia="宋体" w:cs="宋体"/>
          <w:color w:val="auto"/>
          <w:highlight w:val="none"/>
        </w:rPr>
        <w:t>5.</w:t>
      </w:r>
      <w:r>
        <w:rPr>
          <w:rFonts w:hint="eastAsia" w:ascii="宋体" w:hAnsi="宋体" w:eastAsia="宋体" w:cs="宋体"/>
          <w:color w:val="auto"/>
          <w:highlight w:val="none"/>
        </w:rPr>
        <w:t>无效投标条款</w:t>
      </w:r>
      <w:bookmarkEnd w:id="720"/>
      <w:bookmarkEnd w:id="721"/>
      <w:bookmarkEnd w:id="722"/>
      <w:bookmarkEnd w:id="723"/>
      <w:bookmarkEnd w:id="724"/>
      <w:bookmarkEnd w:id="725"/>
    </w:p>
    <w:p w14:paraId="034D439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投标人存在下列情形的的招标人将拒收投标文件：</w:t>
      </w:r>
    </w:p>
    <w:p w14:paraId="46B3B4C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5CA32BF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所有投标人未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0F97D46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投标人有下列情形的，经评审后其投标作无效投标处理无效投标：</w:t>
      </w:r>
    </w:p>
    <w:p w14:paraId="4534EA2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1投标文件</w:t>
      </w:r>
      <w:r>
        <w:rPr>
          <w:rFonts w:hint="eastAsia" w:ascii="宋体" w:hAnsi="宋体" w:cs="宋体"/>
          <w:color w:val="auto"/>
          <w:szCs w:val="21"/>
          <w:highlight w:val="none"/>
        </w:rPr>
        <w:t>评审</w:t>
      </w:r>
    </w:p>
    <w:p w14:paraId="68717A1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评标委员会依据《评审表》进行形式性评审和响应性评审。有一项不符合评审标准的，做无效投标处理；</w:t>
      </w:r>
    </w:p>
    <w:p w14:paraId="4CA3251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）评审标准中有任何一项不能通过评审的，作无效投标处理。</w:t>
      </w:r>
    </w:p>
    <w:p w14:paraId="4B2EBD7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69D86E1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E984A1E">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）按第三章《评标方法》</w:t>
      </w:r>
      <w:r>
        <w:rPr>
          <w:rFonts w:ascii="宋体" w:hAnsi="宋体" w:cs="宋体"/>
          <w:color w:val="auto"/>
          <w:szCs w:val="21"/>
          <w:highlight w:val="none"/>
        </w:rPr>
        <w:t>4.2.4</w:t>
      </w:r>
      <w:r>
        <w:rPr>
          <w:rFonts w:hint="eastAsia" w:ascii="宋体" w:hAnsi="宋体" w:cs="宋体"/>
          <w:color w:val="auto"/>
          <w:szCs w:val="21"/>
          <w:highlight w:val="none"/>
        </w:rPr>
        <w:t>条款修正错误的原则及方法调整或修正投标文件的投标报价，调整或修正的价格经投标人书面确认后具有约束力。投标人不接修正价格的，其投标将被拒绝。</w:t>
      </w:r>
    </w:p>
    <w:p w14:paraId="2F14874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）第</w:t>
      </w:r>
      <w:r>
        <w:rPr>
          <w:rFonts w:ascii="宋体" w:hAnsi="宋体" w:cs="宋体"/>
          <w:color w:val="auto"/>
          <w:szCs w:val="21"/>
          <w:highlight w:val="none"/>
        </w:rPr>
        <w:t>2</w:t>
      </w:r>
      <w:r>
        <w:rPr>
          <w:rFonts w:hint="eastAsia" w:ascii="宋体" w:hAnsi="宋体" w:cs="宋体"/>
          <w:color w:val="auto"/>
          <w:szCs w:val="21"/>
          <w:highlight w:val="none"/>
        </w:rPr>
        <w:t>章“投标人须知”第</w:t>
      </w:r>
      <w:r>
        <w:rPr>
          <w:rFonts w:ascii="宋体" w:hAnsi="宋体" w:cs="宋体"/>
          <w:color w:val="auto"/>
          <w:szCs w:val="21"/>
          <w:highlight w:val="none"/>
        </w:rPr>
        <w:t>1.4.2,1.4.3</w:t>
      </w:r>
      <w:r>
        <w:rPr>
          <w:rFonts w:hint="eastAsia" w:ascii="宋体" w:hAnsi="宋体" w:cs="宋体"/>
          <w:color w:val="auto"/>
          <w:szCs w:val="21"/>
          <w:highlight w:val="none"/>
        </w:rPr>
        <w:t>条规定的任何一种情形的。</w:t>
      </w:r>
    </w:p>
    <w:p w14:paraId="25F3E3B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）投标人有串通投标、弄虚作假、行贿等违法行为。</w:t>
      </w:r>
    </w:p>
    <w:p w14:paraId="7F882D3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）投标文件没有对招标文件的实质性要求和条件作出响应。</w:t>
      </w:r>
    </w:p>
    <w:p w14:paraId="0F06094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eastAsia="宋体" w:cs="宋体"/>
          <w:color w:val="auto"/>
          <w:szCs w:val="21"/>
          <w:highlight w:val="none"/>
        </w:rPr>
        <w:t>未按规定的格式填写导致实质性内容不全以及实质上不响应，或者关键字迹模糊、无法辨认；经公共资源交易监督部门核准的。</w:t>
      </w:r>
    </w:p>
    <w:p w14:paraId="6973AE7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）同一投标人提交两个以上不同的投标文件或者投标报价，但招标文件规定提交备选投标的除外。</w:t>
      </w:r>
    </w:p>
    <w:p w14:paraId="1519539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）投标文件中存在招标人不能接受的其他实质性条件。</w:t>
      </w:r>
    </w:p>
    <w:p w14:paraId="5BB7FBEC">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）投标文件中填报的拟任项目负责人与资格审查通过的项目负责人前后不一致的。</w:t>
      </w:r>
    </w:p>
    <w:p w14:paraId="314B696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6E8EC881">
      <w:pPr>
        <w:spacing w:line="440" w:lineRule="exact"/>
        <w:ind w:firstLine="420" w:firstLineChars="200"/>
        <w:jc w:val="left"/>
        <w:rPr>
          <w:rFonts w:ascii="宋体" w:hAnsi="宋体" w:cs="宋体"/>
          <w:color w:val="auto"/>
          <w:szCs w:val="21"/>
          <w:highlight w:val="none"/>
        </w:rPr>
      </w:pPr>
      <w:bookmarkStart w:id="726" w:name="_Toc35424958"/>
      <w:bookmarkStart w:id="727" w:name="_Toc27846"/>
      <w:bookmarkStart w:id="728" w:name="_Toc324404877"/>
      <w:bookmarkStart w:id="729" w:name="_Toc35425124"/>
      <w:bookmarkStart w:id="730" w:name="_Toc506107329"/>
      <w:bookmarkStart w:id="731" w:name="_Toc15058923"/>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）投标人单方面出现其他投标人材料。</w:t>
      </w:r>
    </w:p>
    <w:p w14:paraId="6E379B2B">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bCs/>
          <w:color w:val="auto"/>
          <w:sz w:val="21"/>
          <w:szCs w:val="21"/>
          <w:highlight w:val="none"/>
          <w:shd w:val="clear" w:color="auto" w:fill="FFFFFF"/>
        </w:rPr>
        <w:t>投标人联系人或联系电话相同的</w:t>
      </w:r>
      <w:r>
        <w:rPr>
          <w:rFonts w:hint="eastAsia"/>
          <w:bCs/>
          <w:color w:val="auto"/>
          <w:sz w:val="21"/>
          <w:szCs w:val="21"/>
          <w:highlight w:val="none"/>
          <w:shd w:val="clear" w:color="auto" w:fill="FFFFFF"/>
          <w:lang w:eastAsia="zh-CN"/>
        </w:rPr>
        <w:t>。</w:t>
      </w:r>
    </w:p>
    <w:p w14:paraId="5C859A0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）法律、法规规定的其他情形。</w:t>
      </w:r>
    </w:p>
    <w:p w14:paraId="18438550">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6.</w:t>
      </w:r>
      <w:r>
        <w:rPr>
          <w:rFonts w:hint="eastAsia" w:ascii="宋体" w:hAnsi="宋体" w:eastAsia="宋体" w:cs="宋体"/>
          <w:color w:val="auto"/>
          <w:highlight w:val="none"/>
        </w:rPr>
        <w:t>投标文件的澄清和补正</w:t>
      </w:r>
      <w:bookmarkEnd w:id="726"/>
      <w:bookmarkEnd w:id="727"/>
      <w:bookmarkEnd w:id="728"/>
      <w:bookmarkEnd w:id="729"/>
      <w:bookmarkEnd w:id="730"/>
      <w:bookmarkEnd w:id="731"/>
    </w:p>
    <w:p w14:paraId="08C27A6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34CF0CE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14:paraId="79E5D04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14:paraId="7329937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3D1201AD">
      <w:pPr>
        <w:pStyle w:val="3"/>
        <w:spacing w:beforeLines="50" w:afterLines="50"/>
        <w:ind w:firstLine="422" w:firstLineChars="200"/>
        <w:rPr>
          <w:rFonts w:ascii="宋体" w:hAnsi="宋体" w:eastAsia="宋体" w:cs="宋体"/>
          <w:color w:val="auto"/>
          <w:highlight w:val="none"/>
        </w:rPr>
      </w:pPr>
      <w:bookmarkStart w:id="732" w:name="_Toc324404878"/>
      <w:bookmarkStart w:id="733" w:name="_Toc506107330"/>
      <w:bookmarkStart w:id="734" w:name="_Toc15058924"/>
      <w:bookmarkStart w:id="735" w:name="_Toc13990"/>
      <w:bookmarkStart w:id="736" w:name="_Toc35424959"/>
      <w:bookmarkStart w:id="737" w:name="_Toc35425125"/>
      <w:r>
        <w:rPr>
          <w:rFonts w:ascii="宋体" w:hAnsi="宋体" w:eastAsia="宋体" w:cs="宋体"/>
          <w:color w:val="auto"/>
          <w:highlight w:val="none"/>
        </w:rPr>
        <w:t>7.</w:t>
      </w:r>
      <w:r>
        <w:rPr>
          <w:rFonts w:hint="eastAsia" w:ascii="宋体" w:hAnsi="宋体" w:eastAsia="宋体" w:cs="宋体"/>
          <w:color w:val="auto"/>
          <w:highlight w:val="none"/>
        </w:rPr>
        <w:t>评分标准</w:t>
      </w:r>
      <w:bookmarkEnd w:id="732"/>
      <w:bookmarkEnd w:id="733"/>
      <w:bookmarkEnd w:id="734"/>
      <w:bookmarkEnd w:id="735"/>
      <w:bookmarkEnd w:id="736"/>
      <w:bookmarkEnd w:id="737"/>
    </w:p>
    <w:p w14:paraId="0F0282F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评分标准：见评审表。</w:t>
      </w:r>
    </w:p>
    <w:p w14:paraId="4773B319">
      <w:pPr>
        <w:pStyle w:val="3"/>
        <w:spacing w:beforeLines="50" w:afterLines="50"/>
        <w:ind w:firstLine="422" w:firstLineChars="200"/>
        <w:rPr>
          <w:rFonts w:ascii="宋体" w:hAnsi="宋体" w:eastAsia="宋体" w:cs="宋体"/>
          <w:color w:val="auto"/>
          <w:highlight w:val="none"/>
        </w:rPr>
      </w:pPr>
      <w:bookmarkStart w:id="738" w:name="_Toc506107331"/>
      <w:bookmarkStart w:id="739" w:name="_Toc35425126"/>
      <w:bookmarkStart w:id="740" w:name="_Toc35424960"/>
      <w:bookmarkStart w:id="741" w:name="_Toc15058925"/>
      <w:bookmarkStart w:id="742" w:name="_Toc22863"/>
      <w:bookmarkStart w:id="743" w:name="_Toc324404879"/>
      <w:r>
        <w:rPr>
          <w:rFonts w:ascii="宋体" w:hAnsi="宋体" w:eastAsia="宋体" w:cs="宋体"/>
          <w:color w:val="auto"/>
          <w:highlight w:val="none"/>
        </w:rPr>
        <w:t>8.</w:t>
      </w:r>
      <w:r>
        <w:rPr>
          <w:rFonts w:hint="eastAsia" w:ascii="宋体" w:hAnsi="宋体" w:eastAsia="宋体" w:cs="宋体"/>
          <w:color w:val="auto"/>
          <w:highlight w:val="none"/>
        </w:rPr>
        <w:t>评审结果</w:t>
      </w:r>
      <w:bookmarkEnd w:id="738"/>
      <w:bookmarkEnd w:id="739"/>
      <w:bookmarkEnd w:id="740"/>
      <w:bookmarkEnd w:id="741"/>
      <w:bookmarkEnd w:id="742"/>
      <w:bookmarkEnd w:id="743"/>
    </w:p>
    <w:p w14:paraId="7FC5407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8.1</w:t>
      </w:r>
      <w:r>
        <w:rPr>
          <w:rFonts w:hint="eastAsia" w:ascii="宋体" w:hAnsi="宋体" w:cs="宋体"/>
          <w:color w:val="auto"/>
          <w:szCs w:val="21"/>
          <w:highlight w:val="none"/>
        </w:rPr>
        <w:t>除投标人须知前附表授权直接确定中标人外，评标委员会按照总得分由高到低顺序推荐中标候选人。</w:t>
      </w:r>
    </w:p>
    <w:p w14:paraId="333AC544">
      <w:pPr>
        <w:spacing w:line="440" w:lineRule="exact"/>
        <w:ind w:right="-168" w:rightChars="-80" w:firstLine="420" w:firstLineChars="200"/>
        <w:jc w:val="left"/>
        <w:rPr>
          <w:rFonts w:ascii="宋体" w:cs="宋体"/>
          <w:color w:val="auto"/>
          <w:szCs w:val="21"/>
          <w:highlight w:val="none"/>
        </w:rPr>
      </w:pPr>
      <w:r>
        <w:rPr>
          <w:rFonts w:ascii="宋体" w:hAnsi="宋体" w:cs="宋体"/>
          <w:color w:val="auto"/>
          <w:szCs w:val="21"/>
          <w:highlight w:val="none"/>
        </w:rPr>
        <w:t>8.2</w:t>
      </w:r>
      <w:r>
        <w:rPr>
          <w:rFonts w:hint="eastAsia" w:ascii="宋体" w:hAnsi="宋体" w:cs="宋体"/>
          <w:color w:val="auto"/>
          <w:szCs w:val="21"/>
          <w:highlight w:val="none"/>
        </w:rPr>
        <w:t>评标委员会完成评标后，应当向招标人提交书面评标报告。评标报告应当如实记载以下内容：</w:t>
      </w:r>
    </w:p>
    <w:p w14:paraId="0419D70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）基本情况和数据表。</w:t>
      </w:r>
    </w:p>
    <w:p w14:paraId="69D57DE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）评标委员会成员名单。</w:t>
      </w:r>
    </w:p>
    <w:p w14:paraId="3B0D9FC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）开标记录。</w:t>
      </w:r>
    </w:p>
    <w:p w14:paraId="503B4F0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）符合要求的投标人一览表。</w:t>
      </w:r>
    </w:p>
    <w:p w14:paraId="6838360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）废标情况说明。</w:t>
      </w:r>
    </w:p>
    <w:p w14:paraId="0CBCB9E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）评标标准、评标方法或者评标因素。</w:t>
      </w:r>
    </w:p>
    <w:p w14:paraId="3136189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）经评审的价格一览表。</w:t>
      </w:r>
    </w:p>
    <w:p w14:paraId="5010FE9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）经评审的投标人排序。</w:t>
      </w:r>
    </w:p>
    <w:p w14:paraId="59C2D43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）推荐的中标候选人名单与签订合同前要处理的事宜。</w:t>
      </w:r>
    </w:p>
    <w:p w14:paraId="2BB45F9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）澄清、说明、补正事项纪要。</w:t>
      </w:r>
    </w:p>
    <w:p w14:paraId="3813797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8.3</w:t>
      </w:r>
      <w:r>
        <w:rPr>
          <w:rFonts w:hint="eastAsia" w:ascii="宋体" w:hAnsi="宋体" w:cs="宋体"/>
          <w:color w:val="auto"/>
          <w:szCs w:val="21"/>
          <w:highlight w:val="none"/>
        </w:rPr>
        <w:t>评标委员会推荐的中标候选人应当限定在</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名。</w:t>
      </w:r>
    </w:p>
    <w:p w14:paraId="7BFE80B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8.4</w:t>
      </w:r>
      <w:r>
        <w:rPr>
          <w:rFonts w:hint="eastAsia" w:ascii="宋体" w:hAnsi="宋体" w:cs="宋体"/>
          <w:color w:val="auto"/>
          <w:szCs w:val="21"/>
          <w:highlight w:val="none"/>
        </w:rPr>
        <w:t>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C7ED4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74E90935">
      <w:pPr>
        <w:pStyle w:val="3"/>
        <w:spacing w:beforeLines="50" w:afterLines="50"/>
        <w:ind w:firstLine="422" w:firstLineChars="200"/>
        <w:rPr>
          <w:rFonts w:ascii="宋体" w:hAnsi="宋体" w:eastAsia="宋体" w:cs="宋体"/>
          <w:color w:val="auto"/>
          <w:highlight w:val="none"/>
        </w:rPr>
      </w:pPr>
      <w:bookmarkStart w:id="744" w:name="_Toc324404880"/>
      <w:bookmarkStart w:id="745" w:name="_Toc506107332"/>
      <w:bookmarkStart w:id="746" w:name="_Toc35424961"/>
      <w:bookmarkStart w:id="747" w:name="_Toc15058926"/>
      <w:bookmarkStart w:id="748" w:name="_Toc35425127"/>
      <w:bookmarkStart w:id="749" w:name="_Toc1576"/>
      <w:r>
        <w:rPr>
          <w:rFonts w:ascii="宋体" w:hAnsi="宋体" w:eastAsia="宋体" w:cs="宋体"/>
          <w:color w:val="auto"/>
          <w:highlight w:val="none"/>
        </w:rPr>
        <w:t>9.</w:t>
      </w:r>
      <w:r>
        <w:rPr>
          <w:rFonts w:hint="eastAsia" w:ascii="宋体" w:hAnsi="宋体" w:eastAsia="宋体" w:cs="宋体"/>
          <w:color w:val="auto"/>
          <w:highlight w:val="none"/>
        </w:rPr>
        <w:t>其他</w:t>
      </w:r>
      <w:bookmarkEnd w:id="744"/>
      <w:bookmarkEnd w:id="745"/>
      <w:bookmarkEnd w:id="746"/>
      <w:bookmarkEnd w:id="747"/>
      <w:bookmarkEnd w:id="748"/>
      <w:bookmarkEnd w:id="749"/>
    </w:p>
    <w:p w14:paraId="4F5FDA89">
      <w:pPr>
        <w:spacing w:line="440" w:lineRule="exact"/>
        <w:ind w:firstLine="420" w:firstLineChars="200"/>
        <w:jc w:val="left"/>
        <w:rPr>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bookmarkEnd w:id="682"/>
      <w:bookmarkEnd w:id="683"/>
      <w:bookmarkEnd w:id="684"/>
      <w:bookmarkEnd w:id="685"/>
      <w:bookmarkEnd w:id="686"/>
      <w:bookmarkEnd w:id="687"/>
      <w:bookmarkEnd w:id="688"/>
      <w:bookmarkEnd w:id="689"/>
      <w:bookmarkStart w:id="750" w:name="_Toc15058927"/>
      <w:bookmarkStart w:id="751" w:name="_Toc35424962"/>
      <w:bookmarkStart w:id="752" w:name="_Toc506107333"/>
      <w:bookmarkStart w:id="753" w:name="_Toc35425128"/>
      <w:bookmarkStart w:id="754" w:name="_Toc144974826"/>
      <w:bookmarkStart w:id="755" w:name="_Toc152042546"/>
      <w:bookmarkStart w:id="756" w:name="_Toc179632785"/>
      <w:bookmarkStart w:id="757" w:name="_Toc152045767"/>
    </w:p>
    <w:p w14:paraId="095014A7">
      <w:pPr>
        <w:pStyle w:val="2"/>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ascii="仿宋_GB2312" w:eastAsia="仿宋_GB2312"/>
          <w:b/>
          <w:color w:val="auto"/>
          <w:sz w:val="28"/>
          <w:szCs w:val="28"/>
          <w:highlight w:val="none"/>
        </w:rPr>
      </w:pPr>
      <w:r>
        <w:rPr>
          <w:color w:val="auto"/>
          <w:highlight w:val="none"/>
        </w:rPr>
        <w:br w:type="page"/>
      </w:r>
      <w:bookmarkStart w:id="758" w:name="_Toc16404"/>
      <w:r>
        <w:rPr>
          <w:rFonts w:hint="eastAsia" w:ascii="Arial" w:hAnsi="Arial"/>
          <w:color w:val="auto"/>
          <w:kern w:val="0"/>
          <w:sz w:val="32"/>
          <w:szCs w:val="32"/>
          <w:highlight w:val="none"/>
        </w:rPr>
        <w:t>第四章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合同条款及格式</w:t>
      </w:r>
      <w:bookmarkEnd w:id="750"/>
      <w:bookmarkEnd w:id="751"/>
      <w:bookmarkEnd w:id="752"/>
      <w:bookmarkEnd w:id="753"/>
      <w:bookmarkEnd w:id="758"/>
    </w:p>
    <w:bookmarkEnd w:id="754"/>
    <w:bookmarkEnd w:id="755"/>
    <w:bookmarkEnd w:id="756"/>
    <w:bookmarkEnd w:id="757"/>
    <w:p w14:paraId="0999F62D">
      <w:pPr>
        <w:shd w:val="clear" w:color="auto" w:fill="auto"/>
        <w:spacing w:line="360" w:lineRule="auto"/>
        <w:jc w:val="center"/>
        <w:rPr>
          <w:b/>
          <w:color w:val="auto"/>
          <w:sz w:val="28"/>
          <w:szCs w:val="28"/>
          <w:highlight w:val="none"/>
        </w:rPr>
      </w:pPr>
      <w:bookmarkStart w:id="759" w:name="_Toc25461"/>
      <w:bookmarkStart w:id="760" w:name="_Toc9706"/>
      <w:r>
        <w:rPr>
          <w:rFonts w:hint="eastAsia"/>
          <w:b/>
          <w:color w:val="auto"/>
          <w:sz w:val="28"/>
          <w:szCs w:val="28"/>
          <w:highlight w:val="none"/>
        </w:rPr>
        <w:t>第一部分  合同协议书</w:t>
      </w:r>
    </w:p>
    <w:p w14:paraId="3B800FB8">
      <w:pPr>
        <w:keepNext w:val="0"/>
        <w:keepLines w:val="0"/>
        <w:pageBreakBefore w:val="0"/>
        <w:widowControl w:val="0"/>
        <w:shd w:val="clear" w:color="auto" w:fill="auto"/>
        <w:kinsoku/>
        <w:wordWrap/>
        <w:overflowPunct/>
        <w:topLinePunct w:val="0"/>
        <w:autoSpaceDE/>
        <w:autoSpaceDN/>
        <w:bidi w:val="0"/>
        <w:adjustRightInd/>
        <w:spacing w:line="500" w:lineRule="exact"/>
        <w:ind w:right="-216" w:rightChars="-103"/>
        <w:textAlignment w:val="auto"/>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委托人（甲方）：</w:t>
      </w:r>
      <w:r>
        <w:rPr>
          <w:rFonts w:hint="eastAsia" w:ascii="宋体" w:hAnsi="宋体" w:eastAsia="宋体" w:cs="宋体"/>
          <w:color w:val="auto"/>
          <w:szCs w:val="28"/>
          <w:highlight w:val="none"/>
          <w:u w:val="single"/>
        </w:rPr>
        <w:t xml:space="preserve">                             </w:t>
      </w:r>
    </w:p>
    <w:p w14:paraId="3D657AC8">
      <w:pPr>
        <w:keepNext w:val="0"/>
        <w:keepLines w:val="0"/>
        <w:pageBreakBefore w:val="0"/>
        <w:widowControl w:val="0"/>
        <w:shd w:val="clear" w:color="auto" w:fill="auto"/>
        <w:kinsoku/>
        <w:wordWrap/>
        <w:overflowPunct/>
        <w:topLinePunct w:val="0"/>
        <w:autoSpaceDE/>
        <w:autoSpaceDN/>
        <w:bidi w:val="0"/>
        <w:adjustRightInd/>
        <w:spacing w:line="500" w:lineRule="exact"/>
        <w:ind w:right="-216" w:rightChars="-103"/>
        <w:textAlignment w:val="auto"/>
        <w:rPr>
          <w:rFonts w:hint="eastAsia" w:ascii="宋体" w:hAnsi="宋体" w:eastAsia="宋体" w:cs="宋体"/>
          <w:color w:val="auto"/>
          <w:szCs w:val="28"/>
          <w:highlight w:val="none"/>
          <w:u w:val="single"/>
        </w:rPr>
      </w:pPr>
      <w:r>
        <w:rPr>
          <w:rFonts w:hint="eastAsia" w:ascii="宋体" w:hAnsi="宋体" w:eastAsia="宋体" w:cs="宋体"/>
          <w:b/>
          <w:bCs/>
          <w:color w:val="auto"/>
          <w:szCs w:val="28"/>
          <w:highlight w:val="none"/>
        </w:rPr>
        <w:t>受托人（乙方）：</w:t>
      </w:r>
      <w:r>
        <w:rPr>
          <w:rFonts w:hint="eastAsia" w:ascii="宋体" w:hAnsi="宋体" w:eastAsia="宋体" w:cs="宋体"/>
          <w:color w:val="auto"/>
          <w:szCs w:val="28"/>
          <w:highlight w:val="none"/>
          <w:u w:val="single"/>
        </w:rPr>
        <w:t xml:space="preserve">                              </w:t>
      </w:r>
    </w:p>
    <w:p w14:paraId="0728EF80">
      <w:pPr>
        <w:keepNext w:val="0"/>
        <w:keepLines w:val="0"/>
        <w:pageBreakBefore w:val="0"/>
        <w:widowControl w:val="0"/>
        <w:shd w:val="clear" w:color="auto" w:fill="auto"/>
        <w:kinsoku/>
        <w:wordWrap/>
        <w:overflowPunct/>
        <w:topLinePunct w:val="0"/>
        <w:autoSpaceDE/>
        <w:autoSpaceDN/>
        <w:bidi w:val="0"/>
        <w:adjustRightInd/>
        <w:spacing w:line="500" w:lineRule="exact"/>
        <w:ind w:right="-216" w:rightChars="-10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委托人（甲方）</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中所需</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 xml:space="preserve"> 经公开招标，确定</w:t>
      </w:r>
      <w:r>
        <w:rPr>
          <w:rFonts w:hint="eastAsia" w:ascii="宋体" w:hAnsi="宋体" w:eastAsia="宋体" w:cs="宋体"/>
          <w:color w:val="auto"/>
          <w:szCs w:val="21"/>
          <w:highlight w:val="none"/>
          <w:u w:val="single"/>
        </w:rPr>
        <w:t>受托人（乙方）</w:t>
      </w:r>
      <w:r>
        <w:rPr>
          <w:rFonts w:hint="eastAsia" w:ascii="宋体" w:hAnsi="宋体" w:eastAsia="宋体" w:cs="宋体"/>
          <w:color w:val="auto"/>
          <w:szCs w:val="21"/>
          <w:highlight w:val="none"/>
        </w:rPr>
        <w:t>为中标人。按照《中华人民共和国民法典》的规定，买卖双方同意按照下述的条款和条件，签署本合同。</w:t>
      </w:r>
    </w:p>
    <w:p w14:paraId="2E15B1DD">
      <w:pPr>
        <w:keepNext w:val="0"/>
        <w:keepLines w:val="0"/>
        <w:pageBreakBefore w:val="0"/>
        <w:widowControl w:val="0"/>
        <w:shd w:val="clear" w:color="auto" w:fill="auto"/>
        <w:kinsoku/>
        <w:wordWrap/>
        <w:overflowPunct/>
        <w:topLinePunct w:val="0"/>
        <w:autoSpaceDE/>
        <w:autoSpaceDN/>
        <w:bidi w:val="0"/>
        <w:adjustRightInd/>
        <w:spacing w:line="500" w:lineRule="exact"/>
        <w:ind w:firstLine="316" w:firstLineChars="15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第一条  服务的内容、形式和要求  </w:t>
      </w:r>
    </w:p>
    <w:p w14:paraId="3A756997">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1.1 工程名称： </w:t>
      </w:r>
    </w:p>
    <w:p w14:paraId="43B56CE1">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1.2 工程地点： </w:t>
      </w:r>
    </w:p>
    <w:p w14:paraId="0CA1E182">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1.3 工程规模、特征： </w:t>
      </w:r>
    </w:p>
    <w:p w14:paraId="06497E60">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1.4服务内容：</w:t>
      </w:r>
    </w:p>
    <w:p w14:paraId="5EE460EE">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1.5 服务要求</w:t>
      </w:r>
    </w:p>
    <w:p w14:paraId="05E310DF">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乙方须编制切实可行的检测方案经专家评审通过后报招标人及主管部门审批， 并按评审通过后的方案认真检测。乙方对</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负责，否则予以重罚直至终止合同（专家评审费由乙方承担）。</w:t>
      </w:r>
    </w:p>
    <w:p w14:paraId="2B16D059">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乙方拟派</w:t>
      </w:r>
      <w:r>
        <w:rPr>
          <w:rFonts w:hint="eastAsia" w:ascii="宋体" w:hAnsi="宋体" w:eastAsia="宋体" w:cs="宋体"/>
          <w:color w:val="auto"/>
          <w:highlight w:val="none"/>
        </w:rPr>
        <w:t>项目组成员非特殊原因一律不得更换，若确因特殊原因需要更换时，须提前7天提交与拟更换人员具备同等或更高资质的人员报甲方批准，经甲方批准后方可更换。乙方更换项目负责人、其他人员的，均需甲方书面同意且更换人员资格不得低于招标文件要求。未经甲方同意擅自更换视为乙方违约，乙方应向甲方支付违约金，违约金标准为项目负责人</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万元（人民币）/人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各专业技术人员</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试验工程师2万元/人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其他人员1万元/人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次。</w:t>
      </w:r>
      <w:r>
        <w:rPr>
          <w:rFonts w:hint="eastAsia" w:ascii="宋体" w:hAnsi="宋体" w:eastAsia="宋体" w:cs="宋体"/>
          <w:color w:val="auto"/>
          <w:highlight w:val="none"/>
          <w:shd w:val="clear" w:color="auto" w:fill="auto"/>
        </w:rPr>
        <w:t>若招标人提出人员更换要求，</w:t>
      </w:r>
      <w:r>
        <w:rPr>
          <w:rFonts w:hint="eastAsia" w:ascii="宋体" w:hAnsi="宋体" w:eastAsia="宋体" w:cs="宋体"/>
          <w:color w:val="auto"/>
          <w:kern w:val="0"/>
          <w:highlight w:val="none"/>
          <w:shd w:val="clear" w:color="auto" w:fill="auto"/>
        </w:rPr>
        <w:t>中标人</w:t>
      </w:r>
      <w:r>
        <w:rPr>
          <w:rFonts w:hint="eastAsia" w:ascii="宋体" w:hAnsi="宋体" w:eastAsia="宋体" w:cs="宋体"/>
          <w:color w:val="auto"/>
          <w:highlight w:val="none"/>
          <w:shd w:val="clear" w:color="auto" w:fill="auto"/>
        </w:rPr>
        <w:t>应在接到通知的7天内</w:t>
      </w:r>
      <w:r>
        <w:rPr>
          <w:rFonts w:hint="eastAsia" w:ascii="宋体" w:hAnsi="宋体" w:eastAsia="宋体" w:cs="宋体"/>
          <w:color w:val="auto"/>
          <w:highlight w:val="none"/>
          <w:shd w:val="clear" w:color="auto" w:fill="auto"/>
          <w:lang w:val="en-US" w:eastAsia="zh-CN"/>
        </w:rPr>
        <w:t>委派同</w:t>
      </w:r>
      <w:r>
        <w:rPr>
          <w:rFonts w:hint="eastAsia" w:ascii="宋体" w:hAnsi="宋体" w:eastAsia="宋体" w:cs="宋体"/>
          <w:color w:val="auto"/>
          <w:szCs w:val="21"/>
          <w:highlight w:val="none"/>
          <w:shd w:val="clear" w:color="auto" w:fill="auto"/>
        </w:rPr>
        <w:t>等或更高资质的人员</w:t>
      </w:r>
      <w:r>
        <w:rPr>
          <w:rFonts w:hint="eastAsia" w:ascii="宋体" w:hAnsi="宋体" w:eastAsia="宋体" w:cs="宋体"/>
          <w:color w:val="auto"/>
          <w:szCs w:val="21"/>
          <w:highlight w:val="none"/>
          <w:shd w:val="clear" w:color="auto" w:fill="auto"/>
          <w:lang w:val="en-US" w:eastAsia="zh-CN"/>
        </w:rPr>
        <w:t>且经招标人认可</w:t>
      </w:r>
      <w:r>
        <w:rPr>
          <w:rFonts w:hint="eastAsia" w:ascii="宋体" w:hAnsi="宋体" w:eastAsia="宋体" w:cs="宋体"/>
          <w:color w:val="auto"/>
          <w:highlight w:val="none"/>
          <w:shd w:val="clear" w:color="auto" w:fill="auto"/>
        </w:rPr>
        <w:t>，不配合更换视为违约</w:t>
      </w:r>
      <w:r>
        <w:rPr>
          <w:rFonts w:hint="eastAsia" w:ascii="宋体" w:hAnsi="宋体" w:eastAsia="宋体" w:cs="宋体"/>
          <w:color w:val="auto"/>
          <w:szCs w:val="21"/>
          <w:highlight w:val="none"/>
          <w:shd w:val="clear" w:color="auto" w:fill="auto"/>
        </w:rPr>
        <w:t>，乙方应向甲方支付违约金，违约金标准为项目负责人5万元（人民币）/人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shd w:val="clear" w:color="auto" w:fill="auto"/>
        </w:rPr>
        <w:t>次、各专业技术人员、试验工程师 2 万元/人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shd w:val="clear" w:color="auto" w:fill="auto"/>
        </w:rPr>
        <w:t>次、其他人员1万元/人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shd w:val="clear" w:color="auto" w:fill="auto"/>
        </w:rPr>
        <w:t>次</w:t>
      </w:r>
      <w:r>
        <w:rPr>
          <w:rFonts w:hint="eastAsia" w:ascii="宋体" w:hAnsi="宋体" w:eastAsia="宋体" w:cs="宋体"/>
          <w:color w:val="auto"/>
          <w:highlight w:val="none"/>
          <w:shd w:val="clear" w:color="auto" w:fill="auto"/>
        </w:rPr>
        <w:t>。由于更换人员引起的费用由中标人承担。</w:t>
      </w:r>
    </w:p>
    <w:p w14:paraId="54387613">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乙方必须派员随时随地跟踪检测，及时反馈检测结果，以确保施工工序正常开展及工期安排的总体需要。完成</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 xml:space="preserve">指定的工程检测项目的检测。 </w:t>
      </w:r>
    </w:p>
    <w:p w14:paraId="695032A7">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 xml:space="preserve">乙方的试验室须配备工程材料检测所需的所有检测仪器设备及工程实体检测的部分常用仪器设备，同时选派经验丰富并具有相应从业资格的试验检测人员。 </w:t>
      </w:r>
    </w:p>
    <w:p w14:paraId="535D1C52">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乙方须保证其出具的试验检测数据能够准确、及时、真实的反映工程实体质量，并对其出具的所有试验报告负法律责任。乙方的检测结果，应立即以书面形式快报给</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 xml:space="preserve">。 </w:t>
      </w:r>
    </w:p>
    <w:p w14:paraId="7C2F5CA6">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项目开工后，乙方应根据施工、监理及</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共同制定的详细进度计划，细化检测工作计划表，并严格执行；乙方须每周向</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 xml:space="preserve">汇报每周检测内容及下一步工作安排，并向各有关单位发送，以便试验检测工作更好地服务于工程施工。 </w:t>
      </w:r>
    </w:p>
    <w:p w14:paraId="7CC76F26">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乙方相关人员须服从</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的协调与安排，及时完成</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 xml:space="preserve">临时指派的其他检测任务。 </w:t>
      </w:r>
    </w:p>
    <w:p w14:paraId="6D8881EA">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应成立专门的项目组织机构，保证检测范围内的施工现场至少有一名固定的检测人员负责，该人员须保证每日对该现场不少于一次的现场巡视，必须填写现场放置的第三方服务类单位工程日志，做好台账登记，及时完成现场检测和检查工作。项目负责人须保证每周对检测范围内的所有土建施工现场不少于一次的现场巡视，并填写工程日志，做好台账登记。</w:t>
      </w:r>
    </w:p>
    <w:p w14:paraId="4BDC8AA3">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根据工程进度需要，确保各项试验检测工作正常开展，试验、检测工作从以下几个方面进行：</w:t>
      </w:r>
    </w:p>
    <w:p w14:paraId="4780AEC0">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1）乙方须在授权范围内开展检测工作；</w:t>
      </w:r>
    </w:p>
    <w:p w14:paraId="3FD09456">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2）在接到</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的指令后，乙方应于24小时到场，并做好检测前的相应准备工作；</w:t>
      </w:r>
    </w:p>
    <w:p w14:paraId="11FE5A0A">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3）乙方应按</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的要求开展检测工作，在检测完成后24小时内出具检测报告；</w:t>
      </w:r>
    </w:p>
    <w:p w14:paraId="4B8FDF5A">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4）对检测不合格的项目，乙方应于6小时内报告</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w:t>
      </w:r>
    </w:p>
    <w:p w14:paraId="61E85AF7">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乙方所有的检测报告要及时归档、整理，并作为工程质量验收资料。确保配合完成土建施工等相关单位资料组卷、移交工作。</w:t>
      </w:r>
    </w:p>
    <w:p w14:paraId="200078BD">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 xml:space="preserve">乙方须服从发包人的相关管理制度。  </w:t>
      </w:r>
    </w:p>
    <w:p w14:paraId="088DBC16">
      <w:pPr>
        <w:keepNext w:val="0"/>
        <w:keepLines w:val="0"/>
        <w:pageBreakBefore w:val="0"/>
        <w:widowControl w:val="0"/>
        <w:shd w:val="clear" w:color="auto" w:fill="auto"/>
        <w:kinsoku/>
        <w:wordWrap/>
        <w:overflowPunct/>
        <w:topLinePunct w:val="0"/>
        <w:autoSpaceDE/>
        <w:autoSpaceDN/>
        <w:bidi w:val="0"/>
        <w:adjustRightInd/>
        <w:spacing w:line="500" w:lineRule="exact"/>
        <w:ind w:firstLine="316" w:firstLineChars="15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第二条  项目主要人员</w:t>
      </w:r>
    </w:p>
    <w:p w14:paraId="79B88C0B">
      <w:pPr>
        <w:keepNext w:val="0"/>
        <w:keepLines w:val="0"/>
        <w:pageBreakBefore w:val="0"/>
        <w:widowControl w:val="0"/>
        <w:shd w:val="clear" w:color="auto" w:fill="auto"/>
        <w:kinsoku/>
        <w:wordWrap/>
        <w:overflowPunct/>
        <w:topLinePunct w:val="0"/>
        <w:autoSpaceDE/>
        <w:autoSpaceDN/>
        <w:bidi w:val="0"/>
        <w:adjustRightInd/>
        <w:spacing w:line="500" w:lineRule="exact"/>
        <w:ind w:firstLine="316" w:firstLineChars="15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乙方承诺投入检测工作人员</w:t>
      </w:r>
    </w:p>
    <w:tbl>
      <w:tblPr>
        <w:tblStyle w:val="45"/>
        <w:tblW w:w="8312"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488"/>
        <w:gridCol w:w="2000"/>
        <w:gridCol w:w="2182"/>
        <w:gridCol w:w="1886"/>
      </w:tblGrid>
      <w:tr w14:paraId="325A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756" w:type="dxa"/>
            <w:noWrap w:val="0"/>
            <w:vAlign w:val="top"/>
          </w:tcPr>
          <w:p w14:paraId="4C6DE724">
            <w:pPr>
              <w:keepNext w:val="0"/>
              <w:keepLines w:val="0"/>
              <w:pageBreakBefore w:val="0"/>
              <w:widowControl w:val="0"/>
              <w:shd w:val="clear" w:color="auto" w:fill="auto"/>
              <w:kinsoku/>
              <w:wordWrap/>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88" w:type="dxa"/>
            <w:noWrap w:val="0"/>
            <w:vAlign w:val="top"/>
          </w:tcPr>
          <w:p w14:paraId="53C74466">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000" w:type="dxa"/>
            <w:noWrap w:val="0"/>
            <w:vAlign w:val="top"/>
          </w:tcPr>
          <w:p w14:paraId="0A75CAF6">
            <w:pPr>
              <w:keepNext w:val="0"/>
              <w:keepLines w:val="0"/>
              <w:pageBreakBefore w:val="0"/>
              <w:widowControl w:val="0"/>
              <w:shd w:val="clear" w:color="auto" w:fill="auto"/>
              <w:kinsoku/>
              <w:wordWrap/>
              <w:overflowPunct/>
              <w:topLinePunct w:val="0"/>
              <w:autoSpaceDE/>
              <w:autoSpaceDN/>
              <w:bidi w:val="0"/>
              <w:adjustRightInd/>
              <w:spacing w:line="50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w:t>
            </w:r>
          </w:p>
        </w:tc>
        <w:tc>
          <w:tcPr>
            <w:tcW w:w="2182" w:type="dxa"/>
            <w:noWrap w:val="0"/>
            <w:vAlign w:val="top"/>
          </w:tcPr>
          <w:p w14:paraId="400807E1">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w:t>
            </w:r>
          </w:p>
        </w:tc>
        <w:tc>
          <w:tcPr>
            <w:tcW w:w="1886" w:type="dxa"/>
            <w:noWrap w:val="0"/>
            <w:vAlign w:val="top"/>
          </w:tcPr>
          <w:p w14:paraId="29100B32">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0D1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56" w:type="dxa"/>
            <w:noWrap w:val="0"/>
            <w:vAlign w:val="center"/>
          </w:tcPr>
          <w:p w14:paraId="0053480C">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88" w:type="dxa"/>
            <w:noWrap w:val="0"/>
            <w:vAlign w:val="center"/>
          </w:tcPr>
          <w:p w14:paraId="68FA8161">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000" w:type="dxa"/>
            <w:noWrap w:val="0"/>
            <w:vAlign w:val="center"/>
          </w:tcPr>
          <w:p w14:paraId="027AEE98">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2182" w:type="dxa"/>
            <w:noWrap w:val="0"/>
            <w:vAlign w:val="center"/>
          </w:tcPr>
          <w:p w14:paraId="778E37D0">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1886" w:type="dxa"/>
            <w:noWrap w:val="0"/>
            <w:vAlign w:val="top"/>
          </w:tcPr>
          <w:p w14:paraId="575E27B2">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p>
        </w:tc>
      </w:tr>
      <w:tr w14:paraId="6B59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56" w:type="dxa"/>
            <w:noWrap w:val="0"/>
            <w:vAlign w:val="center"/>
          </w:tcPr>
          <w:p w14:paraId="11E7FCC9">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488" w:type="dxa"/>
            <w:noWrap w:val="0"/>
            <w:vAlign w:val="center"/>
          </w:tcPr>
          <w:p w14:paraId="572FF4F0">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000" w:type="dxa"/>
            <w:noWrap w:val="0"/>
            <w:vAlign w:val="center"/>
          </w:tcPr>
          <w:p w14:paraId="48746E7D">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82" w:type="dxa"/>
            <w:noWrap w:val="0"/>
            <w:vAlign w:val="center"/>
          </w:tcPr>
          <w:p w14:paraId="71BF35A7">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1886" w:type="dxa"/>
            <w:noWrap w:val="0"/>
            <w:vAlign w:val="top"/>
          </w:tcPr>
          <w:p w14:paraId="4ED7FF17">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p>
        </w:tc>
      </w:tr>
      <w:tr w14:paraId="0359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56" w:type="dxa"/>
            <w:noWrap w:val="0"/>
            <w:vAlign w:val="center"/>
          </w:tcPr>
          <w:p w14:paraId="0A784A9F">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488" w:type="dxa"/>
            <w:noWrap w:val="0"/>
            <w:vAlign w:val="center"/>
          </w:tcPr>
          <w:p w14:paraId="52E5AEF7">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000" w:type="dxa"/>
            <w:noWrap w:val="0"/>
            <w:vAlign w:val="center"/>
          </w:tcPr>
          <w:p w14:paraId="6EFBE3CD">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182" w:type="dxa"/>
            <w:noWrap w:val="0"/>
            <w:vAlign w:val="center"/>
          </w:tcPr>
          <w:p w14:paraId="72AB82EA">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1886" w:type="dxa"/>
            <w:noWrap w:val="0"/>
            <w:vAlign w:val="top"/>
          </w:tcPr>
          <w:p w14:paraId="03A7E022">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p>
        </w:tc>
      </w:tr>
      <w:tr w14:paraId="2812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56" w:type="dxa"/>
            <w:noWrap w:val="0"/>
            <w:vAlign w:val="center"/>
          </w:tcPr>
          <w:p w14:paraId="3E9A1B0A">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488" w:type="dxa"/>
            <w:noWrap w:val="0"/>
            <w:vAlign w:val="center"/>
          </w:tcPr>
          <w:p w14:paraId="592E1C86">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000" w:type="dxa"/>
            <w:noWrap w:val="0"/>
            <w:vAlign w:val="center"/>
          </w:tcPr>
          <w:p w14:paraId="07227AA9">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182" w:type="dxa"/>
            <w:noWrap w:val="0"/>
            <w:vAlign w:val="center"/>
          </w:tcPr>
          <w:p w14:paraId="02E2C80C">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1886" w:type="dxa"/>
            <w:noWrap w:val="0"/>
            <w:vAlign w:val="top"/>
          </w:tcPr>
          <w:p w14:paraId="53F9DD11">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p>
        </w:tc>
      </w:tr>
      <w:tr w14:paraId="3B99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56" w:type="dxa"/>
            <w:noWrap w:val="0"/>
            <w:vAlign w:val="center"/>
          </w:tcPr>
          <w:p w14:paraId="6A378E2D">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488" w:type="dxa"/>
            <w:noWrap w:val="0"/>
            <w:vAlign w:val="center"/>
          </w:tcPr>
          <w:p w14:paraId="70C04F74">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2000" w:type="dxa"/>
            <w:noWrap w:val="0"/>
            <w:vAlign w:val="center"/>
          </w:tcPr>
          <w:p w14:paraId="4054F2DA">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182" w:type="dxa"/>
            <w:noWrap w:val="0"/>
            <w:vAlign w:val="center"/>
          </w:tcPr>
          <w:p w14:paraId="28C2FA15">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1886" w:type="dxa"/>
            <w:noWrap w:val="0"/>
            <w:vAlign w:val="top"/>
          </w:tcPr>
          <w:p w14:paraId="1FDC9B32">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p>
        </w:tc>
      </w:tr>
    </w:tbl>
    <w:p w14:paraId="51C6A81C">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表2：</w:t>
      </w:r>
      <w:r>
        <w:rPr>
          <w:rFonts w:hint="eastAsia" w:ascii="宋体" w:hAnsi="宋体" w:eastAsia="宋体" w:cs="宋体"/>
          <w:color w:val="auto"/>
          <w:szCs w:val="21"/>
          <w:highlight w:val="none"/>
        </w:rPr>
        <w:t>乙方拟投入的仪器设备</w:t>
      </w:r>
    </w:p>
    <w:tbl>
      <w:tblPr>
        <w:tblStyle w:val="45"/>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787E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42D448F5">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20" w:type="dxa"/>
            <w:noWrap w:val="0"/>
            <w:vAlign w:val="top"/>
          </w:tcPr>
          <w:p w14:paraId="43523F98">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仪器名称</w:t>
            </w:r>
          </w:p>
        </w:tc>
        <w:tc>
          <w:tcPr>
            <w:tcW w:w="1420" w:type="dxa"/>
            <w:noWrap w:val="0"/>
            <w:vAlign w:val="top"/>
          </w:tcPr>
          <w:p w14:paraId="5B9FF077">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型号</w:t>
            </w:r>
          </w:p>
        </w:tc>
        <w:tc>
          <w:tcPr>
            <w:tcW w:w="1420" w:type="dxa"/>
            <w:noWrap w:val="0"/>
            <w:vAlign w:val="top"/>
          </w:tcPr>
          <w:p w14:paraId="396610C2">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生产厂家</w:t>
            </w:r>
          </w:p>
        </w:tc>
        <w:tc>
          <w:tcPr>
            <w:tcW w:w="1421" w:type="dxa"/>
            <w:noWrap w:val="0"/>
            <w:vAlign w:val="top"/>
          </w:tcPr>
          <w:p w14:paraId="54001BC1">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1421" w:type="dxa"/>
            <w:noWrap w:val="0"/>
            <w:vAlign w:val="top"/>
          </w:tcPr>
          <w:p w14:paraId="46FAC6B1">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数量</w:t>
            </w:r>
          </w:p>
        </w:tc>
      </w:tr>
      <w:tr w14:paraId="1E63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4638DC55">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40D3425C">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0362DF5D">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42EE53D0">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01606B2B">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09E22A65">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r>
      <w:tr w14:paraId="5779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57E3F4AD">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1B384DE1">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2F66EB24">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5A0A677D">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33333C7C">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7A695128">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r>
      <w:tr w14:paraId="0D22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4F58F8F0">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034C7759">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4B54ABF7">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3DDFF414">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275C274B">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6D1BF1D6">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r>
      <w:tr w14:paraId="246F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5FC347DF">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324997F1">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default" w:ascii="宋体" w:hAnsi="宋体" w:eastAsia="宋体" w:cs="宋体"/>
                <w:color w:val="auto"/>
                <w:highlight w:val="none"/>
                <w:lang w:val="en-US" w:eastAsia="zh-CN"/>
              </w:rPr>
            </w:pPr>
            <w:r>
              <w:rPr>
                <w:rFonts w:hint="eastAsia" w:hAnsi="宋体" w:cs="宋体"/>
                <w:color w:val="auto"/>
                <w:highlight w:val="none"/>
                <w:lang w:val="en-US" w:eastAsia="zh-CN"/>
              </w:rPr>
              <w:t>......</w:t>
            </w:r>
          </w:p>
        </w:tc>
        <w:tc>
          <w:tcPr>
            <w:tcW w:w="1420" w:type="dxa"/>
            <w:noWrap w:val="0"/>
            <w:vAlign w:val="top"/>
          </w:tcPr>
          <w:p w14:paraId="4298C7E0">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363A1010">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167DCA17">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68C989A7">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r>
    </w:tbl>
    <w:p w14:paraId="2BBBCFB1">
      <w:pPr>
        <w:keepNext w:val="0"/>
        <w:keepLines w:val="0"/>
        <w:pageBreakBefore w:val="0"/>
        <w:widowControl w:val="0"/>
        <w:shd w:val="clear" w:color="auto" w:fill="auto"/>
        <w:kinsoku/>
        <w:wordWrap/>
        <w:overflowPunct/>
        <w:topLinePunct w:val="0"/>
        <w:autoSpaceDE/>
        <w:autoSpaceDN/>
        <w:bidi w:val="0"/>
        <w:adjustRightInd/>
        <w:spacing w:line="500" w:lineRule="exact"/>
        <w:ind w:firstLine="316" w:firstLineChars="15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第三条 试验检测依据</w:t>
      </w:r>
    </w:p>
    <w:p w14:paraId="345CD02C">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3.1 国家和相关行业现行有效的有关标准、规范、规程。</w:t>
      </w:r>
    </w:p>
    <w:p w14:paraId="54F97EE7">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3.2 设计文件及甲方签认的有关技术文件、资料。</w:t>
      </w:r>
    </w:p>
    <w:p w14:paraId="6B5AAE62">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3.3 上述依据若有不一致之处，以对试验检测质量要求最高者为准。</w:t>
      </w:r>
    </w:p>
    <w:p w14:paraId="36C6F61E">
      <w:pPr>
        <w:keepNext w:val="0"/>
        <w:keepLines w:val="0"/>
        <w:pageBreakBefore w:val="0"/>
        <w:widowControl w:val="0"/>
        <w:shd w:val="clear" w:color="auto" w:fill="auto"/>
        <w:kinsoku/>
        <w:wordWrap/>
        <w:overflowPunct/>
        <w:topLinePunct w:val="0"/>
        <w:autoSpaceDE/>
        <w:autoSpaceDN/>
        <w:bidi w:val="0"/>
        <w:adjustRightInd/>
        <w:spacing w:line="500" w:lineRule="exact"/>
        <w:ind w:firstLine="316" w:firstLineChars="15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第四条 履行期限、地点和方式</w:t>
      </w:r>
    </w:p>
    <w:p w14:paraId="59764744">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4.1本合同履行期限：</w:t>
      </w:r>
      <w:r>
        <w:rPr>
          <w:rFonts w:hint="eastAsia" w:ascii="宋体" w:hAnsi="宋体" w:eastAsia="宋体" w:cs="宋体"/>
          <w:color w:val="auto"/>
          <w:highlight w:val="none"/>
          <w:lang w:val="en-US" w:eastAsia="zh-CN"/>
        </w:rPr>
        <w:t>中标单位</w:t>
      </w:r>
      <w:r>
        <w:rPr>
          <w:rFonts w:hint="eastAsia" w:ascii="宋体" w:hAnsi="宋体" w:cs="宋体"/>
          <w:color w:val="auto"/>
          <w:highlight w:val="none"/>
          <w:lang w:val="en-US" w:eastAsia="zh-CN"/>
        </w:rPr>
        <w:t>于每次</w:t>
      </w:r>
      <w:r>
        <w:rPr>
          <w:rFonts w:hint="eastAsia" w:ascii="宋体" w:hAnsi="宋体" w:eastAsia="宋体" w:cs="宋体"/>
          <w:color w:val="auto"/>
          <w:highlight w:val="none"/>
          <w:lang w:val="en-US" w:eastAsia="zh-CN"/>
        </w:rPr>
        <w:t>接到招标单位通知后</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个日历天内完成经监理单位复核确认的全部内容(以合格工程量为准)，并出具正式检测报告。</w:t>
      </w:r>
    </w:p>
    <w:p w14:paraId="3060C3F6">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4.1本合同履行地点：滁州市中新苏滁高新区</w:t>
      </w:r>
    </w:p>
    <w:p w14:paraId="035E840C">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4.2本合同的履行方式：</w:t>
      </w:r>
      <w:r>
        <w:rPr>
          <w:rFonts w:hint="eastAsia" w:ascii="宋体" w:hAnsi="宋体" w:eastAsia="宋体" w:cs="宋体"/>
          <w:color w:val="auto"/>
          <w:sz w:val="21"/>
          <w:szCs w:val="21"/>
          <w:highlight w:val="none"/>
          <w:u w:val="none"/>
          <w:lang w:val="en-US" w:eastAsia="zh-CN"/>
        </w:rPr>
        <w:t>关于桩基检测</w:t>
      </w:r>
      <w:r>
        <w:rPr>
          <w:rFonts w:hint="eastAsia" w:ascii="宋体" w:hAnsi="宋体" w:eastAsia="宋体" w:cs="宋体"/>
          <w:color w:val="auto"/>
          <w:kern w:val="0"/>
          <w:sz w:val="21"/>
          <w:szCs w:val="21"/>
          <w:highlight w:val="none"/>
          <w:lang w:val="en-US" w:eastAsia="zh-CN"/>
        </w:rPr>
        <w:t>（包括但不限于试桩及工程桩的静载、低应变检测等）</w:t>
      </w:r>
      <w:r>
        <w:rPr>
          <w:rFonts w:hint="eastAsia" w:ascii="宋体" w:hAnsi="宋体" w:eastAsia="宋体" w:cs="宋体"/>
          <w:color w:val="auto"/>
          <w:sz w:val="21"/>
          <w:szCs w:val="21"/>
          <w:highlight w:val="none"/>
          <w:u w:val="none"/>
          <w:lang w:val="en-US" w:eastAsia="zh-CN"/>
        </w:rPr>
        <w:t>的</w:t>
      </w:r>
      <w:r>
        <w:rPr>
          <w:rFonts w:hint="eastAsia" w:ascii="宋体" w:hAnsi="宋体" w:eastAsia="宋体" w:cs="宋体"/>
          <w:color w:val="auto"/>
          <w:sz w:val="21"/>
          <w:szCs w:val="21"/>
          <w:highlight w:val="none"/>
          <w:u w:val="none"/>
        </w:rPr>
        <w:t>全部服务。</w:t>
      </w:r>
    </w:p>
    <w:p w14:paraId="1A6662B0">
      <w:pPr>
        <w:keepNext w:val="0"/>
        <w:keepLines w:val="0"/>
        <w:pageBreakBefore w:val="0"/>
        <w:widowControl w:val="0"/>
        <w:numPr>
          <w:ilvl w:val="0"/>
          <w:numId w:val="1"/>
        </w:numPr>
        <w:shd w:val="clear" w:color="auto" w:fill="auto"/>
        <w:kinsoku/>
        <w:wordWrap/>
        <w:overflowPunct/>
        <w:topLinePunct w:val="0"/>
        <w:autoSpaceDE/>
        <w:autoSpaceDN/>
        <w:bidi w:val="0"/>
        <w:adjustRightInd/>
        <w:spacing w:line="500" w:lineRule="exact"/>
        <w:ind w:firstLine="316" w:firstLineChars="15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计价方式、报酬及支付方式</w:t>
      </w:r>
    </w:p>
    <w:p w14:paraId="27899F6D">
      <w:pPr>
        <w:keepNext w:val="0"/>
        <w:keepLines w:val="0"/>
        <w:pageBreakBefore w:val="0"/>
        <w:widowControl w:val="0"/>
        <w:shd w:val="clear" w:color="auto" w:fill="auto"/>
        <w:kinsoku/>
        <w:wordWrap/>
        <w:overflowPunct/>
        <w:topLinePunct w:val="0"/>
        <w:autoSpaceDE/>
        <w:autoSpaceDN/>
        <w:bidi w:val="0"/>
        <w:adjustRightInd/>
        <w:snapToGrid w:val="0"/>
        <w:spacing w:line="500" w:lineRule="exact"/>
        <w:ind w:firstLine="420" w:firstLineChars="200"/>
        <w:textAlignment w:val="auto"/>
        <w:rPr>
          <w:b/>
          <w:bCs/>
          <w:color w:val="auto"/>
          <w:highlight w:val="none"/>
          <w:u w:val="single"/>
        </w:rPr>
      </w:pPr>
      <w:r>
        <w:rPr>
          <w:rFonts w:hint="eastAsia" w:ascii="宋体" w:hAnsi="宋体" w:eastAsia="宋体" w:cs="宋体"/>
          <w:color w:val="auto"/>
          <w:szCs w:val="21"/>
          <w:highlight w:val="none"/>
        </w:rPr>
        <w:t>5.1 本项目合同计价方式：</w:t>
      </w:r>
      <w:r>
        <w:rPr>
          <w:rFonts w:hint="eastAsia" w:ascii="宋体" w:hAnsi="宋体" w:eastAsia="宋体" w:cs="宋体"/>
          <w:b/>
          <w:bCs/>
          <w:color w:val="auto"/>
          <w:szCs w:val="21"/>
          <w:highlight w:val="none"/>
          <w:u w:val="single"/>
        </w:rPr>
        <w:t>固定单价，结算价=∑（</w:t>
      </w:r>
      <w:r>
        <w:rPr>
          <w:rFonts w:hint="eastAsia" w:ascii="宋体" w:hAnsi="宋体" w:cs="宋体"/>
          <w:b/>
          <w:bCs/>
          <w:color w:val="auto"/>
          <w:szCs w:val="21"/>
          <w:highlight w:val="none"/>
          <w:u w:val="single"/>
          <w:lang w:val="en-US" w:eastAsia="zh-CN"/>
        </w:rPr>
        <w:t>中标</w:t>
      </w:r>
      <w:r>
        <w:rPr>
          <w:rFonts w:hint="eastAsia" w:ascii="宋体" w:hAnsi="宋体" w:eastAsia="宋体" w:cs="宋体"/>
          <w:b/>
          <w:bCs/>
          <w:color w:val="auto"/>
          <w:szCs w:val="21"/>
          <w:highlight w:val="none"/>
          <w:u w:val="single"/>
        </w:rPr>
        <w:t>单价*实际检</w:t>
      </w:r>
      <w:r>
        <w:rPr>
          <w:rFonts w:hint="eastAsia" w:ascii="宋体" w:hAnsi="宋体" w:eastAsia="宋体" w:cs="宋体"/>
          <w:b/>
          <w:bCs/>
          <w:color w:val="auto"/>
          <w:szCs w:val="21"/>
          <w:highlight w:val="none"/>
          <w:u w:val="single"/>
          <w:lang w:val="en-US" w:eastAsia="zh-CN"/>
        </w:rPr>
        <w:t>测合格数量</w:t>
      </w:r>
      <w:r>
        <w:rPr>
          <w:rFonts w:hint="eastAsia" w:ascii="宋体" w:hAnsi="宋体" w:eastAsia="宋体" w:cs="宋体"/>
          <w:b/>
          <w:bCs/>
          <w:color w:val="auto"/>
          <w:szCs w:val="21"/>
          <w:highlight w:val="none"/>
          <w:u w:val="single"/>
        </w:rPr>
        <w:t>）</w:t>
      </w:r>
      <w:r>
        <w:rPr>
          <w:rFonts w:hint="eastAsia" w:ascii="宋体" w:hAnsi="宋体" w:cs="宋体"/>
          <w:b/>
          <w:bCs/>
          <w:color w:val="auto"/>
          <w:szCs w:val="21"/>
          <w:highlight w:val="none"/>
          <w:u w:val="single"/>
          <w:lang w:eastAsia="zh-CN"/>
        </w:rPr>
        <w:t>，</w:t>
      </w:r>
      <w:r>
        <w:rPr>
          <w:rFonts w:hint="eastAsia"/>
          <w:b/>
          <w:bCs/>
          <w:color w:val="auto"/>
          <w:highlight w:val="none"/>
          <w:u w:val="single"/>
          <w:lang w:val="en-US" w:eastAsia="zh-CN"/>
        </w:rPr>
        <w:t>超过合同价按合同价进行结算；反之按实结算。如出现同一根桩第一次检测不合格后经整改检测合格情况，只按一根合格工程量结算。</w:t>
      </w:r>
    </w:p>
    <w:p w14:paraId="58A9C1D8">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5.2 本合同检测费为：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附分项报价清单</w:t>
      </w:r>
    </w:p>
    <w:p w14:paraId="06D28D6A">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5.3 支付方式：</w:t>
      </w:r>
      <w:r>
        <w:rPr>
          <w:rFonts w:hint="eastAsia" w:ascii="宋体" w:hAnsi="宋体"/>
          <w:b/>
          <w:bCs/>
          <w:color w:val="auto"/>
          <w:szCs w:val="21"/>
          <w:highlight w:val="none"/>
          <w:u w:val="single"/>
          <w:lang w:val="en-US" w:eastAsia="zh-CN"/>
        </w:rPr>
        <w:t>完成甲方委托的桩基检测的全部内容并提交正式检测报告及整套资料(具体份数须满足招标人实际使用需求)后付至检测费用的70%，主体验收合格，经招标单位确认后一次性无息付清检测费用余款。注:中标单位所提供发票须经招标人认可。 若超过合同总价，以合同总价进行结算；反之按实结算。</w:t>
      </w:r>
    </w:p>
    <w:p w14:paraId="51DA76E2">
      <w:pPr>
        <w:keepNext w:val="0"/>
        <w:keepLines w:val="0"/>
        <w:pageBreakBefore w:val="0"/>
        <w:widowControl w:val="0"/>
        <w:shd w:val="clear" w:color="auto" w:fill="auto"/>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第六条 合同组成部分</w:t>
      </w:r>
    </w:p>
    <w:p w14:paraId="30BC0FD2">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下列文件均为本合同组成部分，是相互说明和相互补充的。如果合同文件之间出现歧</w:t>
      </w:r>
    </w:p>
    <w:p w14:paraId="4FA187D0">
      <w:pPr>
        <w:keepNext w:val="0"/>
        <w:keepLines w:val="0"/>
        <w:pageBreakBefore w:val="0"/>
        <w:widowControl w:val="0"/>
        <w:shd w:val="clear" w:color="auto" w:fill="auto"/>
        <w:kinsoku/>
        <w:wordWrap/>
        <w:overflowPunct/>
        <w:topLinePunct w:val="0"/>
        <w:autoSpaceDE/>
        <w:autoSpaceDN/>
        <w:bidi w:val="0"/>
        <w:adjustRightInd/>
        <w:spacing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义或相互矛盾，按如下顺序进行解释：</w:t>
      </w:r>
    </w:p>
    <w:p w14:paraId="2C91EB80">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w:t>
      </w:r>
    </w:p>
    <w:p w14:paraId="2A41069A">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14:paraId="68D48B6A">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（3）合同条款；</w:t>
      </w:r>
    </w:p>
    <w:p w14:paraId="720F62D0">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（4）招标文件及补疑文件；</w:t>
      </w:r>
    </w:p>
    <w:p w14:paraId="034E02E6">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（5）现行标准、规范及有关技术文件</w:t>
      </w:r>
    </w:p>
    <w:p w14:paraId="3F0F1120">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（6）施工图纸</w:t>
      </w:r>
    </w:p>
    <w:p w14:paraId="6E86E2F5">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（7）合同附件</w:t>
      </w:r>
    </w:p>
    <w:p w14:paraId="43E248D1">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（8）投标文件及澄清文件</w:t>
      </w:r>
    </w:p>
    <w:p w14:paraId="43A0321F">
      <w:pPr>
        <w:keepNext w:val="0"/>
        <w:keepLines w:val="0"/>
        <w:pageBreakBefore w:val="0"/>
        <w:widowControl w:val="0"/>
        <w:shd w:val="clear" w:color="auto" w:fill="auto"/>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rPr>
        <w:t xml:space="preserve">第七条 </w:t>
      </w:r>
      <w:r>
        <w:rPr>
          <w:rFonts w:hint="eastAsia" w:ascii="宋体" w:hAnsi="宋体" w:eastAsia="宋体" w:cs="宋体"/>
          <w:b/>
          <w:color w:val="auto"/>
          <w:highlight w:val="none"/>
          <w:lang w:val="en-US" w:eastAsia="zh-CN"/>
        </w:rPr>
        <w:t>权利与义务</w:t>
      </w:r>
    </w:p>
    <w:p w14:paraId="580F8DA4">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权利与义务</w:t>
      </w:r>
    </w:p>
    <w:p w14:paraId="6F8D7686">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签订合同后向</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提供与本项目有关的图纸、文件及规定，</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应对自己所提供的资料的完整性、正确性及时限性负责；</w:t>
      </w:r>
    </w:p>
    <w:p w14:paraId="04BCE8EF">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应对</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与有关部门的协调工作提供必要的协助与配合；</w:t>
      </w:r>
    </w:p>
    <w:p w14:paraId="45FCDA4F">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lang w:val="en-US" w:eastAsia="zh-CN"/>
        </w:rPr>
        <w:t>对</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的投标文件、检测方案和检测报告</w:t>
      </w:r>
      <w:r>
        <w:rPr>
          <w:rFonts w:hint="eastAsia" w:ascii="宋体" w:hAnsi="宋体" w:eastAsia="宋体" w:cs="宋体"/>
          <w:color w:val="auto"/>
          <w:highlight w:val="none"/>
          <w:lang w:val="en-US" w:eastAsia="zh-CN"/>
        </w:rPr>
        <w:t>负有保密义务</w:t>
      </w:r>
      <w:r>
        <w:rPr>
          <w:rFonts w:hint="eastAsia" w:ascii="宋体" w:hAnsi="宋体" w:eastAsia="宋体" w:cs="宋体"/>
          <w:color w:val="auto"/>
          <w:highlight w:val="none"/>
        </w:rPr>
        <w:t>。未经</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同意，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交付的检测成果、资料及文件不得擅自修改复制或向第三方转让或用于本合同以外的项目；</w:t>
      </w:r>
    </w:p>
    <w:p w14:paraId="79E9DAD2">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应按合同约定按时支付检测费用。</w:t>
      </w:r>
    </w:p>
    <w:p w14:paraId="4AC84CD6">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如对检测试验工作和检验报告持有异议，可随时向</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书面提出，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应组织复查。</w:t>
      </w:r>
    </w:p>
    <w:p w14:paraId="625A0660">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派驻现场的工作人员提供工作生活及交通等条件，由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自行解决，费用已含在投标报价内，不再另行计取支付。</w:t>
      </w:r>
    </w:p>
    <w:p w14:paraId="7E7DC2FE">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权利与义务</w:t>
      </w:r>
    </w:p>
    <w:p w14:paraId="5EF51DDB">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须在项目正式开工前</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个工作日内编制切实可行的检测方案报</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审批，严格按审批后的方案认真检测。</w:t>
      </w:r>
    </w:p>
    <w:p w14:paraId="5674144D">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应只对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负责，否则应向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支付违约金</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万元/次，且</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有权随时单方解除合同并要求</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赔偿超过违约金数额的损失。</w:t>
      </w:r>
    </w:p>
    <w:p w14:paraId="687AA9D1">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检测数量及频率有规范和图纸按规范和图纸要求执行，如无按</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要求执行。如因</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原因造成实际取样数量低于约定比例的，每发现一项，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将收取</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违约金5000元。</w:t>
      </w:r>
    </w:p>
    <w:p w14:paraId="0B296036">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必须及时反馈检测结果，以确保施工工序正常开展及工期安排的总体需要。完成</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指定的检测项目的检测。</w:t>
      </w:r>
    </w:p>
    <w:p w14:paraId="2443B305">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rPr>
        <w:t>须配备工程材料检测所需的检测仪器设备及工程实体检测的部分常用仪器设备，同时选派经验丰富并具有相应从业资格的试验检测人员。</w:t>
      </w:r>
    </w:p>
    <w:p w14:paraId="7D94A2B4">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2.6</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须保证其出具的试验检测数据能够准确、及时、真实的反映工程实体质量，并对其出具的所有试验报告负法律责任。</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的检测结果，应立即以书面形式快报给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w:t>
      </w:r>
    </w:p>
    <w:p w14:paraId="392B037D">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须保证其出具的试验检测数据能够准确、及时、真实的反映工程实体质量，并对其出具的所有试验报告负法律责任。</w:t>
      </w:r>
    </w:p>
    <w:p w14:paraId="5FECDFDA">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相关人员须服从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的协调与安排，及时完成</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临时指派的其他检测任务。</w:t>
      </w:r>
    </w:p>
    <w:p w14:paraId="4825122C">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2.9</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应保护</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可能有的知识产权，不得向第三人泄露、转让</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提交的产品图纸等技术经济资料。如发生以上情况给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造成经济损失的，</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有权向</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索赔。</w:t>
      </w:r>
    </w:p>
    <w:p w14:paraId="05D9041A">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2.10</w:t>
      </w:r>
      <w:r>
        <w:rPr>
          <w:rFonts w:hint="eastAsia" w:ascii="宋体" w:hAnsi="宋体" w:eastAsia="宋体" w:cs="宋体"/>
          <w:color w:val="auto"/>
          <w:highlight w:val="none"/>
        </w:rPr>
        <w:t>检测质量满足国家和行业有关检测规范的要求，如违反国家和行业有关检测规范的要求，所造成的一切损失和责任由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w:t>
      </w:r>
    </w:p>
    <w:p w14:paraId="21B9FC54">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default"/>
          <w:color w:val="auto"/>
          <w:highlight w:val="none"/>
          <w:lang w:val="en-US" w:eastAsia="zh-CN"/>
        </w:rPr>
      </w:pPr>
      <w:r>
        <w:rPr>
          <w:rFonts w:hint="eastAsia" w:ascii="宋体" w:hAnsi="宋体" w:eastAsia="宋体" w:cs="宋体"/>
          <w:color w:val="auto"/>
          <w:highlight w:val="none"/>
          <w:lang w:val="en-US" w:eastAsia="zh-CN"/>
        </w:rPr>
        <w:t>2.11</w:t>
      </w:r>
      <w:r>
        <w:rPr>
          <w:rFonts w:hint="eastAsia" w:ascii="宋体" w:hAnsi="宋体" w:eastAsia="宋体" w:cs="宋体"/>
          <w:color w:val="auto"/>
          <w:highlight w:val="none"/>
        </w:rPr>
        <w:t>若因检测失误引发灾害的经济责任和法律责任由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w:t>
      </w:r>
    </w:p>
    <w:p w14:paraId="570658CE">
      <w:pPr>
        <w:keepNext w:val="0"/>
        <w:keepLines w:val="0"/>
        <w:pageBreakBefore w:val="0"/>
        <w:widowControl w:val="0"/>
        <w:shd w:val="clear" w:color="auto" w:fill="auto"/>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第八条违约责任</w:t>
      </w:r>
    </w:p>
    <w:p w14:paraId="5E4BDD47">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1.甲方违约责任</w:t>
      </w:r>
    </w:p>
    <w:p w14:paraId="3BD16881">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1.1甲方不按本合同支付合同价款，按照逾期支付当日中国人民银行的同期限档次贷款基准利率支付利息，以应付未付金额为基数，该项违约金累计最高不超过合同价款的 1%。</w:t>
      </w:r>
    </w:p>
    <w:p w14:paraId="0A62094F">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2乙方违约责任</w:t>
      </w:r>
    </w:p>
    <w:p w14:paraId="3A50382F">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2.1乙方派驻现场的人员必须是其单位的正式职工，如发现有非其单位正式职工被派驻现场的，每发现一人次乙方须向甲方支付5万元违约金；</w:t>
      </w:r>
    </w:p>
    <w:p w14:paraId="2F894E38">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项目开工后，甲方严格对照投标文件检查乙方单位的履约情况，项目负责人、试验工程师及其他试验检测人员必须在整个施工工期内到位，未经甲方同意，乙方不得随意更换人员，否则甲方有权单方解除合同并要求乙方赔偿损失；若确因特殊原因需要更换时，须提前 7 天提交与拟更换人员具备同等或更高资质的人员报甲方批准，经甲方批准后方可更换。乙方更换项目负责人、其他人员的，均需甲方书面同意且更换人员资格不得低于招标文件要求。未经甲方同意擅自更换视为乙方违约，乙方应向甲方支付违约金，违约金标准为项目负责人5万元（人民币）/人·次，各专业技术人员和试验工程师2万元/人·次，其他人员1万元/人·次。若招标人提出人员更换要求，中标人应在接到通知的7天内委派同等或更高资质的人员且经招标人认可，不配合更换视为违约，乙方应向甲方支付违约金，违约金标准为项目负责人5万元（人民币）/人·次、各专业技术人员、试验工程师 2 万元/人·次、其他人员1万元/人·次。由于更换人员引起的费用由中标人承担。</w:t>
      </w:r>
    </w:p>
    <w:p w14:paraId="09C660AF">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2.3项目负责人必须参加甲方组织的工程会议，确有特殊原因，必须提前向甲方请假并经甲方书面同意，否则每缺席一次乙方支付甲方违约金2000元。</w:t>
      </w:r>
    </w:p>
    <w:p w14:paraId="170BBA60">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若发现乙方发生以下几种情况，甲方将视情节轻重对有关人员提出警告、责令更正、通报批评至逐出现场，乙方还须支付甲方2000元至10万元的违约金，且赔偿甲方遭受的超过违约金数额的损失；构成犯罪的将依法追究刑事责任。</w:t>
      </w:r>
    </w:p>
    <w:p w14:paraId="731BF95A">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（1）乙方人员责任心不强、检测工作不到位，出具错误检测数据或错误鉴定结论，导致工程出现质量问题或发生质量事故，造成经济损失或不良影响的；</w:t>
      </w:r>
    </w:p>
    <w:p w14:paraId="1D30158F">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（2）乙方检测制度不全，检测仪器设备不全，档案资料不按规定存档；</w:t>
      </w:r>
    </w:p>
    <w:p w14:paraId="0DBE612C">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（3）乙方发现有危及工程结构安全和重要使用功能安全的问题时，未及时向甲方报告；</w:t>
      </w:r>
    </w:p>
    <w:p w14:paraId="1091FCB2">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（4）乙方人员利用职权徇私舞弊，牟取私利，收受、索取贿赂，检测频率不满足合</w:t>
      </w:r>
    </w:p>
    <w:p w14:paraId="4506CDA5">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同要求、未及时抽检或漏检，伪造检测数据，与承包商串通欺骗甲方。</w:t>
      </w:r>
    </w:p>
    <w:p w14:paraId="5DDC7BAB">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乙方因自身原因未按期向甲方提交检测成果而延误建设工期，每逾期一天应向甲方支付1000万元违约金；逾期超过5天的，除收取违约金外，甲方还有权单方解除合同。甲方遭受的损失超过违约金的，乙方应予赔偿。</w:t>
      </w:r>
    </w:p>
    <w:p w14:paraId="1BA91447">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2.6乙方应保证所提供的检测报告真实可靠。因乙方检测工作质量问题致甲方及/或任何第三方遭受损害的，乙方应全额赔偿。</w:t>
      </w:r>
    </w:p>
    <w:p w14:paraId="0D578208">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2.7合同生效后，如乙方擅自中途停止履约或解除合同，乙方应向甲方双倍返还已支付的服务费，且赔偿甲方遭受的超过违约金数额的损失。</w:t>
      </w:r>
    </w:p>
    <w:p w14:paraId="50C45416">
      <w:pPr>
        <w:keepNext w:val="0"/>
        <w:keepLines w:val="0"/>
        <w:pageBreakBefore w:val="0"/>
        <w:widowControl w:val="0"/>
        <w:shd w:val="clear" w:color="auto" w:fill="auto"/>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lang w:val="en-US" w:eastAsia="zh-CN"/>
        </w:rPr>
        <w:t xml:space="preserve">第九条 </w:t>
      </w:r>
      <w:r>
        <w:rPr>
          <w:rFonts w:hint="eastAsia" w:ascii="宋体" w:hAnsi="宋体" w:eastAsia="宋体" w:cs="宋体"/>
          <w:color w:val="auto"/>
          <w:highlight w:val="none"/>
        </w:rPr>
        <w:t>本合同经双方签字盖章后即生效。</w:t>
      </w:r>
    </w:p>
    <w:p w14:paraId="2C2B1B63">
      <w:pPr>
        <w:keepNext w:val="0"/>
        <w:keepLines w:val="0"/>
        <w:pageBreakBefore w:val="0"/>
        <w:widowControl w:val="0"/>
        <w:shd w:val="clear" w:color="auto" w:fill="auto"/>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第</w:t>
      </w:r>
      <w:r>
        <w:rPr>
          <w:rFonts w:hint="eastAsia" w:ascii="宋体" w:hAnsi="宋体" w:eastAsia="宋体" w:cs="宋体"/>
          <w:b/>
          <w:color w:val="auto"/>
          <w:highlight w:val="none"/>
          <w:lang w:val="en-US" w:eastAsia="zh-CN"/>
        </w:rPr>
        <w:t>十</w:t>
      </w:r>
      <w:r>
        <w:rPr>
          <w:rFonts w:hint="eastAsia" w:ascii="宋体" w:hAnsi="宋体" w:eastAsia="宋体" w:cs="宋体"/>
          <w:b/>
          <w:color w:val="auto"/>
          <w:highlight w:val="none"/>
        </w:rPr>
        <w:t xml:space="preserve">条 </w:t>
      </w:r>
      <w:r>
        <w:rPr>
          <w:rFonts w:hint="eastAsia" w:ascii="宋体" w:hAnsi="宋体" w:eastAsia="宋体" w:cs="宋体"/>
          <w:color w:val="auto"/>
          <w:highlight w:val="none"/>
        </w:rPr>
        <w:t>因合同及合同有关事项发生的争议，按下列第</w:t>
      </w:r>
      <w:r>
        <w:rPr>
          <w:rFonts w:hint="eastAsia" w:ascii="宋体" w:hAnsi="宋体" w:eastAsia="宋体" w:cs="宋体"/>
          <w:b/>
          <w:color w:val="auto"/>
          <w:highlight w:val="none"/>
          <w:u w:val="single"/>
        </w:rPr>
        <w:t xml:space="preserve">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kern w:val="0"/>
          <w:szCs w:val="21"/>
          <w:highlight w:val="none"/>
          <w:u w:val="single"/>
          <w:shd w:val="clear" w:color="auto" w:fill="auto"/>
        </w:rPr>
        <w:t>（</w:t>
      </w:r>
      <w:r>
        <w:rPr>
          <w:rFonts w:hint="eastAsia" w:ascii="宋体" w:hAnsi="宋体" w:eastAsia="宋体" w:cs="宋体"/>
          <w:color w:val="auto"/>
          <w:kern w:val="0"/>
          <w:szCs w:val="21"/>
          <w:highlight w:val="none"/>
          <w:u w:val="single"/>
          <w:shd w:val="clear" w:color="auto" w:fill="auto"/>
          <w:lang w:val="en-US" w:eastAsia="zh-CN"/>
        </w:rPr>
        <w:t>2</w:t>
      </w:r>
      <w:r>
        <w:rPr>
          <w:rFonts w:hint="eastAsia" w:ascii="宋体" w:hAnsi="宋体" w:eastAsia="宋体" w:cs="宋体"/>
          <w:color w:val="auto"/>
          <w:kern w:val="0"/>
          <w:szCs w:val="21"/>
          <w:highlight w:val="none"/>
          <w:u w:val="single"/>
          <w:shd w:val="clear" w:color="auto" w:fill="auto"/>
        </w:rPr>
        <w:t>）</w:t>
      </w:r>
      <w:r>
        <w:rPr>
          <w:rFonts w:hint="eastAsia" w:ascii="宋体" w:hAnsi="宋体" w:eastAsia="宋体" w:cs="宋体"/>
          <w:color w:val="auto"/>
          <w:kern w:val="0"/>
          <w:szCs w:val="21"/>
          <w:highlight w:val="none"/>
          <w:u w:val="single"/>
          <w:shd w:val="clear" w:color="auto" w:fill="auto"/>
          <w:lang w:val="en-US" w:eastAsia="zh-CN"/>
        </w:rPr>
        <w:t xml:space="preserve"> </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种方式解决：</w:t>
      </w:r>
    </w:p>
    <w:p w14:paraId="7A318DA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（1）向</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shd w:val="clear" w:color="auto" w:fill="auto"/>
        </w:rPr>
        <w:t>滁州</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仲裁委员会申请仲裁；</w:t>
      </w:r>
    </w:p>
    <w:p w14:paraId="4B2EEA5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highlight w:val="none"/>
        </w:rPr>
      </w:pPr>
      <w:r>
        <w:rPr>
          <w:rFonts w:hint="eastAsia" w:ascii="宋体" w:hAnsi="宋体" w:eastAsia="宋体" w:cs="宋体"/>
          <w:color w:val="auto"/>
          <w:highlight w:val="none"/>
        </w:rPr>
        <w:t>（2）向</w:t>
      </w:r>
      <w:r>
        <w:rPr>
          <w:rFonts w:hint="eastAsia" w:ascii="宋体" w:hAnsi="宋体" w:eastAsia="宋体" w:cs="宋体"/>
          <w:color w:val="auto"/>
          <w:szCs w:val="21"/>
          <w:highlight w:val="none"/>
          <w:u w:val="single"/>
          <w:lang w:val="en-US" w:eastAsia="zh-CN"/>
        </w:rPr>
        <w:t>项目所在地南谯区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人民法院起诉。</w:t>
      </w:r>
    </w:p>
    <w:p w14:paraId="07BC776C">
      <w:pPr>
        <w:keepNext w:val="0"/>
        <w:keepLines w:val="0"/>
        <w:pageBreakBefore w:val="0"/>
        <w:widowControl w:val="0"/>
        <w:shd w:val="clear" w:color="auto" w:fill="auto"/>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color w:val="auto"/>
          <w:highlight w:val="none"/>
          <w:lang w:val="zh-CN"/>
        </w:rPr>
      </w:pPr>
      <w:r>
        <w:rPr>
          <w:rFonts w:hint="eastAsia" w:ascii="宋体" w:hAnsi="宋体" w:eastAsia="宋体" w:cs="宋体"/>
          <w:b/>
          <w:color w:val="auto"/>
          <w:highlight w:val="none"/>
          <w:lang w:val="en-US" w:eastAsia="zh-CN"/>
        </w:rPr>
        <w:t xml:space="preserve">第十一条 </w:t>
      </w:r>
      <w:r>
        <w:rPr>
          <w:rFonts w:hint="eastAsia" w:ascii="宋体" w:hAnsi="宋体" w:eastAsia="宋体" w:cs="宋体"/>
          <w:color w:val="auto"/>
          <w:highlight w:val="none"/>
        </w:rPr>
        <w:t>本合同正本  份，甲方和乙方各执  份；副本  份，甲方执  份，乙方执  份。</w:t>
      </w:r>
    </w:p>
    <w:p w14:paraId="382F6B4C">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p>
    <w:p w14:paraId="375D4802">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p>
    <w:p w14:paraId="5582FEFA">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甲方：(盖章)                                     乙方：(盖章)</w:t>
      </w:r>
    </w:p>
    <w:p w14:paraId="514C495F">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                                      法定代表人</w:t>
      </w:r>
    </w:p>
    <w:p w14:paraId="1EC331D2">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或授权代理人：                                  或授权代理人：</w:t>
      </w:r>
    </w:p>
    <w:p w14:paraId="2FA010CD">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                                          地址：</w:t>
      </w:r>
    </w:p>
    <w:p w14:paraId="59708ED4">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邮编：                                          邮编：</w:t>
      </w:r>
    </w:p>
    <w:p w14:paraId="3F68F773">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电话：                                          电话：</w:t>
      </w:r>
    </w:p>
    <w:p w14:paraId="175563A9">
      <w:pPr>
        <w:shd w:val="clear" w:color="auto" w:fill="auto"/>
        <w:spacing w:line="360" w:lineRule="auto"/>
        <w:jc w:val="center"/>
        <w:rPr>
          <w:rFonts w:hint="eastAsia"/>
          <w:b/>
          <w:color w:val="auto"/>
          <w:sz w:val="28"/>
          <w:szCs w:val="28"/>
          <w:highlight w:val="none"/>
        </w:rPr>
      </w:pPr>
    </w:p>
    <w:p w14:paraId="23CB8B12">
      <w:pPr>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highlight w:val="none"/>
        </w:rPr>
      </w:pPr>
    </w:p>
    <w:bookmarkEnd w:id="759"/>
    <w:bookmarkEnd w:id="760"/>
    <w:p w14:paraId="359EA2C8">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both"/>
        <w:textAlignment w:val="auto"/>
        <w:rPr>
          <w:rFonts w:hint="eastAsia" w:ascii="黑体" w:eastAsia="黑体" w:cs="宋体"/>
          <w:b/>
          <w:bCs/>
          <w:color w:val="auto"/>
          <w:sz w:val="28"/>
          <w:szCs w:val="28"/>
          <w:highlight w:val="none"/>
        </w:rPr>
        <w:sectPr>
          <w:footerReference r:id="rId8" w:type="first"/>
          <w:footerReference r:id="rId7" w:type="default"/>
          <w:pgSz w:w="11906" w:h="16838"/>
          <w:pgMar w:top="624" w:right="1191" w:bottom="624" w:left="1077" w:header="680" w:footer="680" w:gutter="0"/>
          <w:pgNumType w:fmt="decimal" w:start="1"/>
          <w:cols w:space="720" w:num="1"/>
          <w:titlePg/>
          <w:docGrid w:type="lines" w:linePitch="312" w:charSpace="0"/>
        </w:sectPr>
      </w:pPr>
    </w:p>
    <w:p w14:paraId="776A5B35">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default" w:eastAsia="宋体"/>
          <w:color w:val="auto"/>
          <w:highlight w:val="none"/>
          <w:lang w:val="en-US" w:eastAsia="zh-CN"/>
        </w:rPr>
      </w:pPr>
      <w:r>
        <w:rPr>
          <w:rFonts w:hint="eastAsia" w:ascii="Arial" w:hAnsi="Arial" w:eastAsia="宋体" w:cs="Times New Roman"/>
          <w:b/>
          <w:bCs/>
          <w:color w:val="auto"/>
          <w:kern w:val="0"/>
          <w:sz w:val="32"/>
          <w:szCs w:val="32"/>
          <w:highlight w:val="none"/>
          <w:lang w:val="en-US" w:eastAsia="zh-CN" w:bidi="ar-SA"/>
        </w:rPr>
        <w:t xml:space="preserve">第五章   </w:t>
      </w:r>
      <w:r>
        <w:rPr>
          <w:rFonts w:hint="eastAsia" w:ascii="Arial" w:hAnsi="Arial" w:cs="Times New Roman"/>
          <w:b/>
          <w:bCs/>
          <w:color w:val="auto"/>
          <w:kern w:val="0"/>
          <w:sz w:val="32"/>
          <w:szCs w:val="32"/>
          <w:highlight w:val="none"/>
          <w:lang w:val="en-US" w:eastAsia="zh-CN" w:bidi="ar-SA"/>
        </w:rPr>
        <w:t>检测</w:t>
      </w:r>
      <w:r>
        <w:rPr>
          <w:rFonts w:hint="eastAsia" w:ascii="Arial" w:hAnsi="Arial" w:eastAsia="宋体" w:cs="Times New Roman"/>
          <w:b/>
          <w:bCs/>
          <w:color w:val="auto"/>
          <w:kern w:val="0"/>
          <w:sz w:val="32"/>
          <w:szCs w:val="32"/>
          <w:highlight w:val="none"/>
          <w:lang w:val="en-US" w:eastAsia="zh-CN" w:bidi="ar-SA"/>
        </w:rPr>
        <w:t>内容和要求</w:t>
      </w:r>
    </w:p>
    <w:p w14:paraId="5720A38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w:t>
      </w:r>
      <w:r>
        <w:rPr>
          <w:rFonts w:hint="eastAsia" w:ascii="宋体" w:hAnsi="宋体" w:eastAsia="宋体" w:cs="宋体"/>
          <w:b/>
          <w:bCs/>
          <w:color w:val="auto"/>
          <w:highlight w:val="none"/>
          <w:lang w:val="en-US" w:eastAsia="zh-CN"/>
        </w:rPr>
        <w:t>检测</w:t>
      </w:r>
      <w:r>
        <w:rPr>
          <w:rFonts w:hint="eastAsia" w:ascii="宋体" w:hAnsi="宋体" w:cs="宋体"/>
          <w:b/>
          <w:bCs/>
          <w:color w:val="auto"/>
          <w:highlight w:val="none"/>
          <w:lang w:val="en-US" w:eastAsia="zh-CN"/>
        </w:rPr>
        <w:t>内容及</w:t>
      </w:r>
      <w:r>
        <w:rPr>
          <w:rFonts w:hint="eastAsia" w:ascii="宋体" w:hAnsi="宋体" w:eastAsia="宋体" w:cs="宋体"/>
          <w:b/>
          <w:bCs/>
          <w:color w:val="auto"/>
          <w:highlight w:val="none"/>
          <w:lang w:val="en-US" w:eastAsia="zh-CN"/>
        </w:rPr>
        <w:t>数量如下表（暂定）：</w:t>
      </w:r>
    </w:p>
    <w:tbl>
      <w:tblPr>
        <w:tblStyle w:val="46"/>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95"/>
        <w:gridCol w:w="765"/>
        <w:gridCol w:w="1440"/>
        <w:gridCol w:w="2100"/>
        <w:gridCol w:w="1380"/>
        <w:gridCol w:w="750"/>
      </w:tblGrid>
      <w:tr w14:paraId="6A3F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68797A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Style w:val="226"/>
                <w:rFonts w:hint="eastAsia" w:ascii="宋体" w:hAnsi="宋体" w:eastAsia="宋体" w:cs="宋体"/>
                <w:b/>
                <w:bCs/>
                <w:color w:val="auto"/>
                <w:sz w:val="21"/>
                <w:szCs w:val="21"/>
                <w:highlight w:val="none"/>
                <w:lang w:val="en-US" w:eastAsia="zh-CN" w:bidi="ar"/>
              </w:rPr>
              <w:t>序号</w:t>
            </w:r>
          </w:p>
        </w:tc>
        <w:tc>
          <w:tcPr>
            <w:tcW w:w="2495" w:type="dxa"/>
            <w:shd w:val="clear" w:color="auto" w:fill="auto"/>
            <w:vAlign w:val="center"/>
          </w:tcPr>
          <w:p w14:paraId="54E58A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Style w:val="226"/>
                <w:rFonts w:hint="eastAsia" w:ascii="宋体" w:hAnsi="宋体" w:eastAsia="宋体" w:cs="宋体"/>
                <w:b/>
                <w:bCs/>
                <w:color w:val="auto"/>
                <w:sz w:val="21"/>
                <w:szCs w:val="21"/>
                <w:highlight w:val="none"/>
                <w:lang w:val="en-US" w:eastAsia="zh-CN" w:bidi="ar"/>
              </w:rPr>
              <w:t>类型</w:t>
            </w:r>
          </w:p>
        </w:tc>
        <w:tc>
          <w:tcPr>
            <w:tcW w:w="765" w:type="dxa"/>
            <w:shd w:val="clear" w:color="auto" w:fill="auto"/>
            <w:vAlign w:val="center"/>
          </w:tcPr>
          <w:p w14:paraId="27CD24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Style w:val="226"/>
                <w:rFonts w:hint="eastAsia" w:ascii="宋体" w:hAnsi="宋体" w:eastAsia="宋体" w:cs="宋体"/>
                <w:b/>
                <w:bCs/>
                <w:color w:val="auto"/>
                <w:sz w:val="21"/>
                <w:szCs w:val="21"/>
                <w:highlight w:val="none"/>
                <w:lang w:val="en-US" w:eastAsia="zh-CN" w:bidi="ar"/>
              </w:rPr>
              <w:t>单位</w:t>
            </w:r>
          </w:p>
        </w:tc>
        <w:tc>
          <w:tcPr>
            <w:tcW w:w="1440" w:type="dxa"/>
            <w:shd w:val="clear" w:color="auto" w:fill="auto"/>
            <w:vAlign w:val="center"/>
          </w:tcPr>
          <w:p w14:paraId="32D017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Style w:val="226"/>
                <w:rFonts w:hint="eastAsia" w:ascii="宋体" w:hAnsi="宋体" w:eastAsia="宋体" w:cs="宋体"/>
                <w:b/>
                <w:bCs/>
                <w:color w:val="auto"/>
                <w:sz w:val="21"/>
                <w:szCs w:val="21"/>
                <w:highlight w:val="none"/>
                <w:lang w:val="en-US" w:eastAsia="zh-CN" w:bidi="ar"/>
              </w:rPr>
              <w:t>数量（暂定）</w:t>
            </w:r>
          </w:p>
        </w:tc>
        <w:tc>
          <w:tcPr>
            <w:tcW w:w="2100" w:type="dxa"/>
            <w:shd w:val="clear" w:color="auto" w:fill="auto"/>
            <w:vAlign w:val="center"/>
          </w:tcPr>
          <w:p w14:paraId="5811A5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Style w:val="226"/>
                <w:rFonts w:hint="eastAsia" w:ascii="宋体" w:hAnsi="宋体" w:eastAsia="宋体" w:cs="宋体"/>
                <w:b/>
                <w:bCs/>
                <w:color w:val="auto"/>
                <w:sz w:val="21"/>
                <w:szCs w:val="21"/>
                <w:highlight w:val="none"/>
                <w:lang w:val="en-US" w:eastAsia="zh-CN" w:bidi="ar"/>
              </w:rPr>
              <w:t>最高综合单价（元）</w:t>
            </w:r>
          </w:p>
        </w:tc>
        <w:tc>
          <w:tcPr>
            <w:tcW w:w="1380" w:type="dxa"/>
            <w:shd w:val="clear" w:color="auto" w:fill="auto"/>
            <w:vAlign w:val="center"/>
          </w:tcPr>
          <w:p w14:paraId="7E8639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Style w:val="226"/>
                <w:rFonts w:hint="eastAsia" w:ascii="宋体" w:hAnsi="宋体" w:eastAsia="宋体" w:cs="宋体"/>
                <w:b/>
                <w:bCs/>
                <w:color w:val="auto"/>
                <w:sz w:val="21"/>
                <w:szCs w:val="21"/>
                <w:highlight w:val="none"/>
                <w:lang w:val="en-US" w:eastAsia="zh-CN" w:bidi="ar"/>
              </w:rPr>
              <w:t>合价（元）</w:t>
            </w:r>
          </w:p>
        </w:tc>
        <w:tc>
          <w:tcPr>
            <w:tcW w:w="750" w:type="dxa"/>
          </w:tcPr>
          <w:p w14:paraId="7D9AAB56">
            <w:pPr>
              <w:pStyle w:val="31"/>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r>
      <w:tr w14:paraId="308C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72BAEE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2495" w:type="dxa"/>
            <w:shd w:val="clear" w:color="auto" w:fill="auto"/>
            <w:vAlign w:val="center"/>
          </w:tcPr>
          <w:p w14:paraId="193831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抗压静载试验、工程桩</w:t>
            </w:r>
          </w:p>
        </w:tc>
        <w:tc>
          <w:tcPr>
            <w:tcW w:w="765" w:type="dxa"/>
            <w:shd w:val="clear" w:color="auto" w:fill="auto"/>
            <w:vAlign w:val="center"/>
          </w:tcPr>
          <w:p w14:paraId="2531C8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440" w:type="dxa"/>
            <w:shd w:val="clear" w:color="auto" w:fill="auto"/>
            <w:vAlign w:val="center"/>
          </w:tcPr>
          <w:p w14:paraId="03136870">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000000"/>
                <w:kern w:val="0"/>
                <w:sz w:val="21"/>
                <w:szCs w:val="21"/>
                <w:u w:val="none"/>
                <w:lang w:val="en-US" w:eastAsia="zh-CN" w:bidi="ar"/>
              </w:rPr>
              <w:t>34470</w:t>
            </w:r>
          </w:p>
        </w:tc>
        <w:tc>
          <w:tcPr>
            <w:tcW w:w="2100" w:type="dxa"/>
            <w:shd w:val="clear" w:color="auto" w:fill="auto"/>
            <w:vAlign w:val="center"/>
          </w:tcPr>
          <w:p w14:paraId="17DD11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80" w:type="dxa"/>
            <w:shd w:val="clear" w:color="auto" w:fill="auto"/>
            <w:vAlign w:val="center"/>
          </w:tcPr>
          <w:p w14:paraId="164A5EAD">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000000"/>
                <w:kern w:val="0"/>
                <w:sz w:val="22"/>
                <w:szCs w:val="22"/>
                <w:u w:val="none"/>
                <w:lang w:val="en-US" w:eastAsia="zh-CN" w:bidi="ar"/>
              </w:rPr>
              <w:t>723870</w:t>
            </w:r>
          </w:p>
        </w:tc>
        <w:tc>
          <w:tcPr>
            <w:tcW w:w="750" w:type="dxa"/>
            <w:shd w:val="clear" w:color="auto" w:fill="auto"/>
            <w:vAlign w:val="top"/>
          </w:tcPr>
          <w:p w14:paraId="58EE4B38">
            <w:pPr>
              <w:pStyle w:val="31"/>
              <w:keepNext w:val="0"/>
              <w:keepLines w:val="0"/>
              <w:pageBreakBefore w:val="0"/>
              <w:kinsoku/>
              <w:wordWrap/>
              <w:overflowPunct/>
              <w:topLinePunct w:val="0"/>
              <w:autoSpaceDE/>
              <w:autoSpaceDN/>
              <w:bidi w:val="0"/>
              <w:adjustRightInd/>
              <w:snapToGrid/>
              <w:spacing w:line="500" w:lineRule="exact"/>
              <w:ind w:left="420" w:leftChars="0" w:hanging="420" w:firstLineChars="0"/>
              <w:rPr>
                <w:rFonts w:hint="eastAsia" w:ascii="宋体" w:hAnsi="宋体" w:eastAsia="宋体" w:cs="宋体"/>
                <w:b/>
                <w:bCs/>
                <w:color w:val="auto"/>
                <w:kern w:val="2"/>
                <w:sz w:val="21"/>
                <w:szCs w:val="21"/>
                <w:highlight w:val="none"/>
                <w:vertAlign w:val="baseline"/>
                <w:lang w:val="en-US" w:eastAsia="zh-CN" w:bidi="ar-SA"/>
              </w:rPr>
            </w:pPr>
          </w:p>
        </w:tc>
      </w:tr>
      <w:tr w14:paraId="5D27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288AA7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2495" w:type="dxa"/>
            <w:shd w:val="clear" w:color="auto" w:fill="auto"/>
            <w:vAlign w:val="center"/>
          </w:tcPr>
          <w:p w14:paraId="2DDE435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抗拔静载试验</w:t>
            </w:r>
            <w:r>
              <w:rPr>
                <w:rFonts w:hint="eastAsia" w:ascii="宋体" w:hAnsi="宋体" w:cs="宋体"/>
                <w:i w:val="0"/>
                <w:iCs w:val="0"/>
                <w:color w:val="auto"/>
                <w:kern w:val="0"/>
                <w:sz w:val="21"/>
                <w:szCs w:val="21"/>
                <w:highlight w:val="none"/>
                <w:u w:val="none"/>
                <w:lang w:val="en-US" w:eastAsia="zh-CN" w:bidi="ar"/>
              </w:rPr>
              <w:t>、工程桩</w:t>
            </w:r>
          </w:p>
        </w:tc>
        <w:tc>
          <w:tcPr>
            <w:tcW w:w="765" w:type="dxa"/>
            <w:shd w:val="clear" w:color="auto" w:fill="auto"/>
            <w:vAlign w:val="center"/>
          </w:tcPr>
          <w:p w14:paraId="6A7DC9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440" w:type="dxa"/>
            <w:shd w:val="clear" w:color="auto" w:fill="auto"/>
            <w:vAlign w:val="center"/>
          </w:tcPr>
          <w:p w14:paraId="13694857">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2100" w:type="dxa"/>
            <w:shd w:val="clear" w:color="auto" w:fill="auto"/>
            <w:vAlign w:val="center"/>
          </w:tcPr>
          <w:p w14:paraId="530C87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1380" w:type="dxa"/>
            <w:shd w:val="clear" w:color="auto" w:fill="auto"/>
            <w:vAlign w:val="center"/>
          </w:tcPr>
          <w:p w14:paraId="63F90527">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000000"/>
                <w:kern w:val="0"/>
                <w:sz w:val="22"/>
                <w:szCs w:val="22"/>
                <w:u w:val="none"/>
                <w:lang w:val="en-US" w:eastAsia="zh-CN" w:bidi="ar"/>
              </w:rPr>
              <w:t>16500</w:t>
            </w:r>
          </w:p>
        </w:tc>
        <w:tc>
          <w:tcPr>
            <w:tcW w:w="750" w:type="dxa"/>
            <w:shd w:val="clear" w:color="auto" w:fill="auto"/>
            <w:vAlign w:val="top"/>
          </w:tcPr>
          <w:p w14:paraId="70C62486">
            <w:pPr>
              <w:pStyle w:val="31"/>
              <w:keepNext w:val="0"/>
              <w:keepLines w:val="0"/>
              <w:pageBreakBefore w:val="0"/>
              <w:kinsoku/>
              <w:wordWrap/>
              <w:overflowPunct/>
              <w:topLinePunct w:val="0"/>
              <w:autoSpaceDE/>
              <w:autoSpaceDN/>
              <w:bidi w:val="0"/>
              <w:adjustRightInd/>
              <w:snapToGrid/>
              <w:spacing w:line="500" w:lineRule="exact"/>
              <w:ind w:left="420" w:leftChars="0" w:hanging="420" w:firstLineChars="0"/>
              <w:rPr>
                <w:rFonts w:hint="eastAsia" w:ascii="宋体" w:hAnsi="宋体" w:eastAsia="宋体" w:cs="宋体"/>
                <w:b/>
                <w:bCs/>
                <w:color w:val="auto"/>
                <w:kern w:val="2"/>
                <w:sz w:val="21"/>
                <w:szCs w:val="21"/>
                <w:highlight w:val="none"/>
                <w:vertAlign w:val="baseline"/>
                <w:lang w:val="en-US" w:eastAsia="zh-CN" w:bidi="ar-SA"/>
              </w:rPr>
            </w:pPr>
          </w:p>
        </w:tc>
      </w:tr>
      <w:tr w14:paraId="5D6F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79BDF1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2495" w:type="dxa"/>
            <w:shd w:val="clear" w:color="auto" w:fill="auto"/>
            <w:vAlign w:val="center"/>
          </w:tcPr>
          <w:p w14:paraId="697E0B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低应变检测</w:t>
            </w:r>
          </w:p>
        </w:tc>
        <w:tc>
          <w:tcPr>
            <w:tcW w:w="765" w:type="dxa"/>
            <w:shd w:val="clear" w:color="auto" w:fill="auto"/>
            <w:vAlign w:val="center"/>
          </w:tcPr>
          <w:p w14:paraId="21153B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440" w:type="dxa"/>
            <w:shd w:val="clear" w:color="auto" w:fill="auto"/>
            <w:vAlign w:val="center"/>
          </w:tcPr>
          <w:p w14:paraId="26D0EA7E">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000000"/>
                <w:kern w:val="0"/>
                <w:sz w:val="21"/>
                <w:szCs w:val="21"/>
                <w:u w:val="none"/>
                <w:lang w:val="en-US" w:eastAsia="zh-CN" w:bidi="ar"/>
              </w:rPr>
              <w:t>2131</w:t>
            </w:r>
          </w:p>
        </w:tc>
        <w:tc>
          <w:tcPr>
            <w:tcW w:w="2100" w:type="dxa"/>
            <w:shd w:val="clear" w:color="auto" w:fill="auto"/>
            <w:vAlign w:val="center"/>
          </w:tcPr>
          <w:p w14:paraId="6A6FE9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0" w:type="dxa"/>
            <w:shd w:val="clear" w:color="auto" w:fill="auto"/>
            <w:vAlign w:val="center"/>
          </w:tcPr>
          <w:p w14:paraId="59E65F31">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000000"/>
                <w:kern w:val="0"/>
                <w:sz w:val="22"/>
                <w:szCs w:val="22"/>
                <w:u w:val="none"/>
                <w:lang w:val="en-US" w:eastAsia="zh-CN" w:bidi="ar"/>
              </w:rPr>
              <w:t>10655</w:t>
            </w:r>
          </w:p>
        </w:tc>
        <w:tc>
          <w:tcPr>
            <w:tcW w:w="750" w:type="dxa"/>
            <w:shd w:val="clear" w:color="auto" w:fill="auto"/>
            <w:vAlign w:val="top"/>
          </w:tcPr>
          <w:p w14:paraId="7BC3AB6A">
            <w:pPr>
              <w:pStyle w:val="31"/>
              <w:keepNext w:val="0"/>
              <w:keepLines w:val="0"/>
              <w:pageBreakBefore w:val="0"/>
              <w:kinsoku/>
              <w:wordWrap/>
              <w:overflowPunct/>
              <w:topLinePunct w:val="0"/>
              <w:autoSpaceDE/>
              <w:autoSpaceDN/>
              <w:bidi w:val="0"/>
              <w:adjustRightInd/>
              <w:snapToGrid/>
              <w:spacing w:line="500" w:lineRule="exact"/>
              <w:ind w:left="420" w:leftChars="0" w:hanging="420" w:firstLineChars="0"/>
              <w:rPr>
                <w:rFonts w:hint="eastAsia" w:ascii="宋体" w:hAnsi="宋体" w:eastAsia="宋体" w:cs="宋体"/>
                <w:b/>
                <w:bCs/>
                <w:color w:val="auto"/>
                <w:kern w:val="2"/>
                <w:sz w:val="21"/>
                <w:szCs w:val="21"/>
                <w:highlight w:val="none"/>
                <w:vertAlign w:val="baseline"/>
                <w:lang w:val="en-US" w:eastAsia="zh-CN" w:bidi="ar-SA"/>
              </w:rPr>
            </w:pPr>
          </w:p>
        </w:tc>
      </w:tr>
      <w:tr w14:paraId="74A5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204" w:type="dxa"/>
            <w:gridSpan w:val="2"/>
          </w:tcPr>
          <w:p w14:paraId="40337E58">
            <w:pPr>
              <w:pStyle w:val="31"/>
              <w:keepNext w:val="0"/>
              <w:keepLines w:val="0"/>
              <w:pageBreakBefore w:val="0"/>
              <w:kinsoku/>
              <w:wordWrap/>
              <w:overflowPunct/>
              <w:topLinePunct w:val="0"/>
              <w:autoSpaceDE/>
              <w:autoSpaceDN/>
              <w:bidi w:val="0"/>
              <w:adjustRightInd/>
              <w:snapToGrid/>
              <w:spacing w:line="500" w:lineRule="exact"/>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最高投标限价</w:t>
            </w:r>
          </w:p>
        </w:tc>
        <w:tc>
          <w:tcPr>
            <w:tcW w:w="6435" w:type="dxa"/>
            <w:gridSpan w:val="5"/>
          </w:tcPr>
          <w:p w14:paraId="3202D3F2">
            <w:pPr>
              <w:pStyle w:val="31"/>
              <w:keepNext w:val="0"/>
              <w:keepLines w:val="0"/>
              <w:pageBreakBefore w:val="0"/>
              <w:kinsoku/>
              <w:wordWrap/>
              <w:overflowPunct/>
              <w:topLinePunct w:val="0"/>
              <w:autoSpaceDE/>
              <w:autoSpaceDN/>
              <w:bidi w:val="0"/>
              <w:adjustRightInd/>
              <w:snapToGrid/>
              <w:spacing w:line="500" w:lineRule="exact"/>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柒拾伍万壹仟零贰拾伍元整</w:t>
            </w:r>
            <w:r>
              <w:rPr>
                <w:rFonts w:hint="eastAsia" w:ascii="宋体" w:hAnsi="宋体" w:eastAsia="宋体" w:cs="宋体"/>
                <w:b/>
                <w:bCs/>
                <w:color w:val="auto"/>
                <w:sz w:val="21"/>
                <w:szCs w:val="21"/>
                <w:highlight w:val="none"/>
                <w:vertAlign w:val="baseline"/>
                <w:lang w:val="en-US" w:eastAsia="zh-CN"/>
              </w:rPr>
              <w:t>（</w:t>
            </w:r>
            <w:r>
              <w:rPr>
                <w:rFonts w:hint="eastAsia" w:ascii="宋体" w:hAnsi="宋体" w:cs="宋体"/>
                <w:b/>
                <w:bCs/>
                <w:color w:val="auto"/>
                <w:sz w:val="21"/>
                <w:szCs w:val="21"/>
                <w:highlight w:val="none"/>
                <w:vertAlign w:val="baseline"/>
                <w:lang w:val="en-US" w:eastAsia="zh-CN"/>
              </w:rPr>
              <w:t>751025.00</w:t>
            </w:r>
            <w:r>
              <w:rPr>
                <w:rFonts w:hint="eastAsia" w:ascii="宋体" w:hAnsi="宋体" w:eastAsia="宋体" w:cs="宋体"/>
                <w:b/>
                <w:bCs/>
                <w:color w:val="auto"/>
                <w:sz w:val="21"/>
                <w:szCs w:val="21"/>
                <w:highlight w:val="none"/>
                <w:vertAlign w:val="baseline"/>
                <w:lang w:val="en-US" w:eastAsia="zh-CN"/>
              </w:rPr>
              <w:t>元）</w:t>
            </w:r>
          </w:p>
        </w:tc>
      </w:tr>
    </w:tbl>
    <w:p w14:paraId="097BD3E4">
      <w:pPr>
        <w:pStyle w:val="42"/>
        <w:spacing w:beforeLines="50" w:afterLines="50" w:line="440" w:lineRule="exact"/>
        <w:rPr>
          <w:rFonts w:hint="eastAsia" w:ascii="宋体" w:hAnsi="宋体" w:eastAsia="宋体" w:cs="宋体"/>
          <w:b/>
          <w:bCs/>
          <w:color w:val="auto"/>
          <w:kern w:val="2"/>
          <w:sz w:val="21"/>
          <w:szCs w:val="24"/>
          <w:highlight w:val="none"/>
          <w:lang w:val="en-US" w:eastAsia="zh-CN" w:bidi="ar-SA"/>
        </w:rPr>
      </w:pPr>
      <w:bookmarkStart w:id="761" w:name="_Toc35425136"/>
      <w:bookmarkStart w:id="762" w:name="_Toc324404888"/>
      <w:bookmarkStart w:id="763" w:name="_Toc506107340"/>
      <w:bookmarkStart w:id="764" w:name="_Toc152042575"/>
      <w:bookmarkStart w:id="765" w:name="_Toc144974855"/>
      <w:bookmarkStart w:id="766" w:name="_Toc15058934"/>
      <w:bookmarkStart w:id="767" w:name="_Toc152045786"/>
      <w:bookmarkStart w:id="768" w:name="_Toc246996354"/>
      <w:bookmarkStart w:id="769" w:name="_Toc246997097"/>
      <w:bookmarkStart w:id="770" w:name="_Toc247085872"/>
      <w:bookmarkStart w:id="771" w:name="_Toc179632806"/>
      <w:bookmarkStart w:id="772" w:name="_Toc16786"/>
      <w:bookmarkStart w:id="773" w:name="_Toc35424970"/>
      <w:r>
        <w:rPr>
          <w:rFonts w:hint="eastAsia" w:ascii="宋体" w:hAnsi="宋体" w:eastAsia="宋体" w:cs="宋体"/>
          <w:b/>
          <w:bCs/>
          <w:color w:val="auto"/>
          <w:kern w:val="2"/>
          <w:sz w:val="21"/>
          <w:szCs w:val="24"/>
          <w:highlight w:val="none"/>
          <w:lang w:val="en-US" w:eastAsia="zh-CN" w:bidi="ar-SA"/>
        </w:rPr>
        <w:t>注：1.如出现同一根桩第一次检测不合格后经整改检测合格情况，只按一根合格工程量结算。</w:t>
      </w:r>
    </w:p>
    <w:p w14:paraId="58295888">
      <w:pPr>
        <w:pStyle w:val="44"/>
        <w:numPr>
          <w:ilvl w:val="0"/>
          <w:numId w:val="0"/>
        </w:numPr>
        <w:ind w:firstLine="632" w:firstLineChars="300"/>
        <w:rPr>
          <w:rFonts w:hint="eastAsia" w:hAnsi="宋体" w:cs="宋体"/>
          <w:b/>
          <w:bCs/>
          <w:color w:val="auto"/>
          <w:highlight w:val="none"/>
          <w:lang w:val="en-US" w:eastAsia="zh-CN"/>
        </w:rPr>
      </w:pPr>
      <w:r>
        <w:rPr>
          <w:rFonts w:hint="eastAsia" w:hAnsi="宋体" w:cs="宋体"/>
          <w:b/>
          <w:bCs/>
          <w:color w:val="auto"/>
          <w:highlight w:val="none"/>
          <w:lang w:val="en-US" w:eastAsia="zh-CN"/>
        </w:rPr>
        <w:t>2.</w:t>
      </w:r>
      <w:r>
        <w:rPr>
          <w:rFonts w:hint="eastAsia" w:ascii="宋体" w:hAnsi="宋体" w:cs="宋体"/>
          <w:b/>
          <w:bCs/>
          <w:color w:val="auto"/>
          <w:highlight w:val="none"/>
          <w:lang w:val="en-US" w:eastAsia="zh-CN"/>
        </w:rPr>
        <w:t>项结算时，具体以实际检测合格的数量为准</w:t>
      </w:r>
      <w:r>
        <w:rPr>
          <w:rFonts w:hint="eastAsia" w:hAnsi="宋体" w:cs="宋体"/>
          <w:b/>
          <w:bCs/>
          <w:color w:val="auto"/>
          <w:highlight w:val="none"/>
          <w:lang w:val="en-US" w:eastAsia="zh-CN"/>
        </w:rPr>
        <w:t>。</w:t>
      </w:r>
    </w:p>
    <w:p w14:paraId="05236D9A">
      <w:pPr>
        <w:widowControl w:val="0"/>
        <w:numPr>
          <w:ilvl w:val="0"/>
          <w:numId w:val="0"/>
        </w:numPr>
        <w:jc w:val="both"/>
        <w:rPr>
          <w:rFonts w:hint="default"/>
          <w:lang w:val="en-US" w:eastAsia="zh-CN"/>
        </w:rPr>
      </w:pPr>
      <w:r>
        <w:rPr>
          <w:rFonts w:hint="eastAsia"/>
          <w:lang w:val="en-US" w:eastAsia="zh-CN"/>
        </w:rPr>
        <w:t>桩基明细如下表：</w:t>
      </w:r>
    </w:p>
    <w:tbl>
      <w:tblPr>
        <w:tblStyle w:val="45"/>
        <w:tblW w:w="10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516"/>
        <w:gridCol w:w="416"/>
        <w:gridCol w:w="1927"/>
        <w:gridCol w:w="667"/>
        <w:gridCol w:w="660"/>
        <w:gridCol w:w="720"/>
        <w:gridCol w:w="750"/>
        <w:gridCol w:w="675"/>
        <w:gridCol w:w="615"/>
        <w:gridCol w:w="795"/>
        <w:gridCol w:w="690"/>
        <w:gridCol w:w="660"/>
        <w:gridCol w:w="735"/>
        <w:gridCol w:w="660"/>
      </w:tblGrid>
      <w:tr w14:paraId="4460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B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C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楼栋号</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1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桩长</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D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桩型</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9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单桩抗压承载力特征值（KN）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3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单桩抗压承载力极限值（KN）</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D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3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工程桩数量(根）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D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抗压工程桩检测桩数量(根）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7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抗压试桩工程量(根）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2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抗拔桩检测桩数量(根）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C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抗拔试桩工程量(根）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E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工程桩检测重量（T)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A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试桩检测重量（T)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9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低应变(根）</w:t>
            </w:r>
          </w:p>
        </w:tc>
      </w:tr>
      <w:tr w14:paraId="59B8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4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7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F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6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E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C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3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D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3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B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C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5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7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C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0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4468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6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C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8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B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(PHC500AB100-9)+(PHC500AB100-9)+a     (PHC500AB100-10)+(PHC500AB100-9)+a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4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0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3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3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2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D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A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1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2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1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E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14:paraId="3C03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6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B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F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9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9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1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4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7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C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3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5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9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0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9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5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14:paraId="0D95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8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8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0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0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0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9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4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7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F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A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5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4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9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2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E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14:paraId="4DDC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0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5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C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E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2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C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9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D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2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F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C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C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4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9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7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14:paraId="6661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9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2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9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5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C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C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E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8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7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2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7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3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E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6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C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14:paraId="7649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1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8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1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2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8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D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0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0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B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6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7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9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2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C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14:paraId="3068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A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C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6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7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D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3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A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6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8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6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F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2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8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8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B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r>
      <w:tr w14:paraId="71BE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1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6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B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(PHC500AB100-10)+(PHC500AB100-10)+a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F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8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9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9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3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8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7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9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9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8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B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r>
      <w:tr w14:paraId="4864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F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5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7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0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B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A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5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3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A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0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F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A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0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5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5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14:paraId="4632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6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4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3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3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(PHC500AB100-10)+(PHC500AB100-10)+a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3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6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9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D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D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6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7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B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E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9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B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14:paraId="3C99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A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7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B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6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3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B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B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7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3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2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3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D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F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4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D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14:paraId="1A78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6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6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F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F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(PHC500AB100-10)+(PHC500AB100-10)+a     (PHC500AB100-11)+(PHC500AB100-10)+a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7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7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8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5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E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B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C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4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F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3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D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136F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3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4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C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E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B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0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4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7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B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6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F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A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A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3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8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r>
      <w:tr w14:paraId="30A2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5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9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1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2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F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8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C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E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7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2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5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3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8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9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0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r>
      <w:tr w14:paraId="2F6C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D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2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D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(PHC500AB100-10)+(PHC500AB100-10)+a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B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C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5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B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4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4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B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C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9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4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3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4F52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A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D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3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C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(PHC500AB100-10)+(PHC500AB100-10)+a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5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7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0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0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E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B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1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D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6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9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4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3499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C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A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7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4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F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6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8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9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7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2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2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C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9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2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3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r>
      <w:tr w14:paraId="6046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F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1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A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2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4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D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9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0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2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E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6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6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A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3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5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r>
      <w:tr w14:paraId="22E5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0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2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A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D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(PHC500AB100-10)+(PHC500AB100-10)+a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2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F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6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8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9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C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B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B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C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5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3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06AE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5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0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7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7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(PHC500AB100-10)+(PHC500AB100-10)+a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8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2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B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F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5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D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3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3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4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B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6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3593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3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6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F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8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E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E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2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0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0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A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3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3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8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2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4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r>
      <w:tr w14:paraId="799F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4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B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4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1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3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7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D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6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E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4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1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0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E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B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2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r>
      <w:tr w14:paraId="119E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9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0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A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2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(PHC500AB100-10)+(PHC500AB100-10)+a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A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6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2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B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D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5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4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8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5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C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3A9A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7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4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B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2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(PHC500AB100-10)+(PHC500AB100-10)+a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B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C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B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F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9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B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0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3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4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A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2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08A7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C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F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C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A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9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1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5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F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4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C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9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D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C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B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63C3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D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1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0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8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A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D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8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6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E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E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3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6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7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C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27CE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2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1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D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B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(PHC500AB120-9)+(PHC500AB120-11)+a     (PHC500AB120-11)+(PHC500AB120-9)+a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1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4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6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抗压兼抗拔桩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1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9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0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B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1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8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4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C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r>
      <w:tr w14:paraId="6F96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14FD">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A9AC">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8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3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(PHC500AB120-9)+(PHC500AB120-11)+a     (PHC500AB120-11)+(PHC500AB120-9)+a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1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2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1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抗压兼抗拔桩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1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161F">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DAC5">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BEA5">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E4A7">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A9CB">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5089">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A1B3">
            <w:pPr>
              <w:jc w:val="center"/>
              <w:rPr>
                <w:rFonts w:hint="eastAsia" w:ascii="宋体" w:hAnsi="宋体" w:eastAsia="宋体" w:cs="宋体"/>
                <w:i w:val="0"/>
                <w:iCs w:val="0"/>
                <w:color w:val="000000"/>
                <w:sz w:val="20"/>
                <w:szCs w:val="20"/>
                <w:u w:val="none"/>
              </w:rPr>
            </w:pPr>
          </w:p>
        </w:tc>
      </w:tr>
      <w:tr w14:paraId="04C8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2084">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4573">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B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2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(PHC500AB120-10)+(PHC500AB120-8)+a     (PHC500AB120-8)+(PHC500AB120-10)+a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6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2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3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抗压兼抗拔桩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8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8A2C">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48B4">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73B0">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7EDF">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5E0E">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0178">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80F1">
            <w:pPr>
              <w:jc w:val="center"/>
              <w:rPr>
                <w:rFonts w:hint="eastAsia" w:ascii="宋体" w:hAnsi="宋体" w:eastAsia="宋体" w:cs="宋体"/>
                <w:i w:val="0"/>
                <w:iCs w:val="0"/>
                <w:color w:val="000000"/>
                <w:sz w:val="20"/>
                <w:szCs w:val="20"/>
                <w:u w:val="none"/>
              </w:rPr>
            </w:pPr>
          </w:p>
        </w:tc>
      </w:tr>
      <w:tr w14:paraId="0A07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4B3A">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28D7">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E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0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(PHC500AB120-10)+(PHC500AB120-8)+a     (PHC500AB120-8)+(PHC500AB120-10)+a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5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D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8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抗压兼抗拔桩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4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B1B3">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92FC">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4CB7">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8D46">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F41A">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EB7C">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908E">
            <w:pPr>
              <w:jc w:val="center"/>
              <w:rPr>
                <w:rFonts w:hint="eastAsia" w:ascii="宋体" w:hAnsi="宋体" w:eastAsia="宋体" w:cs="宋体"/>
                <w:i w:val="0"/>
                <w:iCs w:val="0"/>
                <w:color w:val="000000"/>
                <w:sz w:val="20"/>
                <w:szCs w:val="20"/>
                <w:u w:val="none"/>
              </w:rPr>
            </w:pPr>
          </w:p>
        </w:tc>
      </w:tr>
      <w:tr w14:paraId="23AB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33FB">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E1F6">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5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A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(PHC500AB120-9)+(PHC500AB120-8)+a     (PHC500AB120-8)+(PHC500AB120-9)+a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0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C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2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抗压兼抗拔桩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F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4220">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7738">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95A3">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3D0E">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1A03">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AB13">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4F45">
            <w:pPr>
              <w:jc w:val="center"/>
              <w:rPr>
                <w:rFonts w:hint="eastAsia" w:ascii="宋体" w:hAnsi="宋体" w:eastAsia="宋体" w:cs="宋体"/>
                <w:i w:val="0"/>
                <w:iCs w:val="0"/>
                <w:color w:val="000000"/>
                <w:sz w:val="20"/>
                <w:szCs w:val="20"/>
                <w:u w:val="none"/>
              </w:rPr>
            </w:pPr>
          </w:p>
        </w:tc>
      </w:tr>
      <w:tr w14:paraId="671A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740C">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345E">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8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4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(PHC500AB120-9)+(PHC500AB120-8)+a     (PHC500AB120-8)+(PHC500AB120-9)+a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4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B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2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抗压兼抗拔桩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6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61A3">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4F28">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0CAA">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90F9">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4CF9">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2570">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A093">
            <w:pPr>
              <w:jc w:val="center"/>
              <w:rPr>
                <w:rFonts w:hint="eastAsia" w:ascii="宋体" w:hAnsi="宋体" w:eastAsia="宋体" w:cs="宋体"/>
                <w:i w:val="0"/>
                <w:iCs w:val="0"/>
                <w:color w:val="000000"/>
                <w:sz w:val="20"/>
                <w:szCs w:val="20"/>
                <w:u w:val="none"/>
              </w:rPr>
            </w:pPr>
          </w:p>
        </w:tc>
      </w:tr>
      <w:tr w14:paraId="23BC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993C">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051E">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4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6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(PHC500AB120-9)+(PHC500AB120-8)+a     (PHC500AB120-8)+(PHC500AB120-9)+a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0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F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3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抗压兼抗拔桩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0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21C1">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2DE2">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DC6A">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A5D9">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AD17">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22A1">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3EA9">
            <w:pPr>
              <w:jc w:val="center"/>
              <w:rPr>
                <w:rFonts w:hint="eastAsia" w:ascii="宋体" w:hAnsi="宋体" w:eastAsia="宋体" w:cs="宋体"/>
                <w:i w:val="0"/>
                <w:iCs w:val="0"/>
                <w:color w:val="000000"/>
                <w:sz w:val="20"/>
                <w:szCs w:val="20"/>
                <w:u w:val="none"/>
              </w:rPr>
            </w:pPr>
          </w:p>
        </w:tc>
      </w:tr>
      <w:tr w14:paraId="7C35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22EA">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B5B4">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4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2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(PHC500AB120-9)+(PHC500AB120-11)+a     (PHC500AB120-11)+(PHC500AB120-9)+a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3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E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0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抗压兼抗拔桩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F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B247">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B340">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A25B">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7725">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54D6">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2699">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42C5">
            <w:pPr>
              <w:jc w:val="center"/>
              <w:rPr>
                <w:rFonts w:hint="eastAsia" w:ascii="宋体" w:hAnsi="宋体" w:eastAsia="宋体" w:cs="宋体"/>
                <w:i w:val="0"/>
                <w:iCs w:val="0"/>
                <w:color w:val="000000"/>
                <w:sz w:val="20"/>
                <w:szCs w:val="20"/>
                <w:u w:val="none"/>
              </w:rPr>
            </w:pPr>
          </w:p>
        </w:tc>
      </w:tr>
      <w:tr w14:paraId="62F2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2F79">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45FD">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C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3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(PHC500AB120-9)+(PHC500AB120-8)+a     (PHC500AB120-8)+(PHC500AB120-9)+a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1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F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B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抗压兼抗拔桩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E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9D72">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649E">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877C">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BE03">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B7DD">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BBCC">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12B9">
            <w:pPr>
              <w:jc w:val="center"/>
              <w:rPr>
                <w:rFonts w:hint="eastAsia" w:ascii="宋体" w:hAnsi="宋体" w:eastAsia="宋体" w:cs="宋体"/>
                <w:i w:val="0"/>
                <w:iCs w:val="0"/>
                <w:color w:val="000000"/>
                <w:sz w:val="20"/>
                <w:szCs w:val="20"/>
                <w:u w:val="none"/>
              </w:rPr>
            </w:pPr>
          </w:p>
        </w:tc>
      </w:tr>
      <w:tr w14:paraId="130A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8156">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1E2A">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F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9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(PHC500AB120-11)+(PHC500AB120-8)+a     (PHC500AB120-8)+(PHC500AB120-11)+a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8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6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2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抗压兼抗拔桩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6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781E">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9851">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2243">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CD9B">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2CB2">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16D1">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A2E9">
            <w:pPr>
              <w:jc w:val="center"/>
              <w:rPr>
                <w:rFonts w:hint="eastAsia" w:ascii="宋体" w:hAnsi="宋体" w:eastAsia="宋体" w:cs="宋体"/>
                <w:i w:val="0"/>
                <w:iCs w:val="0"/>
                <w:color w:val="000000"/>
                <w:sz w:val="20"/>
                <w:szCs w:val="20"/>
                <w:u w:val="none"/>
              </w:rPr>
            </w:pPr>
          </w:p>
        </w:tc>
      </w:tr>
      <w:tr w14:paraId="2517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291">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D12F">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6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9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(PHC500AB120-11)+(PHC500AB120-8)+a     (PHC500AB120-8)+(PHC500AB120-11)+a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5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7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1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抗压兼抗拔桩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D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689A">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D95B">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C8A9">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222F">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0B60">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F4A0">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15BE">
            <w:pPr>
              <w:jc w:val="center"/>
              <w:rPr>
                <w:rFonts w:hint="eastAsia" w:ascii="宋体" w:hAnsi="宋体" w:eastAsia="宋体" w:cs="宋体"/>
                <w:i w:val="0"/>
                <w:iCs w:val="0"/>
                <w:color w:val="000000"/>
                <w:sz w:val="20"/>
                <w:szCs w:val="20"/>
                <w:u w:val="none"/>
              </w:rPr>
            </w:pPr>
          </w:p>
        </w:tc>
      </w:tr>
      <w:tr w14:paraId="7D56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B99D">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AE54">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4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F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(PHC500AB120-11)+(PHC500AB120-9)+a     (PHC500AB120-9)+(PHC500AB120-11)+a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B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0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7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抗压兼抗拔桩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3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8FC1">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27DC">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BDAC">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C951">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65EE">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DE01">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BECD">
            <w:pPr>
              <w:jc w:val="center"/>
              <w:rPr>
                <w:rFonts w:hint="eastAsia" w:ascii="宋体" w:hAnsi="宋体" w:eastAsia="宋体" w:cs="宋体"/>
                <w:i w:val="0"/>
                <w:iCs w:val="0"/>
                <w:color w:val="000000"/>
                <w:sz w:val="20"/>
                <w:szCs w:val="20"/>
                <w:u w:val="none"/>
              </w:rPr>
            </w:pPr>
          </w:p>
        </w:tc>
      </w:tr>
      <w:tr w14:paraId="6FBB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6D03">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AC25">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7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6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(PHC500AB120-9)+(PHC500AB120-11)+a     (PHC500AB120-11)+(PHC500AB120-9)+a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7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5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C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抗压兼抗拔桩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9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F458">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F712">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BCD4">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E1D7">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8AAB">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ADE4">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8EB1">
            <w:pPr>
              <w:jc w:val="center"/>
              <w:rPr>
                <w:rFonts w:hint="eastAsia" w:ascii="宋体" w:hAnsi="宋体" w:eastAsia="宋体" w:cs="宋体"/>
                <w:i w:val="0"/>
                <w:iCs w:val="0"/>
                <w:color w:val="000000"/>
                <w:sz w:val="20"/>
                <w:szCs w:val="20"/>
                <w:u w:val="none"/>
              </w:rPr>
            </w:pPr>
          </w:p>
        </w:tc>
      </w:tr>
      <w:tr w14:paraId="7D42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7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5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7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4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F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F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F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6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D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5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B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9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5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6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C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r>
      <w:tr w14:paraId="1B104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C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2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5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C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7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F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C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0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4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4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E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B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A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D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r>
      <w:tr w14:paraId="1B2B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E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C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B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(PHC500AB100-10)+(PHC500AB100-9)+a</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1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D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A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9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0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2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9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6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A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1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r>
    </w:tbl>
    <w:p w14:paraId="315D6D9D">
      <w:pPr>
        <w:widowControl w:val="0"/>
        <w:numPr>
          <w:ilvl w:val="0"/>
          <w:numId w:val="0"/>
        </w:numPr>
        <w:jc w:val="both"/>
        <w:rPr>
          <w:rFonts w:hint="default"/>
          <w:lang w:val="en-US" w:eastAsia="zh-CN"/>
        </w:rPr>
        <w:sectPr>
          <w:pgSz w:w="11906" w:h="16838"/>
          <w:pgMar w:top="624" w:right="1191" w:bottom="624" w:left="1077" w:header="680" w:footer="680" w:gutter="0"/>
          <w:pgNumType w:fmt="decimal"/>
          <w:cols w:space="0" w:num="1"/>
          <w:titlePg/>
          <w:rtlGutter w:val="0"/>
          <w:docGrid w:type="lines" w:linePitch="321" w:charSpace="0"/>
        </w:sectPr>
      </w:pPr>
    </w:p>
    <w:p w14:paraId="06A544F0">
      <w:pPr>
        <w:rPr>
          <w:rFonts w:hint="eastAsia"/>
          <w:color w:val="auto"/>
          <w:highlight w:val="none"/>
        </w:rPr>
      </w:pPr>
    </w:p>
    <w:p w14:paraId="664D7167">
      <w:pPr>
        <w:pStyle w:val="42"/>
        <w:spacing w:beforeLines="50" w:afterLines="50" w:line="440" w:lineRule="exact"/>
        <w:rPr>
          <w:rFonts w:hint="eastAsia"/>
          <w:bCs/>
          <w:color w:val="auto"/>
          <w:szCs w:val="32"/>
          <w:highlight w:val="none"/>
        </w:rPr>
      </w:pPr>
    </w:p>
    <w:p w14:paraId="2C76DCB5">
      <w:pPr>
        <w:pStyle w:val="42"/>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六</w:t>
      </w:r>
      <w:r>
        <w:rPr>
          <w:rFonts w:hint="eastAsia"/>
          <w:bCs/>
          <w:color w:val="auto"/>
          <w:szCs w:val="32"/>
          <w:highlight w:val="none"/>
        </w:rPr>
        <w:t>章</w:t>
      </w:r>
      <w:r>
        <w:rPr>
          <w:bCs/>
          <w:color w:val="auto"/>
          <w:szCs w:val="32"/>
          <w:highlight w:val="none"/>
        </w:rPr>
        <w:t xml:space="preserve">   </w:t>
      </w:r>
      <w:r>
        <w:rPr>
          <w:rFonts w:hint="eastAsia"/>
          <w:bCs/>
          <w:color w:val="auto"/>
          <w:szCs w:val="32"/>
          <w:highlight w:val="none"/>
        </w:rPr>
        <w:t>投标文件格式</w:t>
      </w:r>
      <w:bookmarkEnd w:id="761"/>
      <w:bookmarkEnd w:id="762"/>
      <w:bookmarkEnd w:id="763"/>
      <w:bookmarkEnd w:id="764"/>
      <w:bookmarkEnd w:id="765"/>
      <w:bookmarkEnd w:id="766"/>
      <w:bookmarkEnd w:id="767"/>
      <w:bookmarkEnd w:id="768"/>
      <w:bookmarkEnd w:id="769"/>
      <w:bookmarkEnd w:id="770"/>
      <w:bookmarkEnd w:id="771"/>
      <w:bookmarkEnd w:id="772"/>
      <w:bookmarkEnd w:id="773"/>
    </w:p>
    <w:p w14:paraId="55C240AA">
      <w:pPr>
        <w:rPr>
          <w:color w:val="auto"/>
          <w:highlight w:val="none"/>
        </w:rPr>
      </w:pPr>
    </w:p>
    <w:p w14:paraId="35C47F57">
      <w:pPr>
        <w:rPr>
          <w:color w:val="auto"/>
          <w:highlight w:val="none"/>
        </w:rPr>
      </w:pPr>
    </w:p>
    <w:p w14:paraId="6A0D4792">
      <w:pPr>
        <w:rPr>
          <w:color w:val="auto"/>
          <w:highlight w:val="none"/>
        </w:rPr>
      </w:pPr>
    </w:p>
    <w:p w14:paraId="33092B68">
      <w:pPr>
        <w:jc w:val="center"/>
        <w:rPr>
          <w:rFonts w:eastAsia="黑体"/>
          <w:color w:val="auto"/>
          <w:sz w:val="20"/>
          <w:szCs w:val="20"/>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（项目名称）</w:t>
      </w:r>
    </w:p>
    <w:p w14:paraId="7CDDD0AF">
      <w:pPr>
        <w:jc w:val="center"/>
        <w:rPr>
          <w:rFonts w:eastAsia="黑体"/>
          <w:color w:val="auto"/>
          <w:sz w:val="20"/>
          <w:szCs w:val="20"/>
          <w:highlight w:val="none"/>
        </w:rPr>
      </w:pPr>
    </w:p>
    <w:p w14:paraId="24C85DEF">
      <w:pPr>
        <w:jc w:val="center"/>
        <w:rPr>
          <w:rFonts w:eastAsia="黑体"/>
          <w:color w:val="auto"/>
          <w:sz w:val="20"/>
          <w:szCs w:val="20"/>
          <w:highlight w:val="none"/>
        </w:rPr>
      </w:pPr>
    </w:p>
    <w:p w14:paraId="7B059644">
      <w:pPr>
        <w:jc w:val="center"/>
        <w:rPr>
          <w:rFonts w:eastAsia="黑体"/>
          <w:color w:val="auto"/>
          <w:sz w:val="20"/>
          <w:szCs w:val="20"/>
          <w:highlight w:val="none"/>
        </w:rPr>
      </w:pPr>
    </w:p>
    <w:p w14:paraId="49739623">
      <w:pPr>
        <w:rPr>
          <w:rFonts w:eastAsia="黑体"/>
          <w:color w:val="auto"/>
          <w:sz w:val="20"/>
          <w:szCs w:val="20"/>
          <w:highlight w:val="none"/>
        </w:rPr>
      </w:pPr>
    </w:p>
    <w:p w14:paraId="52BEB6B9">
      <w:pPr>
        <w:jc w:val="center"/>
        <w:rPr>
          <w:rFonts w:eastAsia="黑体"/>
          <w:color w:val="auto"/>
          <w:sz w:val="44"/>
          <w:szCs w:val="44"/>
          <w:highlight w:val="none"/>
        </w:rPr>
      </w:pPr>
      <w:r>
        <w:rPr>
          <w:rFonts w:hint="eastAsia" w:eastAsia="黑体"/>
          <w:color w:val="auto"/>
          <w:sz w:val="44"/>
          <w:szCs w:val="44"/>
          <w:highlight w:val="none"/>
        </w:rPr>
        <w:t>投</w:t>
      </w:r>
      <w:r>
        <w:rPr>
          <w:rFonts w:eastAsia="黑体"/>
          <w:color w:val="auto"/>
          <w:sz w:val="44"/>
          <w:szCs w:val="44"/>
          <w:highlight w:val="none"/>
        </w:rPr>
        <w:t xml:space="preserve">  </w:t>
      </w:r>
      <w:r>
        <w:rPr>
          <w:rFonts w:hint="eastAsia" w:eastAsia="黑体"/>
          <w:color w:val="auto"/>
          <w:sz w:val="44"/>
          <w:szCs w:val="44"/>
          <w:highlight w:val="none"/>
        </w:rPr>
        <w:t>标</w:t>
      </w:r>
      <w:r>
        <w:rPr>
          <w:rFonts w:eastAsia="黑体"/>
          <w:color w:val="auto"/>
          <w:sz w:val="44"/>
          <w:szCs w:val="44"/>
          <w:highlight w:val="none"/>
        </w:rPr>
        <w:t xml:space="preserve">  </w:t>
      </w:r>
      <w:r>
        <w:rPr>
          <w:rFonts w:hint="eastAsia" w:eastAsia="黑体"/>
          <w:color w:val="auto"/>
          <w:sz w:val="44"/>
          <w:szCs w:val="44"/>
          <w:highlight w:val="none"/>
        </w:rPr>
        <w:t>文</w:t>
      </w:r>
      <w:r>
        <w:rPr>
          <w:rFonts w:eastAsia="黑体"/>
          <w:color w:val="auto"/>
          <w:sz w:val="44"/>
          <w:szCs w:val="44"/>
          <w:highlight w:val="none"/>
        </w:rPr>
        <w:t xml:space="preserve">  </w:t>
      </w:r>
      <w:r>
        <w:rPr>
          <w:rFonts w:hint="eastAsia" w:eastAsia="黑体"/>
          <w:color w:val="auto"/>
          <w:sz w:val="44"/>
          <w:szCs w:val="44"/>
          <w:highlight w:val="none"/>
        </w:rPr>
        <w:t>件</w:t>
      </w:r>
      <w:r>
        <w:rPr>
          <w:rFonts w:eastAsia="黑体"/>
          <w:color w:val="auto"/>
          <w:sz w:val="44"/>
          <w:szCs w:val="44"/>
          <w:highlight w:val="none"/>
        </w:rPr>
        <w:t xml:space="preserve"> </w:t>
      </w:r>
    </w:p>
    <w:p w14:paraId="5B31C867">
      <w:pPr>
        <w:rPr>
          <w:rFonts w:eastAsia="黑体"/>
          <w:color w:val="auto"/>
          <w:sz w:val="28"/>
          <w:szCs w:val="28"/>
          <w:highlight w:val="none"/>
        </w:rPr>
      </w:pPr>
    </w:p>
    <w:p w14:paraId="33912A8D">
      <w:pPr>
        <w:rPr>
          <w:rFonts w:eastAsia="黑体"/>
          <w:color w:val="auto"/>
          <w:sz w:val="28"/>
          <w:szCs w:val="28"/>
          <w:highlight w:val="none"/>
        </w:rPr>
      </w:pPr>
    </w:p>
    <w:p w14:paraId="03C21170">
      <w:pPr>
        <w:rPr>
          <w:rFonts w:eastAsia="黑体"/>
          <w:color w:val="auto"/>
          <w:sz w:val="28"/>
          <w:szCs w:val="28"/>
          <w:highlight w:val="none"/>
        </w:rPr>
      </w:pPr>
    </w:p>
    <w:p w14:paraId="297450E7">
      <w:pPr>
        <w:rPr>
          <w:rFonts w:eastAsia="黑体"/>
          <w:color w:val="auto"/>
          <w:sz w:val="28"/>
          <w:szCs w:val="28"/>
          <w:highlight w:val="none"/>
        </w:rPr>
      </w:pPr>
    </w:p>
    <w:p w14:paraId="3CBD38FC">
      <w:pPr>
        <w:pStyle w:val="44"/>
        <w:ind w:left="31680" w:firstLine="31680"/>
        <w:rPr>
          <w:rFonts w:ascii="Times New Roman"/>
          <w:color w:val="auto"/>
          <w:szCs w:val="24"/>
          <w:highlight w:val="none"/>
        </w:rPr>
      </w:pPr>
    </w:p>
    <w:p w14:paraId="62FADEB1">
      <w:pPr>
        <w:rPr>
          <w:color w:val="auto"/>
          <w:highlight w:val="none"/>
        </w:rPr>
      </w:pPr>
    </w:p>
    <w:p w14:paraId="1E396A6F">
      <w:pPr>
        <w:pStyle w:val="44"/>
        <w:ind w:left="31680" w:firstLine="31680"/>
        <w:rPr>
          <w:color w:val="auto"/>
          <w:highlight w:val="none"/>
        </w:rPr>
      </w:pPr>
    </w:p>
    <w:p w14:paraId="0F52AEAD">
      <w:pPr>
        <w:rPr>
          <w:rFonts w:eastAsia="黑体"/>
          <w:color w:val="auto"/>
          <w:sz w:val="28"/>
          <w:szCs w:val="28"/>
          <w:highlight w:val="none"/>
        </w:rPr>
      </w:pPr>
    </w:p>
    <w:p w14:paraId="4299A540">
      <w:pPr>
        <w:pStyle w:val="44"/>
        <w:ind w:left="31680" w:firstLine="31680"/>
        <w:rPr>
          <w:color w:val="auto"/>
          <w:highlight w:val="none"/>
        </w:rPr>
      </w:pPr>
    </w:p>
    <w:p w14:paraId="449F61F8">
      <w:pPr>
        <w:rPr>
          <w:rFonts w:eastAsia="黑体"/>
          <w:color w:val="auto"/>
          <w:sz w:val="28"/>
          <w:szCs w:val="28"/>
          <w:highlight w:val="none"/>
        </w:rPr>
      </w:pPr>
    </w:p>
    <w:p w14:paraId="73908E42">
      <w:pPr>
        <w:rPr>
          <w:rFonts w:eastAsia="黑体"/>
          <w:color w:val="auto"/>
          <w:sz w:val="28"/>
          <w:szCs w:val="28"/>
          <w:highlight w:val="none"/>
        </w:rPr>
      </w:pPr>
    </w:p>
    <w:p w14:paraId="447EBE8C">
      <w:pPr>
        <w:rPr>
          <w:rFonts w:eastAsia="黑体"/>
          <w:color w:val="auto"/>
          <w:sz w:val="28"/>
          <w:szCs w:val="28"/>
          <w:highlight w:val="none"/>
        </w:rPr>
      </w:pPr>
    </w:p>
    <w:p w14:paraId="24A9E1F4">
      <w:pPr>
        <w:rPr>
          <w:rFonts w:eastAsia="黑体"/>
          <w:color w:val="auto"/>
          <w:sz w:val="28"/>
          <w:szCs w:val="28"/>
          <w:highlight w:val="none"/>
        </w:rPr>
      </w:pPr>
    </w:p>
    <w:p w14:paraId="15933511">
      <w:pPr>
        <w:jc w:val="center"/>
        <w:rPr>
          <w:rFonts w:eastAsia="黑体"/>
          <w:color w:val="auto"/>
          <w:sz w:val="28"/>
          <w:szCs w:val="28"/>
          <w:highlight w:val="none"/>
          <w:u w:val="single"/>
        </w:rPr>
      </w:pPr>
      <w:r>
        <w:rPr>
          <w:rFonts w:hint="eastAsia"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rPr>
        <w:t>（</w:t>
      </w:r>
      <w:r>
        <w:rPr>
          <w:rFonts w:hint="eastAsia" w:eastAsia="黑体"/>
          <w:color w:val="auto"/>
          <w:sz w:val="28"/>
          <w:szCs w:val="28"/>
          <w:highlight w:val="none"/>
          <w:lang w:val="en-US" w:eastAsia="zh-CN"/>
        </w:rPr>
        <w:t>盖章</w:t>
      </w:r>
      <w:r>
        <w:rPr>
          <w:rFonts w:hint="eastAsia" w:eastAsia="黑体"/>
          <w:color w:val="auto"/>
          <w:sz w:val="28"/>
          <w:szCs w:val="28"/>
          <w:highlight w:val="none"/>
        </w:rPr>
        <w:t>）</w:t>
      </w:r>
    </w:p>
    <w:p w14:paraId="65C875D8">
      <w:pPr>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rPr>
        <w:t>（</w:t>
      </w:r>
      <w:r>
        <w:rPr>
          <w:rFonts w:hint="eastAsia" w:eastAsia="黑体"/>
          <w:color w:val="auto"/>
          <w:sz w:val="28"/>
          <w:szCs w:val="28"/>
          <w:highlight w:val="none"/>
          <w:lang w:val="en-US" w:eastAsia="zh-CN"/>
        </w:rPr>
        <w:t>签字或盖章</w:t>
      </w:r>
      <w:r>
        <w:rPr>
          <w:rFonts w:hint="eastAsia" w:eastAsia="黑体"/>
          <w:color w:val="auto"/>
          <w:sz w:val="28"/>
          <w:szCs w:val="28"/>
          <w:highlight w:val="none"/>
        </w:rPr>
        <w:t>）</w:t>
      </w:r>
    </w:p>
    <w:p w14:paraId="12CC3A3B">
      <w:pPr>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rPr>
        <w:t>日</w:t>
      </w:r>
    </w:p>
    <w:p w14:paraId="6BABECBA">
      <w:pPr>
        <w:rPr>
          <w:color w:val="auto"/>
          <w:highlight w:val="none"/>
        </w:rPr>
      </w:pPr>
      <w:bookmarkStart w:id="774" w:name="_Toc35425137"/>
      <w:bookmarkStart w:id="775" w:name="_Toc35424971"/>
      <w:bookmarkStart w:id="776" w:name="_Toc12683"/>
    </w:p>
    <w:p w14:paraId="1D2F60D8">
      <w:pPr>
        <w:spacing w:beforeLines="50" w:afterLines="50" w:line="440" w:lineRule="exact"/>
        <w:ind w:firstLine="643" w:firstLineChars="200"/>
        <w:jc w:val="left"/>
        <w:rPr>
          <w:rStyle w:val="65"/>
          <w:rFonts w:ascii="宋体" w:cs="宋体"/>
          <w:bCs/>
          <w:color w:val="auto"/>
          <w:sz w:val="32"/>
          <w:szCs w:val="44"/>
          <w:highlight w:val="none"/>
        </w:rPr>
      </w:pPr>
    </w:p>
    <w:bookmarkEnd w:id="774"/>
    <w:bookmarkEnd w:id="775"/>
    <w:bookmarkEnd w:id="776"/>
    <w:p w14:paraId="74EFE140">
      <w:pPr>
        <w:keepNext w:val="0"/>
        <w:keepLines w:val="0"/>
        <w:pageBreakBefore w:val="0"/>
        <w:widowControl w:val="0"/>
        <w:kinsoku/>
        <w:wordWrap/>
        <w:overflowPunct/>
        <w:topLinePunct w:val="0"/>
        <w:autoSpaceDE/>
        <w:autoSpaceDN/>
        <w:bidi w:val="0"/>
        <w:adjustRightInd/>
        <w:snapToGrid/>
        <w:spacing w:beforeLines="50" w:afterLines="50" w:line="560" w:lineRule="exact"/>
        <w:ind w:firstLine="643" w:firstLineChars="200"/>
        <w:jc w:val="center"/>
        <w:textAlignment w:val="auto"/>
        <w:rPr>
          <w:rFonts w:ascii="宋体" w:cs="宋体"/>
          <w:b/>
          <w:color w:val="auto"/>
          <w:sz w:val="32"/>
          <w:szCs w:val="32"/>
          <w:highlight w:val="none"/>
        </w:rPr>
      </w:pPr>
      <w:r>
        <w:rPr>
          <w:rFonts w:hint="eastAsia" w:ascii="宋体" w:hAnsi="宋体" w:cs="宋体"/>
          <w:b/>
          <w:color w:val="auto"/>
          <w:sz w:val="32"/>
          <w:szCs w:val="32"/>
          <w:highlight w:val="none"/>
        </w:rPr>
        <w:t>目</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录</w:t>
      </w:r>
    </w:p>
    <w:p w14:paraId="16993E8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rPr>
        <w:t>；</w:t>
      </w:r>
    </w:p>
    <w:p w14:paraId="6FDEC10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cs="宋体"/>
          <w:color w:val="auto"/>
          <w:szCs w:val="21"/>
          <w:highlight w:val="none"/>
        </w:rPr>
        <w:t>诚信投标承诺书（或《公共信用信息报告（无违法违规证明版</w:t>
      </w:r>
      <w:r>
        <w:rPr>
          <w:rFonts w:hint="eastAsia" w:ascii="宋体" w:cs="宋体"/>
          <w:color w:val="auto"/>
          <w:szCs w:val="21"/>
          <w:highlight w:val="none"/>
          <w:lang w:val="en-US" w:eastAsia="zh-CN"/>
        </w:rPr>
        <w:t>或核查版</w:t>
      </w:r>
      <w:r>
        <w:rPr>
          <w:rFonts w:hint="eastAsia" w:asci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7C28496D">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）企业法人营业执照；</w:t>
      </w:r>
    </w:p>
    <w:p w14:paraId="39817DC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w:t>
      </w:r>
      <w:r>
        <w:rPr>
          <w:rFonts w:hint="eastAsia" w:ascii="宋体" w:hAnsi="宋体" w:cs="宋体"/>
          <w:color w:val="auto"/>
          <w:szCs w:val="21"/>
          <w:highlight w:val="none"/>
        </w:rPr>
        <w:t>企业资质证书</w:t>
      </w:r>
      <w:r>
        <w:rPr>
          <w:rFonts w:hint="eastAsia" w:ascii="宋体" w:hAnsi="宋体" w:cs="宋体"/>
          <w:color w:val="auto"/>
          <w:highlight w:val="none"/>
        </w:rPr>
        <w:t>；</w:t>
      </w:r>
    </w:p>
    <w:p w14:paraId="270D71CD">
      <w:pPr>
        <w:pageBreakBefore w:val="0"/>
        <w:widowControl w:val="0"/>
        <w:kinsoku/>
        <w:wordWrap/>
        <w:overflowPunct/>
        <w:topLinePunct w:val="0"/>
        <w:autoSpaceDE/>
        <w:autoSpaceDN/>
        <w:bidi w:val="0"/>
        <w:spacing w:line="500" w:lineRule="exact"/>
        <w:ind w:firstLine="420" w:firstLineChars="200"/>
        <w:jc w:val="left"/>
        <w:textAlignment w:val="auto"/>
        <w:rPr>
          <w:rFonts w:hint="eastAsia"/>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color w:val="auto"/>
          <w:highlight w:val="none"/>
          <w:lang w:val="en-US" w:eastAsia="zh-CN"/>
        </w:rPr>
        <w:t>质量技术监督部门颁发的计量认证资质证书（CMA）；</w:t>
      </w:r>
    </w:p>
    <w:p w14:paraId="3091DAF1">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hAnsi="宋体" w:cs="宋体"/>
          <w:color w:val="auto"/>
          <w:szCs w:val="21"/>
          <w:highlight w:val="none"/>
        </w:rPr>
        <w:t>和</w:t>
      </w:r>
      <w:r>
        <w:rPr>
          <w:rFonts w:hint="eastAsia" w:ascii="宋体" w:hAnsi="宋体" w:cs="宋体"/>
          <w:color w:val="auto"/>
          <w:highlight w:val="none"/>
        </w:rPr>
        <w:t>证书；</w:t>
      </w:r>
    </w:p>
    <w:p w14:paraId="38EC530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拟任项目负责人须持有社保部门出具的本单位为其缴纳的投标前近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4DC65A30">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eastAsia="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8）</w:t>
      </w:r>
      <w:r>
        <w:rPr>
          <w:rFonts w:hint="eastAsia" w:ascii="宋体"/>
          <w:color w:val="auto"/>
          <w:szCs w:val="21"/>
          <w:highlight w:val="none"/>
        </w:rPr>
        <w:t>服务承诺</w:t>
      </w:r>
      <w:r>
        <w:rPr>
          <w:rFonts w:hint="eastAsia" w:ascii="宋体"/>
          <w:color w:val="auto"/>
          <w:szCs w:val="21"/>
          <w:highlight w:val="none"/>
          <w:lang w:val="en-US" w:eastAsia="zh-CN"/>
        </w:rPr>
        <w:t>书</w:t>
      </w:r>
      <w:r>
        <w:rPr>
          <w:rFonts w:hint="eastAsia" w:ascii="宋体"/>
          <w:color w:val="auto"/>
          <w:szCs w:val="21"/>
          <w:highlight w:val="none"/>
          <w:lang w:eastAsia="zh-CN"/>
        </w:rPr>
        <w:t>（</w:t>
      </w:r>
      <w:r>
        <w:rPr>
          <w:rFonts w:hint="eastAsia" w:ascii="宋体"/>
          <w:color w:val="auto"/>
          <w:szCs w:val="21"/>
          <w:highlight w:val="none"/>
          <w:lang w:val="en-US" w:eastAsia="zh-CN"/>
        </w:rPr>
        <w:t>格式详见附件</w:t>
      </w:r>
      <w:r>
        <w:rPr>
          <w:rFonts w:hint="eastAsia" w:ascii="宋体"/>
          <w:color w:val="auto"/>
          <w:szCs w:val="21"/>
          <w:highlight w:val="none"/>
          <w:lang w:eastAsia="zh-CN"/>
        </w:rPr>
        <w:t>）。</w:t>
      </w:r>
    </w:p>
    <w:p w14:paraId="63243E5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9</w:t>
      </w:r>
      <w:r>
        <w:rPr>
          <w:rFonts w:hint="eastAsia" w:ascii="宋体" w:hAnsi="宋体" w:eastAsia="宋体" w:cs="宋体"/>
          <w:color w:val="auto"/>
          <w:highlight w:val="none"/>
        </w:rPr>
        <w:t xml:space="preserve">）投标函（格式见附件）；    </w:t>
      </w:r>
    </w:p>
    <w:p w14:paraId="080AF020">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）分项报价清单（格式见附件）；</w:t>
      </w:r>
    </w:p>
    <w:p w14:paraId="2E7D255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cs="宋体"/>
          <w:color w:val="auto"/>
          <w:highlight w:val="none"/>
          <w:lang w:val="en-US" w:eastAsia="zh-CN"/>
        </w:rPr>
        <w:t>人员配备</w:t>
      </w:r>
      <w:r>
        <w:rPr>
          <w:rFonts w:hint="eastAsia" w:ascii="宋体" w:hAnsi="宋体" w:eastAsia="宋体" w:cs="宋体"/>
          <w:color w:val="auto"/>
          <w:highlight w:val="none"/>
          <w:lang w:val="en-US" w:eastAsia="zh-CN"/>
        </w:rPr>
        <w:t>及评分过程中所要求提供的证明材料</w:t>
      </w:r>
      <w:r>
        <w:rPr>
          <w:rFonts w:hint="eastAsia" w:ascii="宋体" w:hAnsi="宋体" w:eastAsia="宋体" w:cs="宋体"/>
          <w:color w:val="auto"/>
          <w:highlight w:val="none"/>
        </w:rPr>
        <w:t>。</w:t>
      </w:r>
    </w:p>
    <w:p w14:paraId="5377E5FD">
      <w:pPr>
        <w:spacing w:line="440" w:lineRule="exact"/>
        <w:ind w:firstLine="420" w:firstLineChars="200"/>
        <w:jc w:val="left"/>
        <w:rPr>
          <w:rFonts w:ascii="宋体" w:cs="宋体"/>
          <w:color w:val="auto"/>
          <w:highlight w:val="none"/>
        </w:rPr>
      </w:pPr>
    </w:p>
    <w:p w14:paraId="1177897C">
      <w:pPr>
        <w:spacing w:line="440" w:lineRule="exact"/>
        <w:ind w:left="420" w:leftChars="200" w:firstLine="0" w:firstLineChars="0"/>
        <w:jc w:val="left"/>
        <w:rPr>
          <w:rFonts w:hint="eastAsia" w:ascii="宋体" w:eastAsia="宋体" w:cs="宋体"/>
          <w:color w:val="auto"/>
          <w:highlight w:val="none"/>
          <w:lang w:val="en-US" w:eastAsia="zh-CN"/>
        </w:rPr>
      </w:pPr>
    </w:p>
    <w:p w14:paraId="2E6ABB41">
      <w:pPr>
        <w:spacing w:line="440" w:lineRule="exact"/>
        <w:ind w:left="420" w:leftChars="200" w:firstLine="0" w:firstLineChars="0"/>
        <w:jc w:val="left"/>
        <w:rPr>
          <w:rFonts w:hint="eastAsia" w:ascii="宋体" w:eastAsia="宋体" w:cs="宋体"/>
          <w:color w:val="auto"/>
          <w:highlight w:val="none"/>
          <w:lang w:val="en-US" w:eastAsia="zh-CN"/>
        </w:rPr>
      </w:pPr>
    </w:p>
    <w:p w14:paraId="3F5276DC">
      <w:pPr>
        <w:rPr>
          <w:b/>
          <w:color w:val="auto"/>
          <w:sz w:val="28"/>
          <w:szCs w:val="28"/>
          <w:highlight w:val="none"/>
        </w:rPr>
      </w:pPr>
    </w:p>
    <w:p w14:paraId="2DA3BB57">
      <w:pPr>
        <w:pStyle w:val="44"/>
        <w:ind w:left="31680" w:firstLine="31680"/>
        <w:rPr>
          <w:b/>
          <w:color w:val="auto"/>
          <w:sz w:val="28"/>
          <w:szCs w:val="28"/>
          <w:highlight w:val="none"/>
        </w:rPr>
      </w:pPr>
    </w:p>
    <w:p w14:paraId="66BA01AC">
      <w:pPr>
        <w:pStyle w:val="31"/>
        <w:rPr>
          <w:b/>
          <w:color w:val="auto"/>
          <w:sz w:val="28"/>
          <w:szCs w:val="28"/>
          <w:highlight w:val="none"/>
        </w:rPr>
      </w:pPr>
    </w:p>
    <w:p w14:paraId="0C75BB4D">
      <w:pPr>
        <w:pStyle w:val="31"/>
        <w:rPr>
          <w:b/>
          <w:color w:val="auto"/>
          <w:sz w:val="28"/>
          <w:szCs w:val="28"/>
          <w:highlight w:val="none"/>
        </w:rPr>
      </w:pPr>
    </w:p>
    <w:p w14:paraId="56F8D800">
      <w:pPr>
        <w:pStyle w:val="31"/>
        <w:rPr>
          <w:b/>
          <w:color w:val="auto"/>
          <w:sz w:val="28"/>
          <w:szCs w:val="28"/>
          <w:highlight w:val="none"/>
        </w:rPr>
      </w:pPr>
    </w:p>
    <w:p w14:paraId="43D9C47F">
      <w:pPr>
        <w:pStyle w:val="31"/>
        <w:ind w:left="0" w:firstLine="0"/>
        <w:rPr>
          <w:b/>
          <w:color w:val="auto"/>
          <w:sz w:val="28"/>
          <w:szCs w:val="28"/>
          <w:highlight w:val="none"/>
        </w:rPr>
      </w:pPr>
    </w:p>
    <w:p w14:paraId="5711C7CF">
      <w:pPr>
        <w:pStyle w:val="31"/>
        <w:ind w:left="0" w:firstLine="0"/>
        <w:rPr>
          <w:b/>
          <w:color w:val="auto"/>
          <w:sz w:val="28"/>
          <w:szCs w:val="28"/>
          <w:highlight w:val="none"/>
        </w:rPr>
      </w:pPr>
    </w:p>
    <w:p w14:paraId="2FD34A78">
      <w:pPr>
        <w:pStyle w:val="31"/>
        <w:ind w:left="0" w:firstLine="0"/>
        <w:jc w:val="center"/>
        <w:rPr>
          <w:rFonts w:ascii="宋体"/>
          <w:b/>
          <w:color w:val="auto"/>
          <w:sz w:val="28"/>
          <w:szCs w:val="28"/>
          <w:highlight w:val="none"/>
        </w:rPr>
      </w:pPr>
      <w:r>
        <w:rPr>
          <w:b/>
          <w:color w:val="auto"/>
          <w:sz w:val="28"/>
          <w:szCs w:val="28"/>
          <w:highlight w:val="none"/>
        </w:rPr>
        <w:br w:type="page"/>
      </w:r>
      <w:r>
        <w:rPr>
          <w:rFonts w:hint="eastAsia"/>
          <w:b/>
          <w:color w:val="auto"/>
          <w:sz w:val="28"/>
          <w:szCs w:val="28"/>
          <w:highlight w:val="none"/>
        </w:rPr>
        <w:t>（</w:t>
      </w:r>
      <w:r>
        <w:rPr>
          <w:b/>
          <w:color w:val="auto"/>
          <w:sz w:val="28"/>
          <w:szCs w:val="28"/>
          <w:highlight w:val="none"/>
        </w:rPr>
        <w:t>1</w:t>
      </w:r>
      <w:r>
        <w:rPr>
          <w:rFonts w:hint="eastAsia"/>
          <w:b/>
          <w:color w:val="auto"/>
          <w:sz w:val="28"/>
          <w:szCs w:val="28"/>
          <w:highlight w:val="none"/>
        </w:rPr>
        <w:t>）法定代表人身份证明或授权委托书</w:t>
      </w:r>
    </w:p>
    <w:p w14:paraId="6D1A5299">
      <w:pPr>
        <w:pStyle w:val="101"/>
        <w:spacing w:beforeLines="100" w:afterLines="100" w:line="360" w:lineRule="auto"/>
        <w:rPr>
          <w:rFonts w:ascii="宋体"/>
          <w:b/>
          <w:color w:val="auto"/>
          <w:sz w:val="24"/>
          <w:szCs w:val="24"/>
          <w:highlight w:val="none"/>
        </w:rPr>
      </w:pPr>
      <w:bookmarkStart w:id="777" w:name="_Toc506107356"/>
      <w:bookmarkStart w:id="778" w:name="_Toc503196197"/>
      <w:bookmarkStart w:id="779" w:name="_Toc26598"/>
      <w:r>
        <w:rPr>
          <w:rFonts w:ascii="宋体"/>
          <w:color w:val="auto"/>
          <w:sz w:val="24"/>
          <w:szCs w:val="24"/>
          <w:highlight w:val="none"/>
        </w:rPr>
        <w:t>1</w:t>
      </w:r>
      <w:r>
        <w:rPr>
          <w:rFonts w:hint="eastAsia" w:ascii="宋体"/>
          <w:color w:val="auto"/>
          <w:sz w:val="24"/>
          <w:szCs w:val="24"/>
          <w:highlight w:val="none"/>
        </w:rPr>
        <w:t>、法定代表人身份证明</w:t>
      </w:r>
    </w:p>
    <w:p w14:paraId="45334114">
      <w:pPr>
        <w:spacing w:line="360" w:lineRule="auto"/>
        <w:rPr>
          <w:rFonts w:ascii="宋体"/>
          <w:color w:val="auto"/>
          <w:sz w:val="24"/>
          <w:highlight w:val="none"/>
        </w:rPr>
      </w:pPr>
      <w:r>
        <w:rPr>
          <w:rFonts w:hint="eastAsia" w:ascii="宋体"/>
          <w:color w:val="auto"/>
          <w:sz w:val="24"/>
          <w:highlight w:val="none"/>
        </w:rPr>
        <w:t>投标人名称：</w:t>
      </w:r>
      <w:r>
        <w:rPr>
          <w:rFonts w:ascii="宋体"/>
          <w:color w:val="auto"/>
          <w:sz w:val="24"/>
          <w:highlight w:val="none"/>
          <w:u w:val="single"/>
        </w:rPr>
        <w:t xml:space="preserve">                                </w:t>
      </w:r>
      <w:r>
        <w:rPr>
          <w:rFonts w:ascii="宋体"/>
          <w:color w:val="auto"/>
          <w:sz w:val="24"/>
          <w:highlight w:val="none"/>
        </w:rPr>
        <w:t xml:space="preserve"> </w:t>
      </w:r>
    </w:p>
    <w:p w14:paraId="2F52BF14">
      <w:pPr>
        <w:spacing w:line="360" w:lineRule="auto"/>
        <w:rPr>
          <w:rFonts w:ascii="宋体"/>
          <w:color w:val="auto"/>
          <w:sz w:val="24"/>
          <w:highlight w:val="none"/>
        </w:rPr>
      </w:pPr>
      <w:r>
        <w:rPr>
          <w:rFonts w:hint="eastAsia" w:ascii="宋体"/>
          <w:color w:val="auto"/>
          <w:sz w:val="24"/>
          <w:highlight w:val="none"/>
        </w:rPr>
        <w:t>单位性质：</w:t>
      </w:r>
      <w:r>
        <w:rPr>
          <w:rFonts w:ascii="宋体"/>
          <w:color w:val="auto"/>
          <w:sz w:val="24"/>
          <w:highlight w:val="none"/>
        </w:rPr>
        <w:t xml:space="preserve"> </w:t>
      </w:r>
      <w:r>
        <w:rPr>
          <w:rFonts w:ascii="宋体"/>
          <w:color w:val="auto"/>
          <w:sz w:val="24"/>
          <w:highlight w:val="none"/>
          <w:u w:val="single"/>
        </w:rPr>
        <w:t xml:space="preserve">                                  </w:t>
      </w:r>
      <w:r>
        <w:rPr>
          <w:rFonts w:ascii="宋体"/>
          <w:color w:val="auto"/>
          <w:sz w:val="24"/>
          <w:highlight w:val="none"/>
        </w:rPr>
        <w:t xml:space="preserve"> </w:t>
      </w:r>
    </w:p>
    <w:p w14:paraId="6ABF1032">
      <w:pPr>
        <w:spacing w:line="360" w:lineRule="auto"/>
        <w:rPr>
          <w:rFonts w:ascii="宋体"/>
          <w:color w:val="auto"/>
          <w:sz w:val="24"/>
          <w:highlight w:val="none"/>
        </w:rPr>
      </w:pPr>
      <w:r>
        <w:rPr>
          <w:rFonts w:hint="eastAsia" w:ascii="宋体"/>
          <w:color w:val="auto"/>
          <w:sz w:val="24"/>
          <w:highlight w:val="none"/>
        </w:rPr>
        <w:t>地</w:t>
      </w:r>
      <w:r>
        <w:rPr>
          <w:rFonts w:ascii="宋体"/>
          <w:color w:val="auto"/>
          <w:sz w:val="24"/>
          <w:highlight w:val="none"/>
        </w:rPr>
        <w:t xml:space="preserve">    </w:t>
      </w:r>
      <w:r>
        <w:rPr>
          <w:rFonts w:hint="eastAsia" w:ascii="宋体"/>
          <w:color w:val="auto"/>
          <w:sz w:val="24"/>
          <w:highlight w:val="none"/>
        </w:rPr>
        <w:t>址：</w:t>
      </w:r>
      <w:r>
        <w:rPr>
          <w:rFonts w:ascii="宋体"/>
          <w:color w:val="auto"/>
          <w:sz w:val="24"/>
          <w:highlight w:val="none"/>
          <w:u w:val="single"/>
        </w:rPr>
        <w:t xml:space="preserve">                                   </w:t>
      </w:r>
      <w:r>
        <w:rPr>
          <w:rFonts w:ascii="宋体"/>
          <w:color w:val="auto"/>
          <w:sz w:val="24"/>
          <w:highlight w:val="none"/>
        </w:rPr>
        <w:t xml:space="preserve"> </w:t>
      </w:r>
    </w:p>
    <w:p w14:paraId="594EB25B">
      <w:pPr>
        <w:spacing w:line="360" w:lineRule="auto"/>
        <w:rPr>
          <w:rFonts w:ascii="宋体"/>
          <w:color w:val="auto"/>
          <w:sz w:val="24"/>
          <w:highlight w:val="none"/>
        </w:rPr>
      </w:pPr>
      <w:r>
        <w:rPr>
          <w:rFonts w:hint="eastAsia" w:ascii="宋体"/>
          <w:color w:val="auto"/>
          <w:sz w:val="24"/>
          <w:highlight w:val="none"/>
        </w:rPr>
        <w:t>成立时间：</w:t>
      </w:r>
      <w:r>
        <w:rPr>
          <w:rFonts w:ascii="宋体"/>
          <w:color w:val="auto"/>
          <w:sz w:val="24"/>
          <w:highlight w:val="none"/>
          <w:u w:val="single"/>
        </w:rPr>
        <w:t xml:space="preserve">        </w:t>
      </w:r>
      <w:r>
        <w:rPr>
          <w:rFonts w:hint="eastAsia" w:ascii="宋体"/>
          <w:color w:val="auto"/>
          <w:sz w:val="24"/>
          <w:highlight w:val="none"/>
        </w:rPr>
        <w:t>年</w:t>
      </w:r>
      <w:r>
        <w:rPr>
          <w:rFonts w:ascii="宋体"/>
          <w:color w:val="auto"/>
          <w:sz w:val="24"/>
          <w:highlight w:val="none"/>
          <w:u w:val="single"/>
        </w:rPr>
        <w:t xml:space="preserve">    </w:t>
      </w:r>
      <w:r>
        <w:rPr>
          <w:rFonts w:hint="eastAsia" w:ascii="宋体"/>
          <w:color w:val="auto"/>
          <w:sz w:val="24"/>
          <w:highlight w:val="none"/>
        </w:rPr>
        <w:t>月</w:t>
      </w:r>
      <w:r>
        <w:rPr>
          <w:rFonts w:ascii="宋体"/>
          <w:color w:val="auto"/>
          <w:sz w:val="24"/>
          <w:highlight w:val="none"/>
          <w:u w:val="single"/>
        </w:rPr>
        <w:t xml:space="preserve">  </w:t>
      </w:r>
      <w:r>
        <w:rPr>
          <w:rFonts w:hint="eastAsia" w:ascii="宋体"/>
          <w:color w:val="auto"/>
          <w:sz w:val="24"/>
          <w:highlight w:val="none"/>
        </w:rPr>
        <w:t>＿日</w:t>
      </w:r>
    </w:p>
    <w:p w14:paraId="35FB2D96">
      <w:pPr>
        <w:spacing w:line="360" w:lineRule="auto"/>
        <w:rPr>
          <w:rFonts w:ascii="宋体"/>
          <w:color w:val="auto"/>
          <w:sz w:val="24"/>
          <w:highlight w:val="none"/>
        </w:rPr>
      </w:pPr>
      <w:r>
        <w:rPr>
          <w:rFonts w:hint="eastAsia" w:ascii="宋体"/>
          <w:color w:val="auto"/>
          <w:sz w:val="24"/>
          <w:highlight w:val="none"/>
        </w:rPr>
        <w:t>经营期限：</w:t>
      </w:r>
      <w:r>
        <w:rPr>
          <w:rFonts w:ascii="宋体"/>
          <w:color w:val="auto"/>
          <w:sz w:val="24"/>
          <w:highlight w:val="none"/>
          <w:u w:val="single"/>
        </w:rPr>
        <w:t xml:space="preserve">                                </w:t>
      </w:r>
      <w:r>
        <w:rPr>
          <w:rFonts w:ascii="宋体"/>
          <w:color w:val="auto"/>
          <w:sz w:val="24"/>
          <w:highlight w:val="none"/>
        </w:rPr>
        <w:t xml:space="preserve"> </w:t>
      </w:r>
    </w:p>
    <w:p w14:paraId="37279B6F">
      <w:pPr>
        <w:spacing w:line="360" w:lineRule="auto"/>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ascii="宋体"/>
          <w:color w:val="auto"/>
          <w:sz w:val="24"/>
          <w:highlight w:val="none"/>
          <w:u w:val="single"/>
        </w:rPr>
        <w:t xml:space="preserve">           </w:t>
      </w:r>
      <w:r>
        <w:rPr>
          <w:rFonts w:hint="eastAsia" w:ascii="宋体"/>
          <w:color w:val="auto"/>
          <w:sz w:val="24"/>
          <w:highlight w:val="none"/>
        </w:rPr>
        <w:t>身份证号码：</w:t>
      </w:r>
      <w:r>
        <w:rPr>
          <w:rFonts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职务：</w:t>
      </w:r>
      <w:r>
        <w:rPr>
          <w:rFonts w:ascii="宋体"/>
          <w:color w:val="auto"/>
          <w:sz w:val="24"/>
          <w:highlight w:val="none"/>
          <w:u w:val="single"/>
        </w:rPr>
        <w:t xml:space="preserve">       </w:t>
      </w:r>
      <w:r>
        <w:rPr>
          <w:rFonts w:ascii="宋体"/>
          <w:color w:val="auto"/>
          <w:sz w:val="24"/>
          <w:highlight w:val="none"/>
        </w:rPr>
        <w:t>_</w:t>
      </w:r>
      <w:r>
        <w:rPr>
          <w:rFonts w:hint="eastAsia" w:ascii="宋体"/>
          <w:color w:val="auto"/>
          <w:sz w:val="24"/>
          <w:highlight w:val="none"/>
        </w:rPr>
        <w:t>，系</w:t>
      </w:r>
      <w:r>
        <w:rPr>
          <w:rFonts w:ascii="宋体"/>
          <w:color w:val="auto"/>
          <w:sz w:val="24"/>
          <w:highlight w:val="none"/>
          <w:u w:val="single"/>
        </w:rPr>
        <w:t xml:space="preserve">                                </w:t>
      </w:r>
      <w:r>
        <w:rPr>
          <w:rFonts w:hint="eastAsia" w:ascii="宋体"/>
          <w:color w:val="auto"/>
          <w:sz w:val="24"/>
          <w:highlight w:val="none"/>
        </w:rPr>
        <w:t>（投标人名称）的法定代表人。</w:t>
      </w:r>
    </w:p>
    <w:p w14:paraId="6D40EA8E">
      <w:pPr>
        <w:spacing w:line="360" w:lineRule="auto"/>
        <w:rPr>
          <w:color w:val="auto"/>
          <w:highlight w:val="none"/>
        </w:rPr>
      </w:pPr>
      <w:r>
        <w:rPr>
          <w:rFonts w:hint="eastAsia" w:ascii="宋体"/>
          <w:color w:val="auto"/>
          <w:sz w:val="24"/>
          <w:highlight w:val="none"/>
        </w:rPr>
        <w:t>特此证明。</w:t>
      </w:r>
    </w:p>
    <w:p w14:paraId="1D56305B">
      <w:pPr>
        <w:spacing w:line="360" w:lineRule="auto"/>
        <w:ind w:firstLine="3720" w:firstLineChars="1550"/>
        <w:rPr>
          <w:rFonts w:ascii="宋体"/>
          <w:color w:val="auto"/>
          <w:sz w:val="24"/>
          <w:highlight w:val="none"/>
        </w:rPr>
      </w:pPr>
      <w:r>
        <w:rPr>
          <w:rFonts w:hint="eastAsia" w:ascii="宋体"/>
          <w:color w:val="auto"/>
          <w:sz w:val="24"/>
          <w:highlight w:val="none"/>
        </w:rPr>
        <w:t>投标人：</w:t>
      </w:r>
      <w:r>
        <w:rPr>
          <w:rFonts w:ascii="宋体"/>
          <w:color w:val="auto"/>
          <w:sz w:val="24"/>
          <w:highlight w:val="none"/>
          <w:u w:val="single"/>
        </w:rPr>
        <w:t xml:space="preserve">                 </w:t>
      </w:r>
      <w:r>
        <w:rPr>
          <w:rFonts w:hint="eastAsia" w:ascii="宋体"/>
          <w:color w:val="auto"/>
          <w:sz w:val="24"/>
          <w:highlight w:val="none"/>
        </w:rPr>
        <w:t>（签章）</w:t>
      </w:r>
    </w:p>
    <w:p w14:paraId="64B24D8B">
      <w:pPr>
        <w:spacing w:line="360" w:lineRule="auto"/>
        <w:rPr>
          <w:rFonts w:ascii="宋体"/>
          <w:color w:val="auto"/>
          <w:sz w:val="30"/>
          <w:szCs w:val="30"/>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65CAA36A">
      <w:pPr>
        <w:pStyle w:val="101"/>
        <w:spacing w:beforeLines="100" w:afterLines="100" w:line="360" w:lineRule="auto"/>
        <w:rPr>
          <w:rFonts w:ascii="宋体"/>
          <w:color w:val="auto"/>
          <w:sz w:val="24"/>
          <w:szCs w:val="24"/>
          <w:highlight w:val="none"/>
        </w:rPr>
      </w:pPr>
      <w:r>
        <w:rPr>
          <w:rFonts w:hint="eastAsia" w:ascii="宋体"/>
          <w:color w:val="auto"/>
          <w:sz w:val="24"/>
          <w:szCs w:val="24"/>
          <w:highlight w:val="none"/>
        </w:rPr>
        <w:t>或</w:t>
      </w:r>
      <w:r>
        <w:rPr>
          <w:rFonts w:ascii="宋体"/>
          <w:color w:val="auto"/>
          <w:sz w:val="24"/>
          <w:szCs w:val="24"/>
          <w:highlight w:val="none"/>
        </w:rPr>
        <w:t>1</w:t>
      </w:r>
      <w:r>
        <w:rPr>
          <w:rFonts w:hint="eastAsia" w:ascii="宋体"/>
          <w:color w:val="auto"/>
          <w:sz w:val="24"/>
          <w:szCs w:val="24"/>
          <w:highlight w:val="none"/>
        </w:rPr>
        <w:t>、授权委托书</w:t>
      </w:r>
    </w:p>
    <w:p w14:paraId="4C32ECFB">
      <w:pPr>
        <w:spacing w:line="500" w:lineRule="exact"/>
        <w:ind w:firstLine="480" w:firstLineChars="200"/>
        <w:jc w:val="left"/>
        <w:rPr>
          <w:rFonts w:ascii="宋体"/>
          <w:color w:val="auto"/>
          <w:sz w:val="24"/>
          <w:highlight w:val="none"/>
        </w:rPr>
      </w:pPr>
      <w:r>
        <w:rPr>
          <w:rFonts w:hint="eastAsia" w:ascii="宋体"/>
          <w:color w:val="auto"/>
          <w:sz w:val="24"/>
          <w:highlight w:val="none"/>
        </w:rPr>
        <w:t>本人</w:t>
      </w:r>
      <w:r>
        <w:rPr>
          <w:rFonts w:ascii="宋体"/>
          <w:color w:val="auto"/>
          <w:sz w:val="24"/>
          <w:highlight w:val="none"/>
        </w:rPr>
        <w:t xml:space="preserve"> </w:t>
      </w:r>
      <w:r>
        <w:rPr>
          <w:rFonts w:ascii="宋体"/>
          <w:color w:val="auto"/>
          <w:sz w:val="24"/>
          <w:highlight w:val="none"/>
          <w:u w:val="single"/>
        </w:rPr>
        <w:t xml:space="preserve">    </w:t>
      </w:r>
      <w:r>
        <w:rPr>
          <w:rFonts w:hint="eastAsia" w:ascii="宋体"/>
          <w:color w:val="auto"/>
          <w:sz w:val="24"/>
          <w:highlight w:val="none"/>
        </w:rPr>
        <w:t>（姓名）系</w:t>
      </w:r>
      <w:r>
        <w:rPr>
          <w:rFonts w:ascii="宋体"/>
          <w:color w:val="auto"/>
          <w:sz w:val="24"/>
          <w:highlight w:val="none"/>
          <w:u w:val="single"/>
        </w:rPr>
        <w:t xml:space="preserve">       </w:t>
      </w:r>
      <w:r>
        <w:rPr>
          <w:rFonts w:hint="eastAsia" w:ascii="宋体"/>
          <w:color w:val="auto"/>
          <w:sz w:val="24"/>
          <w:highlight w:val="none"/>
        </w:rPr>
        <w:t>（投标人）的法定代表人，现委托</w:t>
      </w:r>
      <w:r>
        <w:rPr>
          <w:rFonts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rPr>
        <w:t>(</w:t>
      </w:r>
      <w:r>
        <w:rPr>
          <w:rFonts w:hint="eastAsia" w:ascii="宋体"/>
          <w:color w:val="auto"/>
          <w:sz w:val="24"/>
          <w:highlight w:val="none"/>
        </w:rPr>
        <w:t>项目名称、编号）投标文件，全权处理与该项目投标、评审答疑、签订合同以及与合同执行有关的一切事务，其法律后果由我方承担。</w:t>
      </w:r>
    </w:p>
    <w:p w14:paraId="0219911F">
      <w:pPr>
        <w:spacing w:line="500" w:lineRule="exact"/>
        <w:ind w:firstLine="480" w:firstLineChars="200"/>
        <w:rPr>
          <w:rFonts w:ascii="宋体"/>
          <w:color w:val="auto"/>
          <w:sz w:val="24"/>
          <w:highlight w:val="none"/>
        </w:rPr>
      </w:pPr>
      <w:r>
        <w:rPr>
          <w:rFonts w:hint="eastAsia" w:ascii="宋体"/>
          <w:color w:val="auto"/>
          <w:sz w:val="24"/>
          <w:highlight w:val="none"/>
        </w:rPr>
        <w:t>委托期限：</w:t>
      </w:r>
      <w:r>
        <w:rPr>
          <w:rFonts w:ascii="宋体"/>
          <w:color w:val="auto"/>
          <w:sz w:val="24"/>
          <w:highlight w:val="none"/>
        </w:rPr>
        <w:t xml:space="preserve"> </w:t>
      </w:r>
      <w:r>
        <w:rPr>
          <w:rFonts w:ascii="宋体" w:cs="宋体"/>
          <w:color w:val="auto"/>
          <w:sz w:val="24"/>
          <w:highlight w:val="none"/>
          <w:u w:val="single"/>
        </w:rPr>
        <w:t xml:space="preserve">          </w:t>
      </w:r>
      <w:r>
        <w:rPr>
          <w:rFonts w:hint="eastAsia" w:ascii="宋体" w:cs="宋体"/>
          <w:color w:val="auto"/>
          <w:sz w:val="24"/>
          <w:highlight w:val="none"/>
        </w:rPr>
        <w:t>。</w:t>
      </w:r>
      <w:r>
        <w:rPr>
          <w:rFonts w:ascii="宋体"/>
          <w:color w:val="auto"/>
          <w:sz w:val="24"/>
          <w:highlight w:val="none"/>
        </w:rPr>
        <w:t xml:space="preserve">                     </w:t>
      </w:r>
    </w:p>
    <w:p w14:paraId="02078BFB">
      <w:pPr>
        <w:spacing w:line="50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68290069">
      <w:pPr>
        <w:spacing w:line="50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w:t>
      </w:r>
    </w:p>
    <w:p w14:paraId="688690EC">
      <w:pPr>
        <w:spacing w:line="500" w:lineRule="exact"/>
        <w:ind w:firstLine="957" w:firstLineChars="397"/>
        <w:rPr>
          <w:color w:val="auto"/>
          <w:highlight w:val="none"/>
        </w:rPr>
      </w:pPr>
      <w:r>
        <w:rPr>
          <w:rFonts w:hint="eastAsia" w:ascii="宋体"/>
          <w:b/>
          <w:color w:val="auto"/>
          <w:sz w:val="24"/>
          <w:highlight w:val="none"/>
        </w:rPr>
        <w:t>法定代表人有效身份证</w:t>
      </w:r>
    </w:p>
    <w:p w14:paraId="1075F943">
      <w:pPr>
        <w:spacing w:line="500" w:lineRule="exact"/>
        <w:ind w:firstLine="200"/>
        <w:rPr>
          <w:rFonts w:ascii="宋体"/>
          <w:color w:val="auto"/>
          <w:sz w:val="24"/>
          <w:highlight w:val="none"/>
        </w:rPr>
      </w:pPr>
      <w:r>
        <w:rPr>
          <w:rFonts w:ascii="宋体"/>
          <w:color w:val="auto"/>
          <w:sz w:val="24"/>
          <w:highlight w:val="none"/>
        </w:rPr>
        <w:t xml:space="preserve">                                        </w:t>
      </w:r>
      <w:r>
        <w:rPr>
          <w:rFonts w:hint="eastAsia" w:ascii="宋体"/>
          <w:color w:val="auto"/>
          <w:sz w:val="24"/>
          <w:highlight w:val="none"/>
        </w:rPr>
        <w:t>投标人（签章）：</w:t>
      </w:r>
    </w:p>
    <w:p w14:paraId="1AE08E78">
      <w:pPr>
        <w:spacing w:line="500" w:lineRule="exact"/>
        <w:ind w:firstLine="5040" w:firstLineChars="2100"/>
        <w:rPr>
          <w:rFonts w:ascii="宋体"/>
          <w:color w:val="auto"/>
          <w:sz w:val="24"/>
          <w:highlight w:val="none"/>
        </w:rPr>
      </w:pPr>
      <w:r>
        <w:rPr>
          <w:rFonts w:hint="eastAsia" w:ascii="宋体"/>
          <w:color w:val="auto"/>
          <w:sz w:val="24"/>
          <w:highlight w:val="none"/>
        </w:rPr>
        <w:t>法定代表人（身份证号码）：</w:t>
      </w:r>
      <w:r>
        <w:rPr>
          <w:rFonts w:ascii="宋体"/>
          <w:color w:val="auto"/>
          <w:sz w:val="24"/>
          <w:highlight w:val="none"/>
        </w:rPr>
        <w:t xml:space="preserve"> </w:t>
      </w:r>
      <w:r>
        <w:rPr>
          <w:rFonts w:hint="eastAsia" w:ascii="宋体"/>
          <w:color w:val="auto"/>
          <w:sz w:val="24"/>
          <w:highlight w:val="none"/>
        </w:rPr>
        <w:t>（签章）</w:t>
      </w:r>
    </w:p>
    <w:p w14:paraId="68355D18">
      <w:pPr>
        <w:spacing w:line="500" w:lineRule="exact"/>
        <w:ind w:firstLine="5040" w:firstLineChars="2100"/>
        <w:rPr>
          <w:rFonts w:ascii="宋体"/>
          <w:color w:val="auto"/>
          <w:sz w:val="24"/>
          <w:highlight w:val="none"/>
        </w:rPr>
      </w:pPr>
      <w:r>
        <w:rPr>
          <w:rFonts w:hint="eastAsia" w:ascii="宋体"/>
          <w:color w:val="auto"/>
          <w:sz w:val="24"/>
          <w:highlight w:val="none"/>
        </w:rPr>
        <w:t>委托代理人（身份证号码）：</w:t>
      </w:r>
      <w:r>
        <w:rPr>
          <w:rFonts w:ascii="宋体"/>
          <w:color w:val="auto"/>
          <w:sz w:val="24"/>
          <w:highlight w:val="none"/>
        </w:rPr>
        <w:t xml:space="preserve">      </w:t>
      </w:r>
    </w:p>
    <w:p w14:paraId="33F25D61">
      <w:pPr>
        <w:spacing w:line="500" w:lineRule="exact"/>
        <w:ind w:firstLine="2820" w:firstLineChars="1175"/>
        <w:rPr>
          <w:color w:val="auto"/>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1DF25BCD">
      <w:pPr>
        <w:spacing w:line="360" w:lineRule="auto"/>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w:t>
      </w:r>
      <w:r>
        <w:rPr>
          <w:b/>
          <w:color w:val="auto"/>
          <w:sz w:val="28"/>
          <w:szCs w:val="28"/>
          <w:highlight w:val="none"/>
        </w:rPr>
        <w:t>2</w:t>
      </w:r>
      <w:r>
        <w:rPr>
          <w:rFonts w:hint="eastAsia"/>
          <w:b/>
          <w:color w:val="auto"/>
          <w:sz w:val="28"/>
          <w:szCs w:val="28"/>
          <w:highlight w:val="none"/>
        </w:rPr>
        <w:t>）诚信投标承诺书</w:t>
      </w:r>
      <w:bookmarkEnd w:id="777"/>
      <w:bookmarkEnd w:id="778"/>
      <w:r>
        <w:rPr>
          <w:b/>
          <w:color w:val="auto"/>
          <w:sz w:val="28"/>
          <w:szCs w:val="28"/>
          <w:highlight w:val="none"/>
        </w:rPr>
        <w:t> </w:t>
      </w:r>
      <w:bookmarkEnd w:id="779"/>
    </w:p>
    <w:p w14:paraId="54756A4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7ED2793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7BCAC41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05C3BDD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2E8210B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D66333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00B62A2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bookmarkStart w:id="780" w:name="OLE_LINK133"/>
      <w:bookmarkStart w:id="781" w:name="OLE_LINK134"/>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r>
        <w:rPr>
          <w:rFonts w:hint="eastAsia"/>
          <w:color w:val="auto"/>
          <w:szCs w:val="21"/>
          <w:highlight w:val="none"/>
        </w:rPr>
        <w:t>（</w:t>
      </w:r>
      <w:bookmarkEnd w:id="780"/>
      <w:bookmarkEnd w:id="781"/>
      <w:r>
        <w:rPr>
          <w:rFonts w:hint="eastAsia"/>
          <w:color w:val="auto"/>
          <w:szCs w:val="21"/>
          <w:highlight w:val="none"/>
        </w:rPr>
        <w:t>若招标文件对投标人所属分公司、办事处等分支机构有上述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项信誉要求，在此一并承诺我公司所属分公司、办事处等分支机构没有上述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项情形）</w:t>
      </w:r>
    </w:p>
    <w:p w14:paraId="5F5CDD2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263A59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47C3D2E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29934C9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56D47E7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1600B13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7029E05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2F224A2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48FE35A">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201610E">
      <w:pPr>
        <w:spacing w:line="360" w:lineRule="auto"/>
        <w:jc w:val="both"/>
        <w:rPr>
          <w:rFonts w:hint="eastAsia"/>
          <w:b/>
          <w:color w:val="auto"/>
          <w:sz w:val="28"/>
          <w:szCs w:val="28"/>
          <w:highlight w:val="none"/>
          <w:lang w:val="en-US" w:eastAsia="zh-CN"/>
        </w:rPr>
      </w:pPr>
    </w:p>
    <w:p w14:paraId="71804807">
      <w:pPr>
        <w:spacing w:line="360" w:lineRule="auto"/>
        <w:jc w:val="center"/>
        <w:rPr>
          <w:rFonts w:hint="eastAsia"/>
          <w:b/>
          <w:color w:val="auto"/>
          <w:sz w:val="28"/>
          <w:szCs w:val="28"/>
          <w:highlight w:val="none"/>
          <w:lang w:val="en-US" w:eastAsia="zh-CN"/>
        </w:rPr>
      </w:pPr>
      <w:r>
        <w:rPr>
          <w:rFonts w:hint="eastAsia"/>
          <w:b/>
          <w:color w:val="auto"/>
          <w:sz w:val="28"/>
          <w:szCs w:val="28"/>
          <w:highlight w:val="none"/>
          <w:lang w:val="en-US" w:eastAsia="zh-CN"/>
        </w:rPr>
        <w:br w:type="page"/>
      </w:r>
      <w:r>
        <w:rPr>
          <w:rFonts w:hint="eastAsia"/>
          <w:b/>
          <w:color w:val="auto"/>
          <w:sz w:val="28"/>
          <w:szCs w:val="28"/>
          <w:highlight w:val="none"/>
          <w:lang w:val="en-US" w:eastAsia="zh-CN"/>
        </w:rPr>
        <w:t>或2、公共信用信息报告（无违法违规证明版或核查版）</w:t>
      </w:r>
    </w:p>
    <w:p w14:paraId="0DE42C2C">
      <w:pPr>
        <w:pStyle w:val="44"/>
        <w:spacing w:after="0" w:line="560" w:lineRule="exact"/>
        <w:ind w:left="0" w:leftChars="0"/>
        <w:jc w:val="left"/>
        <w:rPr>
          <w:rFonts w:hint="eastAsia" w:ascii="宋体" w:hAnsi="宋体"/>
          <w:color w:val="auto"/>
          <w:szCs w:val="21"/>
          <w:highlight w:val="none"/>
        </w:rPr>
      </w:pPr>
      <w:r>
        <w:rPr>
          <w:rFonts w:hint="eastAsia" w:ascii="宋体" w:hAnsi="宋体"/>
          <w:color w:val="auto"/>
          <w:szCs w:val="21"/>
          <w:highlight w:val="none"/>
        </w:rPr>
        <w:t>符合条件的投标人可在信用中国（安徽）网站（网址</w:t>
      </w:r>
      <w:r>
        <w:rPr>
          <w:rFonts w:ascii="宋体" w:hAnsi="宋体"/>
          <w:color w:val="auto"/>
          <w:szCs w:val="21"/>
          <w:highlight w:val="none"/>
        </w:rPr>
        <w:fldChar w:fldCharType="begin"/>
      </w:r>
      <w:r>
        <w:rPr>
          <w:rFonts w:ascii="宋体" w:hAnsi="宋体"/>
          <w:color w:val="auto"/>
          <w:szCs w:val="21"/>
          <w:highlight w:val="none"/>
        </w:rPr>
        <w:instrText xml:space="preserve"> HYPERLINK "https://credit.ah.gov.cn/xinyongfuwu/index.html" </w:instrText>
      </w:r>
      <w:r>
        <w:rPr>
          <w:rFonts w:ascii="宋体" w:hAnsi="宋体"/>
          <w:color w:val="auto"/>
          <w:szCs w:val="21"/>
          <w:highlight w:val="none"/>
        </w:rPr>
        <w:fldChar w:fldCharType="separate"/>
      </w:r>
      <w:r>
        <w:rPr>
          <w:rStyle w:val="56"/>
          <w:rFonts w:ascii="宋体" w:hAnsi="宋体"/>
          <w:color w:val="auto"/>
          <w:szCs w:val="21"/>
          <w:highlight w:val="none"/>
        </w:rPr>
        <w:t>https://credit.ah.gov.cn/xinyongfuwu/index.html</w:t>
      </w:r>
      <w:r>
        <w:rPr>
          <w:rFonts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p>
    <w:p w14:paraId="283430D3">
      <w:pPr>
        <w:rPr>
          <w:rFonts w:ascii="宋体"/>
          <w:b/>
          <w:color w:val="auto"/>
          <w:sz w:val="32"/>
          <w:szCs w:val="32"/>
          <w:highlight w:val="none"/>
        </w:rPr>
      </w:pPr>
      <w:r>
        <w:rPr>
          <w:rFonts w:ascii="宋体"/>
          <w:b/>
          <w:color w:val="auto"/>
          <w:sz w:val="32"/>
          <w:szCs w:val="32"/>
          <w:highlight w:val="none"/>
        </w:rPr>
        <w:br w:type="page"/>
      </w:r>
    </w:p>
    <w:p w14:paraId="59CF517B">
      <w:pPr>
        <w:spacing w:line="360" w:lineRule="auto"/>
        <w:jc w:val="center"/>
        <w:rPr>
          <w:rFonts w:ascii="宋体"/>
          <w:b/>
          <w:color w:val="auto"/>
          <w:sz w:val="24"/>
          <w:highlight w:val="none"/>
        </w:rPr>
      </w:pPr>
      <w:r>
        <w:rPr>
          <w:rFonts w:hint="eastAsia"/>
          <w:b/>
          <w:color w:val="auto"/>
          <w:sz w:val="28"/>
          <w:szCs w:val="28"/>
          <w:highlight w:val="none"/>
        </w:rPr>
        <w:t>（</w:t>
      </w:r>
      <w:r>
        <w:rPr>
          <w:b/>
          <w:color w:val="auto"/>
          <w:sz w:val="28"/>
          <w:szCs w:val="28"/>
          <w:highlight w:val="none"/>
        </w:rPr>
        <w:t>3</w:t>
      </w:r>
      <w:r>
        <w:rPr>
          <w:rFonts w:hint="eastAsia"/>
          <w:b/>
          <w:color w:val="auto"/>
          <w:sz w:val="28"/>
          <w:szCs w:val="28"/>
          <w:highlight w:val="none"/>
        </w:rPr>
        <w:t>）服务承诺书</w:t>
      </w:r>
    </w:p>
    <w:p w14:paraId="20A6BABD">
      <w:pPr>
        <w:shd w:val="clear" w:color="auto" w:fill="auto"/>
        <w:ind w:firstLine="480" w:firstLineChars="200"/>
        <w:rPr>
          <w:rFonts w:hint="eastAsia" w:ascii="宋体"/>
          <w:color w:val="auto"/>
          <w:sz w:val="24"/>
          <w:highlight w:val="none"/>
        </w:rPr>
      </w:pPr>
    </w:p>
    <w:p w14:paraId="3FA2CC37">
      <w:pPr>
        <w:shd w:val="clear" w:color="auto" w:fill="auto"/>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（招标人）</w:t>
      </w:r>
      <w:r>
        <w:rPr>
          <w:rFonts w:hint="eastAsia" w:ascii="宋体"/>
          <w:color w:val="auto"/>
          <w:sz w:val="24"/>
          <w:highlight w:val="none"/>
        </w:rPr>
        <w:t>：</w:t>
      </w:r>
    </w:p>
    <w:p w14:paraId="15785964">
      <w:pPr>
        <w:shd w:val="clear" w:color="auto" w:fill="auto"/>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（投标人名称）对本招标文件中的所有要求完全响应。若有幸中标将严格按照以上承诺进行服务。</w:t>
      </w:r>
    </w:p>
    <w:p w14:paraId="6B7A5B40">
      <w:pPr>
        <w:shd w:val="clear" w:color="auto" w:fill="auto"/>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64FC823E">
      <w:pPr>
        <w:shd w:val="clear" w:color="auto" w:fill="auto"/>
        <w:spacing w:line="600" w:lineRule="exact"/>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6A0802F6">
      <w:pPr>
        <w:shd w:val="clear" w:color="auto" w:fill="auto"/>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5B3F2CEA">
      <w:pPr>
        <w:shd w:val="clear" w:color="auto" w:fill="auto"/>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117D9B65">
      <w:pPr>
        <w:pStyle w:val="44"/>
        <w:shd w:val="clear" w:color="auto" w:fill="auto"/>
        <w:ind w:firstLine="420"/>
        <w:rPr>
          <w:rFonts w:hint="eastAsia"/>
          <w:color w:val="auto"/>
          <w:highlight w:val="none"/>
        </w:rPr>
        <w:sectPr>
          <w:pgSz w:w="11906" w:h="16838"/>
          <w:pgMar w:top="624" w:right="1191" w:bottom="624" w:left="1077" w:header="680" w:footer="680" w:gutter="0"/>
          <w:pgNumType w:fmt="decimal"/>
          <w:cols w:space="720" w:num="1"/>
          <w:titlePg/>
          <w:docGrid w:type="lines" w:linePitch="312" w:charSpace="0"/>
        </w:sectPr>
      </w:pPr>
    </w:p>
    <w:p w14:paraId="7F104225">
      <w:pPr>
        <w:rPr>
          <w:color w:val="auto"/>
          <w:highlight w:val="none"/>
        </w:rPr>
      </w:pPr>
    </w:p>
    <w:p w14:paraId="0FA64B62">
      <w:pPr>
        <w:spacing w:line="360" w:lineRule="auto"/>
        <w:jc w:val="center"/>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w:t>
      </w:r>
      <w:r>
        <w:rPr>
          <w:rFonts w:hint="eastAsia" w:ascii="Times New Roman" w:hAnsi="Times New Roman" w:eastAsia="宋体" w:cs="Times New Roman"/>
          <w:b/>
          <w:color w:val="auto"/>
          <w:sz w:val="28"/>
          <w:szCs w:val="28"/>
          <w:highlight w:val="none"/>
          <w:lang w:val="en-US" w:eastAsia="zh-CN"/>
        </w:rPr>
        <w:t>4</w:t>
      </w:r>
      <w:r>
        <w:rPr>
          <w:rFonts w:hint="eastAsia" w:ascii="Times New Roman" w:hAnsi="Times New Roman" w:eastAsia="宋体" w:cs="Times New Roman"/>
          <w:b/>
          <w:color w:val="auto"/>
          <w:sz w:val="28"/>
          <w:szCs w:val="28"/>
          <w:highlight w:val="none"/>
        </w:rPr>
        <w:t>）投标函</w:t>
      </w:r>
    </w:p>
    <w:p w14:paraId="45FE9A72">
      <w:pPr>
        <w:spacing w:line="500" w:lineRule="exact"/>
        <w:ind w:firstLine="422" w:firstLineChars="200"/>
        <w:jc w:val="left"/>
        <w:rPr>
          <w:rFonts w:ascii="宋体" w:cs="宋体"/>
          <w:color w:val="auto"/>
          <w:highlight w:val="none"/>
        </w:rPr>
      </w:pPr>
      <w:r>
        <w:rPr>
          <w:rFonts w:hint="eastAsia" w:ascii="宋体" w:hAnsi="宋体" w:cs="宋体"/>
          <w:b/>
          <w:bCs/>
          <w:color w:val="auto"/>
          <w:highlight w:val="none"/>
        </w:rPr>
        <w:t>致：</w:t>
      </w:r>
      <w:r>
        <w:rPr>
          <w:rFonts w:ascii="宋体" w:hAnsi="宋体" w:cs="宋体"/>
          <w:b/>
          <w:bCs/>
          <w:color w:val="auto"/>
          <w:highlight w:val="none"/>
          <w:u w:val="single"/>
        </w:rPr>
        <w:t xml:space="preserve">       </w:t>
      </w:r>
      <w:r>
        <w:rPr>
          <w:rFonts w:hint="eastAsia" w:ascii="宋体" w:hAnsi="宋体" w:cs="宋体"/>
          <w:b/>
          <w:bCs/>
          <w:color w:val="auto"/>
          <w:highlight w:val="none"/>
          <w:u w:val="single"/>
        </w:rPr>
        <w:t>（招标人）</w:t>
      </w:r>
      <w:r>
        <w:rPr>
          <w:rFonts w:ascii="宋体" w:hAnsi="宋体" w:cs="宋体"/>
          <w:b/>
          <w:bCs/>
          <w:color w:val="auto"/>
          <w:highlight w:val="none"/>
          <w:u w:val="single"/>
        </w:rPr>
        <w:t xml:space="preserve"> </w:t>
      </w:r>
      <w:r>
        <w:rPr>
          <w:rFonts w:ascii="宋体" w:hAnsi="宋体" w:cs="宋体"/>
          <w:color w:val="auto"/>
          <w:highlight w:val="none"/>
        </w:rPr>
        <w:t xml:space="preserve">  </w:t>
      </w:r>
    </w:p>
    <w:p w14:paraId="32B867AD">
      <w:pPr>
        <w:spacing w:line="500" w:lineRule="exact"/>
        <w:ind w:firstLine="525" w:firstLineChars="250"/>
        <w:jc w:val="left"/>
        <w:rPr>
          <w:rFonts w:ascii="宋体" w:cs="宋体"/>
          <w:color w:val="auto"/>
          <w:highlight w:val="none"/>
        </w:rPr>
      </w:pPr>
      <w:r>
        <w:rPr>
          <w:rFonts w:hint="eastAsia" w:ascii="宋体" w:hAnsi="宋体" w:cs="宋体"/>
          <w:color w:val="auto"/>
          <w:highlight w:val="none"/>
        </w:rPr>
        <w:t>我们决定参加贵单位组织的“</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（项目名称）</w:t>
      </w:r>
      <w:r>
        <w:rPr>
          <w:rFonts w:hint="eastAsia" w:ascii="宋体" w:hAnsi="宋体" w:cs="宋体"/>
          <w:color w:val="auto"/>
          <w:highlight w:val="none"/>
        </w:rPr>
        <w:t>”的项目。我方授权</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u w:val="single"/>
        </w:rPr>
        <w:t>姓名和职务</w:t>
      </w:r>
      <w:r>
        <w:rPr>
          <w:rFonts w:ascii="宋体" w:hAnsi="宋体" w:cs="宋体"/>
          <w:color w:val="auto"/>
          <w:highlight w:val="none"/>
        </w:rPr>
        <w:t>)</w:t>
      </w:r>
      <w:r>
        <w:rPr>
          <w:rFonts w:hint="eastAsia" w:ascii="宋体" w:hAnsi="宋体" w:cs="宋体"/>
          <w:color w:val="auto"/>
          <w:highlight w:val="none"/>
        </w:rPr>
        <w:t>代表我方</w:t>
      </w:r>
      <w:r>
        <w:rPr>
          <w:rFonts w:ascii="宋体" w:hAnsi="宋体" w:cs="宋体"/>
          <w:color w:val="auto"/>
          <w:highlight w:val="non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rPr>
        <w:t>（投标单位的名称）全权处理本项目投标的有关事宜</w:t>
      </w:r>
      <w:r>
        <w:rPr>
          <w:rFonts w:ascii="宋体" w:hAnsi="宋体" w:cs="宋体"/>
          <w:color w:val="auto"/>
          <w:highlight w:val="none"/>
        </w:rPr>
        <w:t xml:space="preserve"> </w:t>
      </w:r>
    </w:p>
    <w:p w14:paraId="69C44770">
      <w:pPr>
        <w:spacing w:line="500" w:lineRule="exact"/>
        <w:ind w:firstLine="420" w:firstLineChars="200"/>
        <w:jc w:val="left"/>
        <w:rPr>
          <w:rFonts w:ascii="宋体" w:cs="宋体"/>
          <w:color w:val="auto"/>
          <w:szCs w:val="21"/>
          <w:highlight w:val="none"/>
        </w:rPr>
      </w:pPr>
      <w:r>
        <w:rPr>
          <w:rFonts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我们已仔细地研究了</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（项目名称）</w:t>
      </w:r>
      <w:r>
        <w:rPr>
          <w:rFonts w:hint="eastAsia" w:ascii="宋体" w:hAnsi="宋体" w:cs="宋体"/>
          <w:color w:val="auto"/>
          <w:highlight w:val="none"/>
        </w:rPr>
        <w:t>招标文件的全部内容，包括但不限于承包人须知合同条件、工作要求，以及全部补遗和澄清文件。我们已了解和审核了全部招标文件，并完全理解了招标文件</w:t>
      </w:r>
      <w:r>
        <w:rPr>
          <w:rFonts w:hint="eastAsia" w:ascii="宋体" w:hAnsi="宋体" w:cs="宋体"/>
          <w:color w:val="auto"/>
          <w:spacing w:val="-1"/>
          <w:highlight w:val="none"/>
        </w:rPr>
        <w:t>规定的合同范围，工作要求，并考虑到了潜在所有风险。据此我方愿以：</w:t>
      </w:r>
      <w:r>
        <w:rPr>
          <w:rFonts w:hint="eastAsia" w:ascii="宋体" w:hAnsi="宋体" w:cs="宋体"/>
          <w:color w:val="auto"/>
          <w:spacing w:val="-1"/>
          <w:highlight w:val="none"/>
          <w:u w:val="single"/>
        </w:rPr>
        <w:t>大写</w:t>
      </w:r>
      <w:r>
        <w:rPr>
          <w:rFonts w:ascii="宋体" w:hAnsi="宋体" w:cs="宋体"/>
          <w:color w:val="auto"/>
          <w:spacing w:val="56"/>
          <w:highlight w:val="none"/>
          <w:u w:val="single"/>
        </w:rPr>
        <w:t xml:space="preserve"> </w:t>
      </w:r>
      <w:r>
        <w:rPr>
          <w:rFonts w:hint="eastAsia" w:ascii="宋体" w:hAnsi="宋体" w:cs="宋体"/>
          <w:color w:val="auto"/>
          <w:spacing w:val="56"/>
          <w:highlight w:val="none"/>
          <w:u w:val="single"/>
          <w:lang w:val="en-US" w:eastAsia="zh-CN"/>
        </w:rPr>
        <w:t xml:space="preserve">         </w:t>
      </w:r>
      <w:r>
        <w:rPr>
          <w:rFonts w:ascii="宋体" w:hAnsi="宋体" w:cs="宋体"/>
          <w:color w:val="auto"/>
          <w:spacing w:val="56"/>
          <w:highlight w:val="none"/>
          <w:u w:val="single"/>
        </w:rPr>
        <w:t xml:space="preserve"> </w:t>
      </w:r>
      <w:r>
        <w:rPr>
          <w:rFonts w:hint="eastAsia" w:ascii="宋体" w:hAnsi="宋体" w:cs="宋体"/>
          <w:color w:val="auto"/>
          <w:spacing w:val="56"/>
          <w:highlight w:val="none"/>
          <w:u w:val="single"/>
          <w:lang w:eastAsia="zh-CN"/>
        </w:rPr>
        <w:t>；</w:t>
      </w:r>
      <w:r>
        <w:rPr>
          <w:rFonts w:hint="eastAsia" w:ascii="宋体" w:hAnsi="宋体" w:cs="宋体"/>
          <w:color w:val="auto"/>
          <w:spacing w:val="56"/>
          <w:highlight w:val="none"/>
          <w:u w:val="single"/>
        </w:rPr>
        <w:t>小写</w:t>
      </w:r>
      <w:r>
        <w:rPr>
          <w:rFonts w:hint="eastAsia" w:ascii="宋体" w:hAnsi="宋体" w:cs="宋体"/>
          <w:color w:val="auto"/>
          <w:spacing w:val="56"/>
          <w:highlight w:val="none"/>
          <w:u w:val="single"/>
          <w:lang w:val="en-US" w:eastAsia="zh-CN"/>
        </w:rPr>
        <w:t xml:space="preserve">     </w:t>
      </w:r>
      <w:r>
        <w:rPr>
          <w:rFonts w:ascii="宋体" w:hAnsi="宋体" w:cs="宋体"/>
          <w:color w:val="auto"/>
          <w:spacing w:val="56"/>
          <w:highlight w:val="none"/>
          <w:u w:val="single"/>
        </w:rPr>
        <w:t xml:space="preserve">  </w:t>
      </w:r>
      <w:r>
        <w:rPr>
          <w:rFonts w:hint="eastAsia" w:ascii="宋体" w:hAnsi="宋体" w:cs="宋体"/>
          <w:color w:val="auto"/>
          <w:spacing w:val="56"/>
          <w:highlight w:val="none"/>
          <w:u w:val="single"/>
          <w:lang w:val="en-US" w:eastAsia="zh-CN"/>
        </w:rPr>
        <w:t>元</w:t>
      </w:r>
      <w:r>
        <w:rPr>
          <w:rFonts w:hint="eastAsia" w:ascii="宋体" w:hAnsi="宋体" w:cs="宋体"/>
          <w:color w:val="auto"/>
          <w:highlight w:val="none"/>
        </w:rPr>
        <w:t>（小数点后保留</w:t>
      </w:r>
      <w:r>
        <w:rPr>
          <w:rFonts w:ascii="宋体" w:hAnsi="宋体" w:cs="宋体"/>
          <w:color w:val="auto"/>
          <w:highlight w:val="none"/>
        </w:rPr>
        <w:t>2</w:t>
      </w:r>
      <w:r>
        <w:rPr>
          <w:rFonts w:hint="eastAsia" w:ascii="宋体" w:hAnsi="宋体" w:cs="宋体"/>
          <w:color w:val="auto"/>
          <w:highlight w:val="none"/>
        </w:rPr>
        <w:t>位）为报价，作为本工程项目</w:t>
      </w:r>
      <w:r>
        <w:rPr>
          <w:rFonts w:hint="eastAsia" w:ascii="宋体" w:hAnsi="宋体" w:cs="宋体"/>
          <w:color w:val="auto"/>
          <w:highlight w:val="none"/>
          <w:lang w:val="en-US" w:eastAsia="zh-CN"/>
        </w:rPr>
        <w:t>检测</w:t>
      </w:r>
      <w:r>
        <w:rPr>
          <w:rFonts w:hint="eastAsia" w:ascii="宋体" w:hAnsi="宋体" w:cs="宋体"/>
          <w:color w:val="auto"/>
          <w:highlight w:val="none"/>
        </w:rPr>
        <w:t>工作所需的全部费用。</w:t>
      </w:r>
    </w:p>
    <w:p w14:paraId="5C3E93E8">
      <w:pPr>
        <w:spacing w:line="500" w:lineRule="exact"/>
        <w:ind w:firstLine="420" w:firstLineChars="200"/>
        <w:jc w:val="lef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一旦我方中标，我方将派出</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rPr>
        <w:t>为本</w:t>
      </w:r>
      <w:r>
        <w:rPr>
          <w:rFonts w:hint="eastAsia" w:ascii="宋体" w:hAnsi="宋体" w:cs="宋体"/>
          <w:color w:val="auto"/>
          <w:highlight w:val="none"/>
          <w:lang w:val="en-US" w:eastAsia="zh-CN"/>
        </w:rPr>
        <w:t>项目负责人</w:t>
      </w:r>
      <w:r>
        <w:rPr>
          <w:rFonts w:hint="eastAsia" w:ascii="宋体" w:hAnsi="宋体" w:cs="宋体"/>
          <w:color w:val="auto"/>
          <w:highlight w:val="none"/>
        </w:rPr>
        <w:t>。</w:t>
      </w:r>
    </w:p>
    <w:p w14:paraId="4FDEEF08">
      <w:pPr>
        <w:spacing w:line="500" w:lineRule="exact"/>
        <w:ind w:firstLine="420" w:firstLineChars="200"/>
        <w:jc w:val="left"/>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如果贵方接受我单位中标，我单位保证在承包人须知规定的期限内，按本投标配备的人员及时开展工作，否则，贵方有权单方面终止合同，并令我单位立即退场，工程项目另行处理，由此造成的一切损失由我单位负责赔偿。</w:t>
      </w:r>
    </w:p>
    <w:p w14:paraId="33A2A761">
      <w:pPr>
        <w:spacing w:line="50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w:t>
      </w:r>
      <w:r>
        <w:rPr>
          <w:rFonts w:hint="eastAsia" w:ascii="宋体" w:hAnsi="宋体" w:cs="宋体"/>
          <w:color w:val="auto"/>
          <w:highlight w:val="none"/>
        </w:rPr>
        <w:t>我们声明，本投标文件的全部内容我公司已了解和熟悉，并承诺中标后严格按此投标文件执行。</w:t>
      </w:r>
    </w:p>
    <w:p w14:paraId="3E54B934">
      <w:pPr>
        <w:spacing w:line="5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 xml:space="preserve"> 90</w:t>
      </w:r>
      <w:r>
        <w:rPr>
          <w:rFonts w:hint="eastAsia" w:ascii="宋体" w:hAnsi="宋体" w:cs="宋体"/>
          <w:color w:val="auto"/>
          <w:szCs w:val="21"/>
          <w:highlight w:val="none"/>
        </w:rPr>
        <w:t>日历天（从投标截止之日算起）。</w:t>
      </w:r>
    </w:p>
    <w:p w14:paraId="162C98BF">
      <w:pPr>
        <w:spacing w:line="500" w:lineRule="exact"/>
        <w:ind w:firstLine="420" w:firstLineChars="200"/>
        <w:jc w:val="left"/>
        <w:rPr>
          <w:rFonts w:asci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单位提供如下通讯地址：</w:t>
      </w:r>
      <w:r>
        <w:rPr>
          <w:rFonts w:ascii="宋体" w:hAnsi="宋体" w:cs="宋体"/>
          <w:color w:val="auto"/>
          <w:highlight w:val="none"/>
          <w:u w:val="single"/>
        </w:rPr>
        <w:t xml:space="preserve">           </w:t>
      </w:r>
      <w:r>
        <w:rPr>
          <w:rFonts w:hint="eastAsia" w:ascii="宋体" w:hAnsi="宋体" w:cs="宋体"/>
          <w:color w:val="auto"/>
          <w:highlight w:val="none"/>
        </w:rPr>
        <w:t>电子邮箱（地址），确认本项目相关法律文书均通过提供的以上地址送达，相关文书只要发送至以上电子邮箱（地址）即视为送达，投标人愿意承担一切法律后果。</w:t>
      </w:r>
    </w:p>
    <w:p w14:paraId="15608C8F">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对本招标文件的所有条款进行承诺。</w:t>
      </w:r>
    </w:p>
    <w:p w14:paraId="7F9E847C">
      <w:pPr>
        <w:spacing w:line="500" w:lineRule="exact"/>
        <w:ind w:firstLine="2310" w:firstLineChars="1100"/>
        <w:jc w:val="left"/>
        <w:rPr>
          <w:rFonts w:hint="eastAsia" w:ascii="宋体" w:hAnsi="宋体" w:cs="宋体"/>
          <w:color w:val="auto"/>
          <w:szCs w:val="21"/>
          <w:highlight w:val="none"/>
        </w:rPr>
      </w:pPr>
    </w:p>
    <w:p w14:paraId="52F11DE1">
      <w:pPr>
        <w:spacing w:line="500" w:lineRule="exact"/>
        <w:ind w:firstLine="2310" w:firstLineChars="1100"/>
        <w:jc w:val="left"/>
        <w:rPr>
          <w:rFonts w:ascii="宋体" w:cs="宋体"/>
          <w:color w:val="auto"/>
          <w:szCs w:val="21"/>
          <w:highlight w:val="none"/>
          <w:u w:val="single"/>
        </w:rPr>
      </w:pPr>
      <w:r>
        <w:rPr>
          <w:rFonts w:hint="eastAsia" w:ascii="宋体" w:hAnsi="宋体" w:cs="宋体"/>
          <w:color w:val="auto"/>
          <w:szCs w:val="21"/>
          <w:highlight w:val="none"/>
        </w:rPr>
        <w:t>投标人：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r>
        <w:rPr>
          <w:rFonts w:ascii="宋体" w:hAnsi="宋体" w:cs="宋体"/>
          <w:color w:val="auto"/>
          <w:szCs w:val="21"/>
          <w:highlight w:val="none"/>
          <w:u w:val="single"/>
        </w:rPr>
        <w:t xml:space="preserve">   </w:t>
      </w:r>
    </w:p>
    <w:p w14:paraId="093F6017">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p>
    <w:p w14:paraId="29A74165">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u w:val="single"/>
        </w:rPr>
        <w:t xml:space="preserve">                                       </w:t>
      </w:r>
    </w:p>
    <w:p w14:paraId="6374DEAF">
      <w:pPr>
        <w:spacing w:line="500" w:lineRule="exact"/>
        <w:ind w:firstLine="2310" w:firstLineChars="1100"/>
        <w:jc w:val="left"/>
        <w:rPr>
          <w:rFonts w:ascii="宋体" w:cs="宋体"/>
          <w:color w:val="auto"/>
          <w:szCs w:val="21"/>
          <w:highlight w:val="none"/>
          <w:u w:val="single"/>
        </w:rPr>
      </w:pPr>
      <w:r>
        <w:rPr>
          <w:rFonts w:hint="eastAsia" w:ascii="宋体" w:hAnsi="宋体" w:cs="宋体"/>
          <w:color w:val="auto"/>
          <w:szCs w:val="21"/>
          <w:highlight w:val="none"/>
        </w:rPr>
        <w:t>邮政编码：</w:t>
      </w:r>
      <w:r>
        <w:rPr>
          <w:rFonts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ascii="宋体" w:hAnsi="宋体" w:cs="宋体"/>
          <w:color w:val="auto"/>
          <w:szCs w:val="21"/>
          <w:highlight w:val="none"/>
          <w:u w:val="single"/>
        </w:rPr>
        <w:t xml:space="preserve">       </w:t>
      </w:r>
    </w:p>
    <w:p w14:paraId="6203A274">
      <w:pPr>
        <w:spacing w:line="500" w:lineRule="exact"/>
        <w:ind w:firstLine="2310" w:firstLineChars="1100"/>
        <w:jc w:val="left"/>
        <w:rPr>
          <w:rFonts w:hint="eastAsia" w:ascii="宋体" w:hAnsi="宋体"/>
          <w:b/>
          <w:color w:val="auto"/>
          <w:sz w:val="32"/>
          <w:szCs w:val="32"/>
          <w:highlight w:val="none"/>
        </w:rPr>
        <w:sectPr>
          <w:footerReference r:id="rId9" w:type="default"/>
          <w:pgSz w:w="11906" w:h="16838"/>
          <w:pgMar w:top="1134" w:right="1417" w:bottom="1134" w:left="1417" w:header="851" w:footer="992" w:gutter="0"/>
          <w:pgNumType w:fmt="decimal"/>
          <w:cols w:space="720" w:num="1"/>
          <w:docGrid w:type="lines" w:linePitch="312" w:charSpace="0"/>
        </w:sectPr>
      </w:pPr>
      <w:r>
        <w:rPr>
          <w:rFonts w:hint="eastAsia" w:ascii="宋体" w:hAnsi="宋体" w:cs="宋体"/>
          <w:color w:val="auto"/>
          <w:szCs w:val="21"/>
          <w:highlight w:val="none"/>
        </w:rPr>
        <w:t>日期：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082728D0">
      <w:pPr>
        <w:spacing w:line="360" w:lineRule="auto"/>
        <w:jc w:val="center"/>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w:t>
      </w:r>
      <w:r>
        <w:rPr>
          <w:rFonts w:hint="eastAsia" w:ascii="Times New Roman" w:hAnsi="Times New Roman" w:eastAsia="宋体" w:cs="Times New Roman"/>
          <w:b/>
          <w:color w:val="auto"/>
          <w:sz w:val="28"/>
          <w:szCs w:val="28"/>
          <w:highlight w:val="none"/>
          <w:lang w:val="en-US" w:eastAsia="zh-CN"/>
        </w:rPr>
        <w:t>2</w:t>
      </w:r>
      <w:r>
        <w:rPr>
          <w:rFonts w:hint="eastAsia" w:ascii="Times New Roman" w:hAnsi="Times New Roman" w:eastAsia="宋体" w:cs="Times New Roman"/>
          <w:b/>
          <w:color w:val="auto"/>
          <w:sz w:val="28"/>
          <w:szCs w:val="28"/>
          <w:highlight w:val="none"/>
        </w:rPr>
        <w:t>）</w:t>
      </w:r>
      <w:r>
        <w:rPr>
          <w:rFonts w:hint="eastAsia" w:ascii="Times New Roman" w:hAnsi="Times New Roman" w:eastAsia="宋体" w:cs="Times New Roman"/>
          <w:b/>
          <w:color w:val="auto"/>
          <w:sz w:val="28"/>
          <w:szCs w:val="28"/>
          <w:highlight w:val="none"/>
          <w:lang w:val="en-US" w:eastAsia="zh-CN"/>
        </w:rPr>
        <w:t>分项报价清单</w:t>
      </w:r>
    </w:p>
    <w:p w14:paraId="4D91B485">
      <w:pPr>
        <w:spacing w:line="500" w:lineRule="exact"/>
        <w:jc w:val="left"/>
        <w:rPr>
          <w:rFonts w:hint="eastAsia" w:ascii="宋体" w:hAnsi="宋体" w:cs="宋体"/>
          <w:b/>
          <w:bCs/>
          <w:color w:val="auto"/>
          <w:highlight w:val="none"/>
          <w:lang w:val="en-US" w:eastAsia="zh-CN"/>
        </w:rPr>
      </w:pPr>
    </w:p>
    <w:tbl>
      <w:tblPr>
        <w:tblStyle w:val="46"/>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2004"/>
        <w:gridCol w:w="669"/>
        <w:gridCol w:w="1049"/>
        <w:gridCol w:w="1187"/>
        <w:gridCol w:w="1391"/>
        <w:gridCol w:w="1391"/>
        <w:gridCol w:w="1212"/>
      </w:tblGrid>
      <w:tr w14:paraId="5A26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14:paraId="65FE29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Style w:val="226"/>
                <w:rFonts w:hint="eastAsia" w:ascii="宋体" w:hAnsi="宋体" w:eastAsia="宋体" w:cs="宋体"/>
                <w:b/>
                <w:bCs/>
                <w:color w:val="auto"/>
                <w:sz w:val="21"/>
                <w:szCs w:val="21"/>
                <w:highlight w:val="none"/>
                <w:lang w:val="en-US" w:eastAsia="zh-CN" w:bidi="ar"/>
              </w:rPr>
              <w:t>序号</w:t>
            </w:r>
          </w:p>
        </w:tc>
        <w:tc>
          <w:tcPr>
            <w:tcW w:w="2004" w:type="dxa"/>
            <w:shd w:val="clear" w:color="auto" w:fill="auto"/>
            <w:vAlign w:val="center"/>
          </w:tcPr>
          <w:p w14:paraId="779DA7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Style w:val="226"/>
                <w:rFonts w:hint="eastAsia" w:ascii="宋体" w:hAnsi="宋体" w:eastAsia="宋体" w:cs="宋体"/>
                <w:b/>
                <w:bCs/>
                <w:color w:val="auto"/>
                <w:sz w:val="21"/>
                <w:szCs w:val="21"/>
                <w:highlight w:val="none"/>
                <w:lang w:val="en-US" w:eastAsia="zh-CN" w:bidi="ar"/>
              </w:rPr>
              <w:t>类型</w:t>
            </w:r>
          </w:p>
        </w:tc>
        <w:tc>
          <w:tcPr>
            <w:tcW w:w="669" w:type="dxa"/>
            <w:shd w:val="clear" w:color="auto" w:fill="auto"/>
            <w:vAlign w:val="center"/>
          </w:tcPr>
          <w:p w14:paraId="512272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Style w:val="226"/>
                <w:rFonts w:hint="eastAsia" w:ascii="宋体" w:hAnsi="宋体" w:eastAsia="宋体" w:cs="宋体"/>
                <w:b/>
                <w:bCs/>
                <w:color w:val="auto"/>
                <w:sz w:val="21"/>
                <w:szCs w:val="21"/>
                <w:highlight w:val="none"/>
                <w:lang w:val="en-US" w:eastAsia="zh-CN" w:bidi="ar"/>
              </w:rPr>
              <w:t>单位</w:t>
            </w:r>
          </w:p>
        </w:tc>
        <w:tc>
          <w:tcPr>
            <w:tcW w:w="1049" w:type="dxa"/>
            <w:shd w:val="clear" w:color="auto" w:fill="auto"/>
            <w:vAlign w:val="center"/>
          </w:tcPr>
          <w:p w14:paraId="389BBA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p w14:paraId="28DCA7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（暂定）</w:t>
            </w:r>
          </w:p>
        </w:tc>
        <w:tc>
          <w:tcPr>
            <w:tcW w:w="1187" w:type="dxa"/>
            <w:shd w:val="clear" w:color="auto" w:fill="auto"/>
            <w:vAlign w:val="center"/>
          </w:tcPr>
          <w:p w14:paraId="1586C3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Style w:val="226"/>
                <w:rFonts w:hint="eastAsia" w:ascii="宋体" w:hAnsi="宋体" w:eastAsia="宋体" w:cs="宋体"/>
                <w:b/>
                <w:bCs/>
                <w:color w:val="auto"/>
                <w:sz w:val="21"/>
                <w:szCs w:val="21"/>
                <w:highlight w:val="none"/>
                <w:lang w:val="en-US" w:eastAsia="zh-CN" w:bidi="ar"/>
              </w:rPr>
              <w:t>最高综合单价（元）</w:t>
            </w:r>
          </w:p>
        </w:tc>
        <w:tc>
          <w:tcPr>
            <w:tcW w:w="1391" w:type="dxa"/>
            <w:shd w:val="clear" w:color="auto" w:fill="auto"/>
            <w:vAlign w:val="center"/>
          </w:tcPr>
          <w:p w14:paraId="5958FB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Style w:val="226"/>
                <w:rFonts w:hint="eastAsia" w:ascii="宋体" w:hAnsi="宋体" w:eastAsia="宋体" w:cs="宋体"/>
                <w:b/>
                <w:bCs/>
                <w:color w:val="auto"/>
                <w:sz w:val="21"/>
                <w:szCs w:val="21"/>
                <w:highlight w:val="none"/>
                <w:lang w:val="en-US" w:eastAsia="zh-CN" w:bidi="ar"/>
              </w:rPr>
              <w:t>投标综合单价（元）</w:t>
            </w:r>
          </w:p>
        </w:tc>
        <w:tc>
          <w:tcPr>
            <w:tcW w:w="1391" w:type="dxa"/>
            <w:shd w:val="clear" w:color="auto" w:fill="auto"/>
            <w:vAlign w:val="center"/>
          </w:tcPr>
          <w:p w14:paraId="5CC770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Style w:val="226"/>
                <w:rFonts w:hint="eastAsia" w:ascii="宋体" w:hAnsi="宋体" w:eastAsia="宋体" w:cs="宋体"/>
                <w:b/>
                <w:bCs/>
                <w:color w:val="auto"/>
                <w:sz w:val="21"/>
                <w:szCs w:val="21"/>
                <w:highlight w:val="none"/>
                <w:lang w:val="en-US" w:eastAsia="zh-CN" w:bidi="ar"/>
              </w:rPr>
              <w:t>合价（元）</w:t>
            </w:r>
          </w:p>
        </w:tc>
        <w:tc>
          <w:tcPr>
            <w:tcW w:w="1212" w:type="dxa"/>
            <w:vAlign w:val="center"/>
          </w:tcPr>
          <w:p w14:paraId="4003DF99">
            <w:pPr>
              <w:pStyle w:val="31"/>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r>
      <w:tr w14:paraId="72F7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14:paraId="605C31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1</w:t>
            </w:r>
          </w:p>
        </w:tc>
        <w:tc>
          <w:tcPr>
            <w:tcW w:w="2004" w:type="dxa"/>
            <w:shd w:val="clear" w:color="auto" w:fill="auto"/>
            <w:vAlign w:val="center"/>
          </w:tcPr>
          <w:p w14:paraId="6555CB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抗压静载试验、工程桩</w:t>
            </w:r>
          </w:p>
        </w:tc>
        <w:tc>
          <w:tcPr>
            <w:tcW w:w="669" w:type="dxa"/>
            <w:shd w:val="clear" w:color="auto" w:fill="auto"/>
            <w:vAlign w:val="center"/>
          </w:tcPr>
          <w:p w14:paraId="0DDA66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T</w:t>
            </w:r>
          </w:p>
        </w:tc>
        <w:tc>
          <w:tcPr>
            <w:tcW w:w="1049" w:type="dxa"/>
            <w:shd w:val="clear" w:color="auto" w:fill="auto"/>
            <w:vAlign w:val="center"/>
          </w:tcPr>
          <w:p w14:paraId="403BC9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000000"/>
                <w:kern w:val="0"/>
                <w:sz w:val="21"/>
                <w:szCs w:val="21"/>
                <w:u w:val="none"/>
                <w:lang w:val="en-US" w:eastAsia="zh-CN" w:bidi="ar"/>
              </w:rPr>
              <w:t>34470</w:t>
            </w:r>
          </w:p>
        </w:tc>
        <w:tc>
          <w:tcPr>
            <w:tcW w:w="1187" w:type="dxa"/>
            <w:shd w:val="clear" w:color="auto" w:fill="auto"/>
            <w:vAlign w:val="center"/>
          </w:tcPr>
          <w:p w14:paraId="6FA6F0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1391" w:type="dxa"/>
            <w:shd w:val="clear" w:color="auto" w:fill="auto"/>
            <w:vAlign w:val="center"/>
          </w:tcPr>
          <w:p w14:paraId="522D4CB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kern w:val="2"/>
                <w:sz w:val="21"/>
                <w:szCs w:val="21"/>
                <w:highlight w:val="none"/>
                <w:u w:val="none"/>
                <w:lang w:val="en-US" w:eastAsia="zh-CN" w:bidi="ar-SA"/>
              </w:rPr>
            </w:pPr>
          </w:p>
        </w:tc>
        <w:tc>
          <w:tcPr>
            <w:tcW w:w="1391" w:type="dxa"/>
            <w:shd w:val="clear" w:color="auto" w:fill="auto"/>
            <w:vAlign w:val="center"/>
          </w:tcPr>
          <w:p w14:paraId="6DA9CC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12" w:type="dxa"/>
          </w:tcPr>
          <w:p w14:paraId="296604C7">
            <w:pPr>
              <w:pStyle w:val="31"/>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bCs/>
                <w:color w:val="auto"/>
                <w:sz w:val="21"/>
                <w:szCs w:val="21"/>
                <w:highlight w:val="none"/>
                <w:vertAlign w:val="baseline"/>
                <w:lang w:val="en-US" w:eastAsia="zh-CN"/>
              </w:rPr>
            </w:pPr>
          </w:p>
        </w:tc>
      </w:tr>
      <w:tr w14:paraId="558C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14:paraId="38E3059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2</w:t>
            </w:r>
          </w:p>
        </w:tc>
        <w:tc>
          <w:tcPr>
            <w:tcW w:w="2004" w:type="dxa"/>
            <w:shd w:val="clear" w:color="auto" w:fill="auto"/>
            <w:vAlign w:val="center"/>
          </w:tcPr>
          <w:p w14:paraId="1B41B2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抗拔静载试验</w:t>
            </w:r>
            <w:r>
              <w:rPr>
                <w:rFonts w:hint="eastAsia" w:ascii="宋体" w:hAnsi="宋体" w:cs="宋体"/>
                <w:i w:val="0"/>
                <w:iCs w:val="0"/>
                <w:color w:val="auto"/>
                <w:kern w:val="0"/>
                <w:sz w:val="21"/>
                <w:szCs w:val="21"/>
                <w:highlight w:val="none"/>
                <w:u w:val="none"/>
                <w:lang w:val="en-US" w:eastAsia="zh-CN" w:bidi="ar"/>
              </w:rPr>
              <w:t>、工程桩</w:t>
            </w:r>
          </w:p>
        </w:tc>
        <w:tc>
          <w:tcPr>
            <w:tcW w:w="669" w:type="dxa"/>
            <w:shd w:val="clear" w:color="auto" w:fill="auto"/>
            <w:vAlign w:val="center"/>
          </w:tcPr>
          <w:p w14:paraId="2A585E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根</w:t>
            </w:r>
          </w:p>
        </w:tc>
        <w:tc>
          <w:tcPr>
            <w:tcW w:w="1049" w:type="dxa"/>
            <w:shd w:val="clear" w:color="auto" w:fill="auto"/>
            <w:vAlign w:val="center"/>
          </w:tcPr>
          <w:p w14:paraId="6DDF204C">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000000"/>
                <w:kern w:val="0"/>
                <w:sz w:val="21"/>
                <w:szCs w:val="21"/>
                <w:u w:val="none"/>
                <w:lang w:val="en-US" w:eastAsia="zh-CN" w:bidi="ar"/>
              </w:rPr>
              <w:t>11</w:t>
            </w:r>
          </w:p>
        </w:tc>
        <w:tc>
          <w:tcPr>
            <w:tcW w:w="1187" w:type="dxa"/>
            <w:shd w:val="clear" w:color="auto" w:fill="auto"/>
            <w:vAlign w:val="center"/>
          </w:tcPr>
          <w:p w14:paraId="08C43C4C">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000000"/>
                <w:kern w:val="0"/>
                <w:sz w:val="21"/>
                <w:szCs w:val="21"/>
                <w:u w:val="none"/>
                <w:lang w:val="en-US" w:eastAsia="zh-CN" w:bidi="ar"/>
              </w:rPr>
              <w:t>1500</w:t>
            </w:r>
          </w:p>
        </w:tc>
        <w:tc>
          <w:tcPr>
            <w:tcW w:w="1391" w:type="dxa"/>
            <w:shd w:val="clear" w:color="auto" w:fill="auto"/>
            <w:vAlign w:val="center"/>
          </w:tcPr>
          <w:p w14:paraId="14CCCE9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kern w:val="2"/>
                <w:sz w:val="21"/>
                <w:szCs w:val="21"/>
                <w:highlight w:val="none"/>
                <w:u w:val="none"/>
                <w:lang w:val="en-US" w:eastAsia="zh-CN" w:bidi="ar-SA"/>
              </w:rPr>
            </w:pPr>
          </w:p>
        </w:tc>
        <w:tc>
          <w:tcPr>
            <w:tcW w:w="1391" w:type="dxa"/>
            <w:shd w:val="clear" w:color="auto" w:fill="auto"/>
            <w:vAlign w:val="center"/>
          </w:tcPr>
          <w:p w14:paraId="3489AC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12" w:type="dxa"/>
          </w:tcPr>
          <w:p w14:paraId="6CA23D5A">
            <w:pPr>
              <w:pStyle w:val="31"/>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bCs/>
                <w:color w:val="auto"/>
                <w:sz w:val="21"/>
                <w:szCs w:val="21"/>
                <w:highlight w:val="none"/>
                <w:vertAlign w:val="baseline"/>
                <w:lang w:val="en-US" w:eastAsia="zh-CN"/>
              </w:rPr>
            </w:pPr>
          </w:p>
        </w:tc>
      </w:tr>
      <w:tr w14:paraId="12A4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14:paraId="307101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3</w:t>
            </w:r>
          </w:p>
        </w:tc>
        <w:tc>
          <w:tcPr>
            <w:tcW w:w="2004" w:type="dxa"/>
            <w:shd w:val="clear" w:color="auto" w:fill="auto"/>
            <w:vAlign w:val="center"/>
          </w:tcPr>
          <w:p w14:paraId="214B63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低应变检测</w:t>
            </w:r>
          </w:p>
        </w:tc>
        <w:tc>
          <w:tcPr>
            <w:tcW w:w="669" w:type="dxa"/>
            <w:shd w:val="clear" w:color="auto" w:fill="auto"/>
            <w:vAlign w:val="center"/>
          </w:tcPr>
          <w:p w14:paraId="76532D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根</w:t>
            </w:r>
          </w:p>
        </w:tc>
        <w:tc>
          <w:tcPr>
            <w:tcW w:w="1049" w:type="dxa"/>
            <w:shd w:val="clear" w:color="auto" w:fill="auto"/>
            <w:vAlign w:val="center"/>
          </w:tcPr>
          <w:p w14:paraId="50A21C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000000"/>
                <w:kern w:val="0"/>
                <w:sz w:val="21"/>
                <w:szCs w:val="21"/>
                <w:u w:val="none"/>
                <w:lang w:val="en-US" w:eastAsia="zh-CN" w:bidi="ar"/>
              </w:rPr>
              <w:t>2131</w:t>
            </w:r>
          </w:p>
        </w:tc>
        <w:tc>
          <w:tcPr>
            <w:tcW w:w="1187" w:type="dxa"/>
            <w:shd w:val="clear" w:color="auto" w:fill="auto"/>
            <w:vAlign w:val="center"/>
          </w:tcPr>
          <w:p w14:paraId="6190D7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000000"/>
                <w:kern w:val="0"/>
                <w:sz w:val="21"/>
                <w:szCs w:val="21"/>
                <w:u w:val="none"/>
                <w:lang w:val="en-US" w:eastAsia="zh-CN" w:bidi="ar"/>
              </w:rPr>
              <w:t>5</w:t>
            </w:r>
          </w:p>
        </w:tc>
        <w:tc>
          <w:tcPr>
            <w:tcW w:w="1391" w:type="dxa"/>
            <w:shd w:val="clear" w:color="auto" w:fill="auto"/>
            <w:vAlign w:val="center"/>
          </w:tcPr>
          <w:p w14:paraId="14AF315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kern w:val="2"/>
                <w:sz w:val="21"/>
                <w:szCs w:val="21"/>
                <w:highlight w:val="none"/>
                <w:u w:val="none"/>
                <w:lang w:val="en-US" w:eastAsia="zh-CN" w:bidi="ar-SA"/>
              </w:rPr>
            </w:pPr>
          </w:p>
        </w:tc>
        <w:tc>
          <w:tcPr>
            <w:tcW w:w="1391" w:type="dxa"/>
            <w:shd w:val="clear" w:color="auto" w:fill="auto"/>
            <w:vAlign w:val="center"/>
          </w:tcPr>
          <w:p w14:paraId="2D39B3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12" w:type="dxa"/>
          </w:tcPr>
          <w:p w14:paraId="5F383C69">
            <w:pPr>
              <w:pStyle w:val="31"/>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bCs/>
                <w:color w:val="auto"/>
                <w:sz w:val="21"/>
                <w:szCs w:val="21"/>
                <w:highlight w:val="none"/>
                <w:vertAlign w:val="baseline"/>
                <w:lang w:val="en-US" w:eastAsia="zh-CN"/>
              </w:rPr>
            </w:pPr>
          </w:p>
        </w:tc>
      </w:tr>
      <w:tr w14:paraId="6358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5" w:type="dxa"/>
            <w:gridSpan w:val="2"/>
          </w:tcPr>
          <w:p w14:paraId="00458A71">
            <w:pPr>
              <w:pStyle w:val="31"/>
              <w:keepNext w:val="0"/>
              <w:keepLines w:val="0"/>
              <w:pageBreakBefore w:val="0"/>
              <w:kinsoku/>
              <w:wordWrap/>
              <w:overflowPunct/>
              <w:topLinePunct w:val="0"/>
              <w:autoSpaceDE/>
              <w:autoSpaceDN/>
              <w:bidi w:val="0"/>
              <w:adjustRightInd/>
              <w:snapToGrid/>
              <w:spacing w:line="500" w:lineRule="exact"/>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投标报价</w:t>
            </w:r>
          </w:p>
        </w:tc>
        <w:tc>
          <w:tcPr>
            <w:tcW w:w="6899" w:type="dxa"/>
            <w:gridSpan w:val="6"/>
          </w:tcPr>
          <w:p w14:paraId="6F07D29C">
            <w:pPr>
              <w:pStyle w:val="31"/>
              <w:keepNext w:val="0"/>
              <w:keepLines w:val="0"/>
              <w:pageBreakBefore w:val="0"/>
              <w:kinsoku/>
              <w:wordWrap/>
              <w:overflowPunct/>
              <w:topLinePunct w:val="0"/>
              <w:autoSpaceDE/>
              <w:autoSpaceDN/>
              <w:bidi w:val="0"/>
              <w:adjustRightInd/>
              <w:snapToGrid/>
              <w:spacing w:line="500" w:lineRule="exact"/>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大写：          小写：        元</w:t>
            </w:r>
          </w:p>
        </w:tc>
      </w:tr>
    </w:tbl>
    <w:p w14:paraId="1B95A9C0">
      <w:pPr>
        <w:spacing w:line="500" w:lineRule="exact"/>
        <w:jc w:val="left"/>
        <w:rPr>
          <w:rFonts w:hint="eastAsia" w:ascii="宋体" w:hAnsi="宋体" w:cs="宋体"/>
          <w:color w:val="auto"/>
          <w:szCs w:val="21"/>
          <w:highlight w:val="none"/>
        </w:rPr>
      </w:pPr>
      <w:r>
        <w:rPr>
          <w:rFonts w:hint="eastAsia" w:ascii="宋体" w:hAnsi="宋体" w:cs="宋体"/>
          <w:b/>
          <w:bCs/>
          <w:color w:val="auto"/>
          <w:highlight w:val="none"/>
          <w:lang w:val="en-US" w:eastAsia="zh-CN"/>
        </w:rPr>
        <w:t>注：1.项目结算时，具体以实际检测合格的数量为准</w:t>
      </w:r>
    </w:p>
    <w:p w14:paraId="2BE43555">
      <w:pPr>
        <w:spacing w:line="500" w:lineRule="exact"/>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2.本项目实行单价合同，中标后，中标综合单价不予调整。</w:t>
      </w:r>
    </w:p>
    <w:p w14:paraId="201FBAF8">
      <w:pPr>
        <w:spacing w:line="500" w:lineRule="exact"/>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综合单价包括但不限于：所有检测项目的费用、大型机械进出场费、机械设备费用，政策性文件规定费用等检测现场的所有配合费用、基础资料整理、评定评估、报告出版和辅助平台设施、加载车辆、荷载试验、招标代理费用、各种税费所有等以及可能发生的一切所有费用，结算时单价不作调整，招标人不再另行支付任何费用的总和。</w:t>
      </w:r>
    </w:p>
    <w:p w14:paraId="379FACF8">
      <w:pPr>
        <w:spacing w:line="500" w:lineRule="exact"/>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4.如出现同一根桩第一次检测不合格后经整改检测合格情况，只按一根合格工程量结算。</w:t>
      </w:r>
    </w:p>
    <w:p w14:paraId="6748FBB3">
      <w:pPr>
        <w:rPr>
          <w:rFonts w:hint="eastAsia"/>
          <w:color w:val="auto"/>
          <w:highlight w:val="none"/>
        </w:rPr>
      </w:pPr>
    </w:p>
    <w:p w14:paraId="15AD74D5">
      <w:pPr>
        <w:spacing w:line="500" w:lineRule="exact"/>
        <w:ind w:firstLine="2310" w:firstLineChars="1100"/>
        <w:jc w:val="left"/>
        <w:rPr>
          <w:rFonts w:ascii="宋体" w:cs="宋体"/>
          <w:color w:val="auto"/>
          <w:szCs w:val="21"/>
          <w:highlight w:val="none"/>
          <w:u w:val="single"/>
        </w:rPr>
      </w:pPr>
      <w:r>
        <w:rPr>
          <w:rFonts w:hint="eastAsia" w:ascii="宋体" w:hAnsi="宋体" w:cs="宋体"/>
          <w:color w:val="auto"/>
          <w:szCs w:val="21"/>
          <w:highlight w:val="none"/>
        </w:rPr>
        <w:t>投标人：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r>
        <w:rPr>
          <w:rFonts w:ascii="宋体" w:hAnsi="宋体" w:cs="宋体"/>
          <w:color w:val="auto"/>
          <w:szCs w:val="21"/>
          <w:highlight w:val="none"/>
          <w:u w:val="single"/>
        </w:rPr>
        <w:t xml:space="preserve">   </w:t>
      </w:r>
    </w:p>
    <w:p w14:paraId="06B379D1">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p>
    <w:p w14:paraId="59207049">
      <w:pPr>
        <w:spacing w:line="500" w:lineRule="exact"/>
        <w:ind w:firstLine="2310" w:firstLineChars="1100"/>
        <w:jc w:val="left"/>
        <w:rPr>
          <w:rFonts w:hint="eastAsia" w:ascii="宋体" w:hAnsi="宋体"/>
          <w:b/>
          <w:color w:val="auto"/>
          <w:sz w:val="32"/>
          <w:szCs w:val="32"/>
          <w:highlight w:val="none"/>
        </w:rPr>
        <w:sectPr>
          <w:footerReference r:id="rId10" w:type="default"/>
          <w:pgSz w:w="11906" w:h="16838"/>
          <w:pgMar w:top="1134" w:right="1417" w:bottom="1134" w:left="1417" w:header="851" w:footer="992" w:gutter="0"/>
          <w:pgNumType w:fmt="decimal"/>
          <w:cols w:space="0" w:num="1"/>
          <w:rtlGutter w:val="0"/>
          <w:docGrid w:type="lines" w:linePitch="312" w:charSpace="0"/>
        </w:sectPr>
      </w:pPr>
      <w:r>
        <w:rPr>
          <w:rFonts w:hint="eastAsia" w:ascii="宋体" w:hAnsi="宋体" w:cs="宋体"/>
          <w:color w:val="auto"/>
          <w:szCs w:val="21"/>
          <w:highlight w:val="none"/>
        </w:rPr>
        <w:t>日期：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p>
    <w:bookmarkEnd w:id="7"/>
    <w:bookmarkEnd w:id="8"/>
    <w:bookmarkEnd w:id="9"/>
    <w:bookmarkEnd w:id="10"/>
    <w:bookmarkEnd w:id="11"/>
    <w:p w14:paraId="30EFBD86">
      <w:pPr>
        <w:pStyle w:val="42"/>
        <w:spacing w:beforeLines="50" w:afterLines="50" w:line="440" w:lineRule="exact"/>
        <w:rPr>
          <w:bCs/>
          <w:color w:val="auto"/>
          <w:szCs w:val="32"/>
          <w:highlight w:val="none"/>
        </w:rPr>
      </w:pPr>
      <w:bookmarkStart w:id="782" w:name="_Toc25735"/>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w:t>
      </w:r>
      <w:r>
        <w:rPr>
          <w:bCs/>
          <w:color w:val="auto"/>
          <w:szCs w:val="32"/>
          <w:highlight w:val="none"/>
        </w:rPr>
        <w:t xml:space="preserve">  </w:t>
      </w:r>
      <w:r>
        <w:rPr>
          <w:rFonts w:hint="eastAsia"/>
          <w:bCs/>
          <w:color w:val="auto"/>
          <w:szCs w:val="32"/>
          <w:highlight w:val="none"/>
        </w:rPr>
        <w:t>招标单位、招标代理机构对本招标文件的确认</w:t>
      </w:r>
      <w:bookmarkEnd w:id="782"/>
    </w:p>
    <w:p w14:paraId="073DCF26">
      <w:pPr>
        <w:pStyle w:val="16"/>
        <w:rPr>
          <w:color w:val="auto"/>
          <w:highlight w:val="none"/>
        </w:rPr>
      </w:pPr>
    </w:p>
    <w:tbl>
      <w:tblPr>
        <w:tblStyle w:val="45"/>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8"/>
      </w:tblGrid>
      <w:tr w14:paraId="5F1B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4" w:hRule="atLeast"/>
          <w:jc w:val="center"/>
        </w:trPr>
        <w:tc>
          <w:tcPr>
            <w:tcW w:w="9808" w:type="dxa"/>
          </w:tcPr>
          <w:p w14:paraId="5A33D463">
            <w:pPr>
              <w:wordWrap w:val="0"/>
              <w:adjustRightInd w:val="0"/>
              <w:snapToGrid w:val="0"/>
              <w:spacing w:line="560" w:lineRule="exact"/>
              <w:rPr>
                <w:color w:val="auto"/>
                <w:sz w:val="30"/>
                <w:highlight w:val="none"/>
              </w:rPr>
            </w:pPr>
          </w:p>
          <w:p w14:paraId="4B90C209">
            <w:pPr>
              <w:wordWrap w:val="0"/>
              <w:ind w:left="-358" w:leftChars="-171" w:hanging="1"/>
              <w:rPr>
                <w:rFonts w:hint="eastAsia" w:eastAsia="宋体"/>
                <w:color w:val="auto"/>
                <w:sz w:val="28"/>
                <w:szCs w:val="28"/>
                <w:highlight w:val="none"/>
                <w:lang w:eastAsia="zh-CN"/>
              </w:rPr>
            </w:pPr>
            <w:r>
              <w:rPr>
                <w:rFonts w:hint="eastAsia"/>
                <w:color w:val="auto"/>
                <w:sz w:val="24"/>
                <w:highlight w:val="none"/>
              </w:rPr>
              <w:t>我</w:t>
            </w:r>
            <w:r>
              <w:rPr>
                <w:color w:val="auto"/>
                <w:sz w:val="24"/>
                <w:highlight w:val="none"/>
              </w:rPr>
              <w:t xml:space="preserve">    </w:t>
            </w:r>
            <w:r>
              <w:rPr>
                <w:rFonts w:hint="eastAsia"/>
                <w:color w:val="auto"/>
                <w:sz w:val="28"/>
                <w:szCs w:val="28"/>
                <w:highlight w:val="none"/>
              </w:rPr>
              <w:t>我单位对</w:t>
            </w:r>
            <w:r>
              <w:rPr>
                <w:color w:val="auto"/>
                <w:sz w:val="28"/>
                <w:szCs w:val="28"/>
                <w:highlight w:val="none"/>
                <w:u w:val="single"/>
              </w:rPr>
              <w:t xml:space="preserve"> </w:t>
            </w:r>
            <w:r>
              <w:rPr>
                <w:rFonts w:hint="eastAsia"/>
                <w:color w:val="auto"/>
                <w:sz w:val="28"/>
                <w:szCs w:val="28"/>
                <w:highlight w:val="none"/>
                <w:u w:val="single"/>
              </w:rPr>
              <w:t>中新苏滁高新区（未来产业园）智能制造工业坊项目</w:t>
            </w:r>
            <w:r>
              <w:rPr>
                <w:rFonts w:hint="eastAsia"/>
                <w:color w:val="auto"/>
                <w:sz w:val="28"/>
                <w:szCs w:val="28"/>
                <w:highlight w:val="none"/>
                <w:u w:val="single"/>
                <w:lang w:eastAsia="zh-CN"/>
              </w:rPr>
              <w:t>桩基检测</w:t>
            </w:r>
            <w:r>
              <w:rPr>
                <w:color w:val="auto"/>
                <w:sz w:val="28"/>
                <w:szCs w:val="28"/>
                <w:highlight w:val="none"/>
                <w:u w:val="single"/>
              </w:rPr>
              <w:t xml:space="preserve"> </w:t>
            </w:r>
            <w:r>
              <w:rPr>
                <w:rFonts w:hint="eastAsia"/>
                <w:color w:val="auto"/>
                <w:sz w:val="28"/>
                <w:szCs w:val="28"/>
                <w:highlight w:val="none"/>
              </w:rPr>
              <w:t>的招标文件进行确认</w:t>
            </w:r>
            <w:r>
              <w:rPr>
                <w:rFonts w:hint="eastAsia"/>
                <w:color w:val="auto"/>
                <w:sz w:val="28"/>
                <w:szCs w:val="28"/>
                <w:highlight w:val="none"/>
                <w:lang w:eastAsia="zh-CN"/>
              </w:rPr>
              <w:t>。</w:t>
            </w:r>
          </w:p>
          <w:p w14:paraId="520C2747">
            <w:pPr>
              <w:wordWrap w:val="0"/>
              <w:spacing w:line="560" w:lineRule="exact"/>
              <w:ind w:firstLine="560" w:firstLineChars="200"/>
              <w:rPr>
                <w:rFonts w:hint="eastAsia" w:ascii="宋体" w:eastAsia="宋体"/>
                <w:color w:val="auto"/>
                <w:sz w:val="28"/>
                <w:szCs w:val="28"/>
                <w:highlight w:val="none"/>
                <w:lang w:eastAsia="zh-CN"/>
              </w:rPr>
            </w:pPr>
            <w:r>
              <w:rPr>
                <w:rFonts w:hint="eastAsia" w:ascii="宋体" w:hAnsi="宋体"/>
                <w:color w:val="auto"/>
                <w:sz w:val="28"/>
                <w:szCs w:val="28"/>
                <w:highlight w:val="none"/>
              </w:rPr>
              <w:t>招标人名称：</w:t>
            </w:r>
            <w:r>
              <w:rPr>
                <w:rFonts w:hint="eastAsia" w:ascii="宋体" w:hAnsi="宋体"/>
                <w:color w:val="auto"/>
                <w:sz w:val="28"/>
                <w:szCs w:val="28"/>
                <w:highlight w:val="none"/>
                <w:lang w:eastAsia="zh-CN"/>
              </w:rPr>
              <w:t xml:space="preserve">滁州苏滁产城开发有限公司 </w:t>
            </w:r>
          </w:p>
          <w:p w14:paraId="7FA88D95">
            <w:pPr>
              <w:wordWrap w:val="0"/>
              <w:spacing w:line="560" w:lineRule="exact"/>
              <w:ind w:firstLine="560" w:firstLineChars="200"/>
              <w:rPr>
                <w:rFonts w:hint="default" w:ascii="宋体" w:hAnsi="宋体"/>
                <w:color w:val="auto"/>
                <w:sz w:val="28"/>
                <w:szCs w:val="28"/>
                <w:highlight w:val="none"/>
                <w:lang w:val="en-US"/>
              </w:rPr>
            </w:pPr>
            <w:r>
              <w:rPr>
                <w:rFonts w:hint="eastAsia" w:ascii="宋体" w:hAnsi="宋体"/>
                <w:color w:val="auto"/>
                <w:sz w:val="28"/>
                <w:szCs w:val="28"/>
                <w:highlight w:val="none"/>
              </w:rPr>
              <w:t>联 系 人：</w:t>
            </w:r>
            <w:r>
              <w:rPr>
                <w:rFonts w:hint="eastAsia" w:ascii="宋体" w:hAnsi="宋体"/>
                <w:color w:val="auto"/>
                <w:sz w:val="28"/>
                <w:szCs w:val="28"/>
                <w:highlight w:val="none"/>
                <w:lang w:val="en-US" w:eastAsia="zh-CN"/>
              </w:rPr>
              <w:t>李工</w:t>
            </w:r>
          </w:p>
          <w:p w14:paraId="7942A886">
            <w:pPr>
              <w:wordWrap w:val="0"/>
              <w:spacing w:line="560" w:lineRule="exact"/>
              <w:ind w:firstLine="560" w:firstLineChars="200"/>
              <w:rPr>
                <w:rFonts w:hint="default" w:ascii="宋体" w:hAnsi="宋体"/>
                <w:color w:val="auto"/>
                <w:sz w:val="28"/>
                <w:szCs w:val="28"/>
                <w:highlight w:val="none"/>
                <w:lang w:val="en-US"/>
              </w:rPr>
            </w:pPr>
            <w:r>
              <w:rPr>
                <w:rFonts w:hint="eastAsia" w:ascii="宋体" w:hAnsi="宋体"/>
                <w:color w:val="auto"/>
                <w:sz w:val="28"/>
                <w:szCs w:val="28"/>
                <w:highlight w:val="none"/>
              </w:rPr>
              <w:t>联系电话：</w:t>
            </w:r>
            <w:r>
              <w:rPr>
                <w:rFonts w:hint="eastAsia" w:ascii="宋体" w:hAnsi="宋体"/>
                <w:color w:val="auto"/>
                <w:sz w:val="28"/>
                <w:szCs w:val="28"/>
                <w:highlight w:val="none"/>
                <w:lang w:val="en-US" w:eastAsia="zh-CN"/>
              </w:rPr>
              <w:t>0550-3026900</w:t>
            </w:r>
          </w:p>
          <w:p w14:paraId="00CABF55">
            <w:pPr>
              <w:wordWrap w:val="0"/>
              <w:spacing w:line="560" w:lineRule="exact"/>
              <w:ind w:firstLine="560" w:firstLineChars="200"/>
              <w:rPr>
                <w:rFonts w:ascii="宋体"/>
                <w:color w:val="auto"/>
                <w:sz w:val="28"/>
                <w:szCs w:val="28"/>
                <w:highlight w:val="none"/>
              </w:rPr>
            </w:pPr>
            <w:r>
              <w:rPr>
                <w:rFonts w:ascii="宋体" w:hAnsi="宋体"/>
                <w:color w:val="auto"/>
                <w:sz w:val="28"/>
                <w:szCs w:val="28"/>
                <w:highlight w:val="none"/>
              </w:rPr>
              <w:t xml:space="preserve">                   </w:t>
            </w:r>
          </w:p>
          <w:p w14:paraId="190F6F86">
            <w:pPr>
              <w:wordWrap w:val="0"/>
              <w:spacing w:line="560" w:lineRule="exact"/>
              <w:ind w:firstLine="560" w:firstLineChars="200"/>
              <w:rPr>
                <w:rFonts w:ascii="宋体"/>
                <w:color w:val="auto"/>
                <w:sz w:val="28"/>
                <w:szCs w:val="28"/>
                <w:highlight w:val="none"/>
              </w:rPr>
            </w:pPr>
          </w:p>
          <w:p w14:paraId="284D70BB">
            <w:pPr>
              <w:wordWrap w:val="0"/>
              <w:spacing w:line="560" w:lineRule="exact"/>
              <w:ind w:firstLine="560" w:firstLineChars="200"/>
              <w:rPr>
                <w:rFonts w:ascii="宋体"/>
                <w:color w:val="auto"/>
                <w:sz w:val="28"/>
                <w:szCs w:val="28"/>
                <w:highlight w:val="none"/>
              </w:rPr>
            </w:pPr>
            <w:r>
              <w:rPr>
                <w:rFonts w:ascii="宋体" w:hAnsi="宋体"/>
                <w:color w:val="auto"/>
                <w:sz w:val="28"/>
                <w:szCs w:val="28"/>
                <w:highlight w:val="none"/>
              </w:rPr>
              <w:t xml:space="preserve">             </w:t>
            </w:r>
          </w:p>
          <w:p w14:paraId="1FBEFE2E">
            <w:pPr>
              <w:wordWrap w:val="0"/>
              <w:spacing w:line="560" w:lineRule="exact"/>
              <w:ind w:firstLine="6020" w:firstLineChars="2150"/>
              <w:rPr>
                <w:rFonts w:ascii="宋体"/>
                <w:color w:val="auto"/>
                <w:sz w:val="28"/>
                <w:szCs w:val="28"/>
                <w:highlight w:val="none"/>
              </w:rPr>
            </w:pPr>
            <w:r>
              <w:rPr>
                <w:rFonts w:hint="eastAsia" w:ascii="宋体" w:hAnsi="宋体"/>
                <w:color w:val="auto"/>
                <w:sz w:val="28"/>
                <w:szCs w:val="28"/>
                <w:highlight w:val="none"/>
              </w:rPr>
              <w:t>（单位盖章）</w:t>
            </w:r>
          </w:p>
          <w:p w14:paraId="4D01EFFE">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5</w:t>
            </w:r>
            <w:r>
              <w:rPr>
                <w:rFonts w:hint="eastAsia" w:ascii="宋体" w:hAnsi="宋体"/>
                <w:color w:val="auto"/>
                <w:sz w:val="28"/>
                <w:szCs w:val="28"/>
                <w:highlight w:val="none"/>
              </w:rPr>
              <w:t>月</w:t>
            </w:r>
          </w:p>
        </w:tc>
      </w:tr>
      <w:tr w14:paraId="6E2F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6" w:hRule="atLeast"/>
          <w:jc w:val="center"/>
        </w:trPr>
        <w:tc>
          <w:tcPr>
            <w:tcW w:w="9808" w:type="dxa"/>
          </w:tcPr>
          <w:p w14:paraId="05B4955C">
            <w:pPr>
              <w:spacing w:line="560" w:lineRule="exact"/>
              <w:ind w:firstLine="560" w:firstLineChars="200"/>
              <w:rPr>
                <w:rFonts w:ascii="宋体" w:cs="宋体"/>
                <w:color w:val="auto"/>
                <w:sz w:val="28"/>
                <w:szCs w:val="28"/>
                <w:highlight w:val="none"/>
              </w:rPr>
            </w:pPr>
          </w:p>
          <w:p w14:paraId="65C58A13">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5941A8EA">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联</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系</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人：杨韦</w:t>
            </w:r>
          </w:p>
          <w:p w14:paraId="4F661E9D">
            <w:pPr>
              <w:spacing w:line="560" w:lineRule="exact"/>
              <w:ind w:firstLine="560" w:firstLineChars="200"/>
              <w:rPr>
                <w:rFonts w:ascii="宋体" w:cs="宋体"/>
                <w:color w:val="auto"/>
                <w:sz w:val="28"/>
                <w:szCs w:val="28"/>
                <w:highlight w:val="none"/>
              </w:rPr>
            </w:pPr>
            <w:r>
              <w:rPr>
                <w:rFonts w:hint="eastAsia" w:ascii="宋体" w:hAnsi="宋体" w:cs="宋体"/>
                <w:color w:val="auto"/>
                <w:sz w:val="28"/>
                <w:szCs w:val="28"/>
                <w:highlight w:val="none"/>
              </w:rPr>
              <w:t>联系电话：</w:t>
            </w:r>
            <w:r>
              <w:rPr>
                <w:rFonts w:ascii="宋体" w:hAnsi="宋体" w:cs="宋体"/>
                <w:color w:val="auto"/>
                <w:sz w:val="28"/>
                <w:szCs w:val="28"/>
                <w:highlight w:val="none"/>
              </w:rPr>
              <w:t>0550-</w:t>
            </w:r>
            <w:r>
              <w:rPr>
                <w:rFonts w:hint="eastAsia" w:ascii="宋体" w:hAnsi="宋体" w:cs="宋体"/>
                <w:color w:val="auto"/>
                <w:sz w:val="28"/>
                <w:szCs w:val="28"/>
                <w:highlight w:val="none"/>
                <w:lang w:eastAsia="zh-CN"/>
              </w:rPr>
              <w:t>3519590</w:t>
            </w:r>
            <w:r>
              <w:rPr>
                <w:rFonts w:hint="eastAsia" w:ascii="宋体" w:hAnsi="宋体" w:cs="宋体"/>
                <w:color w:val="auto"/>
                <w:sz w:val="28"/>
                <w:szCs w:val="28"/>
                <w:highlight w:val="none"/>
              </w:rPr>
              <w:t>、</w:t>
            </w:r>
            <w:r>
              <w:rPr>
                <w:rFonts w:ascii="宋体" w:hAnsi="宋体" w:cs="宋体"/>
                <w:color w:val="auto"/>
                <w:sz w:val="28"/>
                <w:szCs w:val="28"/>
                <w:highlight w:val="none"/>
              </w:rPr>
              <w:t>18005501210</w:t>
            </w:r>
          </w:p>
          <w:p w14:paraId="6EEA6A84">
            <w:pPr>
              <w:spacing w:line="560" w:lineRule="exact"/>
              <w:ind w:firstLine="5040" w:firstLineChars="1800"/>
              <w:rPr>
                <w:rFonts w:ascii="宋体" w:cs="宋体"/>
                <w:color w:val="auto"/>
                <w:sz w:val="28"/>
                <w:szCs w:val="28"/>
                <w:highlight w:val="none"/>
              </w:rPr>
            </w:pPr>
          </w:p>
          <w:p w14:paraId="6260AEB0">
            <w:pPr>
              <w:spacing w:line="560" w:lineRule="exact"/>
              <w:ind w:firstLine="5460" w:firstLineChars="1950"/>
              <w:rPr>
                <w:rFonts w:ascii="宋体" w:cs="宋体"/>
                <w:color w:val="auto"/>
                <w:sz w:val="28"/>
                <w:szCs w:val="28"/>
                <w:highlight w:val="none"/>
              </w:rPr>
            </w:pPr>
          </w:p>
          <w:p w14:paraId="0E17492F">
            <w:pPr>
              <w:spacing w:line="560" w:lineRule="exact"/>
              <w:ind w:firstLine="5460" w:firstLineChars="1950"/>
              <w:rPr>
                <w:rFonts w:ascii="宋体" w:cs="宋体"/>
                <w:color w:val="auto"/>
                <w:sz w:val="28"/>
                <w:szCs w:val="28"/>
                <w:highlight w:val="none"/>
              </w:rPr>
            </w:pPr>
          </w:p>
          <w:p w14:paraId="5CECA8C2">
            <w:pPr>
              <w:spacing w:line="560" w:lineRule="exact"/>
              <w:ind w:firstLine="5880" w:firstLineChars="2100"/>
              <w:rPr>
                <w:rFonts w:ascii="宋体" w:cs="宋体"/>
                <w:color w:val="auto"/>
                <w:sz w:val="28"/>
                <w:szCs w:val="28"/>
                <w:highlight w:val="none"/>
              </w:rPr>
            </w:pPr>
            <w:r>
              <w:rPr>
                <w:rFonts w:hint="eastAsia" w:ascii="宋体" w:hAnsi="宋体" w:cs="宋体"/>
                <w:color w:val="auto"/>
                <w:sz w:val="28"/>
                <w:szCs w:val="28"/>
                <w:highlight w:val="none"/>
              </w:rPr>
              <w:t>（单位盖章）</w:t>
            </w:r>
          </w:p>
          <w:p w14:paraId="79AA317D">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5</w:t>
            </w:r>
            <w:r>
              <w:rPr>
                <w:rFonts w:hint="eastAsia" w:ascii="宋体" w:hAnsi="宋体"/>
                <w:color w:val="auto"/>
                <w:sz w:val="28"/>
                <w:szCs w:val="28"/>
                <w:highlight w:val="none"/>
              </w:rPr>
              <w:t>月</w:t>
            </w:r>
          </w:p>
        </w:tc>
      </w:tr>
    </w:tbl>
    <w:p w14:paraId="5C5D5909">
      <w:pPr>
        <w:pStyle w:val="44"/>
        <w:ind w:left="0" w:leftChars="0" w:firstLine="0" w:firstLineChars="0"/>
        <w:rPr>
          <w:color w:val="auto"/>
          <w:highlight w:val="none"/>
        </w:rPr>
      </w:pPr>
    </w:p>
    <w:sectPr>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auto"/>
    <w:pitch w:val="default"/>
    <w:sig w:usb0="00000283" w:usb1="288F0000" w:usb2="00000006" w:usb3="00000000" w:csb0="00040001" w:csb1="00000000"/>
  </w:font>
  <w:font w:name="ActionIcon">
    <w:altName w:val="ksdb"/>
    <w:panose1 w:val="00000000000000000000"/>
    <w:charset w:val="00"/>
    <w:family w:val="auto"/>
    <w:pitch w:val="default"/>
    <w:sig w:usb0="00000000" w:usb1="00000000" w:usb2="00000000" w:usb3="00000000" w:csb0="00000000" w:csb1="00000000"/>
  </w:font>
  <w:font w:name="ModIcon">
    <w:altName w:val="ksdb"/>
    <w:panose1 w:val="00000000000000000000"/>
    <w:charset w:val="00"/>
    <w:family w:val="auto"/>
    <w:pitch w:val="default"/>
    <w:sig w:usb0="00000000" w:usb1="00000000" w:usb2="00000000" w:usb3="00000000" w:csb0="00000000" w:csb1="00000000"/>
  </w:font>
  <w:font w:name="ActionIcon ! importan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E7EA">
    <w:pPr>
      <w:pStyle w:val="27"/>
      <w:framePr w:wrap="around" w:vAnchor="text" w:hAnchor="margin" w:xAlign="center" w:y="1"/>
      <w:rPr>
        <w:rStyle w:val="49"/>
      </w:rPr>
    </w:pPr>
  </w:p>
  <w:p w14:paraId="640D6E7D">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9750">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C3C2">
    <w:pPr>
      <w:pStyle w:val="27"/>
      <w:framePr w:wrap="around" w:vAnchor="text" w:hAnchor="margin" w:xAlign="center" w:y="1"/>
      <w:rPr>
        <w:rStyle w:val="49"/>
      </w:rPr>
    </w:pPr>
  </w:p>
  <w:p w14:paraId="736C67C7">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B5B5B">
    <w:pPr>
      <w:pStyle w:val="27"/>
      <w:rPr>
        <w:rStyle w:val="49"/>
      </w:rPr>
    </w:pPr>
    <w:r>
      <w:rPr>
        <w:sz w:val="18"/>
      </w:rPr>
      <w:pict>
        <v:shape id="_x0000_s4104" o:spid="_x0000_s4104"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CF0FE1E">
                <w:pPr>
                  <w:pStyle w:val="27"/>
                </w:pPr>
                <w:r>
                  <w:fldChar w:fldCharType="begin"/>
                </w:r>
                <w:r>
                  <w:instrText xml:space="preserve"> PAGE  \* MERGEFORMAT </w:instrText>
                </w:r>
                <w:r>
                  <w:fldChar w:fldCharType="separate"/>
                </w:r>
                <w:r>
                  <w:t>2</w:t>
                </w:r>
                <w:r>
                  <w:fldChar w:fldCharType="end"/>
                </w:r>
              </w:p>
            </w:txbxContent>
          </v:textbox>
        </v:shape>
      </w:pict>
    </w:r>
  </w:p>
  <w:p w14:paraId="0406E2FF">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90259">
    <w:pPr>
      <w:pStyle w:val="27"/>
    </w:pPr>
    <w:r>
      <w:rPr>
        <w:sz w:val="18"/>
      </w:rPr>
      <w:pict>
        <v:shape id="_x0000_s4105" o:spid="_x0000_s4105"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75659BA">
                <w:pPr>
                  <w:pStyle w:val="27"/>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7CF9A">
    <w:pPr>
      <w:pStyle w:val="27"/>
      <w:rPr>
        <w:rStyle w:val="49"/>
      </w:rPr>
    </w:pPr>
    <w:r>
      <w:rPr>
        <w:sz w:val="18"/>
      </w:rPr>
      <w:pict>
        <v:shape id="_x0000_s4106" o:spid="_x0000_s4106"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BCCD823">
                <w:pPr>
                  <w:pStyle w:val="27"/>
                </w:pPr>
                <w:r>
                  <w:fldChar w:fldCharType="begin"/>
                </w:r>
                <w:r>
                  <w:instrText xml:space="preserve"> PAGE  \* MERGEFORMAT </w:instrText>
                </w:r>
                <w:r>
                  <w:fldChar w:fldCharType="separate"/>
                </w:r>
                <w:r>
                  <w:t>37</w:t>
                </w:r>
                <w:r>
                  <w:fldChar w:fldCharType="end"/>
                </w:r>
              </w:p>
            </w:txbxContent>
          </v:textbox>
        </v:shape>
      </w:pict>
    </w:r>
  </w:p>
  <w:p w14:paraId="33433794">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2AFD">
    <w:pPr>
      <w:pStyle w:val="27"/>
      <w:rPr>
        <w:rStyle w:val="49"/>
      </w:rPr>
    </w:pPr>
    <w:r>
      <w:rPr>
        <w:sz w:val="18"/>
      </w:rPr>
      <w:pict>
        <v:shape id="_x0000_s4107" o:spid="_x0000_s4107"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0B8C60B">
                <w:pPr>
                  <w:pStyle w:val="27"/>
                </w:pPr>
                <w:r>
                  <w:fldChar w:fldCharType="begin"/>
                </w:r>
                <w:r>
                  <w:instrText xml:space="preserve"> PAGE  \* MERGEFORMAT </w:instrText>
                </w:r>
                <w:r>
                  <w:fldChar w:fldCharType="separate"/>
                </w:r>
                <w:r>
                  <w:t>38</w:t>
                </w:r>
                <w:r>
                  <w:fldChar w:fldCharType="end"/>
                </w:r>
              </w:p>
            </w:txbxContent>
          </v:textbox>
        </v:shape>
      </w:pict>
    </w:r>
  </w:p>
  <w:p w14:paraId="5B5835C2">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28016">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1B5D1"/>
    <w:multiLevelType w:val="singleLevel"/>
    <w:tmpl w:val="2A21B5D1"/>
    <w:lvl w:ilvl="0" w:tentative="0">
      <w:start w:val="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Q5MGI3YTdkMjVkZTZjM2ZjZTQ5YjMxYTJjZjRlOWEifQ=="/>
    <w:docVar w:name="KSO_WPS_MARK_KEY" w:val="bd55d6dc-4a7e-4552-81bd-0ab792725221"/>
  </w:docVars>
  <w:rsids>
    <w:rsidRoot w:val="00172A27"/>
    <w:rsid w:val="0000197A"/>
    <w:rsid w:val="00002E1B"/>
    <w:rsid w:val="000046EA"/>
    <w:rsid w:val="00004E34"/>
    <w:rsid w:val="00005CD8"/>
    <w:rsid w:val="00006123"/>
    <w:rsid w:val="000070B7"/>
    <w:rsid w:val="0000758B"/>
    <w:rsid w:val="00010F4B"/>
    <w:rsid w:val="0001111D"/>
    <w:rsid w:val="00012D1D"/>
    <w:rsid w:val="00017114"/>
    <w:rsid w:val="00017EFA"/>
    <w:rsid w:val="00020FE0"/>
    <w:rsid w:val="00021BDB"/>
    <w:rsid w:val="000225E0"/>
    <w:rsid w:val="00022A89"/>
    <w:rsid w:val="000330C1"/>
    <w:rsid w:val="000335C0"/>
    <w:rsid w:val="00034C73"/>
    <w:rsid w:val="00037B93"/>
    <w:rsid w:val="00040224"/>
    <w:rsid w:val="0004332D"/>
    <w:rsid w:val="00046C34"/>
    <w:rsid w:val="0005256E"/>
    <w:rsid w:val="00057DBF"/>
    <w:rsid w:val="0006411D"/>
    <w:rsid w:val="000642AF"/>
    <w:rsid w:val="00066792"/>
    <w:rsid w:val="00076F1D"/>
    <w:rsid w:val="00077234"/>
    <w:rsid w:val="00086C18"/>
    <w:rsid w:val="00090A07"/>
    <w:rsid w:val="00090F90"/>
    <w:rsid w:val="00093100"/>
    <w:rsid w:val="000939B1"/>
    <w:rsid w:val="00094E9D"/>
    <w:rsid w:val="000A078C"/>
    <w:rsid w:val="000A11AD"/>
    <w:rsid w:val="000A5881"/>
    <w:rsid w:val="000A65EE"/>
    <w:rsid w:val="000B3A75"/>
    <w:rsid w:val="000B44D3"/>
    <w:rsid w:val="000B4B76"/>
    <w:rsid w:val="000B7A7E"/>
    <w:rsid w:val="000C26FD"/>
    <w:rsid w:val="000D203E"/>
    <w:rsid w:val="000D2C3D"/>
    <w:rsid w:val="000D2ECE"/>
    <w:rsid w:val="000E0020"/>
    <w:rsid w:val="000E1F7F"/>
    <w:rsid w:val="000E3D3D"/>
    <w:rsid w:val="000F740E"/>
    <w:rsid w:val="00104E44"/>
    <w:rsid w:val="001063CB"/>
    <w:rsid w:val="0011140E"/>
    <w:rsid w:val="00115943"/>
    <w:rsid w:val="00116988"/>
    <w:rsid w:val="00125553"/>
    <w:rsid w:val="00131494"/>
    <w:rsid w:val="00132E3D"/>
    <w:rsid w:val="00146B5E"/>
    <w:rsid w:val="0015292B"/>
    <w:rsid w:val="0015363F"/>
    <w:rsid w:val="00154C59"/>
    <w:rsid w:val="00155F6F"/>
    <w:rsid w:val="001564C3"/>
    <w:rsid w:val="001620D9"/>
    <w:rsid w:val="00165414"/>
    <w:rsid w:val="00165F97"/>
    <w:rsid w:val="00167090"/>
    <w:rsid w:val="00172A27"/>
    <w:rsid w:val="00173D37"/>
    <w:rsid w:val="00182D4C"/>
    <w:rsid w:val="001834BA"/>
    <w:rsid w:val="001843D3"/>
    <w:rsid w:val="00184866"/>
    <w:rsid w:val="00185DBC"/>
    <w:rsid w:val="00191DD8"/>
    <w:rsid w:val="001963BD"/>
    <w:rsid w:val="001A120B"/>
    <w:rsid w:val="001A184C"/>
    <w:rsid w:val="001A37E0"/>
    <w:rsid w:val="001A3EC9"/>
    <w:rsid w:val="001A6EF7"/>
    <w:rsid w:val="001B1DF0"/>
    <w:rsid w:val="001B21A5"/>
    <w:rsid w:val="001B45D5"/>
    <w:rsid w:val="001B4675"/>
    <w:rsid w:val="001B4BDE"/>
    <w:rsid w:val="001B59E9"/>
    <w:rsid w:val="001B62B0"/>
    <w:rsid w:val="001B6A78"/>
    <w:rsid w:val="001C4E01"/>
    <w:rsid w:val="001D0C94"/>
    <w:rsid w:val="001E6D31"/>
    <w:rsid w:val="001F23AB"/>
    <w:rsid w:val="001F32ED"/>
    <w:rsid w:val="001F7E70"/>
    <w:rsid w:val="00200459"/>
    <w:rsid w:val="00202DB7"/>
    <w:rsid w:val="00207065"/>
    <w:rsid w:val="00207999"/>
    <w:rsid w:val="00213FCA"/>
    <w:rsid w:val="00214988"/>
    <w:rsid w:val="00214F76"/>
    <w:rsid w:val="002202CE"/>
    <w:rsid w:val="0022219A"/>
    <w:rsid w:val="00222521"/>
    <w:rsid w:val="00230A2B"/>
    <w:rsid w:val="00231547"/>
    <w:rsid w:val="002334EC"/>
    <w:rsid w:val="00235B32"/>
    <w:rsid w:val="00236AD7"/>
    <w:rsid w:val="00240423"/>
    <w:rsid w:val="00243B18"/>
    <w:rsid w:val="00246B91"/>
    <w:rsid w:val="00247A64"/>
    <w:rsid w:val="00250BCF"/>
    <w:rsid w:val="00253591"/>
    <w:rsid w:val="00255670"/>
    <w:rsid w:val="00262ABE"/>
    <w:rsid w:val="00276F57"/>
    <w:rsid w:val="00277D06"/>
    <w:rsid w:val="002816D4"/>
    <w:rsid w:val="00286980"/>
    <w:rsid w:val="0029757E"/>
    <w:rsid w:val="002A1A66"/>
    <w:rsid w:val="002A599F"/>
    <w:rsid w:val="002B30AF"/>
    <w:rsid w:val="002B4BA8"/>
    <w:rsid w:val="002B6923"/>
    <w:rsid w:val="002B7117"/>
    <w:rsid w:val="002B714A"/>
    <w:rsid w:val="002B7621"/>
    <w:rsid w:val="002C2E22"/>
    <w:rsid w:val="002C341B"/>
    <w:rsid w:val="002C3BAD"/>
    <w:rsid w:val="002C4A57"/>
    <w:rsid w:val="002C5643"/>
    <w:rsid w:val="002E13EC"/>
    <w:rsid w:val="002F2C99"/>
    <w:rsid w:val="002F794D"/>
    <w:rsid w:val="003029B3"/>
    <w:rsid w:val="00303019"/>
    <w:rsid w:val="00306787"/>
    <w:rsid w:val="0031113D"/>
    <w:rsid w:val="00313CA4"/>
    <w:rsid w:val="003150CE"/>
    <w:rsid w:val="00316270"/>
    <w:rsid w:val="00321598"/>
    <w:rsid w:val="00321FDB"/>
    <w:rsid w:val="00323870"/>
    <w:rsid w:val="00324847"/>
    <w:rsid w:val="00324A5E"/>
    <w:rsid w:val="00325624"/>
    <w:rsid w:val="00332891"/>
    <w:rsid w:val="00333810"/>
    <w:rsid w:val="00342D97"/>
    <w:rsid w:val="00343375"/>
    <w:rsid w:val="003448C2"/>
    <w:rsid w:val="00344CD6"/>
    <w:rsid w:val="0034662F"/>
    <w:rsid w:val="003510D2"/>
    <w:rsid w:val="00351A8E"/>
    <w:rsid w:val="0035447B"/>
    <w:rsid w:val="00356B27"/>
    <w:rsid w:val="00356B90"/>
    <w:rsid w:val="00357C8A"/>
    <w:rsid w:val="00360C29"/>
    <w:rsid w:val="00361CBA"/>
    <w:rsid w:val="0036593D"/>
    <w:rsid w:val="00366951"/>
    <w:rsid w:val="00376808"/>
    <w:rsid w:val="003817E6"/>
    <w:rsid w:val="00381E22"/>
    <w:rsid w:val="0038244A"/>
    <w:rsid w:val="00382545"/>
    <w:rsid w:val="00383221"/>
    <w:rsid w:val="00386132"/>
    <w:rsid w:val="003871B4"/>
    <w:rsid w:val="00393016"/>
    <w:rsid w:val="00393669"/>
    <w:rsid w:val="00394BA5"/>
    <w:rsid w:val="003A70F7"/>
    <w:rsid w:val="003B39C6"/>
    <w:rsid w:val="003B4CDE"/>
    <w:rsid w:val="003B5919"/>
    <w:rsid w:val="003B7075"/>
    <w:rsid w:val="003B7983"/>
    <w:rsid w:val="003C24F4"/>
    <w:rsid w:val="003C3C64"/>
    <w:rsid w:val="003C4452"/>
    <w:rsid w:val="003C7646"/>
    <w:rsid w:val="003D0BFC"/>
    <w:rsid w:val="003D34ED"/>
    <w:rsid w:val="003D60ED"/>
    <w:rsid w:val="003D7852"/>
    <w:rsid w:val="003E15AB"/>
    <w:rsid w:val="003E3274"/>
    <w:rsid w:val="003E441B"/>
    <w:rsid w:val="003E528B"/>
    <w:rsid w:val="003E62C9"/>
    <w:rsid w:val="003E64A4"/>
    <w:rsid w:val="003F1184"/>
    <w:rsid w:val="003F19CD"/>
    <w:rsid w:val="003F56BE"/>
    <w:rsid w:val="003F72A7"/>
    <w:rsid w:val="00403578"/>
    <w:rsid w:val="00404AFD"/>
    <w:rsid w:val="00411B9C"/>
    <w:rsid w:val="004139CC"/>
    <w:rsid w:val="004179E4"/>
    <w:rsid w:val="00422908"/>
    <w:rsid w:val="00423DA3"/>
    <w:rsid w:val="0042416B"/>
    <w:rsid w:val="004249BA"/>
    <w:rsid w:val="0042531B"/>
    <w:rsid w:val="004306D8"/>
    <w:rsid w:val="00430F18"/>
    <w:rsid w:val="00432BC1"/>
    <w:rsid w:val="00434AAC"/>
    <w:rsid w:val="0043512B"/>
    <w:rsid w:val="00435537"/>
    <w:rsid w:val="004355FE"/>
    <w:rsid w:val="00441E58"/>
    <w:rsid w:val="00445715"/>
    <w:rsid w:val="00445E0F"/>
    <w:rsid w:val="00446179"/>
    <w:rsid w:val="00446284"/>
    <w:rsid w:val="004506F7"/>
    <w:rsid w:val="00451F70"/>
    <w:rsid w:val="00454C0F"/>
    <w:rsid w:val="00454F95"/>
    <w:rsid w:val="00456DC1"/>
    <w:rsid w:val="00462043"/>
    <w:rsid w:val="0046380E"/>
    <w:rsid w:val="004712B0"/>
    <w:rsid w:val="00471B5C"/>
    <w:rsid w:val="00473006"/>
    <w:rsid w:val="00473BA0"/>
    <w:rsid w:val="00474B17"/>
    <w:rsid w:val="00477FF4"/>
    <w:rsid w:val="00494CD7"/>
    <w:rsid w:val="004A394F"/>
    <w:rsid w:val="004A7299"/>
    <w:rsid w:val="004C2BF2"/>
    <w:rsid w:val="004C4C36"/>
    <w:rsid w:val="004D0871"/>
    <w:rsid w:val="004D31D7"/>
    <w:rsid w:val="004D6B92"/>
    <w:rsid w:val="004E085C"/>
    <w:rsid w:val="004E0F8D"/>
    <w:rsid w:val="004F1D3D"/>
    <w:rsid w:val="004F3C9D"/>
    <w:rsid w:val="004F77A5"/>
    <w:rsid w:val="00504F99"/>
    <w:rsid w:val="00505F69"/>
    <w:rsid w:val="005078D7"/>
    <w:rsid w:val="00510F89"/>
    <w:rsid w:val="00512B81"/>
    <w:rsid w:val="00513D1E"/>
    <w:rsid w:val="00525D5C"/>
    <w:rsid w:val="00526B90"/>
    <w:rsid w:val="00527D18"/>
    <w:rsid w:val="005324F1"/>
    <w:rsid w:val="00534798"/>
    <w:rsid w:val="005362C3"/>
    <w:rsid w:val="00536BAD"/>
    <w:rsid w:val="00537141"/>
    <w:rsid w:val="005408F8"/>
    <w:rsid w:val="00543A1A"/>
    <w:rsid w:val="00543D1A"/>
    <w:rsid w:val="00545A63"/>
    <w:rsid w:val="00551ABE"/>
    <w:rsid w:val="00553C28"/>
    <w:rsid w:val="005575EF"/>
    <w:rsid w:val="00557CAA"/>
    <w:rsid w:val="005610A7"/>
    <w:rsid w:val="00562097"/>
    <w:rsid w:val="00563B31"/>
    <w:rsid w:val="00565E25"/>
    <w:rsid w:val="00566512"/>
    <w:rsid w:val="005677A2"/>
    <w:rsid w:val="00571668"/>
    <w:rsid w:val="005736B2"/>
    <w:rsid w:val="00580342"/>
    <w:rsid w:val="00582213"/>
    <w:rsid w:val="005901E1"/>
    <w:rsid w:val="005915F5"/>
    <w:rsid w:val="00591F58"/>
    <w:rsid w:val="00592834"/>
    <w:rsid w:val="00594FBF"/>
    <w:rsid w:val="00597823"/>
    <w:rsid w:val="005A5E6E"/>
    <w:rsid w:val="005A71BD"/>
    <w:rsid w:val="005A7C75"/>
    <w:rsid w:val="005B4AA4"/>
    <w:rsid w:val="005B5C42"/>
    <w:rsid w:val="005C0C25"/>
    <w:rsid w:val="005D1E1A"/>
    <w:rsid w:val="005D2808"/>
    <w:rsid w:val="005D6EDB"/>
    <w:rsid w:val="005E6D8D"/>
    <w:rsid w:val="005F2C58"/>
    <w:rsid w:val="005F4B20"/>
    <w:rsid w:val="005F548E"/>
    <w:rsid w:val="00601231"/>
    <w:rsid w:val="006015AA"/>
    <w:rsid w:val="006053A4"/>
    <w:rsid w:val="0061143B"/>
    <w:rsid w:val="00617B19"/>
    <w:rsid w:val="00620E0C"/>
    <w:rsid w:val="00626412"/>
    <w:rsid w:val="00627F07"/>
    <w:rsid w:val="00630A52"/>
    <w:rsid w:val="006314EC"/>
    <w:rsid w:val="006319A4"/>
    <w:rsid w:val="006320EC"/>
    <w:rsid w:val="00632505"/>
    <w:rsid w:val="0063261C"/>
    <w:rsid w:val="00634E49"/>
    <w:rsid w:val="00636DE4"/>
    <w:rsid w:val="006404B8"/>
    <w:rsid w:val="00640732"/>
    <w:rsid w:val="006411FA"/>
    <w:rsid w:val="006468C4"/>
    <w:rsid w:val="00646B1D"/>
    <w:rsid w:val="0065656C"/>
    <w:rsid w:val="00662C9C"/>
    <w:rsid w:val="00664CCB"/>
    <w:rsid w:val="0066501C"/>
    <w:rsid w:val="00672253"/>
    <w:rsid w:val="00680EED"/>
    <w:rsid w:val="00683A32"/>
    <w:rsid w:val="0069751D"/>
    <w:rsid w:val="00697E3A"/>
    <w:rsid w:val="006A2E04"/>
    <w:rsid w:val="006A5A61"/>
    <w:rsid w:val="006B06AF"/>
    <w:rsid w:val="006B110E"/>
    <w:rsid w:val="006B3913"/>
    <w:rsid w:val="006B5F0A"/>
    <w:rsid w:val="006C004B"/>
    <w:rsid w:val="006C09E3"/>
    <w:rsid w:val="006C12A2"/>
    <w:rsid w:val="006C3056"/>
    <w:rsid w:val="006C3E9D"/>
    <w:rsid w:val="006E29E7"/>
    <w:rsid w:val="006E4C81"/>
    <w:rsid w:val="006F3D17"/>
    <w:rsid w:val="006F75A9"/>
    <w:rsid w:val="007010A6"/>
    <w:rsid w:val="007010E6"/>
    <w:rsid w:val="00703797"/>
    <w:rsid w:val="00704877"/>
    <w:rsid w:val="007056DC"/>
    <w:rsid w:val="00707F33"/>
    <w:rsid w:val="00707FB8"/>
    <w:rsid w:val="00712094"/>
    <w:rsid w:val="00712899"/>
    <w:rsid w:val="007142EF"/>
    <w:rsid w:val="007167E3"/>
    <w:rsid w:val="00721DFF"/>
    <w:rsid w:val="007220FC"/>
    <w:rsid w:val="007224C8"/>
    <w:rsid w:val="00734057"/>
    <w:rsid w:val="00740EA7"/>
    <w:rsid w:val="00743322"/>
    <w:rsid w:val="00743A79"/>
    <w:rsid w:val="0074552F"/>
    <w:rsid w:val="00750DC6"/>
    <w:rsid w:val="00750EE0"/>
    <w:rsid w:val="00755F4B"/>
    <w:rsid w:val="00764F21"/>
    <w:rsid w:val="00771225"/>
    <w:rsid w:val="007735D0"/>
    <w:rsid w:val="0077709D"/>
    <w:rsid w:val="0077725B"/>
    <w:rsid w:val="0078232E"/>
    <w:rsid w:val="0078387C"/>
    <w:rsid w:val="007846BD"/>
    <w:rsid w:val="00785C7C"/>
    <w:rsid w:val="00791620"/>
    <w:rsid w:val="00797F29"/>
    <w:rsid w:val="00797F99"/>
    <w:rsid w:val="007A5486"/>
    <w:rsid w:val="007A59DE"/>
    <w:rsid w:val="007B10BC"/>
    <w:rsid w:val="007B6549"/>
    <w:rsid w:val="007B6736"/>
    <w:rsid w:val="007B7D18"/>
    <w:rsid w:val="007C5C10"/>
    <w:rsid w:val="007C5C4D"/>
    <w:rsid w:val="007D3552"/>
    <w:rsid w:val="007D7027"/>
    <w:rsid w:val="007E42D5"/>
    <w:rsid w:val="007E60BB"/>
    <w:rsid w:val="007E66F0"/>
    <w:rsid w:val="007E6E71"/>
    <w:rsid w:val="007F0879"/>
    <w:rsid w:val="007F7CC1"/>
    <w:rsid w:val="00802D13"/>
    <w:rsid w:val="00803277"/>
    <w:rsid w:val="00803BC6"/>
    <w:rsid w:val="008044D7"/>
    <w:rsid w:val="008056D1"/>
    <w:rsid w:val="00811BC8"/>
    <w:rsid w:val="0081385B"/>
    <w:rsid w:val="008146CD"/>
    <w:rsid w:val="00822D2E"/>
    <w:rsid w:val="00833A36"/>
    <w:rsid w:val="0084190B"/>
    <w:rsid w:val="0084411B"/>
    <w:rsid w:val="00844D6E"/>
    <w:rsid w:val="008462FB"/>
    <w:rsid w:val="008465CD"/>
    <w:rsid w:val="0084663D"/>
    <w:rsid w:val="00854873"/>
    <w:rsid w:val="00856515"/>
    <w:rsid w:val="00857737"/>
    <w:rsid w:val="00864FC6"/>
    <w:rsid w:val="00872E7D"/>
    <w:rsid w:val="0087424F"/>
    <w:rsid w:val="00874549"/>
    <w:rsid w:val="008756B7"/>
    <w:rsid w:val="00880472"/>
    <w:rsid w:val="008813F9"/>
    <w:rsid w:val="00881587"/>
    <w:rsid w:val="00884060"/>
    <w:rsid w:val="00890796"/>
    <w:rsid w:val="0089321E"/>
    <w:rsid w:val="008933DF"/>
    <w:rsid w:val="00894C08"/>
    <w:rsid w:val="00895001"/>
    <w:rsid w:val="008A0D2A"/>
    <w:rsid w:val="008A1DEE"/>
    <w:rsid w:val="008B3DFF"/>
    <w:rsid w:val="008C49D3"/>
    <w:rsid w:val="008C642B"/>
    <w:rsid w:val="008C6DA1"/>
    <w:rsid w:val="008C72A6"/>
    <w:rsid w:val="008D3D94"/>
    <w:rsid w:val="008D3E37"/>
    <w:rsid w:val="008E30BF"/>
    <w:rsid w:val="008E35A0"/>
    <w:rsid w:val="008E5038"/>
    <w:rsid w:val="008F031C"/>
    <w:rsid w:val="008F1463"/>
    <w:rsid w:val="008F1F11"/>
    <w:rsid w:val="008F31C7"/>
    <w:rsid w:val="008F4575"/>
    <w:rsid w:val="008F7394"/>
    <w:rsid w:val="008F79D7"/>
    <w:rsid w:val="009006DF"/>
    <w:rsid w:val="00903CF0"/>
    <w:rsid w:val="00910153"/>
    <w:rsid w:val="00910A19"/>
    <w:rsid w:val="00910F4E"/>
    <w:rsid w:val="00911695"/>
    <w:rsid w:val="00911E55"/>
    <w:rsid w:val="00913F05"/>
    <w:rsid w:val="0091562C"/>
    <w:rsid w:val="009177B6"/>
    <w:rsid w:val="00924202"/>
    <w:rsid w:val="00924E50"/>
    <w:rsid w:val="00926ABF"/>
    <w:rsid w:val="00927A26"/>
    <w:rsid w:val="00927D00"/>
    <w:rsid w:val="0093269F"/>
    <w:rsid w:val="009412CD"/>
    <w:rsid w:val="0095349A"/>
    <w:rsid w:val="00960CAB"/>
    <w:rsid w:val="00961359"/>
    <w:rsid w:val="00962A0B"/>
    <w:rsid w:val="00962C4D"/>
    <w:rsid w:val="0096757C"/>
    <w:rsid w:val="00967A23"/>
    <w:rsid w:val="00972946"/>
    <w:rsid w:val="00974691"/>
    <w:rsid w:val="00976022"/>
    <w:rsid w:val="00976169"/>
    <w:rsid w:val="00976580"/>
    <w:rsid w:val="00977C3F"/>
    <w:rsid w:val="00980102"/>
    <w:rsid w:val="0098316D"/>
    <w:rsid w:val="00986D16"/>
    <w:rsid w:val="009910B5"/>
    <w:rsid w:val="009920AD"/>
    <w:rsid w:val="0099244A"/>
    <w:rsid w:val="009938B8"/>
    <w:rsid w:val="009A0735"/>
    <w:rsid w:val="009A25E2"/>
    <w:rsid w:val="009A2875"/>
    <w:rsid w:val="009A4C36"/>
    <w:rsid w:val="009B1FF8"/>
    <w:rsid w:val="009B42EF"/>
    <w:rsid w:val="009B4E7E"/>
    <w:rsid w:val="009B5EED"/>
    <w:rsid w:val="009C37BF"/>
    <w:rsid w:val="009C6EE6"/>
    <w:rsid w:val="009C7333"/>
    <w:rsid w:val="009C7979"/>
    <w:rsid w:val="009D0966"/>
    <w:rsid w:val="009D22E5"/>
    <w:rsid w:val="009D4B7E"/>
    <w:rsid w:val="009D71F1"/>
    <w:rsid w:val="009E015C"/>
    <w:rsid w:val="009E0909"/>
    <w:rsid w:val="009E37B1"/>
    <w:rsid w:val="009E3E05"/>
    <w:rsid w:val="009E5780"/>
    <w:rsid w:val="009E5D72"/>
    <w:rsid w:val="009F01E1"/>
    <w:rsid w:val="009F2F5E"/>
    <w:rsid w:val="009F3B2F"/>
    <w:rsid w:val="009F51BD"/>
    <w:rsid w:val="009F60D9"/>
    <w:rsid w:val="00A01456"/>
    <w:rsid w:val="00A01B5E"/>
    <w:rsid w:val="00A02A20"/>
    <w:rsid w:val="00A03301"/>
    <w:rsid w:val="00A0769D"/>
    <w:rsid w:val="00A101E8"/>
    <w:rsid w:val="00A1132C"/>
    <w:rsid w:val="00A1168E"/>
    <w:rsid w:val="00A11EE6"/>
    <w:rsid w:val="00A14C01"/>
    <w:rsid w:val="00A1556E"/>
    <w:rsid w:val="00A169DC"/>
    <w:rsid w:val="00A20C10"/>
    <w:rsid w:val="00A22EC9"/>
    <w:rsid w:val="00A25ED3"/>
    <w:rsid w:val="00A264B5"/>
    <w:rsid w:val="00A26E1A"/>
    <w:rsid w:val="00A27D67"/>
    <w:rsid w:val="00A37208"/>
    <w:rsid w:val="00A373FE"/>
    <w:rsid w:val="00A37744"/>
    <w:rsid w:val="00A42231"/>
    <w:rsid w:val="00A431C8"/>
    <w:rsid w:val="00A47E8E"/>
    <w:rsid w:val="00A50183"/>
    <w:rsid w:val="00A508F5"/>
    <w:rsid w:val="00A52488"/>
    <w:rsid w:val="00A52EF8"/>
    <w:rsid w:val="00A55871"/>
    <w:rsid w:val="00A55F4D"/>
    <w:rsid w:val="00A60E15"/>
    <w:rsid w:val="00A65ACF"/>
    <w:rsid w:val="00A71725"/>
    <w:rsid w:val="00A730D4"/>
    <w:rsid w:val="00A75160"/>
    <w:rsid w:val="00A80107"/>
    <w:rsid w:val="00A82C07"/>
    <w:rsid w:val="00A8654F"/>
    <w:rsid w:val="00A921C2"/>
    <w:rsid w:val="00A93040"/>
    <w:rsid w:val="00A9331E"/>
    <w:rsid w:val="00AA672A"/>
    <w:rsid w:val="00AA7717"/>
    <w:rsid w:val="00AA7A7D"/>
    <w:rsid w:val="00AB24DF"/>
    <w:rsid w:val="00AB2639"/>
    <w:rsid w:val="00AB41F5"/>
    <w:rsid w:val="00AB534D"/>
    <w:rsid w:val="00AB6C48"/>
    <w:rsid w:val="00AB7F2E"/>
    <w:rsid w:val="00AC26EA"/>
    <w:rsid w:val="00AC2702"/>
    <w:rsid w:val="00AC5E52"/>
    <w:rsid w:val="00AC75F2"/>
    <w:rsid w:val="00AD0D0C"/>
    <w:rsid w:val="00AD28A1"/>
    <w:rsid w:val="00AF04EA"/>
    <w:rsid w:val="00B01E1E"/>
    <w:rsid w:val="00B04E52"/>
    <w:rsid w:val="00B064E0"/>
    <w:rsid w:val="00B06DF0"/>
    <w:rsid w:val="00B125E7"/>
    <w:rsid w:val="00B17733"/>
    <w:rsid w:val="00B17A2D"/>
    <w:rsid w:val="00B238A2"/>
    <w:rsid w:val="00B2684F"/>
    <w:rsid w:val="00B30708"/>
    <w:rsid w:val="00B40A36"/>
    <w:rsid w:val="00B421B9"/>
    <w:rsid w:val="00B46946"/>
    <w:rsid w:val="00B52319"/>
    <w:rsid w:val="00B5524B"/>
    <w:rsid w:val="00B60374"/>
    <w:rsid w:val="00B624DE"/>
    <w:rsid w:val="00B669BA"/>
    <w:rsid w:val="00B67E11"/>
    <w:rsid w:val="00B81D39"/>
    <w:rsid w:val="00B87A14"/>
    <w:rsid w:val="00B87A48"/>
    <w:rsid w:val="00B91A45"/>
    <w:rsid w:val="00BA58F0"/>
    <w:rsid w:val="00BA6D3B"/>
    <w:rsid w:val="00BA7453"/>
    <w:rsid w:val="00BB0336"/>
    <w:rsid w:val="00BB2223"/>
    <w:rsid w:val="00BB2B7B"/>
    <w:rsid w:val="00BC0C20"/>
    <w:rsid w:val="00BC3A1F"/>
    <w:rsid w:val="00BC508C"/>
    <w:rsid w:val="00BC79D7"/>
    <w:rsid w:val="00BD41E9"/>
    <w:rsid w:val="00BE1A5C"/>
    <w:rsid w:val="00BE2D96"/>
    <w:rsid w:val="00BE520A"/>
    <w:rsid w:val="00BE5A23"/>
    <w:rsid w:val="00BE6705"/>
    <w:rsid w:val="00BE7FAD"/>
    <w:rsid w:val="00BF0DAF"/>
    <w:rsid w:val="00BF0E76"/>
    <w:rsid w:val="00BF1E08"/>
    <w:rsid w:val="00BF2EB6"/>
    <w:rsid w:val="00C063C0"/>
    <w:rsid w:val="00C06DB4"/>
    <w:rsid w:val="00C0756A"/>
    <w:rsid w:val="00C12A63"/>
    <w:rsid w:val="00C12BE9"/>
    <w:rsid w:val="00C13786"/>
    <w:rsid w:val="00C14FCB"/>
    <w:rsid w:val="00C15A0C"/>
    <w:rsid w:val="00C15FE3"/>
    <w:rsid w:val="00C2443D"/>
    <w:rsid w:val="00C2616B"/>
    <w:rsid w:val="00C318C2"/>
    <w:rsid w:val="00C35769"/>
    <w:rsid w:val="00C40FE1"/>
    <w:rsid w:val="00C434BA"/>
    <w:rsid w:val="00C44BCE"/>
    <w:rsid w:val="00C46EAD"/>
    <w:rsid w:val="00C51140"/>
    <w:rsid w:val="00C521B2"/>
    <w:rsid w:val="00C536A9"/>
    <w:rsid w:val="00C56A2B"/>
    <w:rsid w:val="00C57DD2"/>
    <w:rsid w:val="00C6039F"/>
    <w:rsid w:val="00C61FE7"/>
    <w:rsid w:val="00C64B7C"/>
    <w:rsid w:val="00C66520"/>
    <w:rsid w:val="00C673DF"/>
    <w:rsid w:val="00C75A94"/>
    <w:rsid w:val="00C77AA8"/>
    <w:rsid w:val="00C804FA"/>
    <w:rsid w:val="00C82E68"/>
    <w:rsid w:val="00C862B3"/>
    <w:rsid w:val="00C87B3D"/>
    <w:rsid w:val="00C90C62"/>
    <w:rsid w:val="00C92F00"/>
    <w:rsid w:val="00C93DA5"/>
    <w:rsid w:val="00C94F29"/>
    <w:rsid w:val="00CA00CA"/>
    <w:rsid w:val="00CA2884"/>
    <w:rsid w:val="00CB3280"/>
    <w:rsid w:val="00CB3F09"/>
    <w:rsid w:val="00CB57BD"/>
    <w:rsid w:val="00CC1A9F"/>
    <w:rsid w:val="00CC252A"/>
    <w:rsid w:val="00CC2938"/>
    <w:rsid w:val="00CC4493"/>
    <w:rsid w:val="00CC47DB"/>
    <w:rsid w:val="00CC5D81"/>
    <w:rsid w:val="00CD275C"/>
    <w:rsid w:val="00CD4231"/>
    <w:rsid w:val="00CD7B4A"/>
    <w:rsid w:val="00CE4F1D"/>
    <w:rsid w:val="00CF745F"/>
    <w:rsid w:val="00D0047C"/>
    <w:rsid w:val="00D03403"/>
    <w:rsid w:val="00D037D8"/>
    <w:rsid w:val="00D11406"/>
    <w:rsid w:val="00D1359A"/>
    <w:rsid w:val="00D22FAB"/>
    <w:rsid w:val="00D26687"/>
    <w:rsid w:val="00D2689C"/>
    <w:rsid w:val="00D26B80"/>
    <w:rsid w:val="00D329C5"/>
    <w:rsid w:val="00D35580"/>
    <w:rsid w:val="00D356EA"/>
    <w:rsid w:val="00D401A6"/>
    <w:rsid w:val="00D409EF"/>
    <w:rsid w:val="00D40B26"/>
    <w:rsid w:val="00D5328E"/>
    <w:rsid w:val="00D54F1A"/>
    <w:rsid w:val="00D567DA"/>
    <w:rsid w:val="00D608B9"/>
    <w:rsid w:val="00D61861"/>
    <w:rsid w:val="00D62567"/>
    <w:rsid w:val="00D66575"/>
    <w:rsid w:val="00D93C90"/>
    <w:rsid w:val="00DA0B4C"/>
    <w:rsid w:val="00DA5168"/>
    <w:rsid w:val="00DA56E9"/>
    <w:rsid w:val="00DB727B"/>
    <w:rsid w:val="00DC26C6"/>
    <w:rsid w:val="00DC277E"/>
    <w:rsid w:val="00DC2A3E"/>
    <w:rsid w:val="00DC3D1F"/>
    <w:rsid w:val="00DD13E3"/>
    <w:rsid w:val="00DD33A6"/>
    <w:rsid w:val="00DD4A45"/>
    <w:rsid w:val="00DE0362"/>
    <w:rsid w:val="00DE5E9E"/>
    <w:rsid w:val="00DF1196"/>
    <w:rsid w:val="00DF73D5"/>
    <w:rsid w:val="00E006A4"/>
    <w:rsid w:val="00E01733"/>
    <w:rsid w:val="00E12C8B"/>
    <w:rsid w:val="00E13696"/>
    <w:rsid w:val="00E15234"/>
    <w:rsid w:val="00E15607"/>
    <w:rsid w:val="00E15BD9"/>
    <w:rsid w:val="00E20153"/>
    <w:rsid w:val="00E24AF7"/>
    <w:rsid w:val="00E2637A"/>
    <w:rsid w:val="00E31555"/>
    <w:rsid w:val="00E31DCB"/>
    <w:rsid w:val="00E3267B"/>
    <w:rsid w:val="00E36B63"/>
    <w:rsid w:val="00E420DA"/>
    <w:rsid w:val="00E432BC"/>
    <w:rsid w:val="00E46A23"/>
    <w:rsid w:val="00E471B1"/>
    <w:rsid w:val="00E52FB0"/>
    <w:rsid w:val="00E5543F"/>
    <w:rsid w:val="00E61800"/>
    <w:rsid w:val="00E658A8"/>
    <w:rsid w:val="00E676D9"/>
    <w:rsid w:val="00E71800"/>
    <w:rsid w:val="00E73BE6"/>
    <w:rsid w:val="00E73BEC"/>
    <w:rsid w:val="00E73D9E"/>
    <w:rsid w:val="00E73E25"/>
    <w:rsid w:val="00E74949"/>
    <w:rsid w:val="00E74A8E"/>
    <w:rsid w:val="00E82224"/>
    <w:rsid w:val="00EA3E32"/>
    <w:rsid w:val="00EA6D61"/>
    <w:rsid w:val="00EA704E"/>
    <w:rsid w:val="00EA7F7C"/>
    <w:rsid w:val="00EB2913"/>
    <w:rsid w:val="00EB42BD"/>
    <w:rsid w:val="00EB642C"/>
    <w:rsid w:val="00EC2475"/>
    <w:rsid w:val="00EC4E86"/>
    <w:rsid w:val="00EC5566"/>
    <w:rsid w:val="00EC69E9"/>
    <w:rsid w:val="00ED12A0"/>
    <w:rsid w:val="00ED1F99"/>
    <w:rsid w:val="00ED2D4B"/>
    <w:rsid w:val="00ED4F9C"/>
    <w:rsid w:val="00ED5689"/>
    <w:rsid w:val="00ED697B"/>
    <w:rsid w:val="00ED70F4"/>
    <w:rsid w:val="00EE0F9A"/>
    <w:rsid w:val="00EE1A69"/>
    <w:rsid w:val="00EE7CE2"/>
    <w:rsid w:val="00EF6EF4"/>
    <w:rsid w:val="00F00091"/>
    <w:rsid w:val="00F005E7"/>
    <w:rsid w:val="00F01476"/>
    <w:rsid w:val="00F0190B"/>
    <w:rsid w:val="00F0202B"/>
    <w:rsid w:val="00F0494D"/>
    <w:rsid w:val="00F04A09"/>
    <w:rsid w:val="00F05D9E"/>
    <w:rsid w:val="00F10121"/>
    <w:rsid w:val="00F12882"/>
    <w:rsid w:val="00F12BFE"/>
    <w:rsid w:val="00F1424F"/>
    <w:rsid w:val="00F1577A"/>
    <w:rsid w:val="00F21581"/>
    <w:rsid w:val="00F21AA8"/>
    <w:rsid w:val="00F22362"/>
    <w:rsid w:val="00F24087"/>
    <w:rsid w:val="00F26850"/>
    <w:rsid w:val="00F308B0"/>
    <w:rsid w:val="00F3163A"/>
    <w:rsid w:val="00F3402B"/>
    <w:rsid w:val="00F365E1"/>
    <w:rsid w:val="00F400D9"/>
    <w:rsid w:val="00F40471"/>
    <w:rsid w:val="00F429F9"/>
    <w:rsid w:val="00F43778"/>
    <w:rsid w:val="00F43A25"/>
    <w:rsid w:val="00F44932"/>
    <w:rsid w:val="00F509D2"/>
    <w:rsid w:val="00F53E92"/>
    <w:rsid w:val="00F579EE"/>
    <w:rsid w:val="00F57BC9"/>
    <w:rsid w:val="00F60225"/>
    <w:rsid w:val="00F61A0A"/>
    <w:rsid w:val="00F641D8"/>
    <w:rsid w:val="00F711EC"/>
    <w:rsid w:val="00F75713"/>
    <w:rsid w:val="00F75AB0"/>
    <w:rsid w:val="00F75C73"/>
    <w:rsid w:val="00F81536"/>
    <w:rsid w:val="00F85169"/>
    <w:rsid w:val="00F85239"/>
    <w:rsid w:val="00F8527D"/>
    <w:rsid w:val="00F8540D"/>
    <w:rsid w:val="00F90548"/>
    <w:rsid w:val="00F922EF"/>
    <w:rsid w:val="00F937BD"/>
    <w:rsid w:val="00FA4ABC"/>
    <w:rsid w:val="00FA51C6"/>
    <w:rsid w:val="00FA5D2F"/>
    <w:rsid w:val="00FB7C96"/>
    <w:rsid w:val="00FC460B"/>
    <w:rsid w:val="00FC56B8"/>
    <w:rsid w:val="00FC5F20"/>
    <w:rsid w:val="00FC7B5E"/>
    <w:rsid w:val="00FD079E"/>
    <w:rsid w:val="00FD20A0"/>
    <w:rsid w:val="00FD4991"/>
    <w:rsid w:val="00FE0113"/>
    <w:rsid w:val="00FE0A00"/>
    <w:rsid w:val="00FE7A2E"/>
    <w:rsid w:val="00FF1392"/>
    <w:rsid w:val="00FF2D63"/>
    <w:rsid w:val="00FF403E"/>
    <w:rsid w:val="00FF6ACF"/>
    <w:rsid w:val="00FF7157"/>
    <w:rsid w:val="01042CD0"/>
    <w:rsid w:val="01086012"/>
    <w:rsid w:val="012F23D2"/>
    <w:rsid w:val="012F41F1"/>
    <w:rsid w:val="01353E46"/>
    <w:rsid w:val="013D20EF"/>
    <w:rsid w:val="013D4C8F"/>
    <w:rsid w:val="0141555F"/>
    <w:rsid w:val="014557C2"/>
    <w:rsid w:val="01542AFA"/>
    <w:rsid w:val="015B3476"/>
    <w:rsid w:val="015E6630"/>
    <w:rsid w:val="016C75C7"/>
    <w:rsid w:val="017B2F92"/>
    <w:rsid w:val="01800398"/>
    <w:rsid w:val="018A1427"/>
    <w:rsid w:val="018D524F"/>
    <w:rsid w:val="019036D8"/>
    <w:rsid w:val="01A01767"/>
    <w:rsid w:val="01BD4FDC"/>
    <w:rsid w:val="01D6466C"/>
    <w:rsid w:val="01E50D53"/>
    <w:rsid w:val="01E941AE"/>
    <w:rsid w:val="01F62F61"/>
    <w:rsid w:val="01F82835"/>
    <w:rsid w:val="02092C94"/>
    <w:rsid w:val="0221105C"/>
    <w:rsid w:val="02240E71"/>
    <w:rsid w:val="022F6268"/>
    <w:rsid w:val="0230144B"/>
    <w:rsid w:val="0236312F"/>
    <w:rsid w:val="023E2A8F"/>
    <w:rsid w:val="02406FC5"/>
    <w:rsid w:val="02497F02"/>
    <w:rsid w:val="025D37A6"/>
    <w:rsid w:val="02630A21"/>
    <w:rsid w:val="02816CCE"/>
    <w:rsid w:val="029027EC"/>
    <w:rsid w:val="02910656"/>
    <w:rsid w:val="029452C8"/>
    <w:rsid w:val="02957A39"/>
    <w:rsid w:val="0299330C"/>
    <w:rsid w:val="029A7D90"/>
    <w:rsid w:val="02A46519"/>
    <w:rsid w:val="02A97FD3"/>
    <w:rsid w:val="02AE2F1E"/>
    <w:rsid w:val="02B07476"/>
    <w:rsid w:val="02B34262"/>
    <w:rsid w:val="02C1356F"/>
    <w:rsid w:val="02C16D56"/>
    <w:rsid w:val="02C30781"/>
    <w:rsid w:val="02C32A89"/>
    <w:rsid w:val="02C60B85"/>
    <w:rsid w:val="02EB23C8"/>
    <w:rsid w:val="02ED4254"/>
    <w:rsid w:val="02F54A67"/>
    <w:rsid w:val="02F54FC6"/>
    <w:rsid w:val="02FB57A8"/>
    <w:rsid w:val="02FB586B"/>
    <w:rsid w:val="03123DCA"/>
    <w:rsid w:val="032764F6"/>
    <w:rsid w:val="033364ED"/>
    <w:rsid w:val="03355FAD"/>
    <w:rsid w:val="03357A15"/>
    <w:rsid w:val="033F6615"/>
    <w:rsid w:val="034A4B76"/>
    <w:rsid w:val="03646BB0"/>
    <w:rsid w:val="036A455B"/>
    <w:rsid w:val="03700AD7"/>
    <w:rsid w:val="037979A5"/>
    <w:rsid w:val="03881BEB"/>
    <w:rsid w:val="0397763C"/>
    <w:rsid w:val="03B07722"/>
    <w:rsid w:val="03B7151D"/>
    <w:rsid w:val="03CD0376"/>
    <w:rsid w:val="03D50A2B"/>
    <w:rsid w:val="03E5503B"/>
    <w:rsid w:val="03E73921"/>
    <w:rsid w:val="03EB0F95"/>
    <w:rsid w:val="03EF5EB9"/>
    <w:rsid w:val="03F1290E"/>
    <w:rsid w:val="04002E0B"/>
    <w:rsid w:val="04021749"/>
    <w:rsid w:val="040F03FA"/>
    <w:rsid w:val="0412438A"/>
    <w:rsid w:val="04131BA8"/>
    <w:rsid w:val="04136717"/>
    <w:rsid w:val="04137DFA"/>
    <w:rsid w:val="0427254C"/>
    <w:rsid w:val="042C518B"/>
    <w:rsid w:val="04332546"/>
    <w:rsid w:val="04351837"/>
    <w:rsid w:val="04377778"/>
    <w:rsid w:val="04533461"/>
    <w:rsid w:val="04770389"/>
    <w:rsid w:val="047D5AEA"/>
    <w:rsid w:val="048D54DF"/>
    <w:rsid w:val="04983E5B"/>
    <w:rsid w:val="049F3BB9"/>
    <w:rsid w:val="04B51F1A"/>
    <w:rsid w:val="04BD0338"/>
    <w:rsid w:val="04C56D31"/>
    <w:rsid w:val="04C904B8"/>
    <w:rsid w:val="04CF0F22"/>
    <w:rsid w:val="04D64D93"/>
    <w:rsid w:val="04D72BD5"/>
    <w:rsid w:val="04D7542D"/>
    <w:rsid w:val="04D87928"/>
    <w:rsid w:val="04E452F2"/>
    <w:rsid w:val="04E82F5F"/>
    <w:rsid w:val="04E878B1"/>
    <w:rsid w:val="04F4647E"/>
    <w:rsid w:val="05084E1A"/>
    <w:rsid w:val="0536624A"/>
    <w:rsid w:val="054B1B48"/>
    <w:rsid w:val="05507187"/>
    <w:rsid w:val="05547F50"/>
    <w:rsid w:val="05586D81"/>
    <w:rsid w:val="056775E0"/>
    <w:rsid w:val="0580326D"/>
    <w:rsid w:val="05812096"/>
    <w:rsid w:val="058B39C0"/>
    <w:rsid w:val="058E4D4F"/>
    <w:rsid w:val="05A31C11"/>
    <w:rsid w:val="05A754E1"/>
    <w:rsid w:val="05B6570E"/>
    <w:rsid w:val="05BA3D63"/>
    <w:rsid w:val="05BE0D9E"/>
    <w:rsid w:val="05C72C4A"/>
    <w:rsid w:val="05CC20C2"/>
    <w:rsid w:val="05CF7D50"/>
    <w:rsid w:val="05DB04A3"/>
    <w:rsid w:val="05DC03BC"/>
    <w:rsid w:val="05E03755"/>
    <w:rsid w:val="05E05D39"/>
    <w:rsid w:val="05EB1690"/>
    <w:rsid w:val="05EE025B"/>
    <w:rsid w:val="05FB2E46"/>
    <w:rsid w:val="06055520"/>
    <w:rsid w:val="06085010"/>
    <w:rsid w:val="06222576"/>
    <w:rsid w:val="062F259D"/>
    <w:rsid w:val="0643158D"/>
    <w:rsid w:val="064B5041"/>
    <w:rsid w:val="06624DC0"/>
    <w:rsid w:val="06632C8A"/>
    <w:rsid w:val="066A11FF"/>
    <w:rsid w:val="066A268B"/>
    <w:rsid w:val="066C44D0"/>
    <w:rsid w:val="066E73CC"/>
    <w:rsid w:val="06780BE4"/>
    <w:rsid w:val="06826B71"/>
    <w:rsid w:val="0688298E"/>
    <w:rsid w:val="06A978A6"/>
    <w:rsid w:val="06AC41DF"/>
    <w:rsid w:val="06AE3E0A"/>
    <w:rsid w:val="06BE3405"/>
    <w:rsid w:val="06C373A0"/>
    <w:rsid w:val="06CA61EA"/>
    <w:rsid w:val="06D3256B"/>
    <w:rsid w:val="06EB1467"/>
    <w:rsid w:val="070659F4"/>
    <w:rsid w:val="0716354A"/>
    <w:rsid w:val="071A5532"/>
    <w:rsid w:val="073F7F68"/>
    <w:rsid w:val="07433326"/>
    <w:rsid w:val="074D1200"/>
    <w:rsid w:val="074D53D1"/>
    <w:rsid w:val="074E2EF7"/>
    <w:rsid w:val="076A70D6"/>
    <w:rsid w:val="07701435"/>
    <w:rsid w:val="07751139"/>
    <w:rsid w:val="0791006E"/>
    <w:rsid w:val="07911761"/>
    <w:rsid w:val="07A93817"/>
    <w:rsid w:val="07AA51F7"/>
    <w:rsid w:val="07BC2556"/>
    <w:rsid w:val="07C16E32"/>
    <w:rsid w:val="07C956F1"/>
    <w:rsid w:val="07E40E53"/>
    <w:rsid w:val="07E724F1"/>
    <w:rsid w:val="07ED0962"/>
    <w:rsid w:val="07EF6488"/>
    <w:rsid w:val="07F341CA"/>
    <w:rsid w:val="07F54B10"/>
    <w:rsid w:val="07F615C4"/>
    <w:rsid w:val="07FB4267"/>
    <w:rsid w:val="0824564F"/>
    <w:rsid w:val="082C3238"/>
    <w:rsid w:val="083932FD"/>
    <w:rsid w:val="083C1D74"/>
    <w:rsid w:val="084D3D35"/>
    <w:rsid w:val="08664D5B"/>
    <w:rsid w:val="086F75C9"/>
    <w:rsid w:val="08732C15"/>
    <w:rsid w:val="087B41C0"/>
    <w:rsid w:val="087E552F"/>
    <w:rsid w:val="089112ED"/>
    <w:rsid w:val="08966904"/>
    <w:rsid w:val="08986B20"/>
    <w:rsid w:val="08994E2C"/>
    <w:rsid w:val="089E0248"/>
    <w:rsid w:val="08AA7F40"/>
    <w:rsid w:val="08AC09F8"/>
    <w:rsid w:val="08AF1C74"/>
    <w:rsid w:val="08B76FB8"/>
    <w:rsid w:val="08C90A87"/>
    <w:rsid w:val="08D13DBB"/>
    <w:rsid w:val="08D65AD3"/>
    <w:rsid w:val="08EF4818"/>
    <w:rsid w:val="08F57B11"/>
    <w:rsid w:val="08F617F2"/>
    <w:rsid w:val="08F64252"/>
    <w:rsid w:val="08F94C8C"/>
    <w:rsid w:val="08FD0C7A"/>
    <w:rsid w:val="09027DBF"/>
    <w:rsid w:val="090F109A"/>
    <w:rsid w:val="09151314"/>
    <w:rsid w:val="09263609"/>
    <w:rsid w:val="093E5BC8"/>
    <w:rsid w:val="094E5430"/>
    <w:rsid w:val="0953633D"/>
    <w:rsid w:val="09633DCF"/>
    <w:rsid w:val="09697733"/>
    <w:rsid w:val="098F1CD1"/>
    <w:rsid w:val="09953804"/>
    <w:rsid w:val="099C034D"/>
    <w:rsid w:val="09A3752A"/>
    <w:rsid w:val="09A71810"/>
    <w:rsid w:val="09AF52BC"/>
    <w:rsid w:val="09B47989"/>
    <w:rsid w:val="09B63701"/>
    <w:rsid w:val="09BE4364"/>
    <w:rsid w:val="09C76AF8"/>
    <w:rsid w:val="09C9680A"/>
    <w:rsid w:val="09D038E5"/>
    <w:rsid w:val="09DC2A3C"/>
    <w:rsid w:val="09EA6668"/>
    <w:rsid w:val="09F204B1"/>
    <w:rsid w:val="09FB7366"/>
    <w:rsid w:val="09FF3E49"/>
    <w:rsid w:val="0A03621B"/>
    <w:rsid w:val="0A1949CE"/>
    <w:rsid w:val="0A1F6D28"/>
    <w:rsid w:val="0A3E3D26"/>
    <w:rsid w:val="0A4834F8"/>
    <w:rsid w:val="0A6173D2"/>
    <w:rsid w:val="0A64315D"/>
    <w:rsid w:val="0A682231"/>
    <w:rsid w:val="0A6825A9"/>
    <w:rsid w:val="0A9A25AD"/>
    <w:rsid w:val="0A9F4649"/>
    <w:rsid w:val="0AAC10E4"/>
    <w:rsid w:val="0AB07E4A"/>
    <w:rsid w:val="0AB80DB3"/>
    <w:rsid w:val="0AC8530A"/>
    <w:rsid w:val="0AC93B72"/>
    <w:rsid w:val="0AD53C26"/>
    <w:rsid w:val="0AD632CD"/>
    <w:rsid w:val="0ADD3B4A"/>
    <w:rsid w:val="0AEB7B61"/>
    <w:rsid w:val="0AEE775A"/>
    <w:rsid w:val="0AFF5154"/>
    <w:rsid w:val="0B0260FA"/>
    <w:rsid w:val="0B127FA5"/>
    <w:rsid w:val="0B1E7B7D"/>
    <w:rsid w:val="0B4458B7"/>
    <w:rsid w:val="0B4A5F99"/>
    <w:rsid w:val="0B4B3360"/>
    <w:rsid w:val="0B521171"/>
    <w:rsid w:val="0B5C62CC"/>
    <w:rsid w:val="0B6153F6"/>
    <w:rsid w:val="0B6C4BE2"/>
    <w:rsid w:val="0B6F08EA"/>
    <w:rsid w:val="0B895D1E"/>
    <w:rsid w:val="0B903157"/>
    <w:rsid w:val="0B9730BE"/>
    <w:rsid w:val="0B9A670B"/>
    <w:rsid w:val="0BA31A63"/>
    <w:rsid w:val="0BA653BF"/>
    <w:rsid w:val="0BAC6F99"/>
    <w:rsid w:val="0BB24785"/>
    <w:rsid w:val="0BC67500"/>
    <w:rsid w:val="0BCD1EAC"/>
    <w:rsid w:val="0BCF142C"/>
    <w:rsid w:val="0BDC319A"/>
    <w:rsid w:val="0BFB783E"/>
    <w:rsid w:val="0BFD5373"/>
    <w:rsid w:val="0BFD6481"/>
    <w:rsid w:val="0C0F0CD9"/>
    <w:rsid w:val="0C182F96"/>
    <w:rsid w:val="0C1A00CA"/>
    <w:rsid w:val="0C2150AB"/>
    <w:rsid w:val="0C236700"/>
    <w:rsid w:val="0C2B4E07"/>
    <w:rsid w:val="0C2D3A23"/>
    <w:rsid w:val="0C364685"/>
    <w:rsid w:val="0C631998"/>
    <w:rsid w:val="0C6821F6"/>
    <w:rsid w:val="0C6C441B"/>
    <w:rsid w:val="0C782EF0"/>
    <w:rsid w:val="0C8F023A"/>
    <w:rsid w:val="0C990787"/>
    <w:rsid w:val="0C992D4F"/>
    <w:rsid w:val="0CAE3A50"/>
    <w:rsid w:val="0CBF15FF"/>
    <w:rsid w:val="0CD91857"/>
    <w:rsid w:val="0CDA2573"/>
    <w:rsid w:val="0CDA4E4E"/>
    <w:rsid w:val="0CE65CCB"/>
    <w:rsid w:val="0CEF0CD8"/>
    <w:rsid w:val="0CF258A4"/>
    <w:rsid w:val="0D1D4BC1"/>
    <w:rsid w:val="0D212A41"/>
    <w:rsid w:val="0D215F2C"/>
    <w:rsid w:val="0D2F2E17"/>
    <w:rsid w:val="0D314FE6"/>
    <w:rsid w:val="0D336C1D"/>
    <w:rsid w:val="0D532244"/>
    <w:rsid w:val="0D540C02"/>
    <w:rsid w:val="0D571C0F"/>
    <w:rsid w:val="0D5F19BA"/>
    <w:rsid w:val="0D637F0E"/>
    <w:rsid w:val="0D6A5410"/>
    <w:rsid w:val="0D794CB6"/>
    <w:rsid w:val="0D8324ED"/>
    <w:rsid w:val="0D8F059D"/>
    <w:rsid w:val="0D8F5855"/>
    <w:rsid w:val="0D9773A6"/>
    <w:rsid w:val="0D9827E5"/>
    <w:rsid w:val="0DA5005A"/>
    <w:rsid w:val="0DB71BC1"/>
    <w:rsid w:val="0DBF24D9"/>
    <w:rsid w:val="0DC466B9"/>
    <w:rsid w:val="0DC54945"/>
    <w:rsid w:val="0DE90D05"/>
    <w:rsid w:val="0DF25BA4"/>
    <w:rsid w:val="0DFD573A"/>
    <w:rsid w:val="0DFE1012"/>
    <w:rsid w:val="0E0B029F"/>
    <w:rsid w:val="0E230373"/>
    <w:rsid w:val="0E2A41ED"/>
    <w:rsid w:val="0E397874"/>
    <w:rsid w:val="0E461B92"/>
    <w:rsid w:val="0E4F1A2E"/>
    <w:rsid w:val="0E5F7846"/>
    <w:rsid w:val="0E632208"/>
    <w:rsid w:val="0E7E2314"/>
    <w:rsid w:val="0E844468"/>
    <w:rsid w:val="0E8F62CF"/>
    <w:rsid w:val="0E8F6937"/>
    <w:rsid w:val="0E9E135B"/>
    <w:rsid w:val="0EA0228A"/>
    <w:rsid w:val="0EA44F43"/>
    <w:rsid w:val="0EC2669E"/>
    <w:rsid w:val="0ECB5472"/>
    <w:rsid w:val="0ED756CF"/>
    <w:rsid w:val="0EE34A0A"/>
    <w:rsid w:val="0EEF23A4"/>
    <w:rsid w:val="0EF645A0"/>
    <w:rsid w:val="0F18029E"/>
    <w:rsid w:val="0F1B6D6A"/>
    <w:rsid w:val="0F2500FF"/>
    <w:rsid w:val="0F2904D1"/>
    <w:rsid w:val="0F2A7DB7"/>
    <w:rsid w:val="0F2D61D9"/>
    <w:rsid w:val="0F36722F"/>
    <w:rsid w:val="0F43254D"/>
    <w:rsid w:val="0F45451E"/>
    <w:rsid w:val="0F543C48"/>
    <w:rsid w:val="0F54568B"/>
    <w:rsid w:val="0F6801CF"/>
    <w:rsid w:val="0F735BF1"/>
    <w:rsid w:val="0F7F71A8"/>
    <w:rsid w:val="0F9B0554"/>
    <w:rsid w:val="0FAF5422"/>
    <w:rsid w:val="0FAF5990"/>
    <w:rsid w:val="0FB271E8"/>
    <w:rsid w:val="0FBF1392"/>
    <w:rsid w:val="0FBF3681"/>
    <w:rsid w:val="0FD84D52"/>
    <w:rsid w:val="0FD91112"/>
    <w:rsid w:val="0FD93801"/>
    <w:rsid w:val="0FDC41E3"/>
    <w:rsid w:val="0FE35744"/>
    <w:rsid w:val="0FEB1C2B"/>
    <w:rsid w:val="0FF322CD"/>
    <w:rsid w:val="100128A9"/>
    <w:rsid w:val="1005689B"/>
    <w:rsid w:val="10131FB5"/>
    <w:rsid w:val="1031732E"/>
    <w:rsid w:val="10327E3A"/>
    <w:rsid w:val="10374301"/>
    <w:rsid w:val="10394E9C"/>
    <w:rsid w:val="103A764D"/>
    <w:rsid w:val="103B410E"/>
    <w:rsid w:val="103B6EC4"/>
    <w:rsid w:val="103E5A9F"/>
    <w:rsid w:val="10457DEF"/>
    <w:rsid w:val="105628E7"/>
    <w:rsid w:val="108120DC"/>
    <w:rsid w:val="108950E7"/>
    <w:rsid w:val="109135C4"/>
    <w:rsid w:val="10923E54"/>
    <w:rsid w:val="10A4426E"/>
    <w:rsid w:val="10B656D8"/>
    <w:rsid w:val="10B9383C"/>
    <w:rsid w:val="10C37A22"/>
    <w:rsid w:val="10D11300"/>
    <w:rsid w:val="10D4446D"/>
    <w:rsid w:val="10DF1FB9"/>
    <w:rsid w:val="10F772EF"/>
    <w:rsid w:val="11017A58"/>
    <w:rsid w:val="11023D17"/>
    <w:rsid w:val="110F34C8"/>
    <w:rsid w:val="11390774"/>
    <w:rsid w:val="11491151"/>
    <w:rsid w:val="116021A5"/>
    <w:rsid w:val="116230D1"/>
    <w:rsid w:val="116833E7"/>
    <w:rsid w:val="116A7E05"/>
    <w:rsid w:val="11722460"/>
    <w:rsid w:val="117A4F14"/>
    <w:rsid w:val="117D68B3"/>
    <w:rsid w:val="11870CA4"/>
    <w:rsid w:val="11A4344C"/>
    <w:rsid w:val="11D21BE1"/>
    <w:rsid w:val="11D529F0"/>
    <w:rsid w:val="11F272A1"/>
    <w:rsid w:val="11F50B3F"/>
    <w:rsid w:val="11F528ED"/>
    <w:rsid w:val="11F55D84"/>
    <w:rsid w:val="11F95233"/>
    <w:rsid w:val="11FD6A95"/>
    <w:rsid w:val="11FE73E1"/>
    <w:rsid w:val="1206271C"/>
    <w:rsid w:val="12114BE2"/>
    <w:rsid w:val="12152F8F"/>
    <w:rsid w:val="121F5BBC"/>
    <w:rsid w:val="12261816"/>
    <w:rsid w:val="122816CA"/>
    <w:rsid w:val="122D72CA"/>
    <w:rsid w:val="1231523F"/>
    <w:rsid w:val="12392AE3"/>
    <w:rsid w:val="123C0392"/>
    <w:rsid w:val="123E4294"/>
    <w:rsid w:val="12421044"/>
    <w:rsid w:val="12492C39"/>
    <w:rsid w:val="12511775"/>
    <w:rsid w:val="125F420A"/>
    <w:rsid w:val="127A5380"/>
    <w:rsid w:val="128A74D9"/>
    <w:rsid w:val="1298079E"/>
    <w:rsid w:val="12B10442"/>
    <w:rsid w:val="12B44556"/>
    <w:rsid w:val="12C10A21"/>
    <w:rsid w:val="12CB7F7B"/>
    <w:rsid w:val="12D57B5A"/>
    <w:rsid w:val="12DA74FD"/>
    <w:rsid w:val="12DD3B9D"/>
    <w:rsid w:val="12FC5EFD"/>
    <w:rsid w:val="13160E95"/>
    <w:rsid w:val="131D4A08"/>
    <w:rsid w:val="132617E9"/>
    <w:rsid w:val="132B4874"/>
    <w:rsid w:val="13365D96"/>
    <w:rsid w:val="13401CF4"/>
    <w:rsid w:val="13573133"/>
    <w:rsid w:val="13597FDE"/>
    <w:rsid w:val="13610A7C"/>
    <w:rsid w:val="1370511E"/>
    <w:rsid w:val="1379754E"/>
    <w:rsid w:val="13895EE3"/>
    <w:rsid w:val="139452E8"/>
    <w:rsid w:val="139600FA"/>
    <w:rsid w:val="139B1B3C"/>
    <w:rsid w:val="13AC347F"/>
    <w:rsid w:val="13AE5449"/>
    <w:rsid w:val="13C163E4"/>
    <w:rsid w:val="13CF69C3"/>
    <w:rsid w:val="13E63AA6"/>
    <w:rsid w:val="13F4157C"/>
    <w:rsid w:val="13F85DC5"/>
    <w:rsid w:val="13FC3073"/>
    <w:rsid w:val="14002DA6"/>
    <w:rsid w:val="14076907"/>
    <w:rsid w:val="140A2B4A"/>
    <w:rsid w:val="141601C0"/>
    <w:rsid w:val="14183270"/>
    <w:rsid w:val="141D447E"/>
    <w:rsid w:val="141D6B0B"/>
    <w:rsid w:val="142D6F89"/>
    <w:rsid w:val="143C3BFB"/>
    <w:rsid w:val="14447112"/>
    <w:rsid w:val="144554E0"/>
    <w:rsid w:val="144C07BE"/>
    <w:rsid w:val="144C2ACB"/>
    <w:rsid w:val="145908CD"/>
    <w:rsid w:val="145A112D"/>
    <w:rsid w:val="146D3562"/>
    <w:rsid w:val="1472014A"/>
    <w:rsid w:val="14733869"/>
    <w:rsid w:val="148617D9"/>
    <w:rsid w:val="149258A7"/>
    <w:rsid w:val="149321EC"/>
    <w:rsid w:val="14972381"/>
    <w:rsid w:val="14A405FA"/>
    <w:rsid w:val="14AA6C47"/>
    <w:rsid w:val="14AB1989"/>
    <w:rsid w:val="14AF76CB"/>
    <w:rsid w:val="14B04223"/>
    <w:rsid w:val="14B81325"/>
    <w:rsid w:val="14BB5770"/>
    <w:rsid w:val="14BD2115"/>
    <w:rsid w:val="14C47E92"/>
    <w:rsid w:val="14CA4494"/>
    <w:rsid w:val="14DF1102"/>
    <w:rsid w:val="14E74E80"/>
    <w:rsid w:val="14EF1875"/>
    <w:rsid w:val="14FB05D3"/>
    <w:rsid w:val="14FB1DB1"/>
    <w:rsid w:val="14FC230F"/>
    <w:rsid w:val="150115A9"/>
    <w:rsid w:val="15027594"/>
    <w:rsid w:val="150317C5"/>
    <w:rsid w:val="1507775C"/>
    <w:rsid w:val="150A3567"/>
    <w:rsid w:val="151407D5"/>
    <w:rsid w:val="15214D63"/>
    <w:rsid w:val="152F4368"/>
    <w:rsid w:val="153E6FE7"/>
    <w:rsid w:val="154F67B8"/>
    <w:rsid w:val="15535F3F"/>
    <w:rsid w:val="15697093"/>
    <w:rsid w:val="15760076"/>
    <w:rsid w:val="15977CDB"/>
    <w:rsid w:val="159F6FD6"/>
    <w:rsid w:val="15A85EC8"/>
    <w:rsid w:val="15AA1C40"/>
    <w:rsid w:val="15B01BBF"/>
    <w:rsid w:val="15B8435D"/>
    <w:rsid w:val="15B94F00"/>
    <w:rsid w:val="15C56521"/>
    <w:rsid w:val="15CF16A7"/>
    <w:rsid w:val="15D171CD"/>
    <w:rsid w:val="15D26086"/>
    <w:rsid w:val="15D77061"/>
    <w:rsid w:val="15DC73CD"/>
    <w:rsid w:val="15DD2016"/>
    <w:rsid w:val="15EC3B3E"/>
    <w:rsid w:val="15F46C2A"/>
    <w:rsid w:val="15F80BFE"/>
    <w:rsid w:val="16121567"/>
    <w:rsid w:val="162C6AF9"/>
    <w:rsid w:val="16343F81"/>
    <w:rsid w:val="163948ED"/>
    <w:rsid w:val="16413A85"/>
    <w:rsid w:val="164275F4"/>
    <w:rsid w:val="16495BAE"/>
    <w:rsid w:val="1654148B"/>
    <w:rsid w:val="165B71D5"/>
    <w:rsid w:val="166E2C6E"/>
    <w:rsid w:val="16700A7A"/>
    <w:rsid w:val="16726C02"/>
    <w:rsid w:val="1683572D"/>
    <w:rsid w:val="168801D3"/>
    <w:rsid w:val="169E0BEA"/>
    <w:rsid w:val="16A62408"/>
    <w:rsid w:val="16AF7EFC"/>
    <w:rsid w:val="16DD2BAC"/>
    <w:rsid w:val="170A3B27"/>
    <w:rsid w:val="171738A2"/>
    <w:rsid w:val="17197085"/>
    <w:rsid w:val="171F21BA"/>
    <w:rsid w:val="17224ED3"/>
    <w:rsid w:val="172460AC"/>
    <w:rsid w:val="172872C1"/>
    <w:rsid w:val="173054B2"/>
    <w:rsid w:val="173B5246"/>
    <w:rsid w:val="17424EAD"/>
    <w:rsid w:val="174C1699"/>
    <w:rsid w:val="17773DA4"/>
    <w:rsid w:val="1778392A"/>
    <w:rsid w:val="1779647F"/>
    <w:rsid w:val="177A1543"/>
    <w:rsid w:val="17987255"/>
    <w:rsid w:val="17A23389"/>
    <w:rsid w:val="17A739C7"/>
    <w:rsid w:val="17C50FB3"/>
    <w:rsid w:val="17CB7450"/>
    <w:rsid w:val="17D15BAA"/>
    <w:rsid w:val="17FB6C91"/>
    <w:rsid w:val="17FF44C5"/>
    <w:rsid w:val="18053F1E"/>
    <w:rsid w:val="18085749"/>
    <w:rsid w:val="180B6D06"/>
    <w:rsid w:val="181C3FF8"/>
    <w:rsid w:val="183D3240"/>
    <w:rsid w:val="184114A1"/>
    <w:rsid w:val="18425C49"/>
    <w:rsid w:val="1844637C"/>
    <w:rsid w:val="185540E5"/>
    <w:rsid w:val="186969E3"/>
    <w:rsid w:val="186C7D12"/>
    <w:rsid w:val="186D2443"/>
    <w:rsid w:val="187059AE"/>
    <w:rsid w:val="18786026"/>
    <w:rsid w:val="18876269"/>
    <w:rsid w:val="18891FE1"/>
    <w:rsid w:val="188B2A6D"/>
    <w:rsid w:val="188C7694"/>
    <w:rsid w:val="18D05DC3"/>
    <w:rsid w:val="18DC03A2"/>
    <w:rsid w:val="18DC65B5"/>
    <w:rsid w:val="18E11EA5"/>
    <w:rsid w:val="18E6534A"/>
    <w:rsid w:val="18EE62E8"/>
    <w:rsid w:val="19083037"/>
    <w:rsid w:val="191F607C"/>
    <w:rsid w:val="192D5416"/>
    <w:rsid w:val="19390D64"/>
    <w:rsid w:val="193E7FD9"/>
    <w:rsid w:val="195019B0"/>
    <w:rsid w:val="19554C37"/>
    <w:rsid w:val="19566DB3"/>
    <w:rsid w:val="19595DF7"/>
    <w:rsid w:val="19597C05"/>
    <w:rsid w:val="196279A1"/>
    <w:rsid w:val="19636CD6"/>
    <w:rsid w:val="197902A7"/>
    <w:rsid w:val="197B401F"/>
    <w:rsid w:val="198627AB"/>
    <w:rsid w:val="198B4F14"/>
    <w:rsid w:val="199724DC"/>
    <w:rsid w:val="19A941C1"/>
    <w:rsid w:val="19AE5ACF"/>
    <w:rsid w:val="19B675DA"/>
    <w:rsid w:val="19BB7B07"/>
    <w:rsid w:val="19BE1D86"/>
    <w:rsid w:val="19C637E5"/>
    <w:rsid w:val="19C721FB"/>
    <w:rsid w:val="19CE5CD8"/>
    <w:rsid w:val="19D379B8"/>
    <w:rsid w:val="19E00326"/>
    <w:rsid w:val="19FD67E3"/>
    <w:rsid w:val="1A052165"/>
    <w:rsid w:val="1A063EF5"/>
    <w:rsid w:val="1A0F1B60"/>
    <w:rsid w:val="1A0F3AD5"/>
    <w:rsid w:val="1A0F7374"/>
    <w:rsid w:val="1A142D27"/>
    <w:rsid w:val="1A143D9C"/>
    <w:rsid w:val="1A202D51"/>
    <w:rsid w:val="1A2A3350"/>
    <w:rsid w:val="1A330456"/>
    <w:rsid w:val="1A584361"/>
    <w:rsid w:val="1A5E3E22"/>
    <w:rsid w:val="1A60672B"/>
    <w:rsid w:val="1A630F50"/>
    <w:rsid w:val="1A653958"/>
    <w:rsid w:val="1A6732FB"/>
    <w:rsid w:val="1A7929A3"/>
    <w:rsid w:val="1A7B4669"/>
    <w:rsid w:val="1A870B38"/>
    <w:rsid w:val="1A8C6CF6"/>
    <w:rsid w:val="1A9417D9"/>
    <w:rsid w:val="1AA41354"/>
    <w:rsid w:val="1AA572B8"/>
    <w:rsid w:val="1AA90718"/>
    <w:rsid w:val="1AB31D2F"/>
    <w:rsid w:val="1AC00AAF"/>
    <w:rsid w:val="1AC15A62"/>
    <w:rsid w:val="1ACE55DA"/>
    <w:rsid w:val="1ACE6054"/>
    <w:rsid w:val="1ACE6D27"/>
    <w:rsid w:val="1AE0038B"/>
    <w:rsid w:val="1AEC6857"/>
    <w:rsid w:val="1AF7358C"/>
    <w:rsid w:val="1AFA0F74"/>
    <w:rsid w:val="1B04371D"/>
    <w:rsid w:val="1B1A1616"/>
    <w:rsid w:val="1B395F40"/>
    <w:rsid w:val="1B403FA5"/>
    <w:rsid w:val="1B46240B"/>
    <w:rsid w:val="1B495A57"/>
    <w:rsid w:val="1B4B5C73"/>
    <w:rsid w:val="1B524326"/>
    <w:rsid w:val="1B55168B"/>
    <w:rsid w:val="1B593EEC"/>
    <w:rsid w:val="1B632FBD"/>
    <w:rsid w:val="1B645069"/>
    <w:rsid w:val="1B7D1BE7"/>
    <w:rsid w:val="1B8637EA"/>
    <w:rsid w:val="1B917B2A"/>
    <w:rsid w:val="1BBE01F3"/>
    <w:rsid w:val="1BDD1B28"/>
    <w:rsid w:val="1BE57F51"/>
    <w:rsid w:val="1BEE3F6E"/>
    <w:rsid w:val="1BF21B5D"/>
    <w:rsid w:val="1C024584"/>
    <w:rsid w:val="1C037CCC"/>
    <w:rsid w:val="1C136791"/>
    <w:rsid w:val="1C18016F"/>
    <w:rsid w:val="1C2F4A48"/>
    <w:rsid w:val="1C314E69"/>
    <w:rsid w:val="1C400DCC"/>
    <w:rsid w:val="1C4814E4"/>
    <w:rsid w:val="1C6012AB"/>
    <w:rsid w:val="1C6062B5"/>
    <w:rsid w:val="1C643AFE"/>
    <w:rsid w:val="1C656B00"/>
    <w:rsid w:val="1C6D522B"/>
    <w:rsid w:val="1C762201"/>
    <w:rsid w:val="1C87757C"/>
    <w:rsid w:val="1C8B6454"/>
    <w:rsid w:val="1C911F05"/>
    <w:rsid w:val="1C9232F2"/>
    <w:rsid w:val="1C993860"/>
    <w:rsid w:val="1CB33AD0"/>
    <w:rsid w:val="1CBB169A"/>
    <w:rsid w:val="1CBD494F"/>
    <w:rsid w:val="1CC07FCD"/>
    <w:rsid w:val="1CC5593D"/>
    <w:rsid w:val="1CCD060E"/>
    <w:rsid w:val="1CD03B67"/>
    <w:rsid w:val="1CD13F56"/>
    <w:rsid w:val="1CD4109A"/>
    <w:rsid w:val="1CD55E24"/>
    <w:rsid w:val="1CDE3631"/>
    <w:rsid w:val="1CE814D1"/>
    <w:rsid w:val="1CF06F67"/>
    <w:rsid w:val="1CFE11B3"/>
    <w:rsid w:val="1D022EEB"/>
    <w:rsid w:val="1D0B7468"/>
    <w:rsid w:val="1D1E53EE"/>
    <w:rsid w:val="1D3444B7"/>
    <w:rsid w:val="1D3F2887"/>
    <w:rsid w:val="1D413DD6"/>
    <w:rsid w:val="1D442082"/>
    <w:rsid w:val="1D494085"/>
    <w:rsid w:val="1D6104E9"/>
    <w:rsid w:val="1D67409C"/>
    <w:rsid w:val="1D6D5E73"/>
    <w:rsid w:val="1D6E2EA0"/>
    <w:rsid w:val="1D90430C"/>
    <w:rsid w:val="1D927B8A"/>
    <w:rsid w:val="1DA228F6"/>
    <w:rsid w:val="1DA26C67"/>
    <w:rsid w:val="1DA653E3"/>
    <w:rsid w:val="1DA84CB7"/>
    <w:rsid w:val="1DB33A3A"/>
    <w:rsid w:val="1DB4365C"/>
    <w:rsid w:val="1DB571C9"/>
    <w:rsid w:val="1DBF6F58"/>
    <w:rsid w:val="1DC57394"/>
    <w:rsid w:val="1DC976B3"/>
    <w:rsid w:val="1DCD471E"/>
    <w:rsid w:val="1DF12B02"/>
    <w:rsid w:val="1E3649B9"/>
    <w:rsid w:val="1E592CD8"/>
    <w:rsid w:val="1E65546D"/>
    <w:rsid w:val="1E673D11"/>
    <w:rsid w:val="1E6E0354"/>
    <w:rsid w:val="1E8E65A3"/>
    <w:rsid w:val="1E912BAE"/>
    <w:rsid w:val="1E933E22"/>
    <w:rsid w:val="1E94348E"/>
    <w:rsid w:val="1EB60A31"/>
    <w:rsid w:val="1EBB0A1A"/>
    <w:rsid w:val="1EC6457D"/>
    <w:rsid w:val="1EC7170B"/>
    <w:rsid w:val="1EC7534C"/>
    <w:rsid w:val="1EC80007"/>
    <w:rsid w:val="1ECD7160"/>
    <w:rsid w:val="1ED641E3"/>
    <w:rsid w:val="1EDA5344"/>
    <w:rsid w:val="1EED4935"/>
    <w:rsid w:val="1EEE324E"/>
    <w:rsid w:val="1EF15FC6"/>
    <w:rsid w:val="1EFA4AC9"/>
    <w:rsid w:val="1EFD1033"/>
    <w:rsid w:val="1F0028D1"/>
    <w:rsid w:val="1F165A0D"/>
    <w:rsid w:val="1F1E5742"/>
    <w:rsid w:val="1F294330"/>
    <w:rsid w:val="1F5164BE"/>
    <w:rsid w:val="1F550636"/>
    <w:rsid w:val="1F59508D"/>
    <w:rsid w:val="1F6725BD"/>
    <w:rsid w:val="1F7A16FF"/>
    <w:rsid w:val="1F841E94"/>
    <w:rsid w:val="1F86410F"/>
    <w:rsid w:val="1F902D30"/>
    <w:rsid w:val="1F987D78"/>
    <w:rsid w:val="1FAB4F33"/>
    <w:rsid w:val="1FAD0B55"/>
    <w:rsid w:val="1FBA786C"/>
    <w:rsid w:val="1FC55FF4"/>
    <w:rsid w:val="1FE07DD2"/>
    <w:rsid w:val="1FE65F6B"/>
    <w:rsid w:val="1FF72B1D"/>
    <w:rsid w:val="20012DA5"/>
    <w:rsid w:val="2012614A"/>
    <w:rsid w:val="201952D2"/>
    <w:rsid w:val="2020109E"/>
    <w:rsid w:val="20220096"/>
    <w:rsid w:val="202816B6"/>
    <w:rsid w:val="202B1BD0"/>
    <w:rsid w:val="2031368A"/>
    <w:rsid w:val="20352DB6"/>
    <w:rsid w:val="203647FC"/>
    <w:rsid w:val="20383747"/>
    <w:rsid w:val="204B45FF"/>
    <w:rsid w:val="204E725A"/>
    <w:rsid w:val="205050F3"/>
    <w:rsid w:val="205921D7"/>
    <w:rsid w:val="20665891"/>
    <w:rsid w:val="206F5F60"/>
    <w:rsid w:val="207575AA"/>
    <w:rsid w:val="208241B4"/>
    <w:rsid w:val="208433DB"/>
    <w:rsid w:val="20855784"/>
    <w:rsid w:val="208F5999"/>
    <w:rsid w:val="20B05494"/>
    <w:rsid w:val="20EE5770"/>
    <w:rsid w:val="21147FEE"/>
    <w:rsid w:val="212925B3"/>
    <w:rsid w:val="212C3E51"/>
    <w:rsid w:val="213571AA"/>
    <w:rsid w:val="213B5936"/>
    <w:rsid w:val="213C22E6"/>
    <w:rsid w:val="213D605E"/>
    <w:rsid w:val="213F7E47"/>
    <w:rsid w:val="21416183"/>
    <w:rsid w:val="214171F2"/>
    <w:rsid w:val="21592FEC"/>
    <w:rsid w:val="215B2DFE"/>
    <w:rsid w:val="215C5CD9"/>
    <w:rsid w:val="215F2E6D"/>
    <w:rsid w:val="21611D4D"/>
    <w:rsid w:val="21617F9F"/>
    <w:rsid w:val="218B2E3C"/>
    <w:rsid w:val="218C26F6"/>
    <w:rsid w:val="218E68BA"/>
    <w:rsid w:val="21921F06"/>
    <w:rsid w:val="21A67760"/>
    <w:rsid w:val="21B53E47"/>
    <w:rsid w:val="21B5456C"/>
    <w:rsid w:val="21C0289A"/>
    <w:rsid w:val="21C314C7"/>
    <w:rsid w:val="21D604D2"/>
    <w:rsid w:val="21E309B4"/>
    <w:rsid w:val="21E53DD4"/>
    <w:rsid w:val="21E80F98"/>
    <w:rsid w:val="21F4496F"/>
    <w:rsid w:val="21FA7AAB"/>
    <w:rsid w:val="21FE67C3"/>
    <w:rsid w:val="21FF567A"/>
    <w:rsid w:val="220019CB"/>
    <w:rsid w:val="22080E1D"/>
    <w:rsid w:val="222E4A4B"/>
    <w:rsid w:val="224564ED"/>
    <w:rsid w:val="227A2B4A"/>
    <w:rsid w:val="227A5579"/>
    <w:rsid w:val="227B3EC3"/>
    <w:rsid w:val="22853819"/>
    <w:rsid w:val="22883309"/>
    <w:rsid w:val="22A96C16"/>
    <w:rsid w:val="22AC6E9D"/>
    <w:rsid w:val="22AF6B28"/>
    <w:rsid w:val="22B61C24"/>
    <w:rsid w:val="22BF1959"/>
    <w:rsid w:val="22D16A5E"/>
    <w:rsid w:val="22FD7853"/>
    <w:rsid w:val="2309444A"/>
    <w:rsid w:val="230A1D1E"/>
    <w:rsid w:val="230F3D0A"/>
    <w:rsid w:val="23152B86"/>
    <w:rsid w:val="233E3D53"/>
    <w:rsid w:val="235E44A5"/>
    <w:rsid w:val="23623B5A"/>
    <w:rsid w:val="2371477C"/>
    <w:rsid w:val="237F04EF"/>
    <w:rsid w:val="23841437"/>
    <w:rsid w:val="238A3CA3"/>
    <w:rsid w:val="238E17FC"/>
    <w:rsid w:val="238E2BA1"/>
    <w:rsid w:val="23A423C5"/>
    <w:rsid w:val="23AF4708"/>
    <w:rsid w:val="23B32608"/>
    <w:rsid w:val="23C16A9A"/>
    <w:rsid w:val="23E66003"/>
    <w:rsid w:val="23F80076"/>
    <w:rsid w:val="23FE2FB7"/>
    <w:rsid w:val="23FE3AF7"/>
    <w:rsid w:val="240350E9"/>
    <w:rsid w:val="240D3AC6"/>
    <w:rsid w:val="241B7142"/>
    <w:rsid w:val="242B3FAA"/>
    <w:rsid w:val="24452007"/>
    <w:rsid w:val="244802C7"/>
    <w:rsid w:val="244C0B39"/>
    <w:rsid w:val="245A32E7"/>
    <w:rsid w:val="24635935"/>
    <w:rsid w:val="24660E6A"/>
    <w:rsid w:val="24665559"/>
    <w:rsid w:val="24681644"/>
    <w:rsid w:val="24691825"/>
    <w:rsid w:val="24697C70"/>
    <w:rsid w:val="246C2EE2"/>
    <w:rsid w:val="248E0BEE"/>
    <w:rsid w:val="249222CA"/>
    <w:rsid w:val="24C20D54"/>
    <w:rsid w:val="24CF65FC"/>
    <w:rsid w:val="24D171E9"/>
    <w:rsid w:val="24DA6A74"/>
    <w:rsid w:val="24DB4BCD"/>
    <w:rsid w:val="24E32A79"/>
    <w:rsid w:val="24E707BB"/>
    <w:rsid w:val="24F1163A"/>
    <w:rsid w:val="24F353B2"/>
    <w:rsid w:val="24F602A0"/>
    <w:rsid w:val="24F829C8"/>
    <w:rsid w:val="250025A0"/>
    <w:rsid w:val="25296C9F"/>
    <w:rsid w:val="252F5CBE"/>
    <w:rsid w:val="25310FEF"/>
    <w:rsid w:val="253808F1"/>
    <w:rsid w:val="253C36FB"/>
    <w:rsid w:val="25401D76"/>
    <w:rsid w:val="2544236B"/>
    <w:rsid w:val="2547125A"/>
    <w:rsid w:val="256C3562"/>
    <w:rsid w:val="258778A8"/>
    <w:rsid w:val="258D2CD8"/>
    <w:rsid w:val="25977271"/>
    <w:rsid w:val="259B2D68"/>
    <w:rsid w:val="259E7D45"/>
    <w:rsid w:val="25A55F80"/>
    <w:rsid w:val="25A6077B"/>
    <w:rsid w:val="25A641D2"/>
    <w:rsid w:val="25A941CC"/>
    <w:rsid w:val="25A97E1E"/>
    <w:rsid w:val="25AB4606"/>
    <w:rsid w:val="25BF4424"/>
    <w:rsid w:val="25C17AFA"/>
    <w:rsid w:val="25C251DB"/>
    <w:rsid w:val="25C669F1"/>
    <w:rsid w:val="25E00E0C"/>
    <w:rsid w:val="25EC3BAF"/>
    <w:rsid w:val="25EF379B"/>
    <w:rsid w:val="260C11C1"/>
    <w:rsid w:val="261049C1"/>
    <w:rsid w:val="2613738E"/>
    <w:rsid w:val="26286784"/>
    <w:rsid w:val="26321F0A"/>
    <w:rsid w:val="26383109"/>
    <w:rsid w:val="263A491A"/>
    <w:rsid w:val="263E49AF"/>
    <w:rsid w:val="263F1C4A"/>
    <w:rsid w:val="26597FFC"/>
    <w:rsid w:val="265B2F41"/>
    <w:rsid w:val="265E5C08"/>
    <w:rsid w:val="26673E0F"/>
    <w:rsid w:val="26697AAB"/>
    <w:rsid w:val="2673065B"/>
    <w:rsid w:val="26746071"/>
    <w:rsid w:val="267839D3"/>
    <w:rsid w:val="26803368"/>
    <w:rsid w:val="268423E1"/>
    <w:rsid w:val="26890627"/>
    <w:rsid w:val="26902F8F"/>
    <w:rsid w:val="26937CAB"/>
    <w:rsid w:val="26A43060"/>
    <w:rsid w:val="26BB2001"/>
    <w:rsid w:val="26C16DEA"/>
    <w:rsid w:val="26CE0ACF"/>
    <w:rsid w:val="26D45ECB"/>
    <w:rsid w:val="26E35358"/>
    <w:rsid w:val="27003DB6"/>
    <w:rsid w:val="27022D18"/>
    <w:rsid w:val="270D0281"/>
    <w:rsid w:val="270E298C"/>
    <w:rsid w:val="270E29F5"/>
    <w:rsid w:val="27135897"/>
    <w:rsid w:val="271512D2"/>
    <w:rsid w:val="272A2D2F"/>
    <w:rsid w:val="272C0707"/>
    <w:rsid w:val="2734580E"/>
    <w:rsid w:val="273B6B9C"/>
    <w:rsid w:val="27446B6F"/>
    <w:rsid w:val="274F752C"/>
    <w:rsid w:val="27520933"/>
    <w:rsid w:val="275C1578"/>
    <w:rsid w:val="275E5A93"/>
    <w:rsid w:val="27736226"/>
    <w:rsid w:val="27755DA7"/>
    <w:rsid w:val="277C7F9A"/>
    <w:rsid w:val="278D7C08"/>
    <w:rsid w:val="279D2924"/>
    <w:rsid w:val="27A52E1A"/>
    <w:rsid w:val="27BF3329"/>
    <w:rsid w:val="27C53958"/>
    <w:rsid w:val="27DA4B73"/>
    <w:rsid w:val="27DF39CB"/>
    <w:rsid w:val="27E61F25"/>
    <w:rsid w:val="27EC31BB"/>
    <w:rsid w:val="27ED2CBD"/>
    <w:rsid w:val="27F51441"/>
    <w:rsid w:val="27F61799"/>
    <w:rsid w:val="27F63DA6"/>
    <w:rsid w:val="27F8251C"/>
    <w:rsid w:val="27FA5CB6"/>
    <w:rsid w:val="27FC457D"/>
    <w:rsid w:val="28066A1F"/>
    <w:rsid w:val="28074CD0"/>
    <w:rsid w:val="280B656E"/>
    <w:rsid w:val="280D34EA"/>
    <w:rsid w:val="281466B1"/>
    <w:rsid w:val="281824A7"/>
    <w:rsid w:val="281C4C20"/>
    <w:rsid w:val="282D0BDB"/>
    <w:rsid w:val="28312BBF"/>
    <w:rsid w:val="28321D4D"/>
    <w:rsid w:val="283A2862"/>
    <w:rsid w:val="28467386"/>
    <w:rsid w:val="285F673E"/>
    <w:rsid w:val="28644CCA"/>
    <w:rsid w:val="287370B9"/>
    <w:rsid w:val="288D1679"/>
    <w:rsid w:val="288F6949"/>
    <w:rsid w:val="28911AF2"/>
    <w:rsid w:val="289151CA"/>
    <w:rsid w:val="28A2680F"/>
    <w:rsid w:val="28B9246E"/>
    <w:rsid w:val="28BA7F95"/>
    <w:rsid w:val="28D21782"/>
    <w:rsid w:val="28EB583C"/>
    <w:rsid w:val="28F402DA"/>
    <w:rsid w:val="28FC78BE"/>
    <w:rsid w:val="28FE4325"/>
    <w:rsid w:val="29000A40"/>
    <w:rsid w:val="290F29AF"/>
    <w:rsid w:val="291D0C4F"/>
    <w:rsid w:val="293634F4"/>
    <w:rsid w:val="29503CAA"/>
    <w:rsid w:val="29770361"/>
    <w:rsid w:val="2985201E"/>
    <w:rsid w:val="29892059"/>
    <w:rsid w:val="29894105"/>
    <w:rsid w:val="298E38FB"/>
    <w:rsid w:val="29982084"/>
    <w:rsid w:val="29B35110"/>
    <w:rsid w:val="29B812E2"/>
    <w:rsid w:val="29C55899"/>
    <w:rsid w:val="29C865D6"/>
    <w:rsid w:val="29E4607F"/>
    <w:rsid w:val="29E71C49"/>
    <w:rsid w:val="29F2147C"/>
    <w:rsid w:val="29FA1911"/>
    <w:rsid w:val="2A0608C1"/>
    <w:rsid w:val="2A0C4A40"/>
    <w:rsid w:val="2A134AF4"/>
    <w:rsid w:val="2A1536D4"/>
    <w:rsid w:val="2A255C2B"/>
    <w:rsid w:val="2A2B7BC9"/>
    <w:rsid w:val="2A3A5DF9"/>
    <w:rsid w:val="2A4926C2"/>
    <w:rsid w:val="2A4D2BFD"/>
    <w:rsid w:val="2A530EDF"/>
    <w:rsid w:val="2A553627"/>
    <w:rsid w:val="2A5F6992"/>
    <w:rsid w:val="2A750617"/>
    <w:rsid w:val="2A7949E3"/>
    <w:rsid w:val="2A7E571E"/>
    <w:rsid w:val="2A80647C"/>
    <w:rsid w:val="2A8E62B6"/>
    <w:rsid w:val="2A9572CC"/>
    <w:rsid w:val="2AA36F32"/>
    <w:rsid w:val="2ABD4C84"/>
    <w:rsid w:val="2ACA5C4D"/>
    <w:rsid w:val="2ACB5D43"/>
    <w:rsid w:val="2AD81233"/>
    <w:rsid w:val="2ADC178F"/>
    <w:rsid w:val="2AE63EFE"/>
    <w:rsid w:val="2AED78BA"/>
    <w:rsid w:val="2AF05EF0"/>
    <w:rsid w:val="2B1725AC"/>
    <w:rsid w:val="2B2E227F"/>
    <w:rsid w:val="2B3404E2"/>
    <w:rsid w:val="2B363CF4"/>
    <w:rsid w:val="2B3A7305"/>
    <w:rsid w:val="2B425FD0"/>
    <w:rsid w:val="2B4268A6"/>
    <w:rsid w:val="2B512E32"/>
    <w:rsid w:val="2B5364B1"/>
    <w:rsid w:val="2B794137"/>
    <w:rsid w:val="2B9B4F58"/>
    <w:rsid w:val="2B9D1BD3"/>
    <w:rsid w:val="2BA271EA"/>
    <w:rsid w:val="2BA3696C"/>
    <w:rsid w:val="2BA411B4"/>
    <w:rsid w:val="2BAC62BA"/>
    <w:rsid w:val="2BB65EBB"/>
    <w:rsid w:val="2BB67A51"/>
    <w:rsid w:val="2BB769EE"/>
    <w:rsid w:val="2BB8130D"/>
    <w:rsid w:val="2BC1223D"/>
    <w:rsid w:val="2BC173D4"/>
    <w:rsid w:val="2BC40014"/>
    <w:rsid w:val="2BC51B34"/>
    <w:rsid w:val="2BCA04EF"/>
    <w:rsid w:val="2BCF1FA9"/>
    <w:rsid w:val="2BF95140"/>
    <w:rsid w:val="2C0B194E"/>
    <w:rsid w:val="2C1300E8"/>
    <w:rsid w:val="2C1A4F62"/>
    <w:rsid w:val="2C227130"/>
    <w:rsid w:val="2C2E6CCF"/>
    <w:rsid w:val="2C3447BE"/>
    <w:rsid w:val="2C3D3C75"/>
    <w:rsid w:val="2C49532C"/>
    <w:rsid w:val="2C4B420E"/>
    <w:rsid w:val="2C660165"/>
    <w:rsid w:val="2C6619D7"/>
    <w:rsid w:val="2C666469"/>
    <w:rsid w:val="2C6A0BA3"/>
    <w:rsid w:val="2C8903AA"/>
    <w:rsid w:val="2C8A76F4"/>
    <w:rsid w:val="2C931BC6"/>
    <w:rsid w:val="2C947F22"/>
    <w:rsid w:val="2C9E16D9"/>
    <w:rsid w:val="2CA45E14"/>
    <w:rsid w:val="2CB62CA6"/>
    <w:rsid w:val="2CBA67B5"/>
    <w:rsid w:val="2CDB673A"/>
    <w:rsid w:val="2CEA709A"/>
    <w:rsid w:val="2CEE34EF"/>
    <w:rsid w:val="2CEF46B1"/>
    <w:rsid w:val="2CF605F7"/>
    <w:rsid w:val="2CF9108B"/>
    <w:rsid w:val="2CFE48F4"/>
    <w:rsid w:val="2D016FE9"/>
    <w:rsid w:val="2D0A367D"/>
    <w:rsid w:val="2D12214D"/>
    <w:rsid w:val="2D14362B"/>
    <w:rsid w:val="2D281971"/>
    <w:rsid w:val="2D2E304F"/>
    <w:rsid w:val="2D3C07FE"/>
    <w:rsid w:val="2D3E414F"/>
    <w:rsid w:val="2D5756FC"/>
    <w:rsid w:val="2D5D5591"/>
    <w:rsid w:val="2D74743A"/>
    <w:rsid w:val="2D7921CC"/>
    <w:rsid w:val="2D7B7CF2"/>
    <w:rsid w:val="2D7C11D4"/>
    <w:rsid w:val="2D7F4766"/>
    <w:rsid w:val="2DAD1E76"/>
    <w:rsid w:val="2DBE7F60"/>
    <w:rsid w:val="2DD12008"/>
    <w:rsid w:val="2DF6788C"/>
    <w:rsid w:val="2DFF6EA1"/>
    <w:rsid w:val="2E043938"/>
    <w:rsid w:val="2E0D1588"/>
    <w:rsid w:val="2E132621"/>
    <w:rsid w:val="2E240E9B"/>
    <w:rsid w:val="2E3944B7"/>
    <w:rsid w:val="2E3B1633"/>
    <w:rsid w:val="2E4C1B78"/>
    <w:rsid w:val="2E5C5D76"/>
    <w:rsid w:val="2E5F13C2"/>
    <w:rsid w:val="2E7035CF"/>
    <w:rsid w:val="2E73313B"/>
    <w:rsid w:val="2E866E5E"/>
    <w:rsid w:val="2E9C43C4"/>
    <w:rsid w:val="2EA916B2"/>
    <w:rsid w:val="2EA93C46"/>
    <w:rsid w:val="2EB149D1"/>
    <w:rsid w:val="2EB84F76"/>
    <w:rsid w:val="2EC62DA5"/>
    <w:rsid w:val="2EEA15D4"/>
    <w:rsid w:val="2EEA1606"/>
    <w:rsid w:val="2EED318E"/>
    <w:rsid w:val="2F0F1794"/>
    <w:rsid w:val="2F1A0856"/>
    <w:rsid w:val="2F2B5B05"/>
    <w:rsid w:val="2F475C7E"/>
    <w:rsid w:val="2F4800A8"/>
    <w:rsid w:val="2F486024"/>
    <w:rsid w:val="2F4A2072"/>
    <w:rsid w:val="2F523B34"/>
    <w:rsid w:val="2F681310"/>
    <w:rsid w:val="2F743B89"/>
    <w:rsid w:val="2F75751D"/>
    <w:rsid w:val="2F7E2877"/>
    <w:rsid w:val="2F837A4C"/>
    <w:rsid w:val="2F8567D8"/>
    <w:rsid w:val="2F8B5040"/>
    <w:rsid w:val="2F9432ED"/>
    <w:rsid w:val="2F990904"/>
    <w:rsid w:val="2F9E5F1A"/>
    <w:rsid w:val="2FAD0853"/>
    <w:rsid w:val="2FC17E5A"/>
    <w:rsid w:val="2FC45593"/>
    <w:rsid w:val="2FC61E6F"/>
    <w:rsid w:val="2FE14059"/>
    <w:rsid w:val="2FE222AB"/>
    <w:rsid w:val="2FE65B09"/>
    <w:rsid w:val="2FFA3A98"/>
    <w:rsid w:val="30115CE5"/>
    <w:rsid w:val="30135C1F"/>
    <w:rsid w:val="30191760"/>
    <w:rsid w:val="3025663B"/>
    <w:rsid w:val="3028092A"/>
    <w:rsid w:val="30297EDA"/>
    <w:rsid w:val="302F54E7"/>
    <w:rsid w:val="30327D4F"/>
    <w:rsid w:val="3062251C"/>
    <w:rsid w:val="306A22A0"/>
    <w:rsid w:val="306C477B"/>
    <w:rsid w:val="30726790"/>
    <w:rsid w:val="30831C53"/>
    <w:rsid w:val="309061AB"/>
    <w:rsid w:val="30A92DC8"/>
    <w:rsid w:val="30B034AD"/>
    <w:rsid w:val="30B33C47"/>
    <w:rsid w:val="30C87FB8"/>
    <w:rsid w:val="30C9484E"/>
    <w:rsid w:val="30CF2960"/>
    <w:rsid w:val="30E90E2B"/>
    <w:rsid w:val="310406DA"/>
    <w:rsid w:val="31085D41"/>
    <w:rsid w:val="310A2A14"/>
    <w:rsid w:val="310F59F0"/>
    <w:rsid w:val="31197F4E"/>
    <w:rsid w:val="31395BA8"/>
    <w:rsid w:val="3141666D"/>
    <w:rsid w:val="314B14BF"/>
    <w:rsid w:val="31500783"/>
    <w:rsid w:val="3158219E"/>
    <w:rsid w:val="315D7742"/>
    <w:rsid w:val="315F05BE"/>
    <w:rsid w:val="31644F41"/>
    <w:rsid w:val="316B4522"/>
    <w:rsid w:val="316D537E"/>
    <w:rsid w:val="31716348"/>
    <w:rsid w:val="317355F2"/>
    <w:rsid w:val="317E68B2"/>
    <w:rsid w:val="3185517F"/>
    <w:rsid w:val="3185793C"/>
    <w:rsid w:val="31A2224B"/>
    <w:rsid w:val="31A57A34"/>
    <w:rsid w:val="31B06C89"/>
    <w:rsid w:val="31C21E67"/>
    <w:rsid w:val="31C2569E"/>
    <w:rsid w:val="31C96BD0"/>
    <w:rsid w:val="31E15891"/>
    <w:rsid w:val="31E879EE"/>
    <w:rsid w:val="31F043F4"/>
    <w:rsid w:val="31F43D52"/>
    <w:rsid w:val="321D581C"/>
    <w:rsid w:val="32335040"/>
    <w:rsid w:val="32342B66"/>
    <w:rsid w:val="324F5BF1"/>
    <w:rsid w:val="325066A8"/>
    <w:rsid w:val="32563FE3"/>
    <w:rsid w:val="32574CBD"/>
    <w:rsid w:val="325D3410"/>
    <w:rsid w:val="3260226B"/>
    <w:rsid w:val="327A5FF1"/>
    <w:rsid w:val="327B2543"/>
    <w:rsid w:val="32981E44"/>
    <w:rsid w:val="32A55CC0"/>
    <w:rsid w:val="32A937D2"/>
    <w:rsid w:val="32B545C0"/>
    <w:rsid w:val="32C4213C"/>
    <w:rsid w:val="32C95971"/>
    <w:rsid w:val="32E41009"/>
    <w:rsid w:val="32E9078F"/>
    <w:rsid w:val="32ED34FF"/>
    <w:rsid w:val="3304078A"/>
    <w:rsid w:val="330856D0"/>
    <w:rsid w:val="33136C1F"/>
    <w:rsid w:val="33264BA4"/>
    <w:rsid w:val="33316646"/>
    <w:rsid w:val="3344327C"/>
    <w:rsid w:val="33462B8C"/>
    <w:rsid w:val="33484B1B"/>
    <w:rsid w:val="33491C13"/>
    <w:rsid w:val="335E0E67"/>
    <w:rsid w:val="335E45B2"/>
    <w:rsid w:val="33691E57"/>
    <w:rsid w:val="33735D99"/>
    <w:rsid w:val="33736E76"/>
    <w:rsid w:val="337570A4"/>
    <w:rsid w:val="33925D96"/>
    <w:rsid w:val="339C6C14"/>
    <w:rsid w:val="33A269EC"/>
    <w:rsid w:val="33A856B1"/>
    <w:rsid w:val="33AA1077"/>
    <w:rsid w:val="33AB2922"/>
    <w:rsid w:val="33C50B9E"/>
    <w:rsid w:val="33D26ADA"/>
    <w:rsid w:val="33D301D3"/>
    <w:rsid w:val="33D53ED4"/>
    <w:rsid w:val="33D976B3"/>
    <w:rsid w:val="33DB2EFB"/>
    <w:rsid w:val="33DC6CF8"/>
    <w:rsid w:val="33F54490"/>
    <w:rsid w:val="33F85833"/>
    <w:rsid w:val="33F94458"/>
    <w:rsid w:val="341266A4"/>
    <w:rsid w:val="3429350C"/>
    <w:rsid w:val="3431735D"/>
    <w:rsid w:val="3434509F"/>
    <w:rsid w:val="343C76C2"/>
    <w:rsid w:val="343D6C24"/>
    <w:rsid w:val="34450642"/>
    <w:rsid w:val="344572AC"/>
    <w:rsid w:val="345873A9"/>
    <w:rsid w:val="34692A1E"/>
    <w:rsid w:val="346C4A6E"/>
    <w:rsid w:val="34703C63"/>
    <w:rsid w:val="347831DE"/>
    <w:rsid w:val="347C5D20"/>
    <w:rsid w:val="348C6C89"/>
    <w:rsid w:val="3498562E"/>
    <w:rsid w:val="34997F68"/>
    <w:rsid w:val="34A2025B"/>
    <w:rsid w:val="34AF2977"/>
    <w:rsid w:val="34AF7CC9"/>
    <w:rsid w:val="34B956D8"/>
    <w:rsid w:val="34BE2416"/>
    <w:rsid w:val="34E017A7"/>
    <w:rsid w:val="34E42621"/>
    <w:rsid w:val="34E526B4"/>
    <w:rsid w:val="34ED4FC5"/>
    <w:rsid w:val="34FE7262"/>
    <w:rsid w:val="352407FC"/>
    <w:rsid w:val="35260E8C"/>
    <w:rsid w:val="352612DF"/>
    <w:rsid w:val="35301D0A"/>
    <w:rsid w:val="35322B1F"/>
    <w:rsid w:val="353358B6"/>
    <w:rsid w:val="3535498A"/>
    <w:rsid w:val="35373099"/>
    <w:rsid w:val="35471E10"/>
    <w:rsid w:val="355004C3"/>
    <w:rsid w:val="355157DD"/>
    <w:rsid w:val="35551C2F"/>
    <w:rsid w:val="3556146D"/>
    <w:rsid w:val="355724F0"/>
    <w:rsid w:val="35773078"/>
    <w:rsid w:val="35810326"/>
    <w:rsid w:val="35867B7C"/>
    <w:rsid w:val="358C5E8C"/>
    <w:rsid w:val="358D7C9B"/>
    <w:rsid w:val="358E2186"/>
    <w:rsid w:val="3599165E"/>
    <w:rsid w:val="35A26038"/>
    <w:rsid w:val="35A95619"/>
    <w:rsid w:val="35AE5305"/>
    <w:rsid w:val="35B90B5D"/>
    <w:rsid w:val="35BD10B7"/>
    <w:rsid w:val="35BE5EC2"/>
    <w:rsid w:val="35CF1523"/>
    <w:rsid w:val="35DE239E"/>
    <w:rsid w:val="35E06512"/>
    <w:rsid w:val="35E33F92"/>
    <w:rsid w:val="35F9034E"/>
    <w:rsid w:val="35FE7713"/>
    <w:rsid w:val="360212D1"/>
    <w:rsid w:val="36030D37"/>
    <w:rsid w:val="360E2480"/>
    <w:rsid w:val="361327DB"/>
    <w:rsid w:val="36347E29"/>
    <w:rsid w:val="363720E3"/>
    <w:rsid w:val="3639711B"/>
    <w:rsid w:val="363E765D"/>
    <w:rsid w:val="365869BA"/>
    <w:rsid w:val="36592830"/>
    <w:rsid w:val="36697A8D"/>
    <w:rsid w:val="367409D2"/>
    <w:rsid w:val="3676199F"/>
    <w:rsid w:val="36773881"/>
    <w:rsid w:val="367B56C5"/>
    <w:rsid w:val="367C5173"/>
    <w:rsid w:val="36915D46"/>
    <w:rsid w:val="36BA6657"/>
    <w:rsid w:val="36CA31B0"/>
    <w:rsid w:val="36D20797"/>
    <w:rsid w:val="36E16F8C"/>
    <w:rsid w:val="36E65B3A"/>
    <w:rsid w:val="36E96AA7"/>
    <w:rsid w:val="370346A6"/>
    <w:rsid w:val="37186F74"/>
    <w:rsid w:val="371F5B92"/>
    <w:rsid w:val="37225683"/>
    <w:rsid w:val="372431A9"/>
    <w:rsid w:val="37296474"/>
    <w:rsid w:val="37405833"/>
    <w:rsid w:val="37594F8B"/>
    <w:rsid w:val="37666B6B"/>
    <w:rsid w:val="37675674"/>
    <w:rsid w:val="376B1978"/>
    <w:rsid w:val="3771007D"/>
    <w:rsid w:val="37734130"/>
    <w:rsid w:val="37735EDE"/>
    <w:rsid w:val="379320DC"/>
    <w:rsid w:val="37940CA8"/>
    <w:rsid w:val="37A92337"/>
    <w:rsid w:val="37B94697"/>
    <w:rsid w:val="37BC5AD7"/>
    <w:rsid w:val="37D42E21"/>
    <w:rsid w:val="37D848CF"/>
    <w:rsid w:val="37DB157C"/>
    <w:rsid w:val="37DB3C7D"/>
    <w:rsid w:val="37EE7D30"/>
    <w:rsid w:val="37F62976"/>
    <w:rsid w:val="37F708BD"/>
    <w:rsid w:val="37F77F19"/>
    <w:rsid w:val="381B0A50"/>
    <w:rsid w:val="381D34F9"/>
    <w:rsid w:val="382056E0"/>
    <w:rsid w:val="3822692C"/>
    <w:rsid w:val="38343F2A"/>
    <w:rsid w:val="38490F9C"/>
    <w:rsid w:val="384C1631"/>
    <w:rsid w:val="38542754"/>
    <w:rsid w:val="385B52F0"/>
    <w:rsid w:val="3867558A"/>
    <w:rsid w:val="386C03A0"/>
    <w:rsid w:val="38740160"/>
    <w:rsid w:val="388372DB"/>
    <w:rsid w:val="38850AD8"/>
    <w:rsid w:val="38B10FD7"/>
    <w:rsid w:val="38B2326B"/>
    <w:rsid w:val="38B36EDA"/>
    <w:rsid w:val="38BD498D"/>
    <w:rsid w:val="38C82229"/>
    <w:rsid w:val="38D155B2"/>
    <w:rsid w:val="38D26C34"/>
    <w:rsid w:val="38D81B11"/>
    <w:rsid w:val="38F61303"/>
    <w:rsid w:val="38FC42B5"/>
    <w:rsid w:val="38FC71A8"/>
    <w:rsid w:val="39020983"/>
    <w:rsid w:val="39037F6C"/>
    <w:rsid w:val="39044B4B"/>
    <w:rsid w:val="390C2146"/>
    <w:rsid w:val="39161217"/>
    <w:rsid w:val="39214610"/>
    <w:rsid w:val="39276898"/>
    <w:rsid w:val="39352CB6"/>
    <w:rsid w:val="39464964"/>
    <w:rsid w:val="395224D9"/>
    <w:rsid w:val="395601FC"/>
    <w:rsid w:val="39647471"/>
    <w:rsid w:val="39777F08"/>
    <w:rsid w:val="397B4E62"/>
    <w:rsid w:val="39845848"/>
    <w:rsid w:val="39972B1A"/>
    <w:rsid w:val="399A1410"/>
    <w:rsid w:val="39A17675"/>
    <w:rsid w:val="39A6259B"/>
    <w:rsid w:val="39C8231B"/>
    <w:rsid w:val="39CD1539"/>
    <w:rsid w:val="39CD5D32"/>
    <w:rsid w:val="39DA1DFA"/>
    <w:rsid w:val="39DC24AF"/>
    <w:rsid w:val="39DC71EB"/>
    <w:rsid w:val="39DD5D2E"/>
    <w:rsid w:val="39FE23D7"/>
    <w:rsid w:val="3A045F91"/>
    <w:rsid w:val="3A0A0953"/>
    <w:rsid w:val="3A187F8C"/>
    <w:rsid w:val="3A1A0893"/>
    <w:rsid w:val="3A1E4582"/>
    <w:rsid w:val="3A2C4127"/>
    <w:rsid w:val="3A35391F"/>
    <w:rsid w:val="3A451DB4"/>
    <w:rsid w:val="3A5576B6"/>
    <w:rsid w:val="3A682780"/>
    <w:rsid w:val="3A697EB7"/>
    <w:rsid w:val="3A7A136F"/>
    <w:rsid w:val="3A7F0311"/>
    <w:rsid w:val="3A8A3C6B"/>
    <w:rsid w:val="3A8C5141"/>
    <w:rsid w:val="3A8D5509"/>
    <w:rsid w:val="3A9C0D92"/>
    <w:rsid w:val="3A9C574C"/>
    <w:rsid w:val="3AA12D62"/>
    <w:rsid w:val="3AA648FE"/>
    <w:rsid w:val="3AAA7D3D"/>
    <w:rsid w:val="3AC058DE"/>
    <w:rsid w:val="3AD117FB"/>
    <w:rsid w:val="3AD72904"/>
    <w:rsid w:val="3AD75A09"/>
    <w:rsid w:val="3ADC5AFD"/>
    <w:rsid w:val="3AE17BBC"/>
    <w:rsid w:val="3AF911D4"/>
    <w:rsid w:val="3B007A89"/>
    <w:rsid w:val="3B0F5ABD"/>
    <w:rsid w:val="3B1243B6"/>
    <w:rsid w:val="3B1479D8"/>
    <w:rsid w:val="3B1A123D"/>
    <w:rsid w:val="3B213730"/>
    <w:rsid w:val="3B2D7A40"/>
    <w:rsid w:val="3B2F4F75"/>
    <w:rsid w:val="3B315914"/>
    <w:rsid w:val="3B5008D7"/>
    <w:rsid w:val="3B704500"/>
    <w:rsid w:val="3B7355AE"/>
    <w:rsid w:val="3B793C0F"/>
    <w:rsid w:val="3B7F15E2"/>
    <w:rsid w:val="3B7F6F5D"/>
    <w:rsid w:val="3B8536A6"/>
    <w:rsid w:val="3B8763FC"/>
    <w:rsid w:val="3B906DF8"/>
    <w:rsid w:val="3B9528C7"/>
    <w:rsid w:val="3B9F0C51"/>
    <w:rsid w:val="3BA00572"/>
    <w:rsid w:val="3BB1021B"/>
    <w:rsid w:val="3BC35686"/>
    <w:rsid w:val="3BC53ABB"/>
    <w:rsid w:val="3BCC1F2A"/>
    <w:rsid w:val="3BCD6D6D"/>
    <w:rsid w:val="3BDA29D0"/>
    <w:rsid w:val="3BE13D5E"/>
    <w:rsid w:val="3BE15B0C"/>
    <w:rsid w:val="3BF72A83"/>
    <w:rsid w:val="3C067F9F"/>
    <w:rsid w:val="3C130A1F"/>
    <w:rsid w:val="3C135790"/>
    <w:rsid w:val="3C1752F7"/>
    <w:rsid w:val="3C193171"/>
    <w:rsid w:val="3C1E3214"/>
    <w:rsid w:val="3C2528C6"/>
    <w:rsid w:val="3C333E8E"/>
    <w:rsid w:val="3C4321AB"/>
    <w:rsid w:val="3C4F0720"/>
    <w:rsid w:val="3C4F1FEA"/>
    <w:rsid w:val="3C686571"/>
    <w:rsid w:val="3C7249B6"/>
    <w:rsid w:val="3C83525B"/>
    <w:rsid w:val="3C87375A"/>
    <w:rsid w:val="3C8E189D"/>
    <w:rsid w:val="3C945361"/>
    <w:rsid w:val="3CA22EFE"/>
    <w:rsid w:val="3CB8043D"/>
    <w:rsid w:val="3CB94BCA"/>
    <w:rsid w:val="3CC25705"/>
    <w:rsid w:val="3CC50225"/>
    <w:rsid w:val="3CC92CB9"/>
    <w:rsid w:val="3CCF3943"/>
    <w:rsid w:val="3CCF3965"/>
    <w:rsid w:val="3CD92C87"/>
    <w:rsid w:val="3CDD64CF"/>
    <w:rsid w:val="3CDE231E"/>
    <w:rsid w:val="3CEB5790"/>
    <w:rsid w:val="3CEB6517"/>
    <w:rsid w:val="3CF027B7"/>
    <w:rsid w:val="3CFE1B47"/>
    <w:rsid w:val="3D0575D8"/>
    <w:rsid w:val="3D1C767A"/>
    <w:rsid w:val="3D1E1219"/>
    <w:rsid w:val="3D36346C"/>
    <w:rsid w:val="3D47560D"/>
    <w:rsid w:val="3D4956FE"/>
    <w:rsid w:val="3D523BCD"/>
    <w:rsid w:val="3D645169"/>
    <w:rsid w:val="3D6C3AFB"/>
    <w:rsid w:val="3D8F2120"/>
    <w:rsid w:val="3D8F30A0"/>
    <w:rsid w:val="3D990E61"/>
    <w:rsid w:val="3D9D1F07"/>
    <w:rsid w:val="3D9D5A63"/>
    <w:rsid w:val="3DA327E5"/>
    <w:rsid w:val="3DB01C7C"/>
    <w:rsid w:val="3DBA1ADA"/>
    <w:rsid w:val="3DBA6615"/>
    <w:rsid w:val="3DBD4BF8"/>
    <w:rsid w:val="3DC355A6"/>
    <w:rsid w:val="3DC42D6E"/>
    <w:rsid w:val="3DC47494"/>
    <w:rsid w:val="3DD009EA"/>
    <w:rsid w:val="3DD64752"/>
    <w:rsid w:val="3DD80DF7"/>
    <w:rsid w:val="3DE26317"/>
    <w:rsid w:val="3DE93F0A"/>
    <w:rsid w:val="3DF633C5"/>
    <w:rsid w:val="3DFE0BF8"/>
    <w:rsid w:val="3DFF04CC"/>
    <w:rsid w:val="3E10092B"/>
    <w:rsid w:val="3E175815"/>
    <w:rsid w:val="3E251E4B"/>
    <w:rsid w:val="3E2C54C5"/>
    <w:rsid w:val="3E2D1C0D"/>
    <w:rsid w:val="3E352B5B"/>
    <w:rsid w:val="3E3A2755"/>
    <w:rsid w:val="3E463101"/>
    <w:rsid w:val="3E46434D"/>
    <w:rsid w:val="3E52684D"/>
    <w:rsid w:val="3E5717D0"/>
    <w:rsid w:val="3E725142"/>
    <w:rsid w:val="3E734A16"/>
    <w:rsid w:val="3E8B1D5F"/>
    <w:rsid w:val="3E953235"/>
    <w:rsid w:val="3EAA3B18"/>
    <w:rsid w:val="3EAB41B0"/>
    <w:rsid w:val="3EB72B54"/>
    <w:rsid w:val="3EBD0BAE"/>
    <w:rsid w:val="3ECD2095"/>
    <w:rsid w:val="3EED47C8"/>
    <w:rsid w:val="3EF02AD3"/>
    <w:rsid w:val="3F024C1A"/>
    <w:rsid w:val="3F0833B0"/>
    <w:rsid w:val="3F21052E"/>
    <w:rsid w:val="3F330C34"/>
    <w:rsid w:val="3F3917F4"/>
    <w:rsid w:val="3F4A39C9"/>
    <w:rsid w:val="3F522FD2"/>
    <w:rsid w:val="3F625E8E"/>
    <w:rsid w:val="3F6A673B"/>
    <w:rsid w:val="3F6A7BC7"/>
    <w:rsid w:val="3F6C393F"/>
    <w:rsid w:val="3F7153F9"/>
    <w:rsid w:val="3F874C1D"/>
    <w:rsid w:val="3F8C2A74"/>
    <w:rsid w:val="3F917849"/>
    <w:rsid w:val="3F924981"/>
    <w:rsid w:val="3F9335C1"/>
    <w:rsid w:val="3F9B6992"/>
    <w:rsid w:val="3FA70307"/>
    <w:rsid w:val="3FA7458E"/>
    <w:rsid w:val="3FB22390"/>
    <w:rsid w:val="3FBA6F1C"/>
    <w:rsid w:val="3FCF1529"/>
    <w:rsid w:val="3FD0248A"/>
    <w:rsid w:val="3FE355E7"/>
    <w:rsid w:val="3FE37E33"/>
    <w:rsid w:val="3FE813F4"/>
    <w:rsid w:val="3FF55C7D"/>
    <w:rsid w:val="400E03CE"/>
    <w:rsid w:val="401171AD"/>
    <w:rsid w:val="40225AF1"/>
    <w:rsid w:val="403D5148"/>
    <w:rsid w:val="40414DCB"/>
    <w:rsid w:val="40507C98"/>
    <w:rsid w:val="4061657E"/>
    <w:rsid w:val="40625FCD"/>
    <w:rsid w:val="40672358"/>
    <w:rsid w:val="40675CAC"/>
    <w:rsid w:val="407216D4"/>
    <w:rsid w:val="407E7DCE"/>
    <w:rsid w:val="40892318"/>
    <w:rsid w:val="408E0789"/>
    <w:rsid w:val="4090365D"/>
    <w:rsid w:val="40A42109"/>
    <w:rsid w:val="40A610D2"/>
    <w:rsid w:val="40A76FA9"/>
    <w:rsid w:val="40AC084A"/>
    <w:rsid w:val="40D05FDB"/>
    <w:rsid w:val="40DB515E"/>
    <w:rsid w:val="40E30197"/>
    <w:rsid w:val="40EA1367"/>
    <w:rsid w:val="40EB151F"/>
    <w:rsid w:val="40F25A91"/>
    <w:rsid w:val="41036525"/>
    <w:rsid w:val="411C387B"/>
    <w:rsid w:val="411C6FE5"/>
    <w:rsid w:val="41292B74"/>
    <w:rsid w:val="41320BB8"/>
    <w:rsid w:val="413D1A37"/>
    <w:rsid w:val="414E3836"/>
    <w:rsid w:val="41592854"/>
    <w:rsid w:val="41596145"/>
    <w:rsid w:val="41676AB4"/>
    <w:rsid w:val="416E516B"/>
    <w:rsid w:val="418812BB"/>
    <w:rsid w:val="418F1604"/>
    <w:rsid w:val="419D3DBE"/>
    <w:rsid w:val="419F3079"/>
    <w:rsid w:val="41AE3A67"/>
    <w:rsid w:val="41C9151C"/>
    <w:rsid w:val="41EA02ED"/>
    <w:rsid w:val="420E5181"/>
    <w:rsid w:val="421409A0"/>
    <w:rsid w:val="4215282E"/>
    <w:rsid w:val="4216544A"/>
    <w:rsid w:val="42225E0B"/>
    <w:rsid w:val="424F30C2"/>
    <w:rsid w:val="42701998"/>
    <w:rsid w:val="427358D4"/>
    <w:rsid w:val="42736D87"/>
    <w:rsid w:val="427E086F"/>
    <w:rsid w:val="42826F4F"/>
    <w:rsid w:val="428D370A"/>
    <w:rsid w:val="42977105"/>
    <w:rsid w:val="429D286D"/>
    <w:rsid w:val="429E14C4"/>
    <w:rsid w:val="42A26186"/>
    <w:rsid w:val="42BF022A"/>
    <w:rsid w:val="42C13D5C"/>
    <w:rsid w:val="42C33E75"/>
    <w:rsid w:val="42C66BA7"/>
    <w:rsid w:val="42CE66BF"/>
    <w:rsid w:val="42D53EF1"/>
    <w:rsid w:val="42DF3579"/>
    <w:rsid w:val="42DF631A"/>
    <w:rsid w:val="42E264C2"/>
    <w:rsid w:val="42E85CD3"/>
    <w:rsid w:val="42E87780"/>
    <w:rsid w:val="42ED7D18"/>
    <w:rsid w:val="42F54D63"/>
    <w:rsid w:val="43011E27"/>
    <w:rsid w:val="430A124F"/>
    <w:rsid w:val="430B3A05"/>
    <w:rsid w:val="430F20A0"/>
    <w:rsid w:val="43135F0F"/>
    <w:rsid w:val="431A7B56"/>
    <w:rsid w:val="431B6CC7"/>
    <w:rsid w:val="43244531"/>
    <w:rsid w:val="432634B4"/>
    <w:rsid w:val="432D5ADB"/>
    <w:rsid w:val="43326C4D"/>
    <w:rsid w:val="43394290"/>
    <w:rsid w:val="434C41B3"/>
    <w:rsid w:val="43732880"/>
    <w:rsid w:val="43865952"/>
    <w:rsid w:val="438800FC"/>
    <w:rsid w:val="438F0BB0"/>
    <w:rsid w:val="43BF04EA"/>
    <w:rsid w:val="43C05A1E"/>
    <w:rsid w:val="43D22CDA"/>
    <w:rsid w:val="43D354DC"/>
    <w:rsid w:val="43F32881"/>
    <w:rsid w:val="440355E6"/>
    <w:rsid w:val="4405353A"/>
    <w:rsid w:val="44063CF3"/>
    <w:rsid w:val="44072973"/>
    <w:rsid w:val="44112D07"/>
    <w:rsid w:val="44117E2D"/>
    <w:rsid w:val="441E6386"/>
    <w:rsid w:val="44254A04"/>
    <w:rsid w:val="443D0DCC"/>
    <w:rsid w:val="443F3EB5"/>
    <w:rsid w:val="44426345"/>
    <w:rsid w:val="444B2816"/>
    <w:rsid w:val="445279AA"/>
    <w:rsid w:val="445F3A86"/>
    <w:rsid w:val="446472DA"/>
    <w:rsid w:val="4478636B"/>
    <w:rsid w:val="447A0DB3"/>
    <w:rsid w:val="4481712B"/>
    <w:rsid w:val="448B4867"/>
    <w:rsid w:val="448E6105"/>
    <w:rsid w:val="44AD1736"/>
    <w:rsid w:val="44C93406"/>
    <w:rsid w:val="44D74994"/>
    <w:rsid w:val="44F62875"/>
    <w:rsid w:val="451730A2"/>
    <w:rsid w:val="451955A3"/>
    <w:rsid w:val="451A208F"/>
    <w:rsid w:val="45205199"/>
    <w:rsid w:val="45260B70"/>
    <w:rsid w:val="452E1696"/>
    <w:rsid w:val="453303B6"/>
    <w:rsid w:val="45350C77"/>
    <w:rsid w:val="45357C2D"/>
    <w:rsid w:val="4541322C"/>
    <w:rsid w:val="45467C1A"/>
    <w:rsid w:val="45523E0A"/>
    <w:rsid w:val="455B2405"/>
    <w:rsid w:val="455E3D2A"/>
    <w:rsid w:val="45784EE5"/>
    <w:rsid w:val="457C33A8"/>
    <w:rsid w:val="4595726A"/>
    <w:rsid w:val="45AD0E39"/>
    <w:rsid w:val="45B66B2F"/>
    <w:rsid w:val="45C269AF"/>
    <w:rsid w:val="45C610DE"/>
    <w:rsid w:val="45C67177"/>
    <w:rsid w:val="45CA7D82"/>
    <w:rsid w:val="45D048BE"/>
    <w:rsid w:val="45DE626C"/>
    <w:rsid w:val="45F13477"/>
    <w:rsid w:val="45F36B68"/>
    <w:rsid w:val="45F64EBA"/>
    <w:rsid w:val="45FD7B3D"/>
    <w:rsid w:val="460A10C2"/>
    <w:rsid w:val="460F78BE"/>
    <w:rsid w:val="461551BA"/>
    <w:rsid w:val="461E210A"/>
    <w:rsid w:val="46230254"/>
    <w:rsid w:val="462D24EF"/>
    <w:rsid w:val="46733805"/>
    <w:rsid w:val="46753897"/>
    <w:rsid w:val="46761190"/>
    <w:rsid w:val="467F21AA"/>
    <w:rsid w:val="46841EB6"/>
    <w:rsid w:val="46867477"/>
    <w:rsid w:val="468A02AD"/>
    <w:rsid w:val="468B3DD1"/>
    <w:rsid w:val="4690085B"/>
    <w:rsid w:val="46A33D32"/>
    <w:rsid w:val="46A40DEF"/>
    <w:rsid w:val="46B906B9"/>
    <w:rsid w:val="46D1677D"/>
    <w:rsid w:val="46D61F38"/>
    <w:rsid w:val="46D87DE5"/>
    <w:rsid w:val="46E556A4"/>
    <w:rsid w:val="46E91D19"/>
    <w:rsid w:val="46EA25E1"/>
    <w:rsid w:val="46EB1077"/>
    <w:rsid w:val="46EE75EF"/>
    <w:rsid w:val="46FA3F26"/>
    <w:rsid w:val="46FE250C"/>
    <w:rsid w:val="470C2558"/>
    <w:rsid w:val="472165B7"/>
    <w:rsid w:val="472557AB"/>
    <w:rsid w:val="47277064"/>
    <w:rsid w:val="473161FA"/>
    <w:rsid w:val="47323C17"/>
    <w:rsid w:val="473E02B7"/>
    <w:rsid w:val="474E29C1"/>
    <w:rsid w:val="475569C5"/>
    <w:rsid w:val="47590A49"/>
    <w:rsid w:val="476A063C"/>
    <w:rsid w:val="477E06B3"/>
    <w:rsid w:val="4783216D"/>
    <w:rsid w:val="47941208"/>
    <w:rsid w:val="47A101B2"/>
    <w:rsid w:val="47AD71EA"/>
    <w:rsid w:val="47BB1907"/>
    <w:rsid w:val="47BC11DC"/>
    <w:rsid w:val="47BF2852"/>
    <w:rsid w:val="47BF386C"/>
    <w:rsid w:val="47C95C6C"/>
    <w:rsid w:val="47D172DF"/>
    <w:rsid w:val="47EC7022"/>
    <w:rsid w:val="47EC7D13"/>
    <w:rsid w:val="47ED3A8B"/>
    <w:rsid w:val="47FC7940"/>
    <w:rsid w:val="48030B33"/>
    <w:rsid w:val="48046015"/>
    <w:rsid w:val="480E2E2C"/>
    <w:rsid w:val="48102D4F"/>
    <w:rsid w:val="4819316F"/>
    <w:rsid w:val="48205C0E"/>
    <w:rsid w:val="482E032B"/>
    <w:rsid w:val="48401E0D"/>
    <w:rsid w:val="48480CC1"/>
    <w:rsid w:val="48580B32"/>
    <w:rsid w:val="485B43A9"/>
    <w:rsid w:val="485D63AE"/>
    <w:rsid w:val="48635024"/>
    <w:rsid w:val="487B675C"/>
    <w:rsid w:val="48804918"/>
    <w:rsid w:val="48847172"/>
    <w:rsid w:val="48A572ED"/>
    <w:rsid w:val="48B22238"/>
    <w:rsid w:val="48B33076"/>
    <w:rsid w:val="48BF5427"/>
    <w:rsid w:val="48BF71D5"/>
    <w:rsid w:val="48C4330A"/>
    <w:rsid w:val="48C56B4C"/>
    <w:rsid w:val="48C74E0D"/>
    <w:rsid w:val="48D55EB3"/>
    <w:rsid w:val="48DA0701"/>
    <w:rsid w:val="48DC7D87"/>
    <w:rsid w:val="48DF324A"/>
    <w:rsid w:val="48E052EC"/>
    <w:rsid w:val="48E22EC4"/>
    <w:rsid w:val="48E65AEE"/>
    <w:rsid w:val="49096FCD"/>
    <w:rsid w:val="491B7C2C"/>
    <w:rsid w:val="493F20C4"/>
    <w:rsid w:val="494625B6"/>
    <w:rsid w:val="49512BB1"/>
    <w:rsid w:val="495C2CEC"/>
    <w:rsid w:val="496215BF"/>
    <w:rsid w:val="49641F5D"/>
    <w:rsid w:val="49666B6B"/>
    <w:rsid w:val="496F2CCC"/>
    <w:rsid w:val="49777AB0"/>
    <w:rsid w:val="499A379E"/>
    <w:rsid w:val="49A8530E"/>
    <w:rsid w:val="49BA174B"/>
    <w:rsid w:val="49BB2C74"/>
    <w:rsid w:val="49C40005"/>
    <w:rsid w:val="49D04BAB"/>
    <w:rsid w:val="49DC3A88"/>
    <w:rsid w:val="49EA17C4"/>
    <w:rsid w:val="49F0129D"/>
    <w:rsid w:val="49FB248F"/>
    <w:rsid w:val="49FC7FB5"/>
    <w:rsid w:val="4A1A2F12"/>
    <w:rsid w:val="4A2C7C77"/>
    <w:rsid w:val="4A321C6F"/>
    <w:rsid w:val="4A34008C"/>
    <w:rsid w:val="4A366D8C"/>
    <w:rsid w:val="4A375709"/>
    <w:rsid w:val="4A475BFC"/>
    <w:rsid w:val="4A4E1094"/>
    <w:rsid w:val="4A521850"/>
    <w:rsid w:val="4A561717"/>
    <w:rsid w:val="4A590F64"/>
    <w:rsid w:val="4A595408"/>
    <w:rsid w:val="4A717D8F"/>
    <w:rsid w:val="4A744BC4"/>
    <w:rsid w:val="4A77763C"/>
    <w:rsid w:val="4A794E63"/>
    <w:rsid w:val="4A7D0F83"/>
    <w:rsid w:val="4A834233"/>
    <w:rsid w:val="4A834A22"/>
    <w:rsid w:val="4A8815D3"/>
    <w:rsid w:val="4A9454F9"/>
    <w:rsid w:val="4A972DF7"/>
    <w:rsid w:val="4A985F30"/>
    <w:rsid w:val="4A992274"/>
    <w:rsid w:val="4AA77F21"/>
    <w:rsid w:val="4AAA2276"/>
    <w:rsid w:val="4AAB13A9"/>
    <w:rsid w:val="4AAD1B66"/>
    <w:rsid w:val="4AB03279"/>
    <w:rsid w:val="4AB64534"/>
    <w:rsid w:val="4AB80380"/>
    <w:rsid w:val="4AC66642"/>
    <w:rsid w:val="4AD37353"/>
    <w:rsid w:val="4ADC6651"/>
    <w:rsid w:val="4AE2340C"/>
    <w:rsid w:val="4AFA34F0"/>
    <w:rsid w:val="4AFF6999"/>
    <w:rsid w:val="4B0E1D4E"/>
    <w:rsid w:val="4B1720E1"/>
    <w:rsid w:val="4B21257E"/>
    <w:rsid w:val="4B290FE3"/>
    <w:rsid w:val="4B2F18A2"/>
    <w:rsid w:val="4B322207"/>
    <w:rsid w:val="4B3B5793"/>
    <w:rsid w:val="4B58050B"/>
    <w:rsid w:val="4B5A25F7"/>
    <w:rsid w:val="4B5A4F93"/>
    <w:rsid w:val="4B672D35"/>
    <w:rsid w:val="4B6A0768"/>
    <w:rsid w:val="4B6B0CBD"/>
    <w:rsid w:val="4B705719"/>
    <w:rsid w:val="4B7B47F9"/>
    <w:rsid w:val="4B9A5CD8"/>
    <w:rsid w:val="4BA563FE"/>
    <w:rsid w:val="4BB351BD"/>
    <w:rsid w:val="4BB74194"/>
    <w:rsid w:val="4BB77663"/>
    <w:rsid w:val="4BBE2F70"/>
    <w:rsid w:val="4BC4783E"/>
    <w:rsid w:val="4BC54DE5"/>
    <w:rsid w:val="4BD52968"/>
    <w:rsid w:val="4BD91D02"/>
    <w:rsid w:val="4BE13907"/>
    <w:rsid w:val="4BE2600E"/>
    <w:rsid w:val="4BE57820"/>
    <w:rsid w:val="4BFB7B74"/>
    <w:rsid w:val="4C0457A1"/>
    <w:rsid w:val="4C297927"/>
    <w:rsid w:val="4C361B10"/>
    <w:rsid w:val="4C365A00"/>
    <w:rsid w:val="4C3F2C78"/>
    <w:rsid w:val="4C42244E"/>
    <w:rsid w:val="4C437DCE"/>
    <w:rsid w:val="4C4C0A3B"/>
    <w:rsid w:val="4C4D68A6"/>
    <w:rsid w:val="4C65577D"/>
    <w:rsid w:val="4C6A3121"/>
    <w:rsid w:val="4C6F4A6E"/>
    <w:rsid w:val="4C727CFA"/>
    <w:rsid w:val="4C88081B"/>
    <w:rsid w:val="4C8872A2"/>
    <w:rsid w:val="4C9C19F3"/>
    <w:rsid w:val="4CA47183"/>
    <w:rsid w:val="4CA97C29"/>
    <w:rsid w:val="4CB7606E"/>
    <w:rsid w:val="4CC254E6"/>
    <w:rsid w:val="4CDD5E7C"/>
    <w:rsid w:val="4CE94821"/>
    <w:rsid w:val="4CEF795D"/>
    <w:rsid w:val="4CF745DE"/>
    <w:rsid w:val="4CFC57E0"/>
    <w:rsid w:val="4D087B01"/>
    <w:rsid w:val="4D0B58BC"/>
    <w:rsid w:val="4D0C2AD5"/>
    <w:rsid w:val="4D135D42"/>
    <w:rsid w:val="4D1A1F72"/>
    <w:rsid w:val="4D2059FA"/>
    <w:rsid w:val="4D2D2A74"/>
    <w:rsid w:val="4D2E29D3"/>
    <w:rsid w:val="4D2E3574"/>
    <w:rsid w:val="4D2F6535"/>
    <w:rsid w:val="4D36558C"/>
    <w:rsid w:val="4D451B18"/>
    <w:rsid w:val="4D4F749A"/>
    <w:rsid w:val="4D755736"/>
    <w:rsid w:val="4D783DF7"/>
    <w:rsid w:val="4D8939D8"/>
    <w:rsid w:val="4DB92102"/>
    <w:rsid w:val="4DBA3E20"/>
    <w:rsid w:val="4DBC5B64"/>
    <w:rsid w:val="4DC679DB"/>
    <w:rsid w:val="4DE61D12"/>
    <w:rsid w:val="4DE66CD1"/>
    <w:rsid w:val="4DF1146E"/>
    <w:rsid w:val="4DF82017"/>
    <w:rsid w:val="4DFC0584"/>
    <w:rsid w:val="4E0E661C"/>
    <w:rsid w:val="4E151645"/>
    <w:rsid w:val="4E4C57ED"/>
    <w:rsid w:val="4E5505A6"/>
    <w:rsid w:val="4E6B41DE"/>
    <w:rsid w:val="4E810A89"/>
    <w:rsid w:val="4E820BD8"/>
    <w:rsid w:val="4E820C19"/>
    <w:rsid w:val="4E8B4AD7"/>
    <w:rsid w:val="4E8D729C"/>
    <w:rsid w:val="4E8E1C0C"/>
    <w:rsid w:val="4EA5208F"/>
    <w:rsid w:val="4EAE617F"/>
    <w:rsid w:val="4EB135D7"/>
    <w:rsid w:val="4EBD702F"/>
    <w:rsid w:val="4EC1400E"/>
    <w:rsid w:val="4EC818B0"/>
    <w:rsid w:val="4ECB59F9"/>
    <w:rsid w:val="4ECE1CAC"/>
    <w:rsid w:val="4ED35788"/>
    <w:rsid w:val="4ED65662"/>
    <w:rsid w:val="4EE414BB"/>
    <w:rsid w:val="4EFF65C5"/>
    <w:rsid w:val="4F012E1B"/>
    <w:rsid w:val="4F014784"/>
    <w:rsid w:val="4F0431E6"/>
    <w:rsid w:val="4F254824"/>
    <w:rsid w:val="4F2658BE"/>
    <w:rsid w:val="4F4736A7"/>
    <w:rsid w:val="4F774C49"/>
    <w:rsid w:val="4F7914EF"/>
    <w:rsid w:val="4F7E77B2"/>
    <w:rsid w:val="4F7F76BE"/>
    <w:rsid w:val="4F844CD5"/>
    <w:rsid w:val="4F9174FD"/>
    <w:rsid w:val="4FA2771F"/>
    <w:rsid w:val="4FAD5FDA"/>
    <w:rsid w:val="4FB10142"/>
    <w:rsid w:val="4FB537C2"/>
    <w:rsid w:val="4FC643B6"/>
    <w:rsid w:val="4FD1578E"/>
    <w:rsid w:val="4FD74E04"/>
    <w:rsid w:val="4FE10E76"/>
    <w:rsid w:val="4FEB08B0"/>
    <w:rsid w:val="4FEE2189"/>
    <w:rsid w:val="4FF82FCD"/>
    <w:rsid w:val="500029A1"/>
    <w:rsid w:val="50016856"/>
    <w:rsid w:val="5008518B"/>
    <w:rsid w:val="50153B7F"/>
    <w:rsid w:val="501A73E7"/>
    <w:rsid w:val="502B6EFE"/>
    <w:rsid w:val="50324E90"/>
    <w:rsid w:val="503D27C7"/>
    <w:rsid w:val="50447FC0"/>
    <w:rsid w:val="504C1B11"/>
    <w:rsid w:val="50575F45"/>
    <w:rsid w:val="505F48A5"/>
    <w:rsid w:val="506472D4"/>
    <w:rsid w:val="506B7C43"/>
    <w:rsid w:val="507460A4"/>
    <w:rsid w:val="50924AE3"/>
    <w:rsid w:val="50942CF5"/>
    <w:rsid w:val="5094445D"/>
    <w:rsid w:val="509838F7"/>
    <w:rsid w:val="50985DED"/>
    <w:rsid w:val="509F2F94"/>
    <w:rsid w:val="50A23A1E"/>
    <w:rsid w:val="50B57EA9"/>
    <w:rsid w:val="50B6453F"/>
    <w:rsid w:val="50BC2B26"/>
    <w:rsid w:val="50BD2B55"/>
    <w:rsid w:val="50BE1984"/>
    <w:rsid w:val="50C74763"/>
    <w:rsid w:val="50D141C6"/>
    <w:rsid w:val="50D650BC"/>
    <w:rsid w:val="50D94FDD"/>
    <w:rsid w:val="50DD2090"/>
    <w:rsid w:val="50E0336A"/>
    <w:rsid w:val="50E84DEF"/>
    <w:rsid w:val="50F004EF"/>
    <w:rsid w:val="50F115EA"/>
    <w:rsid w:val="50F72C9C"/>
    <w:rsid w:val="50FC0DB6"/>
    <w:rsid w:val="510944D7"/>
    <w:rsid w:val="51142088"/>
    <w:rsid w:val="511A58F1"/>
    <w:rsid w:val="511F2007"/>
    <w:rsid w:val="51271E2F"/>
    <w:rsid w:val="51342CAA"/>
    <w:rsid w:val="51406A38"/>
    <w:rsid w:val="514829E3"/>
    <w:rsid w:val="514A09AC"/>
    <w:rsid w:val="514B4E4E"/>
    <w:rsid w:val="514C4574"/>
    <w:rsid w:val="515A0D73"/>
    <w:rsid w:val="516052CE"/>
    <w:rsid w:val="516578E1"/>
    <w:rsid w:val="51874608"/>
    <w:rsid w:val="51A27E07"/>
    <w:rsid w:val="51A74130"/>
    <w:rsid w:val="51B475E9"/>
    <w:rsid w:val="51CB2747"/>
    <w:rsid w:val="51D11D27"/>
    <w:rsid w:val="51D135DE"/>
    <w:rsid w:val="51F65295"/>
    <w:rsid w:val="51FC6DA4"/>
    <w:rsid w:val="51FD3DB6"/>
    <w:rsid w:val="520C3BB6"/>
    <w:rsid w:val="52252174"/>
    <w:rsid w:val="52293911"/>
    <w:rsid w:val="52295AE6"/>
    <w:rsid w:val="522D0E7F"/>
    <w:rsid w:val="523440C6"/>
    <w:rsid w:val="52376072"/>
    <w:rsid w:val="523E4D62"/>
    <w:rsid w:val="524D13AE"/>
    <w:rsid w:val="525402A0"/>
    <w:rsid w:val="526A01B2"/>
    <w:rsid w:val="52856670"/>
    <w:rsid w:val="52903990"/>
    <w:rsid w:val="52AA2CA4"/>
    <w:rsid w:val="52BF5C92"/>
    <w:rsid w:val="52C2167A"/>
    <w:rsid w:val="52C33D66"/>
    <w:rsid w:val="52C7794C"/>
    <w:rsid w:val="52D279CD"/>
    <w:rsid w:val="52D32ADF"/>
    <w:rsid w:val="52E45ACB"/>
    <w:rsid w:val="52F47AFB"/>
    <w:rsid w:val="53035F10"/>
    <w:rsid w:val="53071B37"/>
    <w:rsid w:val="530A5973"/>
    <w:rsid w:val="53122BC2"/>
    <w:rsid w:val="531348FB"/>
    <w:rsid w:val="531A77B9"/>
    <w:rsid w:val="532225F8"/>
    <w:rsid w:val="53275D3D"/>
    <w:rsid w:val="53285977"/>
    <w:rsid w:val="533354CF"/>
    <w:rsid w:val="53346B96"/>
    <w:rsid w:val="535D5DC8"/>
    <w:rsid w:val="537A5743"/>
    <w:rsid w:val="537D2360"/>
    <w:rsid w:val="53811E50"/>
    <w:rsid w:val="53980367"/>
    <w:rsid w:val="53B13BBE"/>
    <w:rsid w:val="53B22465"/>
    <w:rsid w:val="53B72F65"/>
    <w:rsid w:val="53BE3989"/>
    <w:rsid w:val="53C02C55"/>
    <w:rsid w:val="53D83751"/>
    <w:rsid w:val="53E2021C"/>
    <w:rsid w:val="53E422B2"/>
    <w:rsid w:val="53EE4E13"/>
    <w:rsid w:val="53FD2AC2"/>
    <w:rsid w:val="5409404E"/>
    <w:rsid w:val="54112BD1"/>
    <w:rsid w:val="54134B75"/>
    <w:rsid w:val="54164746"/>
    <w:rsid w:val="54224729"/>
    <w:rsid w:val="54280325"/>
    <w:rsid w:val="542E2ADC"/>
    <w:rsid w:val="543341B9"/>
    <w:rsid w:val="543E18F6"/>
    <w:rsid w:val="544B7F7E"/>
    <w:rsid w:val="54501D22"/>
    <w:rsid w:val="546146EB"/>
    <w:rsid w:val="54680D66"/>
    <w:rsid w:val="54685AA1"/>
    <w:rsid w:val="54730639"/>
    <w:rsid w:val="54776BB6"/>
    <w:rsid w:val="547D06FB"/>
    <w:rsid w:val="547D14B1"/>
    <w:rsid w:val="54857DDB"/>
    <w:rsid w:val="54877DC4"/>
    <w:rsid w:val="548C678B"/>
    <w:rsid w:val="548D0188"/>
    <w:rsid w:val="54905199"/>
    <w:rsid w:val="54914216"/>
    <w:rsid w:val="549273A9"/>
    <w:rsid w:val="549405C7"/>
    <w:rsid w:val="549D6C55"/>
    <w:rsid w:val="54A379AB"/>
    <w:rsid w:val="54A520AB"/>
    <w:rsid w:val="54A83213"/>
    <w:rsid w:val="54B17DA0"/>
    <w:rsid w:val="54D2203E"/>
    <w:rsid w:val="54D270A0"/>
    <w:rsid w:val="54DC4C6B"/>
    <w:rsid w:val="54E35FFA"/>
    <w:rsid w:val="54EF7DF9"/>
    <w:rsid w:val="54F2448F"/>
    <w:rsid w:val="54FE5852"/>
    <w:rsid w:val="550B2DC8"/>
    <w:rsid w:val="5516017D"/>
    <w:rsid w:val="551D59AF"/>
    <w:rsid w:val="55322ADD"/>
    <w:rsid w:val="55344AA7"/>
    <w:rsid w:val="554C32B2"/>
    <w:rsid w:val="55501E76"/>
    <w:rsid w:val="55731E3E"/>
    <w:rsid w:val="557E29D7"/>
    <w:rsid w:val="5587107B"/>
    <w:rsid w:val="5588094F"/>
    <w:rsid w:val="558C5AE7"/>
    <w:rsid w:val="558F2195"/>
    <w:rsid w:val="55900035"/>
    <w:rsid w:val="55A41C2D"/>
    <w:rsid w:val="55A51501"/>
    <w:rsid w:val="55AF2380"/>
    <w:rsid w:val="55AF798B"/>
    <w:rsid w:val="55B160F8"/>
    <w:rsid w:val="55C620FF"/>
    <w:rsid w:val="55ED4967"/>
    <w:rsid w:val="55F350C4"/>
    <w:rsid w:val="560C332E"/>
    <w:rsid w:val="56247722"/>
    <w:rsid w:val="562B64B3"/>
    <w:rsid w:val="56342FDD"/>
    <w:rsid w:val="56382375"/>
    <w:rsid w:val="56467B64"/>
    <w:rsid w:val="565626F9"/>
    <w:rsid w:val="565671A2"/>
    <w:rsid w:val="56685CA8"/>
    <w:rsid w:val="566B274A"/>
    <w:rsid w:val="566D0271"/>
    <w:rsid w:val="56740DC7"/>
    <w:rsid w:val="5677558B"/>
    <w:rsid w:val="56A1616C"/>
    <w:rsid w:val="56A17F1A"/>
    <w:rsid w:val="56AA3219"/>
    <w:rsid w:val="56B91708"/>
    <w:rsid w:val="56CA038E"/>
    <w:rsid w:val="56D46FFC"/>
    <w:rsid w:val="56DE4C00"/>
    <w:rsid w:val="56FB3ACE"/>
    <w:rsid w:val="570847EE"/>
    <w:rsid w:val="57144B90"/>
    <w:rsid w:val="571B7CCD"/>
    <w:rsid w:val="571E77BD"/>
    <w:rsid w:val="572172AD"/>
    <w:rsid w:val="5732516C"/>
    <w:rsid w:val="573270B5"/>
    <w:rsid w:val="57331689"/>
    <w:rsid w:val="57340D8E"/>
    <w:rsid w:val="573B211D"/>
    <w:rsid w:val="573E39BB"/>
    <w:rsid w:val="574014E1"/>
    <w:rsid w:val="57443B56"/>
    <w:rsid w:val="575C2093"/>
    <w:rsid w:val="575F1390"/>
    <w:rsid w:val="57614844"/>
    <w:rsid w:val="576A00D2"/>
    <w:rsid w:val="576A530D"/>
    <w:rsid w:val="577A000D"/>
    <w:rsid w:val="578429F3"/>
    <w:rsid w:val="57923D07"/>
    <w:rsid w:val="57971A40"/>
    <w:rsid w:val="579E4D2D"/>
    <w:rsid w:val="57A24175"/>
    <w:rsid w:val="57B75717"/>
    <w:rsid w:val="57C470D2"/>
    <w:rsid w:val="57C77E19"/>
    <w:rsid w:val="57C87729"/>
    <w:rsid w:val="57CA488B"/>
    <w:rsid w:val="57CE5051"/>
    <w:rsid w:val="57DB47FB"/>
    <w:rsid w:val="57E9181D"/>
    <w:rsid w:val="580846BB"/>
    <w:rsid w:val="5816050F"/>
    <w:rsid w:val="58201313"/>
    <w:rsid w:val="58205F1A"/>
    <w:rsid w:val="582468CD"/>
    <w:rsid w:val="583074F9"/>
    <w:rsid w:val="583628E4"/>
    <w:rsid w:val="58382B00"/>
    <w:rsid w:val="584C2587"/>
    <w:rsid w:val="585127AA"/>
    <w:rsid w:val="58515970"/>
    <w:rsid w:val="585353A5"/>
    <w:rsid w:val="5855720E"/>
    <w:rsid w:val="58603D47"/>
    <w:rsid w:val="586666B0"/>
    <w:rsid w:val="589917F1"/>
    <w:rsid w:val="58A37B55"/>
    <w:rsid w:val="58A61818"/>
    <w:rsid w:val="58BB3CCE"/>
    <w:rsid w:val="58DE7204"/>
    <w:rsid w:val="59034EBC"/>
    <w:rsid w:val="590C6A66"/>
    <w:rsid w:val="59125866"/>
    <w:rsid w:val="5915352F"/>
    <w:rsid w:val="59246BE1"/>
    <w:rsid w:val="59304651"/>
    <w:rsid w:val="593C3382"/>
    <w:rsid w:val="593C3F2A"/>
    <w:rsid w:val="594352B9"/>
    <w:rsid w:val="59466D98"/>
    <w:rsid w:val="594856C1"/>
    <w:rsid w:val="59486EBB"/>
    <w:rsid w:val="59493AFE"/>
    <w:rsid w:val="594C38F9"/>
    <w:rsid w:val="594C4A1E"/>
    <w:rsid w:val="59567838"/>
    <w:rsid w:val="595A7F21"/>
    <w:rsid w:val="595F10E3"/>
    <w:rsid w:val="59700D18"/>
    <w:rsid w:val="5970491E"/>
    <w:rsid w:val="597304CA"/>
    <w:rsid w:val="597A0373"/>
    <w:rsid w:val="597C290B"/>
    <w:rsid w:val="598803B1"/>
    <w:rsid w:val="59A5117A"/>
    <w:rsid w:val="59A937D5"/>
    <w:rsid w:val="59C101B4"/>
    <w:rsid w:val="59D923BD"/>
    <w:rsid w:val="59DB746A"/>
    <w:rsid w:val="59F2154E"/>
    <w:rsid w:val="59F34F31"/>
    <w:rsid w:val="59F82547"/>
    <w:rsid w:val="59F9295E"/>
    <w:rsid w:val="59F9691A"/>
    <w:rsid w:val="5A012975"/>
    <w:rsid w:val="5A097A39"/>
    <w:rsid w:val="5A112448"/>
    <w:rsid w:val="5A1E417A"/>
    <w:rsid w:val="5A2D3B53"/>
    <w:rsid w:val="5A39156C"/>
    <w:rsid w:val="5A560E10"/>
    <w:rsid w:val="5A616802"/>
    <w:rsid w:val="5A6457FD"/>
    <w:rsid w:val="5A645A7F"/>
    <w:rsid w:val="5A7476F4"/>
    <w:rsid w:val="5A831ACB"/>
    <w:rsid w:val="5A867B53"/>
    <w:rsid w:val="5A873ECB"/>
    <w:rsid w:val="5A934A0F"/>
    <w:rsid w:val="5A957C98"/>
    <w:rsid w:val="5A9E6D6F"/>
    <w:rsid w:val="5AA24261"/>
    <w:rsid w:val="5AA955EF"/>
    <w:rsid w:val="5AAD3771"/>
    <w:rsid w:val="5AAD60EA"/>
    <w:rsid w:val="5AB314A4"/>
    <w:rsid w:val="5AB61166"/>
    <w:rsid w:val="5AB61DE0"/>
    <w:rsid w:val="5ADC3C17"/>
    <w:rsid w:val="5AF571A2"/>
    <w:rsid w:val="5AF6393C"/>
    <w:rsid w:val="5AF70A51"/>
    <w:rsid w:val="5AF80325"/>
    <w:rsid w:val="5AFC1BC3"/>
    <w:rsid w:val="5B072DB6"/>
    <w:rsid w:val="5B1433B1"/>
    <w:rsid w:val="5B233465"/>
    <w:rsid w:val="5B24216F"/>
    <w:rsid w:val="5B303F63"/>
    <w:rsid w:val="5B506B61"/>
    <w:rsid w:val="5B5F0F2E"/>
    <w:rsid w:val="5B5F5F31"/>
    <w:rsid w:val="5B6A7475"/>
    <w:rsid w:val="5B6B4F9B"/>
    <w:rsid w:val="5B6B796C"/>
    <w:rsid w:val="5B6F30EB"/>
    <w:rsid w:val="5B8A5421"/>
    <w:rsid w:val="5B935775"/>
    <w:rsid w:val="5B9808C1"/>
    <w:rsid w:val="5BB10CB2"/>
    <w:rsid w:val="5BC16A09"/>
    <w:rsid w:val="5BD91122"/>
    <w:rsid w:val="5BFD3CD1"/>
    <w:rsid w:val="5C012CC6"/>
    <w:rsid w:val="5C07081F"/>
    <w:rsid w:val="5C0C4088"/>
    <w:rsid w:val="5C142F3C"/>
    <w:rsid w:val="5C311D40"/>
    <w:rsid w:val="5C3A6E47"/>
    <w:rsid w:val="5C3B671B"/>
    <w:rsid w:val="5C503DE0"/>
    <w:rsid w:val="5C5435D1"/>
    <w:rsid w:val="5C5C5BA5"/>
    <w:rsid w:val="5C8C4702"/>
    <w:rsid w:val="5C927ACB"/>
    <w:rsid w:val="5C943DBC"/>
    <w:rsid w:val="5C964884"/>
    <w:rsid w:val="5C997625"/>
    <w:rsid w:val="5C9D1184"/>
    <w:rsid w:val="5CA57080"/>
    <w:rsid w:val="5CA77E21"/>
    <w:rsid w:val="5CB7760A"/>
    <w:rsid w:val="5CC2508E"/>
    <w:rsid w:val="5CCD19E5"/>
    <w:rsid w:val="5CE23DAC"/>
    <w:rsid w:val="5CE73917"/>
    <w:rsid w:val="5CE86D48"/>
    <w:rsid w:val="5D0A73AF"/>
    <w:rsid w:val="5D0B433F"/>
    <w:rsid w:val="5D0E312D"/>
    <w:rsid w:val="5D120F26"/>
    <w:rsid w:val="5D3D64C3"/>
    <w:rsid w:val="5D3E31E9"/>
    <w:rsid w:val="5D436E42"/>
    <w:rsid w:val="5D545A7D"/>
    <w:rsid w:val="5D63667B"/>
    <w:rsid w:val="5D6F2EDA"/>
    <w:rsid w:val="5D746389"/>
    <w:rsid w:val="5D783847"/>
    <w:rsid w:val="5D8B5480"/>
    <w:rsid w:val="5D9941C1"/>
    <w:rsid w:val="5DA92832"/>
    <w:rsid w:val="5DAE502B"/>
    <w:rsid w:val="5DB915F2"/>
    <w:rsid w:val="5DBC60F3"/>
    <w:rsid w:val="5DBE5856"/>
    <w:rsid w:val="5DCD5E1E"/>
    <w:rsid w:val="5DDA5440"/>
    <w:rsid w:val="5DDC7A8A"/>
    <w:rsid w:val="5DDD5947"/>
    <w:rsid w:val="5DDF393D"/>
    <w:rsid w:val="5DDF6E4E"/>
    <w:rsid w:val="5DEF1EB3"/>
    <w:rsid w:val="5DFA49E0"/>
    <w:rsid w:val="5DFC31B0"/>
    <w:rsid w:val="5E11349C"/>
    <w:rsid w:val="5E1C257C"/>
    <w:rsid w:val="5E1D0F80"/>
    <w:rsid w:val="5E224037"/>
    <w:rsid w:val="5E2D6537"/>
    <w:rsid w:val="5E3261DA"/>
    <w:rsid w:val="5E4C1080"/>
    <w:rsid w:val="5E4E1C8A"/>
    <w:rsid w:val="5E515014"/>
    <w:rsid w:val="5E532442"/>
    <w:rsid w:val="5E5D7A78"/>
    <w:rsid w:val="5E6006BB"/>
    <w:rsid w:val="5E6D4B86"/>
    <w:rsid w:val="5E736FCD"/>
    <w:rsid w:val="5E7423B8"/>
    <w:rsid w:val="5E8274BA"/>
    <w:rsid w:val="5E930A90"/>
    <w:rsid w:val="5E960581"/>
    <w:rsid w:val="5E9F11E3"/>
    <w:rsid w:val="5EA53C9A"/>
    <w:rsid w:val="5EBC7F37"/>
    <w:rsid w:val="5EBD3D5F"/>
    <w:rsid w:val="5EC53C83"/>
    <w:rsid w:val="5ED36C86"/>
    <w:rsid w:val="5EDA60B0"/>
    <w:rsid w:val="5EE35A57"/>
    <w:rsid w:val="5EFD5F0A"/>
    <w:rsid w:val="5F021772"/>
    <w:rsid w:val="5F1645A7"/>
    <w:rsid w:val="5F1C2834"/>
    <w:rsid w:val="5F2636B2"/>
    <w:rsid w:val="5F2C50FF"/>
    <w:rsid w:val="5F465B03"/>
    <w:rsid w:val="5F50072F"/>
    <w:rsid w:val="5F577D10"/>
    <w:rsid w:val="5F5A335C"/>
    <w:rsid w:val="5F6979AC"/>
    <w:rsid w:val="5F6A54DD"/>
    <w:rsid w:val="5F7C32D2"/>
    <w:rsid w:val="5F8108E9"/>
    <w:rsid w:val="5F815969"/>
    <w:rsid w:val="5F887EC9"/>
    <w:rsid w:val="5F8B4FA7"/>
    <w:rsid w:val="5F9571F8"/>
    <w:rsid w:val="5F9B72D1"/>
    <w:rsid w:val="5FAB005C"/>
    <w:rsid w:val="5FAB0A44"/>
    <w:rsid w:val="5FB34738"/>
    <w:rsid w:val="5FB82D7C"/>
    <w:rsid w:val="5FB95E1C"/>
    <w:rsid w:val="5FBE4BB4"/>
    <w:rsid w:val="5FC85F82"/>
    <w:rsid w:val="5FCB3FE5"/>
    <w:rsid w:val="5FE33352"/>
    <w:rsid w:val="5FED772C"/>
    <w:rsid w:val="5FF97EAE"/>
    <w:rsid w:val="5FFC0086"/>
    <w:rsid w:val="600C2352"/>
    <w:rsid w:val="600C5381"/>
    <w:rsid w:val="60155C27"/>
    <w:rsid w:val="60162D11"/>
    <w:rsid w:val="601A6070"/>
    <w:rsid w:val="60226F8B"/>
    <w:rsid w:val="6025591D"/>
    <w:rsid w:val="60477ABF"/>
    <w:rsid w:val="604B06AE"/>
    <w:rsid w:val="60521762"/>
    <w:rsid w:val="60526566"/>
    <w:rsid w:val="60575E97"/>
    <w:rsid w:val="605F72F5"/>
    <w:rsid w:val="6062696C"/>
    <w:rsid w:val="60765F74"/>
    <w:rsid w:val="607F756F"/>
    <w:rsid w:val="60822B6A"/>
    <w:rsid w:val="608508AD"/>
    <w:rsid w:val="608D7B10"/>
    <w:rsid w:val="60982996"/>
    <w:rsid w:val="60C53D01"/>
    <w:rsid w:val="60C9018D"/>
    <w:rsid w:val="60D96503"/>
    <w:rsid w:val="61012C93"/>
    <w:rsid w:val="61053FC5"/>
    <w:rsid w:val="610C088E"/>
    <w:rsid w:val="612F7AA8"/>
    <w:rsid w:val="613B0F6B"/>
    <w:rsid w:val="614A03E6"/>
    <w:rsid w:val="61502C69"/>
    <w:rsid w:val="61531A50"/>
    <w:rsid w:val="61532201"/>
    <w:rsid w:val="61651210"/>
    <w:rsid w:val="61666018"/>
    <w:rsid w:val="616B46BB"/>
    <w:rsid w:val="617B6EE4"/>
    <w:rsid w:val="619B5D77"/>
    <w:rsid w:val="61AF3E33"/>
    <w:rsid w:val="61B10243"/>
    <w:rsid w:val="61BB2DD9"/>
    <w:rsid w:val="61C00B2F"/>
    <w:rsid w:val="61C6117D"/>
    <w:rsid w:val="61DD1B9A"/>
    <w:rsid w:val="61E136F6"/>
    <w:rsid w:val="61F323CC"/>
    <w:rsid w:val="61F4426B"/>
    <w:rsid w:val="61F83805"/>
    <w:rsid w:val="62022776"/>
    <w:rsid w:val="62083BCC"/>
    <w:rsid w:val="621F43E9"/>
    <w:rsid w:val="6223037D"/>
    <w:rsid w:val="62256C85"/>
    <w:rsid w:val="62574D95"/>
    <w:rsid w:val="62586747"/>
    <w:rsid w:val="626C60B7"/>
    <w:rsid w:val="627325F5"/>
    <w:rsid w:val="62746498"/>
    <w:rsid w:val="6290313E"/>
    <w:rsid w:val="62982A5C"/>
    <w:rsid w:val="629932AD"/>
    <w:rsid w:val="62A36DC8"/>
    <w:rsid w:val="62A41769"/>
    <w:rsid w:val="62B86D17"/>
    <w:rsid w:val="62BE1E54"/>
    <w:rsid w:val="62CB6D60"/>
    <w:rsid w:val="62F154C5"/>
    <w:rsid w:val="62F45876"/>
    <w:rsid w:val="62FD0A5D"/>
    <w:rsid w:val="630831EC"/>
    <w:rsid w:val="63162338"/>
    <w:rsid w:val="63184704"/>
    <w:rsid w:val="632036E4"/>
    <w:rsid w:val="63232EB3"/>
    <w:rsid w:val="63267478"/>
    <w:rsid w:val="633D315E"/>
    <w:rsid w:val="63466965"/>
    <w:rsid w:val="634F2F3D"/>
    <w:rsid w:val="63517786"/>
    <w:rsid w:val="63576530"/>
    <w:rsid w:val="63660521"/>
    <w:rsid w:val="636B5B38"/>
    <w:rsid w:val="637052D7"/>
    <w:rsid w:val="6388739F"/>
    <w:rsid w:val="638931FB"/>
    <w:rsid w:val="63954DAA"/>
    <w:rsid w:val="63AB1A91"/>
    <w:rsid w:val="63B76FCF"/>
    <w:rsid w:val="63BC1944"/>
    <w:rsid w:val="63C62C3C"/>
    <w:rsid w:val="63C74AA3"/>
    <w:rsid w:val="63D87748"/>
    <w:rsid w:val="63DE2EEF"/>
    <w:rsid w:val="63E94CAF"/>
    <w:rsid w:val="63F16145"/>
    <w:rsid w:val="63F518A5"/>
    <w:rsid w:val="64024CFF"/>
    <w:rsid w:val="64095786"/>
    <w:rsid w:val="640F6E0B"/>
    <w:rsid w:val="64113BA1"/>
    <w:rsid w:val="64156999"/>
    <w:rsid w:val="641D22DD"/>
    <w:rsid w:val="642108EC"/>
    <w:rsid w:val="64306CAD"/>
    <w:rsid w:val="6445580E"/>
    <w:rsid w:val="644A1BF1"/>
    <w:rsid w:val="645B3151"/>
    <w:rsid w:val="64616F3B"/>
    <w:rsid w:val="646A170C"/>
    <w:rsid w:val="646B1B68"/>
    <w:rsid w:val="646C6303"/>
    <w:rsid w:val="64701038"/>
    <w:rsid w:val="647629E6"/>
    <w:rsid w:val="647948A0"/>
    <w:rsid w:val="64797A3F"/>
    <w:rsid w:val="64815AEE"/>
    <w:rsid w:val="64885DC6"/>
    <w:rsid w:val="648937A8"/>
    <w:rsid w:val="648B1BA9"/>
    <w:rsid w:val="648D0F64"/>
    <w:rsid w:val="649449E8"/>
    <w:rsid w:val="649662EA"/>
    <w:rsid w:val="649D5D6D"/>
    <w:rsid w:val="64A9391A"/>
    <w:rsid w:val="64BD6867"/>
    <w:rsid w:val="64C80D68"/>
    <w:rsid w:val="64D77B16"/>
    <w:rsid w:val="64F1465A"/>
    <w:rsid w:val="64FD4EB5"/>
    <w:rsid w:val="6501677B"/>
    <w:rsid w:val="650A5434"/>
    <w:rsid w:val="650A75D2"/>
    <w:rsid w:val="651B17E0"/>
    <w:rsid w:val="651E27DC"/>
    <w:rsid w:val="652F0DE7"/>
    <w:rsid w:val="654725D5"/>
    <w:rsid w:val="65570D94"/>
    <w:rsid w:val="65574C16"/>
    <w:rsid w:val="656F7088"/>
    <w:rsid w:val="65744A4C"/>
    <w:rsid w:val="657A4758"/>
    <w:rsid w:val="657A6506"/>
    <w:rsid w:val="65834ED7"/>
    <w:rsid w:val="65927DA1"/>
    <w:rsid w:val="6593581A"/>
    <w:rsid w:val="65B23EF2"/>
    <w:rsid w:val="65B65064"/>
    <w:rsid w:val="65BC5BDE"/>
    <w:rsid w:val="65BF216B"/>
    <w:rsid w:val="65CC6636"/>
    <w:rsid w:val="65D3678B"/>
    <w:rsid w:val="65DB69B9"/>
    <w:rsid w:val="65E142CF"/>
    <w:rsid w:val="65EB2F60"/>
    <w:rsid w:val="65F16DEF"/>
    <w:rsid w:val="65FF5B93"/>
    <w:rsid w:val="66081715"/>
    <w:rsid w:val="661B00EA"/>
    <w:rsid w:val="661D360B"/>
    <w:rsid w:val="661F4E41"/>
    <w:rsid w:val="664352B9"/>
    <w:rsid w:val="66523C3F"/>
    <w:rsid w:val="665C126F"/>
    <w:rsid w:val="666B1717"/>
    <w:rsid w:val="66805D9E"/>
    <w:rsid w:val="66820F47"/>
    <w:rsid w:val="668A782A"/>
    <w:rsid w:val="66AC710E"/>
    <w:rsid w:val="66B07CC1"/>
    <w:rsid w:val="66B14B24"/>
    <w:rsid w:val="66B27D18"/>
    <w:rsid w:val="66B912B0"/>
    <w:rsid w:val="66C67529"/>
    <w:rsid w:val="66C80429"/>
    <w:rsid w:val="66CE5F90"/>
    <w:rsid w:val="66D1442C"/>
    <w:rsid w:val="66D47E7F"/>
    <w:rsid w:val="66D53B8A"/>
    <w:rsid w:val="66D64E5B"/>
    <w:rsid w:val="66DD089D"/>
    <w:rsid w:val="66EE6EC1"/>
    <w:rsid w:val="66F0016C"/>
    <w:rsid w:val="66FA479C"/>
    <w:rsid w:val="66FB2BD0"/>
    <w:rsid w:val="66FC2971"/>
    <w:rsid w:val="670008EB"/>
    <w:rsid w:val="671F1859"/>
    <w:rsid w:val="67262B05"/>
    <w:rsid w:val="674E513F"/>
    <w:rsid w:val="67610E75"/>
    <w:rsid w:val="676F7BC1"/>
    <w:rsid w:val="677178CC"/>
    <w:rsid w:val="677977BA"/>
    <w:rsid w:val="678966A9"/>
    <w:rsid w:val="678A0557"/>
    <w:rsid w:val="6796514D"/>
    <w:rsid w:val="679D31F9"/>
    <w:rsid w:val="679D3BF4"/>
    <w:rsid w:val="67B57CC9"/>
    <w:rsid w:val="67E071EA"/>
    <w:rsid w:val="67E97887"/>
    <w:rsid w:val="67E97973"/>
    <w:rsid w:val="67FA392E"/>
    <w:rsid w:val="67FB3202"/>
    <w:rsid w:val="67FC4971"/>
    <w:rsid w:val="68120AF8"/>
    <w:rsid w:val="68150768"/>
    <w:rsid w:val="68164CDF"/>
    <w:rsid w:val="681F3E12"/>
    <w:rsid w:val="68221BAF"/>
    <w:rsid w:val="682D62D9"/>
    <w:rsid w:val="68407C19"/>
    <w:rsid w:val="685143BC"/>
    <w:rsid w:val="68542A0A"/>
    <w:rsid w:val="68555296"/>
    <w:rsid w:val="686139AD"/>
    <w:rsid w:val="686C1E80"/>
    <w:rsid w:val="687513EA"/>
    <w:rsid w:val="687B1504"/>
    <w:rsid w:val="689079C3"/>
    <w:rsid w:val="6892679C"/>
    <w:rsid w:val="68C01904"/>
    <w:rsid w:val="68CF0917"/>
    <w:rsid w:val="68D56910"/>
    <w:rsid w:val="68DB3760"/>
    <w:rsid w:val="68EA05E8"/>
    <w:rsid w:val="68EF70C5"/>
    <w:rsid w:val="68F22D9F"/>
    <w:rsid w:val="69004F74"/>
    <w:rsid w:val="690507DD"/>
    <w:rsid w:val="69162C86"/>
    <w:rsid w:val="69165641"/>
    <w:rsid w:val="69196036"/>
    <w:rsid w:val="691B0000"/>
    <w:rsid w:val="69212D91"/>
    <w:rsid w:val="69214083"/>
    <w:rsid w:val="69456B9A"/>
    <w:rsid w:val="694766FF"/>
    <w:rsid w:val="69481344"/>
    <w:rsid w:val="695700E3"/>
    <w:rsid w:val="696F333A"/>
    <w:rsid w:val="697C146C"/>
    <w:rsid w:val="6980516E"/>
    <w:rsid w:val="698735C3"/>
    <w:rsid w:val="698B51FD"/>
    <w:rsid w:val="69944F4D"/>
    <w:rsid w:val="69960468"/>
    <w:rsid w:val="69A109AD"/>
    <w:rsid w:val="69AE677E"/>
    <w:rsid w:val="69BE5A26"/>
    <w:rsid w:val="69CE55F7"/>
    <w:rsid w:val="69D5796F"/>
    <w:rsid w:val="69DE3A33"/>
    <w:rsid w:val="69DF102E"/>
    <w:rsid w:val="69F101EA"/>
    <w:rsid w:val="69F448E4"/>
    <w:rsid w:val="6A090874"/>
    <w:rsid w:val="6A0F6D29"/>
    <w:rsid w:val="6A1E4A89"/>
    <w:rsid w:val="6A206086"/>
    <w:rsid w:val="6A3C6480"/>
    <w:rsid w:val="6A3F0B90"/>
    <w:rsid w:val="6A3F71AB"/>
    <w:rsid w:val="6A407F9F"/>
    <w:rsid w:val="6A484E25"/>
    <w:rsid w:val="6A4D5F32"/>
    <w:rsid w:val="6A4F30DD"/>
    <w:rsid w:val="6A5B49D5"/>
    <w:rsid w:val="6A5D65D9"/>
    <w:rsid w:val="6A5F3F1C"/>
    <w:rsid w:val="6A6D488B"/>
    <w:rsid w:val="6A722F0B"/>
    <w:rsid w:val="6A7A4D5B"/>
    <w:rsid w:val="6A7F636D"/>
    <w:rsid w:val="6A8641CC"/>
    <w:rsid w:val="6A881C38"/>
    <w:rsid w:val="6A9F256B"/>
    <w:rsid w:val="6AC034F3"/>
    <w:rsid w:val="6AC92749"/>
    <w:rsid w:val="6AC96987"/>
    <w:rsid w:val="6ACF15BF"/>
    <w:rsid w:val="6AD42C61"/>
    <w:rsid w:val="6ADD7329"/>
    <w:rsid w:val="6AE14092"/>
    <w:rsid w:val="6AEA323D"/>
    <w:rsid w:val="6AF07997"/>
    <w:rsid w:val="6AF5032D"/>
    <w:rsid w:val="6AFB2812"/>
    <w:rsid w:val="6AFF182D"/>
    <w:rsid w:val="6B016D82"/>
    <w:rsid w:val="6B032C8C"/>
    <w:rsid w:val="6B0845B4"/>
    <w:rsid w:val="6B3569BE"/>
    <w:rsid w:val="6B3A1CE8"/>
    <w:rsid w:val="6B3E4E41"/>
    <w:rsid w:val="6B4D49EF"/>
    <w:rsid w:val="6B550B6B"/>
    <w:rsid w:val="6B565CD0"/>
    <w:rsid w:val="6B7022D0"/>
    <w:rsid w:val="6B7B5422"/>
    <w:rsid w:val="6B852192"/>
    <w:rsid w:val="6B925A32"/>
    <w:rsid w:val="6B9B7D95"/>
    <w:rsid w:val="6B9C4F5E"/>
    <w:rsid w:val="6BA83728"/>
    <w:rsid w:val="6BAC4113"/>
    <w:rsid w:val="6BE02E3B"/>
    <w:rsid w:val="6BE13B5E"/>
    <w:rsid w:val="6BE31674"/>
    <w:rsid w:val="6BE32942"/>
    <w:rsid w:val="6BE852C7"/>
    <w:rsid w:val="6BE95EA9"/>
    <w:rsid w:val="6BEA6094"/>
    <w:rsid w:val="6BEF4116"/>
    <w:rsid w:val="6BFA214F"/>
    <w:rsid w:val="6BFB1A23"/>
    <w:rsid w:val="6C114575"/>
    <w:rsid w:val="6C1325D3"/>
    <w:rsid w:val="6C172D01"/>
    <w:rsid w:val="6C184383"/>
    <w:rsid w:val="6C1C22B4"/>
    <w:rsid w:val="6C32337D"/>
    <w:rsid w:val="6C3E2214"/>
    <w:rsid w:val="6C4D48CD"/>
    <w:rsid w:val="6C635F46"/>
    <w:rsid w:val="6C8202CD"/>
    <w:rsid w:val="6C875645"/>
    <w:rsid w:val="6C89702F"/>
    <w:rsid w:val="6C8B724B"/>
    <w:rsid w:val="6C961621"/>
    <w:rsid w:val="6C9D5038"/>
    <w:rsid w:val="6CBB7DE1"/>
    <w:rsid w:val="6CC445CB"/>
    <w:rsid w:val="6CC47E5A"/>
    <w:rsid w:val="6CD042ED"/>
    <w:rsid w:val="6CDF30F3"/>
    <w:rsid w:val="6CE8573C"/>
    <w:rsid w:val="6CF01775"/>
    <w:rsid w:val="6CF86DB4"/>
    <w:rsid w:val="6CFB62C0"/>
    <w:rsid w:val="6D026DE8"/>
    <w:rsid w:val="6D0316B2"/>
    <w:rsid w:val="6D036DE1"/>
    <w:rsid w:val="6D0E1321"/>
    <w:rsid w:val="6D104BE0"/>
    <w:rsid w:val="6D132371"/>
    <w:rsid w:val="6D1B450F"/>
    <w:rsid w:val="6D2D29AD"/>
    <w:rsid w:val="6D2D3E5E"/>
    <w:rsid w:val="6D396CA7"/>
    <w:rsid w:val="6D3B47CD"/>
    <w:rsid w:val="6D3F3B91"/>
    <w:rsid w:val="6D487B73"/>
    <w:rsid w:val="6D4B1E5A"/>
    <w:rsid w:val="6D5E70E9"/>
    <w:rsid w:val="6D6729D8"/>
    <w:rsid w:val="6D6E09F2"/>
    <w:rsid w:val="6D71561E"/>
    <w:rsid w:val="6D836174"/>
    <w:rsid w:val="6D852386"/>
    <w:rsid w:val="6D887DB6"/>
    <w:rsid w:val="6D920165"/>
    <w:rsid w:val="6D9E02E5"/>
    <w:rsid w:val="6DAE4919"/>
    <w:rsid w:val="6DB66549"/>
    <w:rsid w:val="6DB91B96"/>
    <w:rsid w:val="6DBD67AE"/>
    <w:rsid w:val="6DDE1B84"/>
    <w:rsid w:val="6DF453C2"/>
    <w:rsid w:val="6DFF1C9E"/>
    <w:rsid w:val="6E103CBF"/>
    <w:rsid w:val="6E3363CE"/>
    <w:rsid w:val="6E3C316F"/>
    <w:rsid w:val="6E456275"/>
    <w:rsid w:val="6E475DDD"/>
    <w:rsid w:val="6E4E1C3F"/>
    <w:rsid w:val="6E4E36BD"/>
    <w:rsid w:val="6E6127F4"/>
    <w:rsid w:val="6E631ECC"/>
    <w:rsid w:val="6E66587A"/>
    <w:rsid w:val="6E7A0642"/>
    <w:rsid w:val="6E880670"/>
    <w:rsid w:val="6E985C4F"/>
    <w:rsid w:val="6EBD7D11"/>
    <w:rsid w:val="6EC002E5"/>
    <w:rsid w:val="6EC46A44"/>
    <w:rsid w:val="6EC64ECD"/>
    <w:rsid w:val="6ECD2CED"/>
    <w:rsid w:val="6ED66BFA"/>
    <w:rsid w:val="6ED722D3"/>
    <w:rsid w:val="6ED76777"/>
    <w:rsid w:val="6EDA1DC4"/>
    <w:rsid w:val="6EE1422E"/>
    <w:rsid w:val="6F1743AC"/>
    <w:rsid w:val="6F2B4C6D"/>
    <w:rsid w:val="6F5C1867"/>
    <w:rsid w:val="6F5C3F48"/>
    <w:rsid w:val="6F61462B"/>
    <w:rsid w:val="6F6D6714"/>
    <w:rsid w:val="6F7C2E7B"/>
    <w:rsid w:val="6F8C57B4"/>
    <w:rsid w:val="6F9C2017"/>
    <w:rsid w:val="6F9F13EF"/>
    <w:rsid w:val="6FB62831"/>
    <w:rsid w:val="6FC2450B"/>
    <w:rsid w:val="6FC36CFC"/>
    <w:rsid w:val="6FCA64CD"/>
    <w:rsid w:val="6FD20CED"/>
    <w:rsid w:val="6FE112C4"/>
    <w:rsid w:val="6FF069FB"/>
    <w:rsid w:val="6FF375E1"/>
    <w:rsid w:val="6FFB0619"/>
    <w:rsid w:val="6FFD7D02"/>
    <w:rsid w:val="70020E6A"/>
    <w:rsid w:val="700A0487"/>
    <w:rsid w:val="701A60AC"/>
    <w:rsid w:val="701A70E6"/>
    <w:rsid w:val="702149D3"/>
    <w:rsid w:val="7021684B"/>
    <w:rsid w:val="70217D0F"/>
    <w:rsid w:val="70233030"/>
    <w:rsid w:val="702B7530"/>
    <w:rsid w:val="70413A40"/>
    <w:rsid w:val="704E4817"/>
    <w:rsid w:val="7056241A"/>
    <w:rsid w:val="70613296"/>
    <w:rsid w:val="707B2CB1"/>
    <w:rsid w:val="707B3132"/>
    <w:rsid w:val="70952588"/>
    <w:rsid w:val="70A02B99"/>
    <w:rsid w:val="70A34833"/>
    <w:rsid w:val="70BE0CFD"/>
    <w:rsid w:val="70D34D1C"/>
    <w:rsid w:val="70D56048"/>
    <w:rsid w:val="70DA3248"/>
    <w:rsid w:val="70EB67C6"/>
    <w:rsid w:val="71027F8C"/>
    <w:rsid w:val="71155335"/>
    <w:rsid w:val="7117773C"/>
    <w:rsid w:val="712A4901"/>
    <w:rsid w:val="712D744C"/>
    <w:rsid w:val="71391F94"/>
    <w:rsid w:val="714E7A84"/>
    <w:rsid w:val="71542301"/>
    <w:rsid w:val="715C7408"/>
    <w:rsid w:val="715D7335"/>
    <w:rsid w:val="71705DEE"/>
    <w:rsid w:val="717159EA"/>
    <w:rsid w:val="71763E5A"/>
    <w:rsid w:val="71777F8A"/>
    <w:rsid w:val="71810C1C"/>
    <w:rsid w:val="7185070D"/>
    <w:rsid w:val="71922E29"/>
    <w:rsid w:val="719340CC"/>
    <w:rsid w:val="71950224"/>
    <w:rsid w:val="71956476"/>
    <w:rsid w:val="719E465F"/>
    <w:rsid w:val="71A412EF"/>
    <w:rsid w:val="71B106B0"/>
    <w:rsid w:val="71B61A42"/>
    <w:rsid w:val="71BB267E"/>
    <w:rsid w:val="71BC1C54"/>
    <w:rsid w:val="71C32243"/>
    <w:rsid w:val="71C54FAD"/>
    <w:rsid w:val="71D94178"/>
    <w:rsid w:val="71E258E0"/>
    <w:rsid w:val="71E450CA"/>
    <w:rsid w:val="71EA7F5E"/>
    <w:rsid w:val="71EC42E8"/>
    <w:rsid w:val="71EF202A"/>
    <w:rsid w:val="71F773F9"/>
    <w:rsid w:val="720723CB"/>
    <w:rsid w:val="720C6738"/>
    <w:rsid w:val="72137E38"/>
    <w:rsid w:val="721F7D69"/>
    <w:rsid w:val="7225336C"/>
    <w:rsid w:val="722C5F6E"/>
    <w:rsid w:val="72374923"/>
    <w:rsid w:val="724B68D9"/>
    <w:rsid w:val="725E62FA"/>
    <w:rsid w:val="725F6779"/>
    <w:rsid w:val="72860473"/>
    <w:rsid w:val="728C686A"/>
    <w:rsid w:val="7299364D"/>
    <w:rsid w:val="72C16C93"/>
    <w:rsid w:val="72D336FA"/>
    <w:rsid w:val="72D66A82"/>
    <w:rsid w:val="72D67597"/>
    <w:rsid w:val="72E43D31"/>
    <w:rsid w:val="72EE22E1"/>
    <w:rsid w:val="72FF6E9B"/>
    <w:rsid w:val="73027148"/>
    <w:rsid w:val="7305147C"/>
    <w:rsid w:val="731A30F8"/>
    <w:rsid w:val="733221CE"/>
    <w:rsid w:val="733A7EE8"/>
    <w:rsid w:val="735A55D3"/>
    <w:rsid w:val="73621B80"/>
    <w:rsid w:val="7375174D"/>
    <w:rsid w:val="73795D83"/>
    <w:rsid w:val="73850D73"/>
    <w:rsid w:val="738B56FD"/>
    <w:rsid w:val="739F2E93"/>
    <w:rsid w:val="73A60FE9"/>
    <w:rsid w:val="73AA6208"/>
    <w:rsid w:val="73C06788"/>
    <w:rsid w:val="73DC213A"/>
    <w:rsid w:val="73DE1B70"/>
    <w:rsid w:val="73F27BAF"/>
    <w:rsid w:val="73FB6A64"/>
    <w:rsid w:val="73FF03C6"/>
    <w:rsid w:val="74001F87"/>
    <w:rsid w:val="74073A63"/>
    <w:rsid w:val="741378E4"/>
    <w:rsid w:val="7416564C"/>
    <w:rsid w:val="741C4C2C"/>
    <w:rsid w:val="741E09A4"/>
    <w:rsid w:val="743138C9"/>
    <w:rsid w:val="74393A30"/>
    <w:rsid w:val="74432CA1"/>
    <w:rsid w:val="74454183"/>
    <w:rsid w:val="74493C73"/>
    <w:rsid w:val="74497E8D"/>
    <w:rsid w:val="744F70D5"/>
    <w:rsid w:val="7468055C"/>
    <w:rsid w:val="746B1062"/>
    <w:rsid w:val="746C3601"/>
    <w:rsid w:val="74957A1D"/>
    <w:rsid w:val="74976F8C"/>
    <w:rsid w:val="749C28D6"/>
    <w:rsid w:val="74AB66DC"/>
    <w:rsid w:val="74AC2DBE"/>
    <w:rsid w:val="74B4279D"/>
    <w:rsid w:val="74B44E65"/>
    <w:rsid w:val="74C57CD7"/>
    <w:rsid w:val="74C959EF"/>
    <w:rsid w:val="74CE5F27"/>
    <w:rsid w:val="74D226D8"/>
    <w:rsid w:val="74D951DD"/>
    <w:rsid w:val="74DB2B99"/>
    <w:rsid w:val="74EC53F9"/>
    <w:rsid w:val="74F273DA"/>
    <w:rsid w:val="74F600B5"/>
    <w:rsid w:val="75102AF5"/>
    <w:rsid w:val="751328C1"/>
    <w:rsid w:val="751955D7"/>
    <w:rsid w:val="751C1B98"/>
    <w:rsid w:val="752B3379"/>
    <w:rsid w:val="753F1C14"/>
    <w:rsid w:val="754B45FC"/>
    <w:rsid w:val="754C4FE3"/>
    <w:rsid w:val="755D3FA7"/>
    <w:rsid w:val="75662603"/>
    <w:rsid w:val="75780005"/>
    <w:rsid w:val="75790588"/>
    <w:rsid w:val="75BA7DC9"/>
    <w:rsid w:val="75C158E1"/>
    <w:rsid w:val="75F8173D"/>
    <w:rsid w:val="75FB13BD"/>
    <w:rsid w:val="75FE15A4"/>
    <w:rsid w:val="76087EFE"/>
    <w:rsid w:val="76242149"/>
    <w:rsid w:val="762F3987"/>
    <w:rsid w:val="762F4303"/>
    <w:rsid w:val="763146BA"/>
    <w:rsid w:val="763149BF"/>
    <w:rsid w:val="763C17CD"/>
    <w:rsid w:val="76465F91"/>
    <w:rsid w:val="764D5571"/>
    <w:rsid w:val="7651209F"/>
    <w:rsid w:val="76625186"/>
    <w:rsid w:val="76694515"/>
    <w:rsid w:val="7671183A"/>
    <w:rsid w:val="76795A9A"/>
    <w:rsid w:val="76850BE3"/>
    <w:rsid w:val="76857D79"/>
    <w:rsid w:val="768E7AAD"/>
    <w:rsid w:val="76911E46"/>
    <w:rsid w:val="769D37DC"/>
    <w:rsid w:val="76AD1FDF"/>
    <w:rsid w:val="76AF483A"/>
    <w:rsid w:val="76C61386"/>
    <w:rsid w:val="76CC46E8"/>
    <w:rsid w:val="76D56664"/>
    <w:rsid w:val="76DB0DCF"/>
    <w:rsid w:val="76E81AE6"/>
    <w:rsid w:val="770802F0"/>
    <w:rsid w:val="771025D4"/>
    <w:rsid w:val="77131639"/>
    <w:rsid w:val="77163772"/>
    <w:rsid w:val="77196438"/>
    <w:rsid w:val="77237002"/>
    <w:rsid w:val="77326AF1"/>
    <w:rsid w:val="77342D6F"/>
    <w:rsid w:val="77383B2B"/>
    <w:rsid w:val="77390C90"/>
    <w:rsid w:val="773B467C"/>
    <w:rsid w:val="775B5775"/>
    <w:rsid w:val="775E0D1F"/>
    <w:rsid w:val="775E5C88"/>
    <w:rsid w:val="77613082"/>
    <w:rsid w:val="776655B0"/>
    <w:rsid w:val="777B5097"/>
    <w:rsid w:val="777E55F4"/>
    <w:rsid w:val="777F5120"/>
    <w:rsid w:val="77820DEB"/>
    <w:rsid w:val="7792671F"/>
    <w:rsid w:val="7797445D"/>
    <w:rsid w:val="77986D62"/>
    <w:rsid w:val="779B2CD1"/>
    <w:rsid w:val="77A015C8"/>
    <w:rsid w:val="77A836A9"/>
    <w:rsid w:val="77A92E90"/>
    <w:rsid w:val="77B15DA9"/>
    <w:rsid w:val="77B358A8"/>
    <w:rsid w:val="77B650A0"/>
    <w:rsid w:val="77CE0481"/>
    <w:rsid w:val="77D25D2E"/>
    <w:rsid w:val="77E141C3"/>
    <w:rsid w:val="77EC7456"/>
    <w:rsid w:val="77EE7D89"/>
    <w:rsid w:val="77EF0483"/>
    <w:rsid w:val="77F04406"/>
    <w:rsid w:val="77F9150C"/>
    <w:rsid w:val="78131205"/>
    <w:rsid w:val="78177BE5"/>
    <w:rsid w:val="781911C5"/>
    <w:rsid w:val="781A279F"/>
    <w:rsid w:val="782F5811"/>
    <w:rsid w:val="78384A59"/>
    <w:rsid w:val="78393FFF"/>
    <w:rsid w:val="783B343E"/>
    <w:rsid w:val="784A2663"/>
    <w:rsid w:val="784A43B3"/>
    <w:rsid w:val="784A620C"/>
    <w:rsid w:val="785030F6"/>
    <w:rsid w:val="78581051"/>
    <w:rsid w:val="786228CD"/>
    <w:rsid w:val="786678A8"/>
    <w:rsid w:val="786F0FB8"/>
    <w:rsid w:val="78714DF4"/>
    <w:rsid w:val="78756296"/>
    <w:rsid w:val="7882338A"/>
    <w:rsid w:val="789C633C"/>
    <w:rsid w:val="78A91184"/>
    <w:rsid w:val="78B20233"/>
    <w:rsid w:val="78B47B29"/>
    <w:rsid w:val="78CF4963"/>
    <w:rsid w:val="78D81857"/>
    <w:rsid w:val="78E51A91"/>
    <w:rsid w:val="78FC0536"/>
    <w:rsid w:val="78FE7954"/>
    <w:rsid w:val="7903264F"/>
    <w:rsid w:val="79150CBA"/>
    <w:rsid w:val="79297BCF"/>
    <w:rsid w:val="79315979"/>
    <w:rsid w:val="793B6981"/>
    <w:rsid w:val="794C5AF5"/>
    <w:rsid w:val="795831E5"/>
    <w:rsid w:val="796E7E54"/>
    <w:rsid w:val="79756315"/>
    <w:rsid w:val="79765CDA"/>
    <w:rsid w:val="797F3C93"/>
    <w:rsid w:val="799D05BD"/>
    <w:rsid w:val="79A47621"/>
    <w:rsid w:val="79AA18D2"/>
    <w:rsid w:val="79C56A19"/>
    <w:rsid w:val="79D957CA"/>
    <w:rsid w:val="79DA621C"/>
    <w:rsid w:val="79E13BA8"/>
    <w:rsid w:val="79ED729C"/>
    <w:rsid w:val="79FD4ED1"/>
    <w:rsid w:val="7A0A78E3"/>
    <w:rsid w:val="7A1211D1"/>
    <w:rsid w:val="7A1C14E2"/>
    <w:rsid w:val="7A311FA1"/>
    <w:rsid w:val="7A364577"/>
    <w:rsid w:val="7A4F18B8"/>
    <w:rsid w:val="7A54735F"/>
    <w:rsid w:val="7A681FA7"/>
    <w:rsid w:val="7A6963D8"/>
    <w:rsid w:val="7A6B3411"/>
    <w:rsid w:val="7A884DCA"/>
    <w:rsid w:val="7A954EDF"/>
    <w:rsid w:val="7AA21823"/>
    <w:rsid w:val="7AA7070E"/>
    <w:rsid w:val="7AA900DE"/>
    <w:rsid w:val="7AA936C9"/>
    <w:rsid w:val="7AB12D4C"/>
    <w:rsid w:val="7AC450ED"/>
    <w:rsid w:val="7AC62EF8"/>
    <w:rsid w:val="7ACA7190"/>
    <w:rsid w:val="7ACD0A2E"/>
    <w:rsid w:val="7AD37F76"/>
    <w:rsid w:val="7AD65B35"/>
    <w:rsid w:val="7AF771AA"/>
    <w:rsid w:val="7B1448AF"/>
    <w:rsid w:val="7B16480F"/>
    <w:rsid w:val="7B190BA4"/>
    <w:rsid w:val="7B2A3951"/>
    <w:rsid w:val="7B36137C"/>
    <w:rsid w:val="7B38234C"/>
    <w:rsid w:val="7B3A4E9F"/>
    <w:rsid w:val="7B4C4049"/>
    <w:rsid w:val="7B5178B1"/>
    <w:rsid w:val="7B615D46"/>
    <w:rsid w:val="7B690757"/>
    <w:rsid w:val="7B6F5B5B"/>
    <w:rsid w:val="7B7415FA"/>
    <w:rsid w:val="7B765886"/>
    <w:rsid w:val="7B767496"/>
    <w:rsid w:val="7B7C4D25"/>
    <w:rsid w:val="7B7F3871"/>
    <w:rsid w:val="7B893C25"/>
    <w:rsid w:val="7B8B5C40"/>
    <w:rsid w:val="7B90640C"/>
    <w:rsid w:val="7B922E29"/>
    <w:rsid w:val="7B9C6D7F"/>
    <w:rsid w:val="7B9D48A5"/>
    <w:rsid w:val="7B9D6653"/>
    <w:rsid w:val="7BC24F1F"/>
    <w:rsid w:val="7BC41E31"/>
    <w:rsid w:val="7BD31291"/>
    <w:rsid w:val="7BD94735"/>
    <w:rsid w:val="7BE23EB3"/>
    <w:rsid w:val="7BFA5853"/>
    <w:rsid w:val="7C0F4B17"/>
    <w:rsid w:val="7C26489A"/>
    <w:rsid w:val="7C3A2FA7"/>
    <w:rsid w:val="7C4371FA"/>
    <w:rsid w:val="7C5840BF"/>
    <w:rsid w:val="7C5E4034"/>
    <w:rsid w:val="7C8B294F"/>
    <w:rsid w:val="7C8D2B6B"/>
    <w:rsid w:val="7C8D32A6"/>
    <w:rsid w:val="7C8F68E3"/>
    <w:rsid w:val="7C9909ED"/>
    <w:rsid w:val="7C9C2291"/>
    <w:rsid w:val="7CA56991"/>
    <w:rsid w:val="7CA71E0B"/>
    <w:rsid w:val="7CB85E09"/>
    <w:rsid w:val="7CC0084B"/>
    <w:rsid w:val="7CCE2197"/>
    <w:rsid w:val="7CCF13DD"/>
    <w:rsid w:val="7CE81B50"/>
    <w:rsid w:val="7CF0254C"/>
    <w:rsid w:val="7CFA743F"/>
    <w:rsid w:val="7CFD713B"/>
    <w:rsid w:val="7CFE3A42"/>
    <w:rsid w:val="7CFF1519"/>
    <w:rsid w:val="7D036A82"/>
    <w:rsid w:val="7D0830DF"/>
    <w:rsid w:val="7D0F508E"/>
    <w:rsid w:val="7D17450A"/>
    <w:rsid w:val="7D1B0177"/>
    <w:rsid w:val="7D1F60A0"/>
    <w:rsid w:val="7D3021D9"/>
    <w:rsid w:val="7D3F099E"/>
    <w:rsid w:val="7D480840"/>
    <w:rsid w:val="7D4B01E2"/>
    <w:rsid w:val="7D533A52"/>
    <w:rsid w:val="7D5B43D0"/>
    <w:rsid w:val="7D6243C6"/>
    <w:rsid w:val="7D752C5B"/>
    <w:rsid w:val="7D76523E"/>
    <w:rsid w:val="7D781E69"/>
    <w:rsid w:val="7D7B5075"/>
    <w:rsid w:val="7D832173"/>
    <w:rsid w:val="7D847ACA"/>
    <w:rsid w:val="7D8A3C14"/>
    <w:rsid w:val="7D8C5B06"/>
    <w:rsid w:val="7D934401"/>
    <w:rsid w:val="7D94262F"/>
    <w:rsid w:val="7D953960"/>
    <w:rsid w:val="7D961406"/>
    <w:rsid w:val="7DB83C18"/>
    <w:rsid w:val="7DBC3708"/>
    <w:rsid w:val="7DCB394B"/>
    <w:rsid w:val="7DDC7906"/>
    <w:rsid w:val="7DE069AC"/>
    <w:rsid w:val="7DFF0E02"/>
    <w:rsid w:val="7E070C8C"/>
    <w:rsid w:val="7E0C521E"/>
    <w:rsid w:val="7E0E7E19"/>
    <w:rsid w:val="7E1840CC"/>
    <w:rsid w:val="7E1964D0"/>
    <w:rsid w:val="7E303249"/>
    <w:rsid w:val="7E3A272C"/>
    <w:rsid w:val="7E3E411D"/>
    <w:rsid w:val="7E4C5F6D"/>
    <w:rsid w:val="7E555123"/>
    <w:rsid w:val="7E557656"/>
    <w:rsid w:val="7E580308"/>
    <w:rsid w:val="7E5E656D"/>
    <w:rsid w:val="7E6416AA"/>
    <w:rsid w:val="7E844BCE"/>
    <w:rsid w:val="7E8D660B"/>
    <w:rsid w:val="7E992085"/>
    <w:rsid w:val="7EA53586"/>
    <w:rsid w:val="7EB47F46"/>
    <w:rsid w:val="7EB75C7D"/>
    <w:rsid w:val="7EB94600"/>
    <w:rsid w:val="7ECF7C45"/>
    <w:rsid w:val="7ED82860"/>
    <w:rsid w:val="7EDC7492"/>
    <w:rsid w:val="7EE051D4"/>
    <w:rsid w:val="7EE34CC4"/>
    <w:rsid w:val="7EE34DA7"/>
    <w:rsid w:val="7EF45DB1"/>
    <w:rsid w:val="7EFD2358"/>
    <w:rsid w:val="7EFE2453"/>
    <w:rsid w:val="7EFF5324"/>
    <w:rsid w:val="7F03165A"/>
    <w:rsid w:val="7F077A20"/>
    <w:rsid w:val="7F077BC2"/>
    <w:rsid w:val="7F09267A"/>
    <w:rsid w:val="7F231565"/>
    <w:rsid w:val="7F2A46A1"/>
    <w:rsid w:val="7F2B23E6"/>
    <w:rsid w:val="7F2B4123"/>
    <w:rsid w:val="7F314142"/>
    <w:rsid w:val="7F3426C9"/>
    <w:rsid w:val="7F394D98"/>
    <w:rsid w:val="7F3E0944"/>
    <w:rsid w:val="7F3E5DC7"/>
    <w:rsid w:val="7F4C3E66"/>
    <w:rsid w:val="7F596D35"/>
    <w:rsid w:val="7F5C2ED4"/>
    <w:rsid w:val="7F5D2D05"/>
    <w:rsid w:val="7F686F78"/>
    <w:rsid w:val="7F8A3D01"/>
    <w:rsid w:val="7F8C2C66"/>
    <w:rsid w:val="7F961D37"/>
    <w:rsid w:val="7F9C4EBD"/>
    <w:rsid w:val="7FAD310E"/>
    <w:rsid w:val="7FCD6742"/>
    <w:rsid w:val="7FE40CF4"/>
    <w:rsid w:val="7FE505C8"/>
    <w:rsid w:val="7FE546A7"/>
    <w:rsid w:val="7FE86419"/>
    <w:rsid w:val="7FFA40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semiHidden="0" w:name="table of figures"/>
    <w:lsdException w:uiPriority="99" w:name="envelope address" w:locked="1"/>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99"/>
    <w:pPr>
      <w:keepNext/>
      <w:keepLines/>
      <w:spacing w:line="440" w:lineRule="exact"/>
      <w:jc w:val="center"/>
      <w:outlineLvl w:val="0"/>
    </w:pPr>
    <w:rPr>
      <w:b/>
      <w:bCs/>
      <w:kern w:val="44"/>
      <w:sz w:val="44"/>
      <w:szCs w:val="44"/>
    </w:rPr>
  </w:style>
  <w:style w:type="paragraph" w:styleId="3">
    <w:name w:val="heading 2"/>
    <w:basedOn w:val="1"/>
    <w:next w:val="1"/>
    <w:link w:val="66"/>
    <w:autoRedefine/>
    <w:qFormat/>
    <w:uiPriority w:val="99"/>
    <w:pPr>
      <w:keepNext/>
      <w:keepLines/>
      <w:spacing w:line="440" w:lineRule="exact"/>
      <w:jc w:val="left"/>
      <w:outlineLvl w:val="1"/>
    </w:pPr>
    <w:rPr>
      <w:rFonts w:ascii="Arial" w:hAnsi="Arial" w:eastAsia="黑体"/>
      <w:b/>
      <w:bCs/>
      <w:szCs w:val="32"/>
    </w:rPr>
  </w:style>
  <w:style w:type="paragraph" w:styleId="4">
    <w:name w:val="heading 3"/>
    <w:basedOn w:val="1"/>
    <w:next w:val="1"/>
    <w:link w:val="67"/>
    <w:autoRedefine/>
    <w:qFormat/>
    <w:uiPriority w:val="99"/>
    <w:pPr>
      <w:keepNext/>
      <w:keepLines/>
      <w:spacing w:line="415" w:lineRule="auto"/>
      <w:outlineLvl w:val="2"/>
    </w:pPr>
    <w:rPr>
      <w:b/>
      <w:bCs/>
      <w:kern w:val="0"/>
      <w:sz w:val="32"/>
      <w:szCs w:val="32"/>
    </w:rPr>
  </w:style>
  <w:style w:type="paragraph" w:styleId="5">
    <w:name w:val="heading 4"/>
    <w:basedOn w:val="1"/>
    <w:next w:val="1"/>
    <w:link w:val="68"/>
    <w:autoRedefine/>
    <w:qFormat/>
    <w:uiPriority w:val="99"/>
    <w:pPr>
      <w:keepNext/>
      <w:keepLines/>
      <w:spacing w:line="374" w:lineRule="auto"/>
      <w:outlineLvl w:val="3"/>
    </w:pPr>
    <w:rPr>
      <w:rFonts w:ascii="Arial" w:hAnsi="Arial" w:eastAsia="黑体"/>
      <w:b/>
      <w:bCs/>
      <w:sz w:val="28"/>
      <w:szCs w:val="28"/>
    </w:rPr>
  </w:style>
  <w:style w:type="paragraph" w:styleId="6">
    <w:name w:val="heading 5"/>
    <w:basedOn w:val="1"/>
    <w:next w:val="1"/>
    <w:link w:val="69"/>
    <w:autoRedefine/>
    <w:qFormat/>
    <w:uiPriority w:val="99"/>
    <w:pPr>
      <w:keepNext/>
      <w:keepLines/>
      <w:spacing w:line="376" w:lineRule="auto"/>
      <w:outlineLvl w:val="4"/>
    </w:pPr>
    <w:rPr>
      <w:b/>
      <w:bCs/>
      <w:sz w:val="28"/>
      <w:szCs w:val="28"/>
    </w:rPr>
  </w:style>
  <w:style w:type="paragraph" w:styleId="7">
    <w:name w:val="heading 6"/>
    <w:basedOn w:val="1"/>
    <w:next w:val="1"/>
    <w:link w:val="70"/>
    <w:autoRedefine/>
    <w:qFormat/>
    <w:uiPriority w:val="99"/>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71"/>
    <w:autoRedefine/>
    <w:qFormat/>
    <w:uiPriority w:val="99"/>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72"/>
    <w:autoRedefine/>
    <w:qFormat/>
    <w:uiPriority w:val="99"/>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73"/>
    <w:autoRedefine/>
    <w:qFormat/>
    <w:uiPriority w:val="99"/>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autoRedefine/>
    <w:semiHidden/>
    <w:qFormat/>
    <w:uiPriority w:val="99"/>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99"/>
    <w:pPr>
      <w:ind w:left="1260"/>
      <w:jc w:val="left"/>
    </w:pPr>
    <w:rPr>
      <w:sz w:val="18"/>
      <w:szCs w:val="18"/>
    </w:rPr>
  </w:style>
  <w:style w:type="paragraph" w:styleId="12">
    <w:name w:val="Normal Indent"/>
    <w:basedOn w:val="1"/>
    <w:autoRedefine/>
    <w:qFormat/>
    <w:uiPriority w:val="99"/>
    <w:pPr>
      <w:ind w:firstLine="420" w:firstLineChars="200"/>
    </w:pPr>
  </w:style>
  <w:style w:type="paragraph" w:styleId="13">
    <w:name w:val="Document Map"/>
    <w:basedOn w:val="1"/>
    <w:next w:val="1"/>
    <w:link w:val="76"/>
    <w:autoRedefine/>
    <w:qFormat/>
    <w:uiPriority w:val="99"/>
    <w:pPr>
      <w:shd w:val="clear" w:color="auto" w:fill="000080"/>
    </w:pPr>
  </w:style>
  <w:style w:type="paragraph" w:styleId="14">
    <w:name w:val="annotation text"/>
    <w:basedOn w:val="1"/>
    <w:link w:val="77"/>
    <w:autoRedefine/>
    <w:qFormat/>
    <w:uiPriority w:val="99"/>
    <w:pPr>
      <w:jc w:val="left"/>
    </w:pPr>
  </w:style>
  <w:style w:type="paragraph" w:styleId="15">
    <w:name w:val="Body Text 3"/>
    <w:basedOn w:val="1"/>
    <w:link w:val="78"/>
    <w:autoRedefine/>
    <w:qFormat/>
    <w:uiPriority w:val="99"/>
    <w:rPr>
      <w:rFonts w:ascii="宋体"/>
      <w:sz w:val="24"/>
      <w:szCs w:val="20"/>
    </w:rPr>
  </w:style>
  <w:style w:type="paragraph" w:styleId="16">
    <w:name w:val="Body Text"/>
    <w:basedOn w:val="1"/>
    <w:link w:val="79"/>
    <w:autoRedefine/>
    <w:qFormat/>
    <w:uiPriority w:val="99"/>
  </w:style>
  <w:style w:type="paragraph" w:styleId="17">
    <w:name w:val="Body Text Indent"/>
    <w:basedOn w:val="1"/>
    <w:next w:val="18"/>
    <w:link w:val="74"/>
    <w:autoRedefine/>
    <w:qFormat/>
    <w:uiPriority w:val="99"/>
    <w:pPr>
      <w:ind w:left="420" w:leftChars="200"/>
    </w:pPr>
  </w:style>
  <w:style w:type="paragraph" w:styleId="18">
    <w:name w:val="envelope return"/>
    <w:basedOn w:val="1"/>
    <w:autoRedefine/>
    <w:qFormat/>
    <w:uiPriority w:val="99"/>
    <w:pPr>
      <w:snapToGrid w:val="0"/>
    </w:pPr>
    <w:rPr>
      <w:rFonts w:ascii="Arial" w:hAnsi="Arial"/>
    </w:rPr>
  </w:style>
  <w:style w:type="paragraph" w:styleId="19">
    <w:name w:val="Block Text"/>
    <w:basedOn w:val="1"/>
    <w:autoRedefine/>
    <w:qFormat/>
    <w:uiPriority w:val="99"/>
    <w:pPr>
      <w:spacing w:line="400" w:lineRule="exact"/>
      <w:ind w:left="-359" w:leftChars="-171" w:right="31" w:rightChars="15" w:firstLine="980" w:firstLineChars="350"/>
    </w:pPr>
    <w:rPr>
      <w:rFonts w:ascii="宋体" w:hAnsi="宋体"/>
      <w:sz w:val="28"/>
      <w:szCs w:val="32"/>
    </w:rPr>
  </w:style>
  <w:style w:type="paragraph" w:styleId="20">
    <w:name w:val="toc 5"/>
    <w:basedOn w:val="1"/>
    <w:next w:val="1"/>
    <w:autoRedefine/>
    <w:qFormat/>
    <w:uiPriority w:val="99"/>
    <w:pPr>
      <w:ind w:left="840"/>
      <w:jc w:val="left"/>
    </w:pPr>
    <w:rPr>
      <w:sz w:val="18"/>
      <w:szCs w:val="18"/>
    </w:rPr>
  </w:style>
  <w:style w:type="paragraph" w:styleId="21">
    <w:name w:val="toc 3"/>
    <w:basedOn w:val="1"/>
    <w:next w:val="1"/>
    <w:autoRedefine/>
    <w:qFormat/>
    <w:uiPriority w:val="99"/>
    <w:pPr>
      <w:ind w:left="420"/>
      <w:jc w:val="left"/>
    </w:pPr>
    <w:rPr>
      <w:i/>
      <w:iCs/>
      <w:sz w:val="20"/>
      <w:szCs w:val="20"/>
    </w:rPr>
  </w:style>
  <w:style w:type="paragraph" w:styleId="22">
    <w:name w:val="Plain Text"/>
    <w:basedOn w:val="1"/>
    <w:link w:val="80"/>
    <w:autoRedefine/>
    <w:qFormat/>
    <w:uiPriority w:val="99"/>
    <w:rPr>
      <w:rFonts w:ascii="Courier New" w:hAnsi="Courier New"/>
      <w:szCs w:val="20"/>
    </w:rPr>
  </w:style>
  <w:style w:type="paragraph" w:styleId="23">
    <w:name w:val="toc 8"/>
    <w:basedOn w:val="1"/>
    <w:next w:val="1"/>
    <w:autoRedefine/>
    <w:qFormat/>
    <w:uiPriority w:val="99"/>
    <w:pPr>
      <w:ind w:left="1470"/>
      <w:jc w:val="left"/>
    </w:pPr>
    <w:rPr>
      <w:sz w:val="18"/>
      <w:szCs w:val="18"/>
    </w:rPr>
  </w:style>
  <w:style w:type="paragraph" w:styleId="24">
    <w:name w:val="Date"/>
    <w:basedOn w:val="1"/>
    <w:next w:val="1"/>
    <w:link w:val="81"/>
    <w:autoRedefine/>
    <w:qFormat/>
    <w:uiPriority w:val="99"/>
    <w:rPr>
      <w:sz w:val="24"/>
      <w:szCs w:val="20"/>
    </w:rPr>
  </w:style>
  <w:style w:type="paragraph" w:styleId="25">
    <w:name w:val="Body Text Indent 2"/>
    <w:basedOn w:val="1"/>
    <w:link w:val="82"/>
    <w:autoRedefine/>
    <w:qFormat/>
    <w:uiPriority w:val="99"/>
    <w:pPr>
      <w:spacing w:line="360" w:lineRule="exact"/>
      <w:ind w:firstLine="600" w:firstLineChars="250"/>
      <w:jc w:val="left"/>
    </w:pPr>
    <w:rPr>
      <w:sz w:val="24"/>
    </w:rPr>
  </w:style>
  <w:style w:type="paragraph" w:styleId="26">
    <w:name w:val="Balloon Text"/>
    <w:basedOn w:val="1"/>
    <w:link w:val="83"/>
    <w:autoRedefine/>
    <w:qFormat/>
    <w:uiPriority w:val="99"/>
    <w:rPr>
      <w:sz w:val="18"/>
      <w:szCs w:val="18"/>
    </w:rPr>
  </w:style>
  <w:style w:type="paragraph" w:styleId="27">
    <w:name w:val="footer"/>
    <w:basedOn w:val="1"/>
    <w:link w:val="84"/>
    <w:autoRedefine/>
    <w:qFormat/>
    <w:uiPriority w:val="99"/>
    <w:pPr>
      <w:tabs>
        <w:tab w:val="center" w:pos="4153"/>
        <w:tab w:val="right" w:pos="8306"/>
      </w:tabs>
      <w:snapToGrid w:val="0"/>
      <w:jc w:val="left"/>
    </w:pPr>
    <w:rPr>
      <w:sz w:val="18"/>
      <w:szCs w:val="18"/>
    </w:rPr>
  </w:style>
  <w:style w:type="paragraph" w:styleId="28">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99"/>
    <w:pPr>
      <w:jc w:val="left"/>
    </w:pPr>
    <w:rPr>
      <w:b/>
      <w:bCs/>
      <w:caps/>
      <w:sz w:val="20"/>
      <w:szCs w:val="20"/>
    </w:rPr>
  </w:style>
  <w:style w:type="paragraph" w:styleId="30">
    <w:name w:val="toc 4"/>
    <w:basedOn w:val="1"/>
    <w:next w:val="1"/>
    <w:autoRedefine/>
    <w:qFormat/>
    <w:uiPriority w:val="99"/>
    <w:pPr>
      <w:ind w:left="630"/>
      <w:jc w:val="left"/>
    </w:pPr>
    <w:rPr>
      <w:sz w:val="18"/>
      <w:szCs w:val="18"/>
    </w:rPr>
  </w:style>
  <w:style w:type="paragraph" w:styleId="31">
    <w:name w:val="List"/>
    <w:basedOn w:val="1"/>
    <w:autoRedefine/>
    <w:qFormat/>
    <w:uiPriority w:val="99"/>
    <w:pPr>
      <w:ind w:left="420" w:hanging="420"/>
    </w:pPr>
  </w:style>
  <w:style w:type="paragraph" w:styleId="32">
    <w:name w:val="footnote text"/>
    <w:basedOn w:val="1"/>
    <w:link w:val="86"/>
    <w:autoRedefine/>
    <w:qFormat/>
    <w:uiPriority w:val="99"/>
    <w:rPr>
      <w:sz w:val="20"/>
      <w:szCs w:val="20"/>
    </w:rPr>
  </w:style>
  <w:style w:type="paragraph" w:styleId="33">
    <w:name w:val="toc 6"/>
    <w:basedOn w:val="1"/>
    <w:next w:val="1"/>
    <w:autoRedefine/>
    <w:qFormat/>
    <w:uiPriority w:val="99"/>
    <w:pPr>
      <w:ind w:left="1050"/>
      <w:jc w:val="left"/>
    </w:pPr>
    <w:rPr>
      <w:sz w:val="18"/>
      <w:szCs w:val="18"/>
    </w:rPr>
  </w:style>
  <w:style w:type="paragraph" w:styleId="34">
    <w:name w:val="Body Text Indent 3"/>
    <w:basedOn w:val="1"/>
    <w:link w:val="87"/>
    <w:autoRedefine/>
    <w:qFormat/>
    <w:uiPriority w:val="99"/>
    <w:pPr>
      <w:ind w:left="420" w:leftChars="200"/>
    </w:pPr>
    <w:rPr>
      <w:sz w:val="16"/>
      <w:szCs w:val="16"/>
    </w:rPr>
  </w:style>
  <w:style w:type="paragraph" w:styleId="35">
    <w:name w:val="table of figures"/>
    <w:basedOn w:val="1"/>
    <w:next w:val="1"/>
    <w:autoRedefine/>
    <w:qFormat/>
    <w:uiPriority w:val="99"/>
    <w:pPr>
      <w:ind w:left="200" w:leftChars="200" w:hanging="200" w:hangingChars="200"/>
    </w:pPr>
  </w:style>
  <w:style w:type="paragraph" w:styleId="36">
    <w:name w:val="toc 2"/>
    <w:basedOn w:val="1"/>
    <w:next w:val="1"/>
    <w:autoRedefine/>
    <w:qFormat/>
    <w:uiPriority w:val="99"/>
    <w:pPr>
      <w:ind w:left="210"/>
      <w:jc w:val="left"/>
    </w:pPr>
    <w:rPr>
      <w:smallCaps/>
      <w:sz w:val="20"/>
      <w:szCs w:val="20"/>
    </w:rPr>
  </w:style>
  <w:style w:type="paragraph" w:styleId="37">
    <w:name w:val="toc 9"/>
    <w:basedOn w:val="1"/>
    <w:next w:val="1"/>
    <w:autoRedefine/>
    <w:qFormat/>
    <w:uiPriority w:val="99"/>
    <w:pPr>
      <w:ind w:left="1680"/>
      <w:jc w:val="left"/>
    </w:pPr>
    <w:rPr>
      <w:sz w:val="18"/>
      <w:szCs w:val="18"/>
    </w:rPr>
  </w:style>
  <w:style w:type="paragraph" w:styleId="38">
    <w:name w:val="Body Text 2"/>
    <w:basedOn w:val="1"/>
    <w:link w:val="88"/>
    <w:autoRedefine/>
    <w:qFormat/>
    <w:uiPriority w:val="99"/>
    <w:pPr>
      <w:spacing w:line="440" w:lineRule="exact"/>
    </w:pPr>
    <w:rPr>
      <w:sz w:val="28"/>
    </w:rPr>
  </w:style>
  <w:style w:type="paragraph" w:styleId="39">
    <w:name w:val="HTML Preformatted"/>
    <w:basedOn w:val="1"/>
    <w:link w:val="8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next w:val="41"/>
    <w:autoRedefine/>
    <w:qFormat/>
    <w:uiPriority w:val="99"/>
    <w:pPr>
      <w:widowControl/>
      <w:spacing w:beforeAutospacing="1" w:afterAutospacing="1"/>
      <w:jc w:val="left"/>
    </w:pPr>
    <w:rPr>
      <w:rFonts w:ascii="宋体" w:hAnsi="宋体" w:cs="宋体"/>
      <w:kern w:val="0"/>
      <w:sz w:val="24"/>
    </w:rPr>
  </w:style>
  <w:style w:type="paragraph" w:customStyle="1" w:styleId="41">
    <w:name w:val="正文文字 8"/>
    <w:basedOn w:val="1"/>
    <w:next w:val="1"/>
    <w:autoRedefine/>
    <w:qFormat/>
    <w:uiPriority w:val="99"/>
    <w:pPr>
      <w:ind w:left="240"/>
    </w:pPr>
    <w:rPr>
      <w:sz w:val="16"/>
    </w:rPr>
  </w:style>
  <w:style w:type="paragraph" w:styleId="42">
    <w:name w:val="Title"/>
    <w:basedOn w:val="1"/>
    <w:next w:val="1"/>
    <w:link w:val="90"/>
    <w:autoRedefine/>
    <w:qFormat/>
    <w:uiPriority w:val="99"/>
    <w:pPr>
      <w:adjustRightInd w:val="0"/>
      <w:spacing w:line="420" w:lineRule="atLeast"/>
      <w:jc w:val="center"/>
      <w:textAlignment w:val="baseline"/>
      <w:outlineLvl w:val="0"/>
    </w:pPr>
    <w:rPr>
      <w:rFonts w:ascii="Arial" w:hAnsi="Arial"/>
      <w:b/>
      <w:kern w:val="0"/>
      <w:sz w:val="32"/>
      <w:szCs w:val="20"/>
    </w:rPr>
  </w:style>
  <w:style w:type="paragraph" w:styleId="43">
    <w:name w:val="annotation subject"/>
    <w:basedOn w:val="14"/>
    <w:next w:val="14"/>
    <w:link w:val="91"/>
    <w:autoRedefine/>
    <w:qFormat/>
    <w:uiPriority w:val="99"/>
    <w:rPr>
      <w:b/>
      <w:bCs/>
    </w:rPr>
  </w:style>
  <w:style w:type="paragraph" w:styleId="44">
    <w:name w:val="Body Text First Indent 2"/>
    <w:basedOn w:val="17"/>
    <w:next w:val="1"/>
    <w:link w:val="75"/>
    <w:autoRedefine/>
    <w:qFormat/>
    <w:uiPriority w:val="99"/>
    <w:pPr>
      <w:spacing w:line="360" w:lineRule="auto"/>
      <w:ind w:firstLine="200" w:firstLineChars="200"/>
    </w:pPr>
    <w:rPr>
      <w:rFonts w:ascii="宋体"/>
      <w:szCs w:val="20"/>
    </w:rPr>
  </w:style>
  <w:style w:type="table" w:styleId="46">
    <w:name w:val="Table Grid"/>
    <w:basedOn w:val="4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autoRedefine/>
    <w:qFormat/>
    <w:uiPriority w:val="99"/>
    <w:rPr>
      <w:rFonts w:cs="Times New Roman"/>
      <w:b/>
    </w:rPr>
  </w:style>
  <w:style w:type="character" w:styleId="49">
    <w:name w:val="page number"/>
    <w:basedOn w:val="47"/>
    <w:autoRedefine/>
    <w:qFormat/>
    <w:uiPriority w:val="99"/>
    <w:rPr>
      <w:rFonts w:cs="Times New Roman"/>
    </w:rPr>
  </w:style>
  <w:style w:type="character" w:styleId="50">
    <w:name w:val="FollowedHyperlink"/>
    <w:basedOn w:val="47"/>
    <w:autoRedefine/>
    <w:qFormat/>
    <w:uiPriority w:val="99"/>
    <w:rPr>
      <w:rFonts w:cs="Times New Roman"/>
      <w:color w:val="333333"/>
      <w:u w:val="none"/>
    </w:rPr>
  </w:style>
  <w:style w:type="character" w:styleId="51">
    <w:name w:val="Emphasis"/>
    <w:basedOn w:val="47"/>
    <w:autoRedefine/>
    <w:qFormat/>
    <w:uiPriority w:val="99"/>
    <w:rPr>
      <w:rFonts w:cs="Times New Roman"/>
      <w:color w:val="CC0033"/>
    </w:rPr>
  </w:style>
  <w:style w:type="character" w:styleId="52">
    <w:name w:val="HTML Definition"/>
    <w:basedOn w:val="47"/>
    <w:autoRedefine/>
    <w:qFormat/>
    <w:uiPriority w:val="99"/>
    <w:rPr>
      <w:rFonts w:cs="Times New Roman"/>
    </w:rPr>
  </w:style>
  <w:style w:type="character" w:styleId="53">
    <w:name w:val="HTML Typewriter"/>
    <w:basedOn w:val="47"/>
    <w:autoRedefine/>
    <w:qFormat/>
    <w:uiPriority w:val="99"/>
    <w:rPr>
      <w:rFonts w:ascii="monospace" w:hAnsi="monospace" w:cs="Times New Roman"/>
      <w:sz w:val="20"/>
    </w:rPr>
  </w:style>
  <w:style w:type="character" w:styleId="54">
    <w:name w:val="HTML Acronym"/>
    <w:basedOn w:val="47"/>
    <w:autoRedefine/>
    <w:qFormat/>
    <w:uiPriority w:val="99"/>
    <w:rPr>
      <w:rFonts w:cs="Times New Roman"/>
    </w:rPr>
  </w:style>
  <w:style w:type="character" w:styleId="55">
    <w:name w:val="HTML Variable"/>
    <w:basedOn w:val="47"/>
    <w:autoRedefine/>
    <w:qFormat/>
    <w:uiPriority w:val="99"/>
    <w:rPr>
      <w:rFonts w:cs="Times New Roman"/>
    </w:rPr>
  </w:style>
  <w:style w:type="character" w:styleId="56">
    <w:name w:val="Hyperlink"/>
    <w:basedOn w:val="47"/>
    <w:autoRedefine/>
    <w:qFormat/>
    <w:uiPriority w:val="99"/>
    <w:rPr>
      <w:rFonts w:cs="Times New Roman"/>
      <w:color w:val="333333"/>
      <w:u w:val="none"/>
    </w:rPr>
  </w:style>
  <w:style w:type="character" w:styleId="57">
    <w:name w:val="HTML Code"/>
    <w:basedOn w:val="47"/>
    <w:autoRedefine/>
    <w:qFormat/>
    <w:uiPriority w:val="99"/>
    <w:rPr>
      <w:rFonts w:ascii="monospace" w:hAnsi="monospace" w:cs="Times New Roman"/>
      <w:sz w:val="20"/>
    </w:rPr>
  </w:style>
  <w:style w:type="character" w:styleId="58">
    <w:name w:val="annotation reference"/>
    <w:basedOn w:val="47"/>
    <w:autoRedefine/>
    <w:qFormat/>
    <w:uiPriority w:val="99"/>
    <w:rPr>
      <w:rFonts w:cs="Times New Roman"/>
      <w:sz w:val="21"/>
    </w:rPr>
  </w:style>
  <w:style w:type="character" w:styleId="59">
    <w:name w:val="HTML Cite"/>
    <w:basedOn w:val="47"/>
    <w:autoRedefine/>
    <w:qFormat/>
    <w:uiPriority w:val="99"/>
    <w:rPr>
      <w:rFonts w:cs="Times New Roman"/>
    </w:rPr>
  </w:style>
  <w:style w:type="character" w:styleId="60">
    <w:name w:val="footnote reference"/>
    <w:basedOn w:val="47"/>
    <w:autoRedefine/>
    <w:qFormat/>
    <w:uiPriority w:val="99"/>
    <w:rPr>
      <w:rFonts w:cs="Times New Roman"/>
      <w:vertAlign w:val="superscript"/>
    </w:rPr>
  </w:style>
  <w:style w:type="character" w:styleId="61">
    <w:name w:val="HTML Keyboard"/>
    <w:basedOn w:val="47"/>
    <w:autoRedefine/>
    <w:qFormat/>
    <w:uiPriority w:val="99"/>
    <w:rPr>
      <w:rFonts w:ascii="monospace" w:hAnsi="monospace" w:cs="Times New Roman"/>
      <w:sz w:val="20"/>
    </w:rPr>
  </w:style>
  <w:style w:type="character" w:styleId="62">
    <w:name w:val="HTML Sample"/>
    <w:basedOn w:val="47"/>
    <w:autoRedefine/>
    <w:qFormat/>
    <w:uiPriority w:val="99"/>
    <w:rPr>
      <w:rFonts w:ascii="monospace" w:hAnsi="monospace" w:cs="Times New Roman"/>
    </w:rPr>
  </w:style>
  <w:style w:type="paragraph" w:customStyle="1" w:styleId="63">
    <w:name w:val="正文 New"/>
    <w:next w:val="64"/>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4">
    <w:name w:val="正文缩进1"/>
    <w:basedOn w:val="1"/>
    <w:next w:val="13"/>
    <w:autoRedefine/>
    <w:qFormat/>
    <w:uiPriority w:val="0"/>
    <w:pPr>
      <w:widowControl w:val="0"/>
      <w:autoSpaceDE/>
      <w:autoSpaceDN/>
      <w:spacing w:before="0" w:after="0" w:line="360" w:lineRule="atLeast"/>
      <w:ind w:left="0" w:firstLine="482"/>
      <w:jc w:val="both"/>
    </w:pPr>
    <w:rPr>
      <w:rFonts w:ascii="Times New Roman" w:eastAsia="宋体"/>
      <w:sz w:val="24"/>
    </w:rPr>
  </w:style>
  <w:style w:type="character" w:customStyle="1" w:styleId="65">
    <w:name w:val="Heading 1 Char"/>
    <w:basedOn w:val="47"/>
    <w:link w:val="2"/>
    <w:autoRedefine/>
    <w:qFormat/>
    <w:locked/>
    <w:uiPriority w:val="99"/>
    <w:rPr>
      <w:rFonts w:eastAsia="宋体" w:cs="Times New Roman"/>
      <w:b/>
      <w:kern w:val="44"/>
      <w:sz w:val="44"/>
      <w:lang w:val="en-US" w:eastAsia="zh-CN"/>
    </w:rPr>
  </w:style>
  <w:style w:type="character" w:customStyle="1" w:styleId="66">
    <w:name w:val="Heading 2 Char"/>
    <w:basedOn w:val="47"/>
    <w:link w:val="3"/>
    <w:autoRedefine/>
    <w:qFormat/>
    <w:locked/>
    <w:uiPriority w:val="99"/>
    <w:rPr>
      <w:rFonts w:ascii="Arial" w:hAnsi="Arial" w:eastAsia="黑体" w:cs="Times New Roman"/>
      <w:b/>
      <w:kern w:val="2"/>
      <w:sz w:val="32"/>
      <w:lang w:val="en-US" w:eastAsia="zh-CN"/>
    </w:rPr>
  </w:style>
  <w:style w:type="character" w:customStyle="1" w:styleId="67">
    <w:name w:val="Heading 3 Char"/>
    <w:basedOn w:val="47"/>
    <w:link w:val="4"/>
    <w:autoRedefine/>
    <w:qFormat/>
    <w:locked/>
    <w:uiPriority w:val="99"/>
    <w:rPr>
      <w:rFonts w:cs="Times New Roman"/>
      <w:b/>
      <w:sz w:val="32"/>
    </w:rPr>
  </w:style>
  <w:style w:type="character" w:customStyle="1" w:styleId="68">
    <w:name w:val="Heading 4 Char"/>
    <w:basedOn w:val="47"/>
    <w:link w:val="5"/>
    <w:autoRedefine/>
    <w:semiHidden/>
    <w:qFormat/>
    <w:locked/>
    <w:uiPriority w:val="99"/>
    <w:rPr>
      <w:rFonts w:ascii="Cambria" w:hAnsi="Cambria" w:eastAsia="宋体" w:cs="Times New Roman"/>
      <w:b/>
      <w:bCs/>
      <w:sz w:val="28"/>
      <w:szCs w:val="28"/>
    </w:rPr>
  </w:style>
  <w:style w:type="character" w:customStyle="1" w:styleId="69">
    <w:name w:val="Heading 5 Char"/>
    <w:basedOn w:val="47"/>
    <w:link w:val="6"/>
    <w:autoRedefine/>
    <w:qFormat/>
    <w:locked/>
    <w:uiPriority w:val="99"/>
    <w:rPr>
      <w:rFonts w:cs="Times New Roman"/>
      <w:b/>
      <w:kern w:val="2"/>
      <w:sz w:val="28"/>
    </w:rPr>
  </w:style>
  <w:style w:type="character" w:customStyle="1" w:styleId="70">
    <w:name w:val="Heading 6 Char"/>
    <w:basedOn w:val="47"/>
    <w:link w:val="7"/>
    <w:autoRedefine/>
    <w:semiHidden/>
    <w:qFormat/>
    <w:locked/>
    <w:uiPriority w:val="99"/>
    <w:rPr>
      <w:rFonts w:ascii="Cambria" w:hAnsi="Cambria" w:eastAsia="宋体" w:cs="Times New Roman"/>
      <w:b/>
      <w:bCs/>
      <w:sz w:val="24"/>
      <w:szCs w:val="24"/>
    </w:rPr>
  </w:style>
  <w:style w:type="character" w:customStyle="1" w:styleId="71">
    <w:name w:val="Heading 7 Char"/>
    <w:basedOn w:val="47"/>
    <w:link w:val="8"/>
    <w:autoRedefine/>
    <w:semiHidden/>
    <w:qFormat/>
    <w:locked/>
    <w:uiPriority w:val="99"/>
    <w:rPr>
      <w:rFonts w:cs="Times New Roman"/>
      <w:b/>
      <w:bCs/>
      <w:sz w:val="24"/>
      <w:szCs w:val="24"/>
    </w:rPr>
  </w:style>
  <w:style w:type="character" w:customStyle="1" w:styleId="72">
    <w:name w:val="Heading 8 Char"/>
    <w:basedOn w:val="47"/>
    <w:link w:val="9"/>
    <w:autoRedefine/>
    <w:semiHidden/>
    <w:qFormat/>
    <w:locked/>
    <w:uiPriority w:val="99"/>
    <w:rPr>
      <w:rFonts w:ascii="Cambria" w:hAnsi="Cambria" w:eastAsia="宋体" w:cs="Times New Roman"/>
      <w:sz w:val="24"/>
      <w:szCs w:val="24"/>
    </w:rPr>
  </w:style>
  <w:style w:type="character" w:customStyle="1" w:styleId="73">
    <w:name w:val="Heading 9 Char"/>
    <w:basedOn w:val="47"/>
    <w:link w:val="10"/>
    <w:autoRedefine/>
    <w:semiHidden/>
    <w:qFormat/>
    <w:locked/>
    <w:uiPriority w:val="99"/>
    <w:rPr>
      <w:rFonts w:ascii="Cambria" w:hAnsi="Cambria" w:eastAsia="宋体" w:cs="Times New Roman"/>
      <w:sz w:val="21"/>
      <w:szCs w:val="21"/>
    </w:rPr>
  </w:style>
  <w:style w:type="character" w:customStyle="1" w:styleId="74">
    <w:name w:val="Body Text Indent Char"/>
    <w:basedOn w:val="47"/>
    <w:link w:val="17"/>
    <w:autoRedefine/>
    <w:semiHidden/>
    <w:qFormat/>
    <w:locked/>
    <w:uiPriority w:val="99"/>
    <w:rPr>
      <w:rFonts w:cs="Times New Roman"/>
      <w:sz w:val="24"/>
      <w:szCs w:val="24"/>
    </w:rPr>
  </w:style>
  <w:style w:type="character" w:customStyle="1" w:styleId="75">
    <w:name w:val="Body Text First Indent 2 Char"/>
    <w:basedOn w:val="74"/>
    <w:link w:val="44"/>
    <w:autoRedefine/>
    <w:semiHidden/>
    <w:qFormat/>
    <w:locked/>
    <w:uiPriority w:val="99"/>
  </w:style>
  <w:style w:type="character" w:customStyle="1" w:styleId="76">
    <w:name w:val="Document Map Char"/>
    <w:basedOn w:val="47"/>
    <w:link w:val="13"/>
    <w:autoRedefine/>
    <w:semiHidden/>
    <w:qFormat/>
    <w:locked/>
    <w:uiPriority w:val="99"/>
    <w:rPr>
      <w:rFonts w:cs="Times New Roman"/>
      <w:sz w:val="2"/>
    </w:rPr>
  </w:style>
  <w:style w:type="character" w:customStyle="1" w:styleId="77">
    <w:name w:val="Comment Text Char"/>
    <w:basedOn w:val="47"/>
    <w:link w:val="14"/>
    <w:autoRedefine/>
    <w:qFormat/>
    <w:locked/>
    <w:uiPriority w:val="99"/>
    <w:rPr>
      <w:rFonts w:eastAsia="宋体" w:cs="Times New Roman"/>
      <w:kern w:val="2"/>
      <w:sz w:val="24"/>
      <w:lang w:val="en-US" w:eastAsia="zh-CN"/>
    </w:rPr>
  </w:style>
  <w:style w:type="character" w:customStyle="1" w:styleId="78">
    <w:name w:val="Body Text 3 Char"/>
    <w:basedOn w:val="47"/>
    <w:link w:val="15"/>
    <w:autoRedefine/>
    <w:semiHidden/>
    <w:qFormat/>
    <w:locked/>
    <w:uiPriority w:val="99"/>
    <w:rPr>
      <w:rFonts w:cs="Times New Roman"/>
      <w:sz w:val="16"/>
      <w:szCs w:val="16"/>
    </w:rPr>
  </w:style>
  <w:style w:type="character" w:customStyle="1" w:styleId="79">
    <w:name w:val="Body Text Char"/>
    <w:basedOn w:val="47"/>
    <w:link w:val="16"/>
    <w:autoRedefine/>
    <w:qFormat/>
    <w:locked/>
    <w:uiPriority w:val="99"/>
    <w:rPr>
      <w:rFonts w:eastAsia="宋体" w:cs="Times New Roman"/>
      <w:kern w:val="2"/>
      <w:sz w:val="24"/>
      <w:lang w:val="en-US" w:eastAsia="zh-CN"/>
    </w:rPr>
  </w:style>
  <w:style w:type="character" w:customStyle="1" w:styleId="80">
    <w:name w:val="Plain Text Char"/>
    <w:basedOn w:val="47"/>
    <w:link w:val="22"/>
    <w:autoRedefine/>
    <w:qFormat/>
    <w:locked/>
    <w:uiPriority w:val="99"/>
    <w:rPr>
      <w:rFonts w:ascii="Courier New" w:hAnsi="Courier New" w:eastAsia="宋体" w:cs="Times New Roman"/>
      <w:kern w:val="2"/>
      <w:sz w:val="21"/>
      <w:lang w:val="en-US" w:eastAsia="zh-CN"/>
    </w:rPr>
  </w:style>
  <w:style w:type="character" w:customStyle="1" w:styleId="81">
    <w:name w:val="Date Char"/>
    <w:basedOn w:val="47"/>
    <w:link w:val="24"/>
    <w:autoRedefine/>
    <w:semiHidden/>
    <w:qFormat/>
    <w:locked/>
    <w:uiPriority w:val="99"/>
    <w:rPr>
      <w:rFonts w:cs="Times New Roman"/>
      <w:sz w:val="24"/>
      <w:szCs w:val="24"/>
    </w:rPr>
  </w:style>
  <w:style w:type="character" w:customStyle="1" w:styleId="82">
    <w:name w:val="Body Text Indent 2 Char"/>
    <w:basedOn w:val="47"/>
    <w:link w:val="25"/>
    <w:autoRedefine/>
    <w:semiHidden/>
    <w:qFormat/>
    <w:locked/>
    <w:uiPriority w:val="99"/>
    <w:rPr>
      <w:rFonts w:cs="Times New Roman"/>
      <w:sz w:val="24"/>
      <w:szCs w:val="24"/>
    </w:rPr>
  </w:style>
  <w:style w:type="character" w:customStyle="1" w:styleId="83">
    <w:name w:val="Balloon Text Char"/>
    <w:basedOn w:val="47"/>
    <w:link w:val="26"/>
    <w:autoRedefine/>
    <w:semiHidden/>
    <w:qFormat/>
    <w:locked/>
    <w:uiPriority w:val="99"/>
    <w:rPr>
      <w:rFonts w:cs="Times New Roman"/>
      <w:sz w:val="2"/>
    </w:rPr>
  </w:style>
  <w:style w:type="character" w:customStyle="1" w:styleId="84">
    <w:name w:val="Footer Char"/>
    <w:basedOn w:val="47"/>
    <w:link w:val="27"/>
    <w:autoRedefine/>
    <w:semiHidden/>
    <w:qFormat/>
    <w:locked/>
    <w:uiPriority w:val="99"/>
    <w:rPr>
      <w:rFonts w:cs="Times New Roman"/>
      <w:sz w:val="18"/>
      <w:szCs w:val="18"/>
    </w:rPr>
  </w:style>
  <w:style w:type="character" w:customStyle="1" w:styleId="85">
    <w:name w:val="Header Char"/>
    <w:basedOn w:val="47"/>
    <w:link w:val="28"/>
    <w:autoRedefine/>
    <w:semiHidden/>
    <w:qFormat/>
    <w:locked/>
    <w:uiPriority w:val="99"/>
    <w:rPr>
      <w:rFonts w:cs="Times New Roman"/>
      <w:sz w:val="18"/>
      <w:szCs w:val="18"/>
    </w:rPr>
  </w:style>
  <w:style w:type="character" w:customStyle="1" w:styleId="86">
    <w:name w:val="Footnote Text Char"/>
    <w:basedOn w:val="47"/>
    <w:link w:val="32"/>
    <w:autoRedefine/>
    <w:semiHidden/>
    <w:qFormat/>
    <w:locked/>
    <w:uiPriority w:val="99"/>
    <w:rPr>
      <w:rFonts w:cs="Times New Roman"/>
      <w:sz w:val="18"/>
      <w:szCs w:val="18"/>
    </w:rPr>
  </w:style>
  <w:style w:type="character" w:customStyle="1" w:styleId="87">
    <w:name w:val="Body Text Indent 3 Char"/>
    <w:basedOn w:val="47"/>
    <w:link w:val="34"/>
    <w:autoRedefine/>
    <w:semiHidden/>
    <w:qFormat/>
    <w:locked/>
    <w:uiPriority w:val="99"/>
    <w:rPr>
      <w:rFonts w:cs="Times New Roman"/>
      <w:sz w:val="16"/>
      <w:szCs w:val="16"/>
    </w:rPr>
  </w:style>
  <w:style w:type="character" w:customStyle="1" w:styleId="88">
    <w:name w:val="Body Text 2 Char"/>
    <w:basedOn w:val="47"/>
    <w:link w:val="38"/>
    <w:autoRedefine/>
    <w:semiHidden/>
    <w:qFormat/>
    <w:locked/>
    <w:uiPriority w:val="99"/>
    <w:rPr>
      <w:rFonts w:cs="Times New Roman"/>
      <w:sz w:val="24"/>
      <w:szCs w:val="24"/>
    </w:rPr>
  </w:style>
  <w:style w:type="character" w:customStyle="1" w:styleId="89">
    <w:name w:val="HTML Preformatted Char"/>
    <w:basedOn w:val="47"/>
    <w:link w:val="39"/>
    <w:autoRedefine/>
    <w:qFormat/>
    <w:locked/>
    <w:uiPriority w:val="99"/>
    <w:rPr>
      <w:rFonts w:ascii="宋体" w:eastAsia="宋体" w:cs="Times New Roman"/>
      <w:sz w:val="24"/>
    </w:rPr>
  </w:style>
  <w:style w:type="character" w:customStyle="1" w:styleId="90">
    <w:name w:val="Title Char"/>
    <w:basedOn w:val="47"/>
    <w:link w:val="42"/>
    <w:autoRedefine/>
    <w:qFormat/>
    <w:locked/>
    <w:uiPriority w:val="99"/>
    <w:rPr>
      <w:rFonts w:ascii="Cambria" w:hAnsi="Cambria" w:cs="Times New Roman"/>
      <w:b/>
      <w:bCs/>
      <w:sz w:val="32"/>
      <w:szCs w:val="32"/>
    </w:rPr>
  </w:style>
  <w:style w:type="character" w:customStyle="1" w:styleId="91">
    <w:name w:val="Comment Subject Char"/>
    <w:basedOn w:val="77"/>
    <w:link w:val="43"/>
    <w:autoRedefine/>
    <w:semiHidden/>
    <w:qFormat/>
    <w:locked/>
    <w:uiPriority w:val="99"/>
    <w:rPr>
      <w:b/>
      <w:bCs/>
      <w:szCs w:val="24"/>
    </w:rPr>
  </w:style>
  <w:style w:type="paragraph" w:customStyle="1" w:styleId="92">
    <w:name w:val="List Paragraph1"/>
    <w:basedOn w:val="1"/>
    <w:autoRedefine/>
    <w:qFormat/>
    <w:uiPriority w:val="99"/>
    <w:pPr>
      <w:ind w:firstLine="420" w:firstLineChars="200"/>
    </w:pPr>
  </w:style>
  <w:style w:type="paragraph" w:customStyle="1" w:styleId="93">
    <w:name w:val="_Style 62"/>
    <w:basedOn w:val="1"/>
    <w:next w:val="1"/>
    <w:autoRedefine/>
    <w:qFormat/>
    <w:uiPriority w:val="99"/>
    <w:pPr>
      <w:pBdr>
        <w:top w:val="single" w:color="auto" w:sz="6" w:space="1"/>
      </w:pBdr>
      <w:jc w:val="center"/>
    </w:pPr>
    <w:rPr>
      <w:rFonts w:ascii="Arial"/>
      <w:vanish/>
      <w:sz w:val="16"/>
    </w:rPr>
  </w:style>
  <w:style w:type="paragraph" w:customStyle="1" w:styleId="94">
    <w:name w:val="Blockquote"/>
    <w:basedOn w:val="1"/>
    <w:autoRedefine/>
    <w:qFormat/>
    <w:uiPriority w:val="99"/>
    <w:pPr>
      <w:autoSpaceDE w:val="0"/>
      <w:autoSpaceDN w:val="0"/>
      <w:adjustRightInd w:val="0"/>
      <w:ind w:left="360" w:right="360"/>
      <w:jc w:val="left"/>
    </w:pPr>
    <w:rPr>
      <w:kern w:val="0"/>
      <w:sz w:val="24"/>
      <w:szCs w:val="20"/>
    </w:rPr>
  </w:style>
  <w:style w:type="paragraph" w:customStyle="1" w:styleId="95">
    <w:name w:val="表格"/>
    <w:basedOn w:val="1"/>
    <w:autoRedefine/>
    <w:qFormat/>
    <w:uiPriority w:val="99"/>
    <w:pPr>
      <w:jc w:val="center"/>
      <w:textAlignment w:val="center"/>
    </w:pPr>
    <w:rPr>
      <w:rFonts w:ascii="华文细黑" w:hAnsi="华文细黑"/>
      <w:kern w:val="0"/>
      <w:szCs w:val="20"/>
    </w:rPr>
  </w:style>
  <w:style w:type="paragraph" w:customStyle="1" w:styleId="96">
    <w:name w:val="表格文字"/>
    <w:basedOn w:val="1"/>
    <w:autoRedefine/>
    <w:qFormat/>
    <w:uiPriority w:val="99"/>
    <w:pPr>
      <w:adjustRightInd w:val="0"/>
      <w:spacing w:line="420" w:lineRule="atLeast"/>
      <w:jc w:val="left"/>
      <w:textAlignment w:val="baseline"/>
    </w:pPr>
    <w:rPr>
      <w:kern w:val="0"/>
      <w:szCs w:val="20"/>
    </w:rPr>
  </w:style>
  <w:style w:type="paragraph" w:customStyle="1" w:styleId="97">
    <w:name w:val="Char"/>
    <w:basedOn w:val="1"/>
    <w:next w:val="1"/>
    <w:autoRedefine/>
    <w:qFormat/>
    <w:uiPriority w:val="99"/>
    <w:pPr>
      <w:widowControl/>
      <w:spacing w:line="360" w:lineRule="auto"/>
      <w:jc w:val="left"/>
    </w:pPr>
    <w:rPr>
      <w:kern w:val="0"/>
      <w:szCs w:val="20"/>
      <w:lang w:eastAsia="en-US"/>
    </w:rPr>
  </w:style>
  <w:style w:type="paragraph" w:customStyle="1" w:styleId="98">
    <w:name w:val="6'"/>
    <w:basedOn w:val="1"/>
    <w:autoRedefine/>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样式2"/>
    <w:basedOn w:val="4"/>
    <w:autoRedefine/>
    <w:qFormat/>
    <w:uiPriority w:val="99"/>
  </w:style>
  <w:style w:type="paragraph" w:customStyle="1" w:styleId="100">
    <w:name w:val="Default Paragraph Char Char Char Char"/>
    <w:basedOn w:val="1"/>
    <w:next w:val="1"/>
    <w:autoRedefine/>
    <w:qFormat/>
    <w:uiPriority w:val="99"/>
    <w:pPr>
      <w:spacing w:line="360" w:lineRule="auto"/>
    </w:pPr>
    <w:rPr>
      <w:szCs w:val="20"/>
    </w:rPr>
  </w:style>
  <w:style w:type="paragraph" w:customStyle="1" w:styleId="101">
    <w:name w:val="节标题"/>
    <w:basedOn w:val="1"/>
    <w:next w:val="1"/>
    <w:autoRedefine/>
    <w:qFormat/>
    <w:uiPriority w:val="99"/>
    <w:pPr>
      <w:widowControl/>
      <w:spacing w:line="289" w:lineRule="atLeast"/>
      <w:jc w:val="center"/>
      <w:textAlignment w:val="baseline"/>
    </w:pPr>
    <w:rPr>
      <w:color w:val="000000"/>
      <w:kern w:val="0"/>
      <w:sz w:val="28"/>
      <w:szCs w:val="20"/>
      <w:u w:color="000000"/>
    </w:rPr>
  </w:style>
  <w:style w:type="paragraph" w:customStyle="1" w:styleId="102">
    <w:name w:val="默认段落字体 Para Char Char Char Char"/>
    <w:basedOn w:val="1"/>
    <w:autoRedefine/>
    <w:qFormat/>
    <w:uiPriority w:val="99"/>
  </w:style>
  <w:style w:type="paragraph" w:customStyle="1" w:styleId="103">
    <w:name w:val="样式 标题 1 + 黑体 五号"/>
    <w:basedOn w:val="2"/>
    <w:autoRedefine/>
    <w:qFormat/>
    <w:uiPriority w:val="99"/>
    <w:pPr>
      <w:jc w:val="left"/>
    </w:pPr>
    <w:rPr>
      <w:rFonts w:ascii="黑体" w:hAnsi="黑体" w:eastAsia="黑体"/>
      <w:sz w:val="21"/>
    </w:rPr>
  </w:style>
  <w:style w:type="paragraph" w:customStyle="1" w:styleId="104">
    <w:name w:val="样式4"/>
    <w:basedOn w:val="4"/>
    <w:autoRedefine/>
    <w:qFormat/>
    <w:uiPriority w:val="99"/>
  </w:style>
  <w:style w:type="paragraph" w:customStyle="1" w:styleId="105">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06">
    <w:name w:val="列出段落1"/>
    <w:basedOn w:val="1"/>
    <w:autoRedefine/>
    <w:qFormat/>
    <w:uiPriority w:val="99"/>
    <w:pPr>
      <w:ind w:firstLine="200" w:firstLineChars="200"/>
    </w:pPr>
  </w:style>
  <w:style w:type="paragraph" w:customStyle="1" w:styleId="107">
    <w:name w:val="p0 New"/>
    <w:basedOn w:val="1"/>
    <w:autoRedefine/>
    <w:qFormat/>
    <w:uiPriority w:val="99"/>
    <w:pPr>
      <w:widowControl/>
      <w:jc w:val="left"/>
    </w:pPr>
    <w:rPr>
      <w:rFonts w:ascii="宋体" w:hAnsi="宋体" w:cs="宋体"/>
      <w:kern w:val="0"/>
      <w:sz w:val="18"/>
      <w:szCs w:val="18"/>
    </w:rPr>
  </w:style>
  <w:style w:type="paragraph" w:customStyle="1" w:styleId="108">
    <w:name w:val="样式 标题 1 + 黑体 三号 非加粗 居中 段前: 6 磅 段后: 6 磅 行距: 固定值 20 磅"/>
    <w:basedOn w:val="2"/>
    <w:autoRedefine/>
    <w:qFormat/>
    <w:uiPriority w:val="99"/>
    <w:pPr>
      <w:spacing w:line="400" w:lineRule="exact"/>
    </w:pPr>
    <w:rPr>
      <w:rFonts w:ascii="黑体" w:hAnsi="黑体" w:eastAsia="黑体" w:cs="宋体"/>
      <w:b w:val="0"/>
      <w:bCs w:val="0"/>
      <w:sz w:val="32"/>
      <w:szCs w:val="20"/>
    </w:rPr>
  </w:style>
  <w:style w:type="paragraph" w:customStyle="1" w:styleId="109">
    <w:name w:val="_Style 78"/>
    <w:basedOn w:val="2"/>
    <w:next w:val="1"/>
    <w:autoRedefine/>
    <w:qFormat/>
    <w:uiPriority w:val="99"/>
    <w:pPr>
      <w:widowControl/>
      <w:spacing w:before="480" w:line="276" w:lineRule="auto"/>
      <w:jc w:val="left"/>
      <w:outlineLvl w:val="9"/>
    </w:pPr>
    <w:rPr>
      <w:rFonts w:ascii="Cambria" w:hAnsi="Cambria"/>
      <w:color w:val="365F91"/>
      <w:kern w:val="0"/>
      <w:sz w:val="28"/>
      <w:szCs w:val="28"/>
    </w:rPr>
  </w:style>
  <w:style w:type="paragraph" w:customStyle="1" w:styleId="110">
    <w:name w:val="Char1"/>
    <w:basedOn w:val="1"/>
    <w:autoRedefine/>
    <w:qFormat/>
    <w:uiPriority w:val="99"/>
    <w:pPr>
      <w:tabs>
        <w:tab w:val="left" w:pos="360"/>
      </w:tabs>
    </w:pPr>
    <w:rPr>
      <w:sz w:val="24"/>
    </w:rPr>
  </w:style>
  <w:style w:type="paragraph" w:customStyle="1" w:styleId="111">
    <w:name w:val="样式1"/>
    <w:basedOn w:val="4"/>
    <w:autoRedefine/>
    <w:qFormat/>
    <w:uiPriority w:val="99"/>
  </w:style>
  <w:style w:type="paragraph" w:customStyle="1" w:styleId="112">
    <w:name w:val="Char Char Char Char Char Char Char Char Char Char Char Char Char"/>
    <w:basedOn w:val="1"/>
    <w:autoRedefine/>
    <w:qFormat/>
    <w:uiPriority w:val="99"/>
  </w:style>
  <w:style w:type="paragraph" w:customStyle="1" w:styleId="113">
    <w:name w:val="p"/>
    <w:basedOn w:val="1"/>
    <w:autoRedefine/>
    <w:qFormat/>
    <w:uiPriority w:val="99"/>
    <w:rPr>
      <w:rFonts w:ascii="宋体"/>
      <w:sz w:val="24"/>
    </w:rPr>
  </w:style>
  <w:style w:type="paragraph" w:customStyle="1" w:styleId="114">
    <w:name w:val="Char Char Char Char"/>
    <w:basedOn w:val="1"/>
    <w:autoRedefine/>
    <w:qFormat/>
    <w:uiPriority w:val="99"/>
  </w:style>
  <w:style w:type="paragraph" w:customStyle="1" w:styleId="115">
    <w:name w:val="_Style 84"/>
    <w:basedOn w:val="1"/>
    <w:next w:val="1"/>
    <w:autoRedefine/>
    <w:qFormat/>
    <w:uiPriority w:val="99"/>
    <w:pPr>
      <w:pBdr>
        <w:bottom w:val="single" w:color="auto" w:sz="6" w:space="1"/>
      </w:pBdr>
      <w:jc w:val="center"/>
    </w:pPr>
    <w:rPr>
      <w:rFonts w:ascii="Arial"/>
      <w:vanish/>
      <w:sz w:val="16"/>
    </w:rPr>
  </w:style>
  <w:style w:type="paragraph" w:customStyle="1" w:styleId="116">
    <w:name w:val="1"/>
    <w:basedOn w:val="1"/>
    <w:next w:val="1"/>
    <w:autoRedefine/>
    <w:qFormat/>
    <w:uiPriority w:val="99"/>
  </w:style>
  <w:style w:type="paragraph" w:customStyle="1" w:styleId="117">
    <w:name w:val="p15"/>
    <w:autoRedefine/>
    <w:qFormat/>
    <w:uiPriority w:val="99"/>
    <w:pPr>
      <w:jc w:val="both"/>
    </w:pPr>
    <w:rPr>
      <w:rFonts w:ascii="宋体" w:hAnsi="Times New Roman" w:eastAsia="宋体" w:cs="宋体"/>
      <w:kern w:val="0"/>
      <w:sz w:val="21"/>
      <w:szCs w:val="21"/>
      <w:lang w:val="en-US" w:eastAsia="zh-CN" w:bidi="ar-SA"/>
    </w:rPr>
  </w:style>
  <w:style w:type="paragraph" w:customStyle="1" w:styleId="118">
    <w:name w:val="样式 标题 2 + Times New Roman 四号 非加粗 段前: 5 磅 段后: 0 磅 行距: 固定值 20..."/>
    <w:basedOn w:val="3"/>
    <w:autoRedefine/>
    <w:qFormat/>
    <w:uiPriority w:val="99"/>
    <w:pPr>
      <w:spacing w:line="400" w:lineRule="exact"/>
    </w:pPr>
    <w:rPr>
      <w:rFonts w:ascii="Times New Roman" w:hAnsi="Times New Roman" w:cs="宋体"/>
      <w:b w:val="0"/>
      <w:bCs w:val="0"/>
      <w:sz w:val="28"/>
      <w:szCs w:val="20"/>
    </w:rPr>
  </w:style>
  <w:style w:type="paragraph" w:customStyle="1" w:styleId="119">
    <w:name w:val="Table Paragraph"/>
    <w:basedOn w:val="1"/>
    <w:autoRedefine/>
    <w:qFormat/>
    <w:uiPriority w:val="99"/>
    <w:pPr>
      <w:autoSpaceDE w:val="0"/>
      <w:autoSpaceDN w:val="0"/>
      <w:jc w:val="left"/>
    </w:pPr>
    <w:rPr>
      <w:rFonts w:ascii="宋体" w:hAnsi="宋体" w:cs="宋体"/>
      <w:kern w:val="0"/>
      <w:sz w:val="22"/>
      <w:szCs w:val="22"/>
      <w:lang w:val="zh-CN"/>
    </w:rPr>
  </w:style>
  <w:style w:type="paragraph" w:customStyle="1" w:styleId="120">
    <w:name w:val="p0"/>
    <w:basedOn w:val="1"/>
    <w:autoRedefine/>
    <w:qFormat/>
    <w:uiPriority w:val="99"/>
    <w:pPr>
      <w:widowControl/>
    </w:pPr>
    <w:rPr>
      <w:kern w:val="0"/>
      <w:szCs w:val="21"/>
    </w:rPr>
  </w:style>
  <w:style w:type="paragraph" w:customStyle="1" w:styleId="121">
    <w:name w:val="样式3"/>
    <w:basedOn w:val="4"/>
    <w:autoRedefine/>
    <w:qFormat/>
    <w:uiPriority w:val="99"/>
  </w:style>
  <w:style w:type="paragraph" w:customStyle="1" w:styleId="122">
    <w:name w:val="样式 标题 3 + (中文) 黑体 小四 非加粗 段前: 7.8 磅 段后: 0 磅 行距: 固定值 20 磅"/>
    <w:basedOn w:val="4"/>
    <w:autoRedefine/>
    <w:qFormat/>
    <w:uiPriority w:val="99"/>
    <w:pPr>
      <w:spacing w:line="400" w:lineRule="exact"/>
    </w:pPr>
    <w:rPr>
      <w:rFonts w:eastAsia="黑体" w:cs="宋体"/>
      <w:b w:val="0"/>
      <w:bCs w:val="0"/>
      <w:sz w:val="24"/>
      <w:szCs w:val="20"/>
    </w:rPr>
  </w:style>
  <w:style w:type="paragraph" w:customStyle="1" w:styleId="123">
    <w:name w:val="Char Char Char Char Char Char Char Char Char Char Char Char Char1"/>
    <w:basedOn w:val="1"/>
    <w:autoRedefine/>
    <w:qFormat/>
    <w:uiPriority w:val="99"/>
  </w:style>
  <w:style w:type="paragraph" w:customStyle="1" w:styleId="124">
    <w:name w:val="Char4"/>
    <w:basedOn w:val="1"/>
    <w:autoRedefine/>
    <w:qFormat/>
    <w:uiPriority w:val="99"/>
    <w:pPr>
      <w:widowControl/>
      <w:spacing w:line="360" w:lineRule="auto"/>
      <w:ind w:firstLine="200" w:firstLineChars="200"/>
      <w:textAlignment w:val="baseline"/>
    </w:pPr>
    <w:rPr>
      <w:color w:val="000000"/>
      <w:kern w:val="0"/>
      <w:szCs w:val="20"/>
      <w:u w:color="000000"/>
    </w:rPr>
  </w:style>
  <w:style w:type="paragraph" w:customStyle="1" w:styleId="125">
    <w:name w:val="Normal1"/>
    <w:autoRedefine/>
    <w:qFormat/>
    <w:uiPriority w:val="99"/>
    <w:pPr>
      <w:widowControl w:val="0"/>
      <w:jc w:val="both"/>
    </w:pPr>
    <w:rPr>
      <w:rFonts w:ascii="Times New Roman" w:hAnsi="Times New Roman" w:eastAsia="宋体" w:cs="Times New Roman"/>
      <w:kern w:val="0"/>
      <w:sz w:val="20"/>
      <w:szCs w:val="20"/>
      <w:lang w:val="en-US" w:eastAsia="zh-CN" w:bidi="ar-SA"/>
    </w:rPr>
  </w:style>
  <w:style w:type="character" w:customStyle="1" w:styleId="126">
    <w:name w:val="first-child"/>
    <w:basedOn w:val="47"/>
    <w:autoRedefine/>
    <w:qFormat/>
    <w:uiPriority w:val="99"/>
    <w:rPr>
      <w:rFonts w:cs="Times New Roman"/>
    </w:rPr>
  </w:style>
  <w:style w:type="character" w:customStyle="1" w:styleId="127">
    <w:name w:val="Char Char Char Char Char Char"/>
    <w:autoRedefine/>
    <w:qFormat/>
    <w:uiPriority w:val="99"/>
    <w:rPr>
      <w:rFonts w:ascii="Arial" w:hAnsi="Arial" w:eastAsia="黑体"/>
      <w:b/>
      <w:kern w:val="2"/>
      <w:sz w:val="32"/>
      <w:lang w:val="en-US" w:eastAsia="zh-CN"/>
    </w:rPr>
  </w:style>
  <w:style w:type="character" w:customStyle="1" w:styleId="128">
    <w:name w:val="l11"/>
    <w:autoRedefine/>
    <w:qFormat/>
    <w:uiPriority w:val="99"/>
    <w:rPr>
      <w:color w:val="999999"/>
    </w:rPr>
  </w:style>
  <w:style w:type="character" w:customStyle="1" w:styleId="129">
    <w:name w:val="Char Char"/>
    <w:autoRedefine/>
    <w:qFormat/>
    <w:uiPriority w:val="99"/>
    <w:rPr>
      <w:rFonts w:ascii="Arial" w:hAnsi="Arial" w:eastAsia="黑体"/>
      <w:b/>
      <w:kern w:val="2"/>
      <w:sz w:val="32"/>
      <w:lang w:val="en-US" w:eastAsia="zh-CN"/>
    </w:rPr>
  </w:style>
  <w:style w:type="character" w:customStyle="1" w:styleId="130">
    <w:name w:val="Char Char5"/>
    <w:autoRedefine/>
    <w:qFormat/>
    <w:uiPriority w:val="99"/>
    <w:rPr>
      <w:rFonts w:ascii="Arial" w:hAnsi="Arial" w:eastAsia="黑体"/>
      <w:b/>
      <w:kern w:val="2"/>
      <w:sz w:val="32"/>
    </w:rPr>
  </w:style>
  <w:style w:type="character" w:customStyle="1" w:styleId="131">
    <w:name w:val="msg-box28"/>
    <w:basedOn w:val="47"/>
    <w:autoRedefine/>
    <w:qFormat/>
    <w:uiPriority w:val="99"/>
    <w:rPr>
      <w:rFonts w:cs="Times New Roman"/>
    </w:rPr>
  </w:style>
  <w:style w:type="character" w:customStyle="1" w:styleId="132">
    <w:name w:val="img_title6"/>
    <w:autoRedefine/>
    <w:qFormat/>
    <w:uiPriority w:val="99"/>
    <w:rPr>
      <w:vanish/>
    </w:rPr>
  </w:style>
  <w:style w:type="character" w:customStyle="1" w:styleId="133">
    <w:name w:val="tit12"/>
    <w:autoRedefine/>
    <w:qFormat/>
    <w:uiPriority w:val="99"/>
    <w:rPr>
      <w:color w:val="04A06C"/>
    </w:rPr>
  </w:style>
  <w:style w:type="character" w:customStyle="1" w:styleId="134">
    <w:name w:val="Char Char2"/>
    <w:autoRedefine/>
    <w:qFormat/>
    <w:uiPriority w:val="99"/>
    <w:rPr>
      <w:rFonts w:eastAsia="宋体"/>
      <w:kern w:val="2"/>
      <w:sz w:val="24"/>
      <w:lang w:val="en-US" w:eastAsia="zh-CN"/>
    </w:rPr>
  </w:style>
  <w:style w:type="character" w:customStyle="1" w:styleId="135">
    <w:name w:val="nostart"/>
    <w:autoRedefine/>
    <w:qFormat/>
    <w:uiPriority w:val="99"/>
    <w:rPr>
      <w:color w:val="FF0000"/>
    </w:rPr>
  </w:style>
  <w:style w:type="character" w:customStyle="1" w:styleId="136">
    <w:name w:val="nostart3"/>
    <w:basedOn w:val="47"/>
    <w:autoRedefine/>
    <w:qFormat/>
    <w:uiPriority w:val="99"/>
    <w:rPr>
      <w:rFonts w:cs="Times New Roman"/>
    </w:rPr>
  </w:style>
  <w:style w:type="character" w:customStyle="1" w:styleId="137">
    <w:name w:val="img4"/>
    <w:basedOn w:val="47"/>
    <w:autoRedefine/>
    <w:qFormat/>
    <w:uiPriority w:val="99"/>
    <w:rPr>
      <w:rFonts w:cs="Times New Roman"/>
    </w:rPr>
  </w:style>
  <w:style w:type="character" w:customStyle="1" w:styleId="138">
    <w:name w:val="tit11"/>
    <w:autoRedefine/>
    <w:qFormat/>
    <w:uiPriority w:val="99"/>
    <w:rPr>
      <w:color w:val="B60000"/>
    </w:rPr>
  </w:style>
  <w:style w:type="character" w:customStyle="1" w:styleId="139">
    <w:name w:val="over"/>
    <w:autoRedefine/>
    <w:qFormat/>
    <w:uiPriority w:val="99"/>
    <w:rPr>
      <w:color w:val="B60000"/>
    </w:rPr>
  </w:style>
  <w:style w:type="character" w:customStyle="1" w:styleId="140">
    <w:name w:val="l6"/>
    <w:autoRedefine/>
    <w:qFormat/>
    <w:uiPriority w:val="99"/>
    <w:rPr>
      <w:color w:val="999999"/>
    </w:rPr>
  </w:style>
  <w:style w:type="character" w:customStyle="1" w:styleId="141">
    <w:name w:val="datetime"/>
    <w:autoRedefine/>
    <w:qFormat/>
    <w:uiPriority w:val="99"/>
    <w:rPr>
      <w:rFonts w:ascii="Arial" w:hAnsi="Arial"/>
      <w:color w:val="999999"/>
      <w:sz w:val="21"/>
    </w:rPr>
  </w:style>
  <w:style w:type="character" w:customStyle="1" w:styleId="142">
    <w:name w:val="txt1"/>
    <w:basedOn w:val="47"/>
    <w:autoRedefine/>
    <w:qFormat/>
    <w:uiPriority w:val="99"/>
    <w:rPr>
      <w:rFonts w:cs="Times New Roman"/>
    </w:rPr>
  </w:style>
  <w:style w:type="character" w:customStyle="1" w:styleId="143">
    <w:name w:val="starting1"/>
    <w:autoRedefine/>
    <w:qFormat/>
    <w:uiPriority w:val="99"/>
    <w:rPr>
      <w:color w:val="339900"/>
    </w:rPr>
  </w:style>
  <w:style w:type="character" w:customStyle="1" w:styleId="144">
    <w:name w:val="starting2"/>
    <w:autoRedefine/>
    <w:qFormat/>
    <w:uiPriority w:val="99"/>
    <w:rPr>
      <w:color w:val="B60000"/>
    </w:rPr>
  </w:style>
  <w:style w:type="character" w:customStyle="1" w:styleId="145">
    <w:name w:val="red"/>
    <w:autoRedefine/>
    <w:qFormat/>
    <w:uiPriority w:val="99"/>
    <w:rPr>
      <w:rFonts w:ascii="Arial" w:hAnsi="Arial"/>
      <w:color w:val="E50000"/>
    </w:rPr>
  </w:style>
  <w:style w:type="character" w:customStyle="1" w:styleId="146">
    <w:name w:val="Char Char4"/>
    <w:autoRedefine/>
    <w:qFormat/>
    <w:uiPriority w:val="99"/>
    <w:rPr>
      <w:rFonts w:eastAsia="宋体"/>
      <w:b/>
      <w:kern w:val="44"/>
      <w:sz w:val="44"/>
      <w:lang w:val="en-US" w:eastAsia="zh-CN"/>
    </w:rPr>
  </w:style>
  <w:style w:type="character" w:customStyle="1" w:styleId="147">
    <w:name w:val="font161"/>
    <w:autoRedefine/>
    <w:qFormat/>
    <w:uiPriority w:val="99"/>
    <w:rPr>
      <w:b/>
      <w:sz w:val="32"/>
    </w:rPr>
  </w:style>
  <w:style w:type="character" w:customStyle="1" w:styleId="148">
    <w:name w:val="Char Char8"/>
    <w:autoRedefine/>
    <w:qFormat/>
    <w:uiPriority w:val="99"/>
    <w:rPr>
      <w:rFonts w:ascii="Arial" w:hAnsi="Arial" w:eastAsia="黑体"/>
      <w:b/>
      <w:kern w:val="2"/>
      <w:sz w:val="32"/>
      <w:lang w:val="en-US" w:eastAsia="zh-CN"/>
    </w:rPr>
  </w:style>
  <w:style w:type="character" w:customStyle="1" w:styleId="149">
    <w:name w:val="msg-box29"/>
    <w:basedOn w:val="47"/>
    <w:autoRedefine/>
    <w:qFormat/>
    <w:uiPriority w:val="99"/>
    <w:rPr>
      <w:rFonts w:cs="Times New Roman"/>
    </w:rPr>
  </w:style>
  <w:style w:type="character" w:customStyle="1" w:styleId="150">
    <w:name w:val="over2"/>
    <w:autoRedefine/>
    <w:qFormat/>
    <w:uiPriority w:val="99"/>
    <w:rPr>
      <w:color w:val="999999"/>
    </w:rPr>
  </w:style>
  <w:style w:type="character" w:customStyle="1" w:styleId="151">
    <w:name w:val="img_title7"/>
    <w:autoRedefine/>
    <w:qFormat/>
    <w:uiPriority w:val="99"/>
    <w:rPr>
      <w:vanish/>
    </w:rPr>
  </w:style>
  <w:style w:type="character" w:customStyle="1" w:styleId="152">
    <w:name w:val="l7"/>
    <w:autoRedefine/>
    <w:qFormat/>
    <w:uiPriority w:val="99"/>
    <w:rPr>
      <w:color w:val="999999"/>
    </w:rPr>
  </w:style>
  <w:style w:type="character" w:customStyle="1" w:styleId="153">
    <w:name w:val="l51"/>
    <w:autoRedefine/>
    <w:qFormat/>
    <w:uiPriority w:val="99"/>
    <w:rPr>
      <w:color w:val="999999"/>
    </w:rPr>
  </w:style>
  <w:style w:type="character" w:customStyle="1" w:styleId="154">
    <w:name w:val="num81"/>
    <w:basedOn w:val="47"/>
    <w:autoRedefine/>
    <w:qFormat/>
    <w:uiPriority w:val="99"/>
    <w:rPr>
      <w:rFonts w:cs="Times New Roman"/>
    </w:rPr>
  </w:style>
  <w:style w:type="character" w:customStyle="1" w:styleId="155">
    <w:name w:val="Char Char1"/>
    <w:autoRedefine/>
    <w:qFormat/>
    <w:uiPriority w:val="99"/>
    <w:rPr>
      <w:rFonts w:eastAsia="宋体"/>
      <w:kern w:val="2"/>
      <w:sz w:val="24"/>
      <w:lang w:val="en-US" w:eastAsia="zh-CN"/>
    </w:rPr>
  </w:style>
  <w:style w:type="character" w:customStyle="1" w:styleId="156">
    <w:name w:val="zs"/>
    <w:autoRedefine/>
    <w:qFormat/>
    <w:uiPriority w:val="99"/>
    <w:rPr>
      <w:color w:val="8D744B"/>
      <w:sz w:val="18"/>
    </w:rPr>
  </w:style>
  <w:style w:type="character" w:customStyle="1" w:styleId="157">
    <w:name w:val="bigfont"/>
    <w:basedOn w:val="47"/>
    <w:autoRedefine/>
    <w:qFormat/>
    <w:uiPriority w:val="99"/>
    <w:rPr>
      <w:rFonts w:cs="Times New Roman"/>
    </w:rPr>
  </w:style>
  <w:style w:type="character" w:customStyle="1" w:styleId="158">
    <w:name w:val="txt"/>
    <w:autoRedefine/>
    <w:qFormat/>
    <w:uiPriority w:val="99"/>
    <w:rPr>
      <w:color w:val="C0C0C0"/>
    </w:rPr>
  </w:style>
  <w:style w:type="character" w:customStyle="1" w:styleId="159">
    <w:name w:val="jg"/>
    <w:basedOn w:val="47"/>
    <w:autoRedefine/>
    <w:qFormat/>
    <w:uiPriority w:val="99"/>
    <w:rPr>
      <w:rFonts w:cs="Times New Roman"/>
    </w:rPr>
  </w:style>
  <w:style w:type="character" w:customStyle="1" w:styleId="160">
    <w:name w:val="17"/>
    <w:autoRedefine/>
    <w:qFormat/>
    <w:uiPriority w:val="99"/>
    <w:rPr>
      <w:rFonts w:ascii="仿宋_GB2312" w:eastAsia="仿宋_GB2312"/>
      <w:color w:val="auto"/>
      <w:sz w:val="28"/>
      <w:u w:val="single"/>
    </w:rPr>
  </w:style>
  <w:style w:type="character" w:customStyle="1" w:styleId="161">
    <w:name w:val="job"/>
    <w:basedOn w:val="47"/>
    <w:autoRedefine/>
    <w:qFormat/>
    <w:uiPriority w:val="99"/>
    <w:rPr>
      <w:rFonts w:cs="Times New Roman"/>
    </w:rPr>
  </w:style>
  <w:style w:type="character" w:customStyle="1" w:styleId="162">
    <w:name w:val="job1"/>
    <w:basedOn w:val="47"/>
    <w:autoRedefine/>
    <w:qFormat/>
    <w:uiPriority w:val="99"/>
    <w:rPr>
      <w:rFonts w:cs="Times New Roman"/>
    </w:rPr>
  </w:style>
  <w:style w:type="character" w:customStyle="1" w:styleId="163">
    <w:name w:val="标题 2 Char"/>
    <w:autoRedefine/>
    <w:qFormat/>
    <w:uiPriority w:val="99"/>
    <w:rPr>
      <w:rFonts w:ascii="Arial" w:hAnsi="Arial" w:eastAsia="黑体"/>
      <w:b/>
      <w:kern w:val="2"/>
      <w:sz w:val="32"/>
      <w:lang w:val="en-US" w:eastAsia="zh-CN"/>
    </w:rPr>
  </w:style>
  <w:style w:type="character" w:customStyle="1" w:styleId="164">
    <w:name w:val="p05"/>
    <w:basedOn w:val="47"/>
    <w:autoRedefine/>
    <w:qFormat/>
    <w:uiPriority w:val="99"/>
    <w:rPr>
      <w:rFonts w:cs="Times New Roman"/>
    </w:rPr>
  </w:style>
  <w:style w:type="character" w:customStyle="1" w:styleId="165">
    <w:name w:val="Char Char7"/>
    <w:autoRedefine/>
    <w:qFormat/>
    <w:uiPriority w:val="99"/>
    <w:rPr>
      <w:rFonts w:ascii="Arial" w:hAnsi="Arial" w:eastAsia="黑体"/>
      <w:b/>
      <w:kern w:val="2"/>
      <w:sz w:val="32"/>
      <w:lang w:val="en-US" w:eastAsia="zh-CN"/>
    </w:rPr>
  </w:style>
  <w:style w:type="character" w:customStyle="1" w:styleId="166">
    <w:name w:val="over3"/>
    <w:basedOn w:val="47"/>
    <w:autoRedefine/>
    <w:qFormat/>
    <w:uiPriority w:val="99"/>
    <w:rPr>
      <w:rFonts w:cs="Times New Roman"/>
    </w:rPr>
  </w:style>
  <w:style w:type="character" w:customStyle="1" w:styleId="167">
    <w:name w:val="Char Char3"/>
    <w:autoRedefine/>
    <w:qFormat/>
    <w:uiPriority w:val="99"/>
    <w:rPr>
      <w:rFonts w:ascii="Arial" w:hAnsi="Arial" w:eastAsia="黑体"/>
      <w:b/>
      <w:kern w:val="2"/>
      <w:sz w:val="32"/>
      <w:lang w:val="en-US" w:eastAsia="zh-CN"/>
    </w:rPr>
  </w:style>
  <w:style w:type="character" w:customStyle="1" w:styleId="168">
    <w:name w:val="Char Char71"/>
    <w:autoRedefine/>
    <w:qFormat/>
    <w:uiPriority w:val="99"/>
    <w:rPr>
      <w:rFonts w:ascii="Arial" w:hAnsi="Arial" w:eastAsia="黑体"/>
      <w:b/>
      <w:kern w:val="2"/>
      <w:sz w:val="32"/>
      <w:lang w:val="en-US" w:eastAsia="zh-CN"/>
    </w:rPr>
  </w:style>
  <w:style w:type="character" w:customStyle="1" w:styleId="169">
    <w:name w:val="num51"/>
    <w:basedOn w:val="47"/>
    <w:autoRedefine/>
    <w:qFormat/>
    <w:uiPriority w:val="99"/>
    <w:rPr>
      <w:rFonts w:cs="Times New Roman"/>
    </w:rPr>
  </w:style>
  <w:style w:type="character" w:customStyle="1" w:styleId="170">
    <w:name w:val="Char Char Char"/>
    <w:autoRedefine/>
    <w:qFormat/>
    <w:uiPriority w:val="99"/>
    <w:rPr>
      <w:rFonts w:eastAsia="宋体"/>
      <w:b/>
      <w:kern w:val="44"/>
      <w:sz w:val="44"/>
      <w:lang w:val="en-US" w:eastAsia="zh-CN"/>
    </w:rPr>
  </w:style>
  <w:style w:type="character" w:customStyle="1" w:styleId="171">
    <w:name w:val="msg-box31"/>
    <w:basedOn w:val="47"/>
    <w:autoRedefine/>
    <w:qFormat/>
    <w:uiPriority w:val="99"/>
    <w:rPr>
      <w:rFonts w:cs="Times New Roman"/>
    </w:rPr>
  </w:style>
  <w:style w:type="character" w:customStyle="1" w:styleId="172">
    <w:name w:val="msg-box30"/>
    <w:basedOn w:val="47"/>
    <w:autoRedefine/>
    <w:qFormat/>
    <w:uiPriority w:val="99"/>
    <w:rPr>
      <w:rFonts w:cs="Times New Roman"/>
    </w:rPr>
  </w:style>
  <w:style w:type="character" w:customStyle="1" w:styleId="173">
    <w:name w:val="标题 1 Char Char"/>
    <w:autoRedefine/>
    <w:qFormat/>
    <w:uiPriority w:val="99"/>
    <w:rPr>
      <w:rFonts w:eastAsia="宋体"/>
      <w:b/>
      <w:kern w:val="44"/>
      <w:sz w:val="44"/>
      <w:lang w:val="en-US" w:eastAsia="zh-CN"/>
    </w:rPr>
  </w:style>
  <w:style w:type="character" w:customStyle="1" w:styleId="174">
    <w:name w:val="c1"/>
    <w:basedOn w:val="47"/>
    <w:autoRedefine/>
    <w:qFormat/>
    <w:uiPriority w:val="99"/>
    <w:rPr>
      <w:rFonts w:cs="Times New Roman"/>
    </w:rPr>
  </w:style>
  <w:style w:type="character" w:customStyle="1" w:styleId="175">
    <w:name w:val="纯文本 Char1"/>
    <w:autoRedefine/>
    <w:qFormat/>
    <w:uiPriority w:val="99"/>
    <w:rPr>
      <w:rFonts w:ascii="Courier New" w:hAnsi="Courier New" w:eastAsia="宋体"/>
      <w:kern w:val="2"/>
      <w:sz w:val="21"/>
      <w:lang w:val="en-US" w:eastAsia="zh-CN"/>
    </w:rPr>
  </w:style>
  <w:style w:type="character" w:customStyle="1" w:styleId="176">
    <w:name w:val="Char Char Char1"/>
    <w:autoRedefine/>
    <w:qFormat/>
    <w:uiPriority w:val="99"/>
    <w:rPr>
      <w:rFonts w:ascii="Arial" w:hAnsi="Arial" w:eastAsia="黑体"/>
      <w:b/>
      <w:kern w:val="2"/>
      <w:sz w:val="32"/>
      <w:lang w:val="en-US" w:eastAsia="zh-CN"/>
    </w:rPr>
  </w:style>
  <w:style w:type="character" w:customStyle="1" w:styleId="177">
    <w:name w:val="l3"/>
    <w:autoRedefine/>
    <w:qFormat/>
    <w:uiPriority w:val="99"/>
    <w:rPr>
      <w:color w:val="999999"/>
    </w:rPr>
  </w:style>
  <w:style w:type="character" w:customStyle="1" w:styleId="178">
    <w:name w:val="tit14"/>
    <w:autoRedefine/>
    <w:qFormat/>
    <w:uiPriority w:val="99"/>
    <w:rPr>
      <w:color w:val="B60000"/>
    </w:rPr>
  </w:style>
  <w:style w:type="character" w:customStyle="1" w:styleId="179">
    <w:name w:val="tit10"/>
    <w:autoRedefine/>
    <w:qFormat/>
    <w:uiPriority w:val="99"/>
    <w:rPr>
      <w:color w:val="B60000"/>
    </w:rPr>
  </w:style>
  <w:style w:type="character" w:customStyle="1" w:styleId="180">
    <w:name w:val="l21"/>
    <w:autoRedefine/>
    <w:qFormat/>
    <w:uiPriority w:val="99"/>
    <w:rPr>
      <w:color w:val="999999"/>
    </w:rPr>
  </w:style>
  <w:style w:type="character" w:customStyle="1" w:styleId="181">
    <w:name w:val="num71"/>
    <w:basedOn w:val="47"/>
    <w:autoRedefine/>
    <w:qFormat/>
    <w:uiPriority w:val="99"/>
    <w:rPr>
      <w:rFonts w:cs="Times New Roman"/>
    </w:rPr>
  </w:style>
  <w:style w:type="character" w:customStyle="1" w:styleId="182">
    <w:name w:val="标题 2 Char Char"/>
    <w:autoRedefine/>
    <w:qFormat/>
    <w:uiPriority w:val="99"/>
    <w:rPr>
      <w:rFonts w:ascii="Arial" w:hAnsi="Arial" w:eastAsia="黑体"/>
      <w:b/>
      <w:kern w:val="2"/>
      <w:sz w:val="32"/>
      <w:lang w:val="en-US" w:eastAsia="zh-CN"/>
    </w:rPr>
  </w:style>
  <w:style w:type="character" w:customStyle="1" w:styleId="183">
    <w:name w:val="buvis"/>
    <w:autoRedefine/>
    <w:qFormat/>
    <w:uiPriority w:val="99"/>
    <w:rPr>
      <w:color w:val="999999"/>
    </w:rPr>
  </w:style>
  <w:style w:type="character" w:customStyle="1" w:styleId="184">
    <w:name w:val="name"/>
    <w:autoRedefine/>
    <w:qFormat/>
    <w:uiPriority w:val="99"/>
    <w:rPr>
      <w:color w:val="444444"/>
      <w:sz w:val="21"/>
    </w:rPr>
  </w:style>
  <w:style w:type="character" w:customStyle="1" w:styleId="185">
    <w:name w:val="layui-this"/>
    <w:autoRedefine/>
    <w:qFormat/>
    <w:uiPriority w:val="99"/>
    <w:rPr>
      <w:bdr w:val="single" w:color="EEEEEE" w:sz="6" w:space="0"/>
      <w:shd w:val="clear" w:color="auto" w:fill="FFFFFF"/>
    </w:rPr>
  </w:style>
  <w:style w:type="character" w:customStyle="1" w:styleId="186">
    <w:name w:val="标题 2 Char1"/>
    <w:autoRedefine/>
    <w:qFormat/>
    <w:uiPriority w:val="99"/>
    <w:rPr>
      <w:rFonts w:ascii="Arial" w:hAnsi="Arial" w:eastAsia="黑体"/>
      <w:b/>
      <w:kern w:val="2"/>
      <w:sz w:val="32"/>
      <w:lang w:val="en-US" w:eastAsia="zh-CN"/>
    </w:rPr>
  </w:style>
  <w:style w:type="character" w:customStyle="1" w:styleId="187">
    <w:name w:val="zw"/>
    <w:autoRedefine/>
    <w:qFormat/>
    <w:uiPriority w:val="99"/>
    <w:rPr>
      <w:color w:val="BD1E22"/>
      <w:sz w:val="22"/>
    </w:rPr>
  </w:style>
  <w:style w:type="character" w:customStyle="1" w:styleId="188">
    <w:name w:val="name1"/>
    <w:autoRedefine/>
    <w:qFormat/>
    <w:uiPriority w:val="99"/>
    <w:rPr>
      <w:color w:val="695435"/>
      <w:sz w:val="24"/>
    </w:rPr>
  </w:style>
  <w:style w:type="character" w:customStyle="1" w:styleId="189">
    <w:name w:val="num61"/>
    <w:basedOn w:val="47"/>
    <w:autoRedefine/>
    <w:qFormat/>
    <w:uiPriority w:val="99"/>
    <w:rPr>
      <w:rFonts w:cs="Times New Roman"/>
    </w:rPr>
  </w:style>
  <w:style w:type="character" w:customStyle="1" w:styleId="190">
    <w:name w:val="mesg-myd"/>
    <w:autoRedefine/>
    <w:qFormat/>
    <w:uiPriority w:val="99"/>
    <w:rPr>
      <w:color w:val="EE0000"/>
    </w:rPr>
  </w:style>
  <w:style w:type="character" w:customStyle="1" w:styleId="191">
    <w:name w:val="c2"/>
    <w:basedOn w:val="47"/>
    <w:autoRedefine/>
    <w:qFormat/>
    <w:uiPriority w:val="99"/>
    <w:rPr>
      <w:rFonts w:cs="Times New Roman"/>
    </w:rPr>
  </w:style>
  <w:style w:type="character" w:customStyle="1" w:styleId="192">
    <w:name w:val="c3"/>
    <w:basedOn w:val="47"/>
    <w:autoRedefine/>
    <w:qFormat/>
    <w:uiPriority w:val="99"/>
    <w:rPr>
      <w:rFonts w:cs="Times New Roman"/>
    </w:rPr>
  </w:style>
  <w:style w:type="character" w:customStyle="1" w:styleId="193">
    <w:name w:val="over1"/>
    <w:autoRedefine/>
    <w:qFormat/>
    <w:uiPriority w:val="99"/>
    <w:rPr>
      <w:color w:val="B60000"/>
    </w:rPr>
  </w:style>
  <w:style w:type="character" w:customStyle="1" w:styleId="194">
    <w:name w:val="tit13"/>
    <w:autoRedefine/>
    <w:qFormat/>
    <w:uiPriority w:val="99"/>
    <w:rPr>
      <w:color w:val="FFFFFF"/>
    </w:rPr>
  </w:style>
  <w:style w:type="character" w:customStyle="1" w:styleId="195">
    <w:name w:val="Char Char21"/>
    <w:autoRedefine/>
    <w:qFormat/>
    <w:uiPriority w:val="99"/>
    <w:rPr>
      <w:rFonts w:eastAsia="宋体"/>
      <w:kern w:val="2"/>
      <w:sz w:val="24"/>
      <w:lang w:val="en-US" w:eastAsia="zh-CN"/>
    </w:rPr>
  </w:style>
  <w:style w:type="character" w:customStyle="1" w:styleId="196">
    <w:name w:val="l41"/>
    <w:autoRedefine/>
    <w:qFormat/>
    <w:uiPriority w:val="99"/>
    <w:rPr>
      <w:color w:val="999999"/>
    </w:rPr>
  </w:style>
  <w:style w:type="character" w:customStyle="1" w:styleId="197">
    <w:name w:val="16"/>
    <w:autoRedefine/>
    <w:qFormat/>
    <w:uiPriority w:val="99"/>
    <w:rPr>
      <w:rFonts w:ascii="仿宋_GB2312" w:eastAsia="仿宋_GB2312"/>
      <w:color w:val="auto"/>
      <w:sz w:val="28"/>
    </w:rPr>
  </w:style>
  <w:style w:type="character" w:customStyle="1" w:styleId="198">
    <w:name w:val="num31"/>
    <w:basedOn w:val="47"/>
    <w:autoRedefine/>
    <w:qFormat/>
    <w:uiPriority w:val="99"/>
    <w:rPr>
      <w:rFonts w:cs="Times New Roman"/>
    </w:rPr>
  </w:style>
  <w:style w:type="character" w:customStyle="1" w:styleId="199">
    <w:name w:val="starting4"/>
    <w:basedOn w:val="47"/>
    <w:autoRedefine/>
    <w:qFormat/>
    <w:uiPriority w:val="99"/>
    <w:rPr>
      <w:rFonts w:cs="Times New Roman"/>
    </w:rPr>
  </w:style>
  <w:style w:type="character" w:customStyle="1" w:styleId="200">
    <w:name w:val="bsharetext"/>
    <w:basedOn w:val="47"/>
    <w:autoRedefine/>
    <w:qFormat/>
    <w:uiPriority w:val="99"/>
    <w:rPr>
      <w:rFonts w:cs="Times New Roman"/>
    </w:rPr>
  </w:style>
  <w:style w:type="character" w:customStyle="1" w:styleId="201">
    <w:name w:val="unit"/>
    <w:autoRedefine/>
    <w:qFormat/>
    <w:uiPriority w:val="99"/>
    <w:rPr>
      <w:color w:val="999999"/>
    </w:rPr>
  </w:style>
  <w:style w:type="character" w:customStyle="1" w:styleId="202">
    <w:name w:val="nostart2"/>
    <w:autoRedefine/>
    <w:qFormat/>
    <w:uiPriority w:val="99"/>
    <w:rPr>
      <w:color w:val="B60000"/>
    </w:rPr>
  </w:style>
  <w:style w:type="character" w:customStyle="1" w:styleId="203">
    <w:name w:val="纯文本 Char"/>
    <w:autoRedefine/>
    <w:qFormat/>
    <w:uiPriority w:val="99"/>
    <w:rPr>
      <w:rFonts w:ascii="Courier New" w:hAnsi="Courier New" w:eastAsia="宋体"/>
      <w:kern w:val="2"/>
      <w:sz w:val="21"/>
      <w:lang w:val="en-US" w:eastAsia="zh-CN"/>
    </w:rPr>
  </w:style>
  <w:style w:type="character" w:customStyle="1" w:styleId="204">
    <w:name w:val="Char Char81"/>
    <w:autoRedefine/>
    <w:qFormat/>
    <w:uiPriority w:val="99"/>
    <w:rPr>
      <w:rFonts w:ascii="Arial" w:hAnsi="Arial" w:eastAsia="黑体"/>
      <w:b/>
      <w:kern w:val="2"/>
      <w:sz w:val="32"/>
      <w:lang w:val="en-US" w:eastAsia="zh-CN"/>
    </w:rPr>
  </w:style>
  <w:style w:type="character" w:customStyle="1" w:styleId="205">
    <w:name w:val="starting"/>
    <w:autoRedefine/>
    <w:qFormat/>
    <w:uiPriority w:val="99"/>
    <w:rPr>
      <w:color w:val="339900"/>
    </w:rPr>
  </w:style>
  <w:style w:type="character" w:customStyle="1" w:styleId="206">
    <w:name w:val="nostart1"/>
    <w:autoRedefine/>
    <w:qFormat/>
    <w:uiPriority w:val="99"/>
    <w:rPr>
      <w:color w:val="FF0000"/>
    </w:rPr>
  </w:style>
  <w:style w:type="character" w:customStyle="1" w:styleId="207">
    <w:name w:val="num210"/>
    <w:basedOn w:val="47"/>
    <w:autoRedefine/>
    <w:qFormat/>
    <w:uiPriority w:val="99"/>
    <w:rPr>
      <w:rFonts w:cs="Times New Roman"/>
    </w:rPr>
  </w:style>
  <w:style w:type="character" w:customStyle="1" w:styleId="208">
    <w:name w:val="buvis1"/>
    <w:autoRedefine/>
    <w:qFormat/>
    <w:uiPriority w:val="99"/>
    <w:rPr>
      <w:color w:val="CC0000"/>
    </w:rPr>
  </w:style>
  <w:style w:type="character" w:customStyle="1" w:styleId="209">
    <w:name w:val="starting3"/>
    <w:basedOn w:val="47"/>
    <w:autoRedefine/>
    <w:qFormat/>
    <w:uiPriority w:val="99"/>
    <w:rPr>
      <w:rFonts w:cs="Times New Roman"/>
    </w:rPr>
  </w:style>
  <w:style w:type="character" w:customStyle="1" w:styleId="210">
    <w:name w:val="textcontents"/>
    <w:basedOn w:val="47"/>
    <w:autoRedefine/>
    <w:qFormat/>
    <w:uiPriority w:val="99"/>
    <w:rPr>
      <w:rFonts w:cs="Times New Roman"/>
    </w:rPr>
  </w:style>
  <w:style w:type="character" w:customStyle="1" w:styleId="211">
    <w:name w:val="num41"/>
    <w:basedOn w:val="47"/>
    <w:autoRedefine/>
    <w:qFormat/>
    <w:uiPriority w:val="99"/>
    <w:rPr>
      <w:rFonts w:cs="Times New Roman"/>
    </w:rPr>
  </w:style>
  <w:style w:type="character" w:customStyle="1" w:styleId="212">
    <w:name w:val="tit9"/>
    <w:autoRedefine/>
    <w:qFormat/>
    <w:uiPriority w:val="99"/>
    <w:rPr>
      <w:color w:val="B60000"/>
      <w:sz w:val="27"/>
      <w:bdr w:val="single" w:color="DFCEB8" w:sz="6" w:space="0"/>
      <w:shd w:val="clear" w:color="auto" w:fill="FFFFFF"/>
    </w:rPr>
  </w:style>
  <w:style w:type="character" w:customStyle="1" w:styleId="213">
    <w:name w:val="name2"/>
    <w:autoRedefine/>
    <w:qFormat/>
    <w:uiPriority w:val="99"/>
    <w:rPr>
      <w:color w:val="000000"/>
      <w:sz w:val="39"/>
    </w:rPr>
  </w:style>
  <w:style w:type="character" w:customStyle="1" w:styleId="214">
    <w:name w:val="img_title8"/>
    <w:autoRedefine/>
    <w:qFormat/>
    <w:uiPriority w:val="99"/>
    <w:rPr>
      <w:vanish/>
    </w:rPr>
  </w:style>
  <w:style w:type="character" w:customStyle="1" w:styleId="215">
    <w:name w:val="tit15"/>
    <w:autoRedefine/>
    <w:qFormat/>
    <w:uiPriority w:val="99"/>
    <w:rPr>
      <w:b/>
      <w:color w:val="B60000"/>
    </w:rPr>
  </w:style>
  <w:style w:type="character" w:customStyle="1" w:styleId="216">
    <w:name w:val="img_title9"/>
    <w:autoRedefine/>
    <w:qFormat/>
    <w:uiPriority w:val="99"/>
    <w:rPr>
      <w:vanish/>
    </w:rPr>
  </w:style>
  <w:style w:type="table" w:customStyle="1" w:styleId="217">
    <w:name w:val="Table Normal"/>
    <w:autoRedefine/>
    <w:unhideWhenUsed/>
    <w:qFormat/>
    <w:uiPriority w:val="0"/>
    <w:tblPr>
      <w:tblCellMar>
        <w:top w:w="0" w:type="dxa"/>
        <w:left w:w="0" w:type="dxa"/>
        <w:bottom w:w="0" w:type="dxa"/>
        <w:right w:w="0" w:type="dxa"/>
      </w:tblCellMar>
    </w:tblPr>
  </w:style>
  <w:style w:type="paragraph" w:styleId="218">
    <w:name w:val="List Paragraph"/>
    <w:basedOn w:val="1"/>
    <w:autoRedefine/>
    <w:qFormat/>
    <w:uiPriority w:val="34"/>
    <w:pPr>
      <w:ind w:firstLine="420" w:firstLineChars="200"/>
    </w:pPr>
  </w:style>
  <w:style w:type="paragraph" w:customStyle="1" w:styleId="219">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220">
    <w:name w:val="hover"/>
    <w:basedOn w:val="47"/>
    <w:autoRedefine/>
    <w:qFormat/>
    <w:uiPriority w:val="0"/>
  </w:style>
  <w:style w:type="character" w:customStyle="1" w:styleId="221">
    <w:name w:val="hover1"/>
    <w:basedOn w:val="47"/>
    <w:autoRedefine/>
    <w:qFormat/>
    <w:uiPriority w:val="0"/>
    <w:rPr>
      <w:color w:val="2590EB"/>
    </w:rPr>
  </w:style>
  <w:style w:type="character" w:customStyle="1" w:styleId="222">
    <w:name w:val="hover2"/>
    <w:basedOn w:val="47"/>
    <w:autoRedefine/>
    <w:qFormat/>
    <w:uiPriority w:val="0"/>
    <w:rPr>
      <w:color w:val="2590EB"/>
    </w:rPr>
  </w:style>
  <w:style w:type="character" w:customStyle="1" w:styleId="223">
    <w:name w:val="hover3"/>
    <w:basedOn w:val="47"/>
    <w:autoRedefine/>
    <w:qFormat/>
    <w:uiPriority w:val="0"/>
    <w:rPr>
      <w:color w:val="2590EB"/>
      <w:shd w:val="clear" w:fill="E9F4FD"/>
    </w:rPr>
  </w:style>
  <w:style w:type="character" w:customStyle="1" w:styleId="224">
    <w:name w:val="mini-outputtext1"/>
    <w:basedOn w:val="47"/>
    <w:autoRedefine/>
    <w:qFormat/>
    <w:uiPriority w:val="0"/>
  </w:style>
  <w:style w:type="character" w:customStyle="1" w:styleId="225">
    <w:name w:val="hover4"/>
    <w:basedOn w:val="47"/>
    <w:autoRedefine/>
    <w:qFormat/>
    <w:uiPriority w:val="0"/>
    <w:rPr>
      <w:color w:val="2590EB"/>
      <w:shd w:val="clear" w:fill="E9F4FD"/>
    </w:rPr>
  </w:style>
  <w:style w:type="character" w:customStyle="1" w:styleId="226">
    <w:name w:val="font11"/>
    <w:basedOn w:val="47"/>
    <w:qFormat/>
    <w:uiPriority w:val="0"/>
    <w:rPr>
      <w:rFonts w:hint="eastAsia" w:ascii="新宋体" w:hAnsi="新宋体" w:eastAsia="新宋体" w:cs="新宋体"/>
      <w:color w:val="000000"/>
      <w:sz w:val="28"/>
      <w:szCs w:val="28"/>
      <w:u w:val="none"/>
    </w:rPr>
  </w:style>
  <w:style w:type="character" w:customStyle="1" w:styleId="227">
    <w:name w:val="font21"/>
    <w:basedOn w:val="4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04" textRotate="1"/>
    <customShpInfo spid="_x0000_s4105" textRotate="1"/>
    <customShpInfo spid="_x0000_s4106" textRotate="1"/>
    <customShpInfo spid="_x0000_s410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46</Pages>
  <Words>25141</Words>
  <Characters>29885</Characters>
  <Lines>0</Lines>
  <Paragraphs>0</Paragraphs>
  <TotalTime>35</TotalTime>
  <ScaleCrop>false</ScaleCrop>
  <LinksUpToDate>false</LinksUpToDate>
  <CharactersWithSpaces>31871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韦韦</cp:lastModifiedBy>
  <cp:lastPrinted>2024-06-19T08:49:00Z</cp:lastPrinted>
  <dcterms:modified xsi:type="dcterms:W3CDTF">2026-05-19T05:18:41Z</dcterms:modified>
  <dc:title>标准交易文件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E8A497F1475946448617CB728303FD04</vt:lpwstr>
  </property>
  <property fmtid="{D5CDD505-2E9C-101B-9397-08002B2CF9AE}" pid="4" name="KSOTemplateDocerSaveRecord">
    <vt:lpwstr>eyJoZGlkIjoiZmQ5MGI3YTdkMjVkZTZjM2ZjZTQ5YjMxYTJjZjRlOWEiLCJ1c2VySWQiOiIzNjE4MjQ5In0=</vt:lpwstr>
  </property>
</Properties>
</file>