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376FF">
      <w:pPr>
        <w:pStyle w:val="34"/>
        <w:shd w:val="clear"/>
        <w:kinsoku/>
        <w:overflowPunct/>
        <w:bidi w:val="0"/>
        <w:ind w:left="0" w:leftChars="0" w:right="0" w:rightChars="0" w:firstLineChars="0"/>
        <w:jc w:val="center"/>
        <w:rPr>
          <w:rFonts w:ascii="新宋体" w:hAnsi="新宋体" w:eastAsia="新宋体"/>
          <w:b/>
          <w:color w:val="auto"/>
          <w:sz w:val="44"/>
          <w:szCs w:val="44"/>
          <w:highlight w:val="none"/>
        </w:rPr>
      </w:pPr>
      <w:bookmarkStart w:id="0" w:name="OLE_LINK1"/>
    </w:p>
    <w:p w14:paraId="6E67217A">
      <w:pPr>
        <w:pStyle w:val="34"/>
        <w:kinsoku/>
        <w:overflowPunct/>
        <w:bidi w:val="0"/>
        <w:ind w:left="0" w:leftChars="0" w:right="0" w:rightChars="0" w:firstLine="0" w:firstLineChars="0"/>
        <w:jc w:val="center"/>
        <w:rPr>
          <w:rFonts w:hint="eastAsia" w:ascii="Times New Roman" w:hAnsi="Times New Roman" w:eastAsia="宋体" w:cs="宋体"/>
          <w:b/>
          <w:bCs w:val="0"/>
          <w:color w:val="auto"/>
          <w:kern w:val="0"/>
          <w:sz w:val="52"/>
          <w:szCs w:val="32"/>
          <w:highlight w:val="none"/>
          <w:u w:color="000000"/>
          <w:lang w:val="en-US" w:eastAsia="zh-CN" w:bidi="ar"/>
        </w:rPr>
      </w:pPr>
      <w:r>
        <w:rPr>
          <w:rFonts w:hint="eastAsia" w:ascii="Times New Roman" w:hAnsi="Times New Roman" w:eastAsia="宋体" w:cs="宋体"/>
          <w:b/>
          <w:bCs w:val="0"/>
          <w:color w:val="auto"/>
          <w:kern w:val="0"/>
          <w:sz w:val="52"/>
          <w:szCs w:val="32"/>
          <w:highlight w:val="none"/>
          <w:u w:color="000000"/>
          <w:lang w:val="en-US" w:eastAsia="zh-CN" w:bidi="ar"/>
        </w:rPr>
        <w:t>滁州工投新能源开发有限公司</w:t>
      </w:r>
    </w:p>
    <w:p w14:paraId="4D8F0599">
      <w:pPr>
        <w:keepNext w:val="0"/>
        <w:keepLines w:val="0"/>
        <w:pageBreakBefore w:val="0"/>
        <w:widowControl w:val="0"/>
        <w:shd w:val="clear"/>
        <w:kinsoku/>
        <w:wordWrap/>
        <w:overflowPunct/>
        <w:topLinePunct w:val="0"/>
        <w:autoSpaceDE/>
        <w:autoSpaceDN/>
        <w:bidi w:val="0"/>
        <w:adjustRightInd/>
        <w:snapToGrid/>
        <w:spacing w:beforeLines="50" w:afterLines="50"/>
        <w:ind w:left="0" w:leftChars="0" w:right="0" w:rightChars="0"/>
        <w:jc w:val="center"/>
        <w:textAlignment w:val="auto"/>
        <w:rPr>
          <w:rFonts w:hint="eastAsia" w:ascii="Times New Roman" w:hAnsi="Times New Roman" w:eastAsia="宋体" w:cs="宋体"/>
          <w:b/>
          <w:bCs w:val="0"/>
          <w:color w:val="auto"/>
          <w:kern w:val="0"/>
          <w:sz w:val="52"/>
          <w:szCs w:val="32"/>
          <w:highlight w:val="none"/>
          <w:u w:color="000000"/>
          <w:lang w:val="en-US" w:eastAsia="zh-CN" w:bidi="ar"/>
        </w:rPr>
      </w:pPr>
      <w:r>
        <w:rPr>
          <w:rFonts w:hint="eastAsia" w:ascii="Times New Roman" w:hAnsi="Times New Roman" w:eastAsia="宋体" w:cs="宋体"/>
          <w:b/>
          <w:bCs w:val="0"/>
          <w:color w:val="auto"/>
          <w:kern w:val="0"/>
          <w:sz w:val="52"/>
          <w:szCs w:val="32"/>
          <w:highlight w:val="none"/>
          <w:u w:color="000000"/>
          <w:lang w:val="en-US" w:eastAsia="zh-CN" w:bidi="ar"/>
        </w:rPr>
        <w:t>2026年在营光伏电站及汽车充电站高压设备巡检维护项目</w:t>
      </w:r>
      <w:r>
        <w:rPr>
          <w:rFonts w:hint="eastAsia" w:cs="宋体"/>
          <w:b/>
          <w:bCs w:val="0"/>
          <w:color w:val="auto"/>
          <w:kern w:val="0"/>
          <w:sz w:val="52"/>
          <w:szCs w:val="32"/>
          <w:highlight w:val="none"/>
          <w:u w:color="000000"/>
          <w:lang w:val="en-US" w:eastAsia="zh-CN" w:bidi="ar"/>
        </w:rPr>
        <w:t>（二次）</w:t>
      </w:r>
    </w:p>
    <w:p w14:paraId="6DC6117C">
      <w:pPr>
        <w:shd w:val="clear"/>
        <w:kinsoku/>
        <w:overflowPunct/>
        <w:bidi w:val="0"/>
        <w:spacing w:beforeLines="50" w:afterLines="50"/>
        <w:ind w:left="0" w:leftChars="0" w:right="0" w:rightChars="0"/>
        <w:jc w:val="center"/>
        <w:rPr>
          <w:rFonts w:hint="eastAsia" w:ascii="Times New Roman" w:hAnsi="Times New Roman" w:eastAsia="宋体" w:cs="宋体"/>
          <w:b/>
          <w:bCs w:val="0"/>
          <w:color w:val="auto"/>
          <w:kern w:val="0"/>
          <w:sz w:val="52"/>
          <w:szCs w:val="32"/>
          <w:highlight w:val="none"/>
          <w:u w:color="000000"/>
          <w:lang w:val="en-US" w:eastAsia="zh-CN" w:bidi="ar"/>
        </w:rPr>
      </w:pPr>
    </w:p>
    <w:p w14:paraId="315F6B84">
      <w:pPr>
        <w:shd w:val="clear"/>
        <w:kinsoku/>
        <w:overflowPunct/>
        <w:bidi w:val="0"/>
        <w:spacing w:beforeLines="50" w:afterLines="50"/>
        <w:ind w:left="0" w:leftChars="0" w:right="0" w:rightChars="0"/>
        <w:jc w:val="center"/>
        <w:rPr>
          <w:rFonts w:ascii="宋体" w:hAnsi="宋体"/>
          <w:color w:val="auto"/>
          <w:sz w:val="40"/>
          <w:szCs w:val="36"/>
          <w:highlight w:val="none"/>
        </w:rPr>
      </w:pPr>
      <w:r>
        <w:rPr>
          <w:rFonts w:hint="eastAsia" w:ascii="宋体" w:hAnsi="宋体"/>
          <w:color w:val="auto"/>
          <w:sz w:val="40"/>
          <w:szCs w:val="36"/>
          <w:highlight w:val="none"/>
        </w:rPr>
        <w:t>（电子招标投标）</w:t>
      </w:r>
    </w:p>
    <w:p w14:paraId="33DA7D52">
      <w:pPr>
        <w:pStyle w:val="34"/>
        <w:shd w:val="clear"/>
        <w:kinsoku/>
        <w:overflowPunct/>
        <w:bidi w:val="0"/>
        <w:ind w:left="0" w:leftChars="0" w:right="0" w:rightChars="0" w:firstLine="2880" w:firstLineChars="1200"/>
        <w:rPr>
          <w:rFonts w:hint="eastAsia"/>
          <w:color w:val="auto"/>
          <w:sz w:val="24"/>
          <w:highlight w:val="none"/>
        </w:rPr>
      </w:pPr>
    </w:p>
    <w:p w14:paraId="75890613">
      <w:pPr>
        <w:keepNext w:val="0"/>
        <w:keepLines w:val="0"/>
        <w:widowControl/>
        <w:suppressLineNumbers w:val="0"/>
        <w:kinsoku/>
        <w:overflowPunct/>
        <w:bidi w:val="0"/>
        <w:ind w:left="0" w:leftChars="0" w:right="0" w:rightChars="0"/>
        <w:jc w:val="center"/>
        <w:rPr>
          <w:color w:val="auto"/>
          <w:sz w:val="19"/>
          <w:szCs w:val="19"/>
          <w:highlight w:val="none"/>
        </w:rPr>
      </w:pPr>
      <w:r>
        <w:rPr>
          <w:rFonts w:hint="eastAsia"/>
          <w:color w:val="auto"/>
          <w:sz w:val="24"/>
          <w:highlight w:val="none"/>
        </w:rPr>
        <w:t>项目编号：</w:t>
      </w:r>
      <w:r>
        <w:rPr>
          <w:rFonts w:hint="eastAsia"/>
          <w:color w:val="auto"/>
          <w:sz w:val="24"/>
          <w:highlight w:val="none"/>
          <w:lang w:val="en-US" w:eastAsia="zh-CN"/>
        </w:rPr>
        <w:t>czsjqt202601-012</w:t>
      </w:r>
    </w:p>
    <w:p w14:paraId="3C55DCDA">
      <w:pPr>
        <w:pStyle w:val="34"/>
        <w:shd w:val="clear"/>
        <w:kinsoku/>
        <w:overflowPunct/>
        <w:bidi w:val="0"/>
        <w:ind w:left="0" w:leftChars="0" w:right="0" w:rightChars="0" w:firstLine="2880" w:firstLineChars="1200"/>
        <w:rPr>
          <w:rFonts w:hint="eastAsia" w:eastAsia="宋体"/>
          <w:color w:val="auto"/>
          <w:sz w:val="24"/>
          <w:highlight w:val="none"/>
          <w:lang w:val="en-US" w:eastAsia="zh-CN"/>
        </w:rPr>
      </w:pPr>
    </w:p>
    <w:p w14:paraId="372577E1">
      <w:pPr>
        <w:pStyle w:val="53"/>
        <w:shd w:val="clear"/>
        <w:kinsoku/>
        <w:overflowPunct/>
        <w:bidi w:val="0"/>
        <w:ind w:left="0" w:leftChars="0" w:right="0" w:rightChars="0" w:firstLine="0" w:firstLineChars="0"/>
        <w:rPr>
          <w:color w:val="auto"/>
          <w:highlight w:val="none"/>
        </w:rPr>
      </w:pPr>
    </w:p>
    <w:p w14:paraId="2B5CF53C">
      <w:pPr>
        <w:pStyle w:val="53"/>
        <w:shd w:val="clear"/>
        <w:kinsoku/>
        <w:overflowPunct/>
        <w:bidi w:val="0"/>
        <w:ind w:left="0" w:leftChars="0" w:right="0" w:rightChars="0" w:firstLine="480"/>
        <w:rPr>
          <w:color w:val="auto"/>
          <w:highlight w:val="none"/>
        </w:rPr>
      </w:pPr>
    </w:p>
    <w:p w14:paraId="6D05D7C0">
      <w:pPr>
        <w:shd w:val="clear"/>
        <w:kinsoku/>
        <w:overflowPunct/>
        <w:bidi w:val="0"/>
        <w:ind w:left="0" w:leftChars="0" w:right="0" w:rightChars="0"/>
        <w:rPr>
          <w:rFonts w:ascii="宋体"/>
          <w:bCs/>
          <w:color w:val="auto"/>
          <w:szCs w:val="21"/>
          <w:highlight w:val="none"/>
        </w:rPr>
      </w:pPr>
    </w:p>
    <w:p w14:paraId="1FD4C39A">
      <w:pPr>
        <w:shd w:val="clear"/>
        <w:kinsoku/>
        <w:overflowPunct/>
        <w:bidi w:val="0"/>
        <w:spacing w:line="312" w:lineRule="auto"/>
        <w:ind w:left="0" w:leftChars="0" w:right="0" w:rightChars="0"/>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4E48725F">
      <w:pPr>
        <w:shd w:val="clear"/>
        <w:kinsoku/>
        <w:overflowPunct/>
        <w:bidi w:val="0"/>
        <w:ind w:left="0" w:leftChars="0" w:right="0" w:rightChars="0"/>
        <w:rPr>
          <w:rFonts w:ascii="宋体"/>
          <w:bCs/>
          <w:color w:val="auto"/>
          <w:szCs w:val="21"/>
          <w:highlight w:val="none"/>
        </w:rPr>
      </w:pPr>
    </w:p>
    <w:p w14:paraId="5CE81809">
      <w:pPr>
        <w:shd w:val="clear"/>
        <w:kinsoku/>
        <w:overflowPunct/>
        <w:bidi w:val="0"/>
        <w:ind w:left="0" w:leftChars="0" w:right="0" w:rightChars="0"/>
        <w:rPr>
          <w:color w:val="auto"/>
          <w:highlight w:val="none"/>
        </w:rPr>
      </w:pPr>
    </w:p>
    <w:p w14:paraId="07ED4BD4">
      <w:pPr>
        <w:shd w:val="clear"/>
        <w:kinsoku/>
        <w:overflowPunct/>
        <w:bidi w:val="0"/>
        <w:spacing w:beforeLines="100" w:afterLines="100" w:line="360" w:lineRule="auto"/>
        <w:ind w:left="0" w:leftChars="0" w:right="0" w:rightChars="0"/>
        <w:jc w:val="left"/>
        <w:rPr>
          <w:rFonts w:ascii="宋体"/>
          <w:b/>
          <w:color w:val="auto"/>
          <w:sz w:val="32"/>
          <w:szCs w:val="32"/>
          <w:highlight w:val="none"/>
        </w:rPr>
      </w:pPr>
    </w:p>
    <w:p w14:paraId="108093F6">
      <w:pPr>
        <w:pStyle w:val="34"/>
        <w:shd w:val="clear"/>
        <w:kinsoku/>
        <w:overflowPunct/>
        <w:bidi w:val="0"/>
        <w:ind w:left="0" w:leftChars="0" w:right="0" w:rightChars="0" w:firstLine="400"/>
        <w:rPr>
          <w:color w:val="auto"/>
          <w:highlight w:val="none"/>
        </w:rPr>
      </w:pPr>
    </w:p>
    <w:p w14:paraId="1FA060BB">
      <w:pPr>
        <w:shd w:val="clear"/>
        <w:kinsoku/>
        <w:overflowPunct/>
        <w:bidi w:val="0"/>
        <w:spacing w:beforeLines="100" w:afterLines="100" w:line="480" w:lineRule="auto"/>
        <w:ind w:left="0" w:leftChars="0" w:right="0" w:rightChars="0"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eastAsia="zh-CN"/>
        </w:rPr>
        <w:t>滁州工投新能源开发有限公司</w:t>
      </w:r>
      <w:r>
        <w:rPr>
          <w:rFonts w:hint="eastAsia" w:ascii="宋体"/>
          <w:b/>
          <w:color w:val="auto"/>
          <w:sz w:val="32"/>
          <w:szCs w:val="32"/>
          <w:highlight w:val="none"/>
          <w:u w:val="single"/>
        </w:rPr>
        <w:t xml:space="preserve">  </w:t>
      </w:r>
      <w:r>
        <w:rPr>
          <w:rFonts w:hint="eastAsia" w:ascii="宋体"/>
          <w:b/>
          <w:color w:val="auto"/>
          <w:sz w:val="32"/>
          <w:szCs w:val="32"/>
          <w:highlight w:val="none"/>
        </w:rPr>
        <w:t>（盖单位章）</w:t>
      </w:r>
    </w:p>
    <w:p w14:paraId="6294276F">
      <w:pPr>
        <w:shd w:val="clear"/>
        <w:kinsoku/>
        <w:overflowPunct/>
        <w:bidi w:val="0"/>
        <w:spacing w:beforeLines="100" w:afterLines="100" w:line="480" w:lineRule="auto"/>
        <w:ind w:left="0" w:leftChars="0" w:right="0" w:rightChars="0"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12CA1085">
      <w:pPr>
        <w:shd w:val="clear"/>
        <w:kinsoku/>
        <w:overflowPunct/>
        <w:bidi w:val="0"/>
        <w:spacing w:beforeLines="100" w:afterLines="100" w:line="480" w:lineRule="auto"/>
        <w:ind w:left="0" w:leftChars="0" w:right="0" w:rightChars="0"/>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1</w:t>
      </w:r>
      <w:r>
        <w:rPr>
          <w:rFonts w:hint="eastAsia" w:ascii="宋体"/>
          <w:b/>
          <w:color w:val="auto"/>
          <w:sz w:val="32"/>
          <w:szCs w:val="32"/>
          <w:highlight w:val="none"/>
        </w:rPr>
        <w:t>月</w:t>
      </w:r>
    </w:p>
    <w:p w14:paraId="2A2EED38">
      <w:pPr>
        <w:shd w:val="clear"/>
        <w:kinsoku/>
        <w:overflowPunct/>
        <w:bidi w:val="0"/>
        <w:spacing w:line="360" w:lineRule="exact"/>
        <w:ind w:left="0" w:leftChars="0" w:right="0" w:rightChars="0"/>
        <w:rPr>
          <w:b/>
          <w:color w:val="auto"/>
          <w:sz w:val="36"/>
          <w:highlight w:val="none"/>
        </w:rPr>
      </w:pPr>
    </w:p>
    <w:p w14:paraId="77CA18D1">
      <w:pPr>
        <w:pStyle w:val="15"/>
        <w:shd w:val="clear"/>
        <w:kinsoku/>
        <w:overflowPunct/>
        <w:bidi w:val="0"/>
        <w:ind w:left="0" w:leftChars="0" w:right="0" w:rightChars="0"/>
        <w:rPr>
          <w:color w:val="auto"/>
          <w:highlight w:val="none"/>
        </w:rPr>
      </w:pPr>
    </w:p>
    <w:p w14:paraId="655B4BBA">
      <w:pPr>
        <w:pStyle w:val="16"/>
        <w:shd w:val="clear"/>
        <w:kinsoku/>
        <w:overflowPunct/>
        <w:bidi w:val="0"/>
        <w:ind w:left="0" w:leftChars="0" w:right="0" w:rightChars="0"/>
        <w:rPr>
          <w:color w:val="auto"/>
          <w:highlight w:val="none"/>
        </w:rPr>
      </w:pPr>
    </w:p>
    <w:p w14:paraId="2DF295C6">
      <w:pPr>
        <w:shd w:val="clear"/>
        <w:kinsoku/>
        <w:overflowPunct/>
        <w:bidi w:val="0"/>
        <w:spacing w:line="360" w:lineRule="exact"/>
        <w:ind w:left="0" w:leftChars="0" w:right="0" w:rightChars="0"/>
        <w:jc w:val="center"/>
        <w:rPr>
          <w:b/>
          <w:color w:val="auto"/>
          <w:sz w:val="36"/>
          <w:highlight w:val="none"/>
        </w:rPr>
      </w:pPr>
    </w:p>
    <w:p w14:paraId="229C7F9D">
      <w:pPr>
        <w:shd w:val="clear"/>
        <w:kinsoku/>
        <w:overflowPunct/>
        <w:bidi w:val="0"/>
        <w:spacing w:line="360" w:lineRule="auto"/>
        <w:ind w:left="0" w:leftChars="0" w:right="0" w:rightChars="0"/>
        <w:jc w:val="center"/>
        <w:rPr>
          <w:b/>
          <w:color w:val="auto"/>
          <w:sz w:val="44"/>
          <w:szCs w:val="32"/>
          <w:highlight w:val="none"/>
        </w:rPr>
      </w:pPr>
      <w:r>
        <w:rPr>
          <w:rFonts w:hint="eastAsia"/>
          <w:b/>
          <w:color w:val="auto"/>
          <w:sz w:val="44"/>
          <w:szCs w:val="32"/>
          <w:highlight w:val="none"/>
        </w:rPr>
        <w:t>目  录</w:t>
      </w:r>
    </w:p>
    <w:p w14:paraId="5C3DB808">
      <w:pPr>
        <w:shd w:val="clear"/>
        <w:kinsoku/>
        <w:overflowPunct/>
        <w:bidi w:val="0"/>
        <w:spacing w:line="720" w:lineRule="auto"/>
        <w:ind w:left="0" w:leftChars="0" w:right="0" w:rightChars="0"/>
        <w:jc w:val="center"/>
        <w:rPr>
          <w:b/>
          <w:color w:val="auto"/>
          <w:sz w:val="36"/>
          <w:highlight w:val="none"/>
        </w:rPr>
      </w:pPr>
    </w:p>
    <w:p w14:paraId="33C19873">
      <w:pPr>
        <w:pStyle w:val="24"/>
        <w:shd w:val="clear"/>
        <w:tabs>
          <w:tab w:val="right" w:leader="dot" w:pos="9072"/>
        </w:tabs>
        <w:kinsoku/>
        <w:overflowPunct/>
        <w:bidi w:val="0"/>
        <w:spacing w:line="700" w:lineRule="exact"/>
        <w:ind w:left="0" w:leftChars="0" w:right="0" w:rightChars="0"/>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p>
    <w:p w14:paraId="1B01F8D3">
      <w:pPr>
        <w:pStyle w:val="24"/>
        <w:shd w:val="clear"/>
        <w:tabs>
          <w:tab w:val="right" w:leader="dot" w:pos="9072"/>
        </w:tabs>
        <w:kinsoku/>
        <w:overflowPunct/>
        <w:bidi w:val="0"/>
        <w:spacing w:line="700" w:lineRule="exact"/>
        <w:ind w:left="0" w:leftChars="0" w:right="0" w:rightChars="0"/>
        <w:rPr>
          <w:rFonts w:hint="eastAsia"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4DC99D53">
      <w:pPr>
        <w:pStyle w:val="24"/>
        <w:shd w:val="clear"/>
        <w:tabs>
          <w:tab w:val="right" w:leader="dot" w:pos="9072"/>
        </w:tabs>
        <w:kinsoku/>
        <w:overflowPunct/>
        <w:bidi w:val="0"/>
        <w:spacing w:line="700" w:lineRule="exact"/>
        <w:ind w:left="0" w:leftChars="0" w:right="0" w:rightChars="0"/>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9</w:t>
      </w:r>
    </w:p>
    <w:p w14:paraId="5D608B0B">
      <w:pPr>
        <w:pStyle w:val="24"/>
        <w:shd w:val="clear"/>
        <w:tabs>
          <w:tab w:val="right" w:leader="dot" w:pos="9072"/>
        </w:tabs>
        <w:kinsoku/>
        <w:overflowPunct/>
        <w:bidi w:val="0"/>
        <w:spacing w:line="700" w:lineRule="exact"/>
        <w:ind w:left="0" w:leftChars="0" w:right="0" w:rightChars="0"/>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 xml:space="preserve">第四章 </w:t>
      </w:r>
      <w:r>
        <w:rPr>
          <w:rFonts w:hint="eastAsia" w:ascii="宋体" w:hAnsi="宋体" w:cs="宋体"/>
          <w:color w:val="auto"/>
          <w:sz w:val="30"/>
          <w:szCs w:val="30"/>
          <w:highlight w:val="none"/>
          <w:lang w:val="en-US" w:eastAsia="zh-CN"/>
        </w:rPr>
        <w:t>服务</w:t>
      </w:r>
      <w:r>
        <w:rPr>
          <w:rFonts w:hint="eastAsia" w:ascii="宋体" w:hAnsi="宋体" w:cs="宋体"/>
          <w:color w:val="auto"/>
          <w:sz w:val="30"/>
          <w:szCs w:val="30"/>
          <w:highlight w:val="none"/>
        </w:rPr>
        <w:t>内容及</w:t>
      </w:r>
      <w:r>
        <w:rPr>
          <w:rFonts w:hint="eastAsia" w:ascii="宋体" w:hAnsi="宋体" w:cs="宋体"/>
          <w:color w:val="auto"/>
          <w:sz w:val="30"/>
          <w:szCs w:val="30"/>
          <w:highlight w:val="none"/>
          <w:lang w:val="en-US" w:eastAsia="zh-CN"/>
        </w:rPr>
        <w:t>技术</w:t>
      </w:r>
      <w:r>
        <w:rPr>
          <w:rFonts w:hint="eastAsia" w:ascii="宋体" w:hAnsi="宋体" w:cs="宋体"/>
          <w:color w:val="auto"/>
          <w:sz w:val="30"/>
          <w:szCs w:val="30"/>
          <w:highlight w:val="none"/>
        </w:rPr>
        <w:t>要求</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8</w:t>
      </w:r>
    </w:p>
    <w:p w14:paraId="15427706">
      <w:pPr>
        <w:pStyle w:val="24"/>
        <w:shd w:val="clear"/>
        <w:tabs>
          <w:tab w:val="right" w:leader="dot" w:pos="9072"/>
        </w:tabs>
        <w:kinsoku/>
        <w:overflowPunct/>
        <w:bidi w:val="0"/>
        <w:spacing w:line="700" w:lineRule="exact"/>
        <w:ind w:left="0" w:leftChars="0" w:right="0" w:rightChars="0"/>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6</w:t>
      </w:r>
    </w:p>
    <w:p w14:paraId="56B14298">
      <w:pPr>
        <w:pStyle w:val="24"/>
        <w:shd w:val="clear"/>
        <w:tabs>
          <w:tab w:val="right" w:leader="dot" w:pos="9072"/>
        </w:tabs>
        <w:kinsoku/>
        <w:overflowPunct/>
        <w:bidi w:val="0"/>
        <w:spacing w:line="700" w:lineRule="exact"/>
        <w:ind w:left="0" w:leftChars="0" w:right="0" w:rightChars="0"/>
        <w:rPr>
          <w:rFonts w:hint="default"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56</w:t>
      </w:r>
    </w:p>
    <w:p w14:paraId="275C0797">
      <w:pPr>
        <w:pStyle w:val="24"/>
        <w:shd w:val="clear"/>
        <w:tabs>
          <w:tab w:val="right" w:leader="dot" w:pos="9072"/>
        </w:tabs>
        <w:kinsoku/>
        <w:overflowPunct/>
        <w:bidi w:val="0"/>
        <w:spacing w:line="700" w:lineRule="exact"/>
        <w:ind w:left="0" w:leftChars="0" w:right="0" w:rightChars="0"/>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76</w:t>
      </w:r>
    </w:p>
    <w:p w14:paraId="6A4E628F">
      <w:pPr>
        <w:pStyle w:val="24"/>
        <w:shd w:val="clear"/>
        <w:tabs>
          <w:tab w:val="right" w:leader="dot" w:pos="9072"/>
        </w:tabs>
        <w:kinsoku/>
        <w:overflowPunct/>
        <w:bidi w:val="0"/>
        <w:spacing w:line="700" w:lineRule="exact"/>
        <w:ind w:left="0" w:leftChars="0" w:right="0" w:rightChars="0"/>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fldChar w:fldCharType="end"/>
      </w:r>
    </w:p>
    <w:p w14:paraId="6129C931">
      <w:pPr>
        <w:pStyle w:val="24"/>
        <w:shd w:val="clear"/>
        <w:tabs>
          <w:tab w:val="right" w:leader="dot" w:pos="8296"/>
        </w:tabs>
        <w:kinsoku/>
        <w:overflowPunct/>
        <w:bidi w:val="0"/>
        <w:adjustRightInd w:val="0"/>
        <w:snapToGrid w:val="0"/>
        <w:spacing w:line="700" w:lineRule="exact"/>
        <w:ind w:left="150" w:leftChars="0" w:right="0" w:rightChars="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247" w:bottom="1417" w:left="1247" w:header="851" w:footer="992" w:gutter="0"/>
          <w:pgNumType w:start="1"/>
          <w:cols w:space="0" w:num="1"/>
          <w:rtlGutter w:val="0"/>
          <w:docGrid w:type="lines" w:linePitch="312" w:charSpace="0"/>
        </w:sectPr>
      </w:pPr>
      <w:r>
        <w:rPr>
          <w:rFonts w:hint="eastAsia" w:ascii="宋体" w:hAnsi="宋体" w:cs="宋体"/>
          <w:color w:val="auto"/>
          <w:sz w:val="30"/>
          <w:szCs w:val="30"/>
          <w:highlight w:val="none"/>
        </w:rPr>
        <w:fldChar w:fldCharType="end"/>
      </w:r>
    </w:p>
    <w:p w14:paraId="5876E520">
      <w:pPr>
        <w:pStyle w:val="2"/>
        <w:shd w:val="clear"/>
        <w:tabs>
          <w:tab w:val="left" w:pos="0"/>
          <w:tab w:val="left" w:pos="3165"/>
          <w:tab w:val="center" w:pos="4153"/>
        </w:tabs>
        <w:kinsoku/>
        <w:overflowPunct/>
        <w:autoSpaceDE w:val="0"/>
        <w:autoSpaceDN w:val="0"/>
        <w:bidi w:val="0"/>
        <w:adjustRightInd w:val="0"/>
        <w:spacing w:before="0" w:after="0" w:line="240" w:lineRule="auto"/>
        <w:ind w:left="0" w:leftChars="0" w:right="0" w:rightChars="0"/>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35393621"/>
      <w:bookmarkStart w:id="3" w:name="_Toc35393790"/>
      <w:bookmarkStart w:id="4" w:name="_Toc28359079"/>
      <w:bookmarkStart w:id="5" w:name="_Toc28359002"/>
      <w:bookmarkStart w:id="6" w:name="_Hlk24379207"/>
    </w:p>
    <w:p w14:paraId="2332E797">
      <w:pPr>
        <w:keepNext/>
        <w:keepLines/>
        <w:shd w:val="clear"/>
        <w:kinsoku/>
        <w:overflowPunct/>
        <w:bidi w:val="0"/>
        <w:ind w:left="0" w:leftChars="0" w:right="0" w:rightChars="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CC76B">
      <w:pPr>
        <w:keepNext/>
        <w:keepLines/>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val="en-US" w:eastAsia="zh-CN"/>
        </w:rPr>
        <w:t>滁州工投新能源开发有限公司2026年在营光伏电站及汽车充电站高压设备巡检维护项目（二次）</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rPr>
        <w:t>日08点</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0分</w:t>
      </w:r>
      <w:r>
        <w:rPr>
          <w:rFonts w:hint="eastAsia" w:ascii="仿宋" w:hAnsi="仿宋" w:eastAsia="仿宋" w:cs="仿宋"/>
          <w:color w:val="auto"/>
          <w:sz w:val="28"/>
          <w:szCs w:val="28"/>
          <w:highlight w:val="none"/>
        </w:rPr>
        <w:t>（北京时间）前递交投标文件。</w:t>
      </w:r>
    </w:p>
    <w:p w14:paraId="53AE222F">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3BE5EB0F">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 xml:space="preserve">czsjqt202601-012 </w:t>
      </w:r>
    </w:p>
    <w:p w14:paraId="6371C7F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val="en-US" w:eastAsia="zh-CN"/>
        </w:rPr>
        <w:t>滁州工投新能源开发有限公司2026年在营光伏电站及汽车充电站高压设备巡检维护项目（二次）</w:t>
      </w:r>
    </w:p>
    <w:p w14:paraId="2953D38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450000</w:t>
      </w:r>
      <w:r>
        <w:rPr>
          <w:rFonts w:hint="eastAsia" w:ascii="仿宋" w:hAnsi="仿宋" w:eastAsia="仿宋"/>
          <w:color w:val="auto"/>
          <w:sz w:val="28"/>
          <w:szCs w:val="28"/>
          <w:highlight w:val="none"/>
        </w:rPr>
        <w:t>元</w:t>
      </w:r>
    </w:p>
    <w:p w14:paraId="33E9E683">
      <w:pPr>
        <w:keepNext w:val="0"/>
        <w:keepLines w:val="0"/>
        <w:pageBreakBefore w:val="0"/>
        <w:widowControl/>
        <w:shd w:val="clear"/>
        <w:kinsoku/>
        <w:wordWrap/>
        <w:overflowPunct/>
        <w:topLinePunct w:val="0"/>
        <w:autoSpaceDE w:val="0"/>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本项目单价最高限价16元/千伏安/年（含税）。投标人报价高于最高限价的，其投标文件按无效标处理</w:t>
      </w:r>
      <w:r>
        <w:rPr>
          <w:rFonts w:hint="eastAsia" w:ascii="仿宋" w:hAnsi="仿宋" w:eastAsia="仿宋" w:cs="Times New Roman"/>
          <w:color w:val="auto"/>
          <w:sz w:val="28"/>
          <w:szCs w:val="28"/>
          <w:highlight w:val="none"/>
          <w:lang w:val="en-US" w:eastAsia="zh-CN"/>
        </w:rPr>
        <w:t>。</w:t>
      </w:r>
    </w:p>
    <w:p w14:paraId="76EA635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详见《服务内容及技术要求》和合同条款内容。</w:t>
      </w:r>
    </w:p>
    <w:p w14:paraId="7F98AD9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合同履行期限：本项目服务期</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年。</w:t>
      </w:r>
    </w:p>
    <w:p w14:paraId="02544AE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361DF603">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bookmarkStart w:id="7" w:name="_Toc28359080"/>
      <w:bookmarkStart w:id="8" w:name="_Toc28359003"/>
      <w:bookmarkStart w:id="9" w:name="_Toc35393622"/>
      <w:bookmarkStart w:id="10" w:name="_Toc35393791"/>
      <w:r>
        <w:rPr>
          <w:rFonts w:hint="eastAsia" w:ascii="黑体" w:hAnsi="黑体" w:eastAsia="黑体" w:cs="黑体"/>
          <w:color w:val="auto"/>
          <w:sz w:val="28"/>
          <w:szCs w:val="28"/>
          <w:highlight w:val="none"/>
        </w:rPr>
        <w:t>二、申请人的资格要求</w:t>
      </w:r>
      <w:bookmarkEnd w:id="7"/>
      <w:bookmarkEnd w:id="8"/>
      <w:bookmarkEnd w:id="9"/>
      <w:bookmarkEnd w:id="10"/>
    </w:p>
    <w:p w14:paraId="32B28D2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lang w:val="en-US" w:eastAsia="zh-CN"/>
        </w:rPr>
      </w:pPr>
      <w:bookmarkStart w:id="11" w:name="_Toc28359004"/>
      <w:bookmarkStart w:id="12" w:name="_Toc35393792"/>
      <w:bookmarkStart w:id="13" w:name="_Toc28359081"/>
      <w:bookmarkStart w:id="14" w:name="_Toc35393623"/>
      <w:r>
        <w:rPr>
          <w:rFonts w:hint="eastAsia" w:ascii="仿宋" w:hAnsi="仿宋" w:eastAsia="仿宋" w:cs="Times New Roman"/>
          <w:color w:val="auto"/>
          <w:sz w:val="28"/>
          <w:szCs w:val="28"/>
          <w:highlight w:val="none"/>
        </w:rPr>
        <w:t>1.企业资格要求：</w:t>
      </w:r>
      <w:r>
        <w:rPr>
          <w:rFonts w:hint="eastAsia" w:ascii="仿宋" w:hAnsi="仿宋" w:eastAsia="仿宋" w:cs="Times New Roman"/>
          <w:color w:val="auto"/>
          <w:sz w:val="28"/>
          <w:szCs w:val="28"/>
          <w:highlight w:val="none"/>
          <w:lang w:val="en-US" w:eastAsia="zh-CN"/>
        </w:rPr>
        <w:t>投标人须具有有效的《承装（修、试）电力设施许可证》，且承装类、承修类、承试类许可等级均须达到三级及以上（按照现行有效的《承装（修、试）电力设施许可证》等级标准认定），同时具有有效的安全生产许可证。</w:t>
      </w:r>
    </w:p>
    <w:p w14:paraId="0D6BCEC8">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对于持有尚未换发新证、且仍在有效期内的旧版《承装（修、试）电力设施许可证》的投标人，承装类、承修类、承试类许可等级均须达到五级及以上。</w:t>
      </w:r>
    </w:p>
    <w:p w14:paraId="605E0908">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信誉要求：投标人不得存在以下情形：</w:t>
      </w:r>
    </w:p>
    <w:p w14:paraId="00BE49A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①被列入“信用中国”网站“失信被执行人”的;</w:t>
      </w:r>
    </w:p>
    <w:p w14:paraId="2EB255ED">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②被列入“信用中国”网站“重大税收违法失信主体”的；</w:t>
      </w:r>
    </w:p>
    <w:p w14:paraId="6889939D">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③被列入“信用中国”网站“拖欠农民工工资失信联合惩戒对象名单”的；</w:t>
      </w:r>
    </w:p>
    <w:p w14:paraId="523217A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④被列入“信用中国”网站“严重失信主体名单”的；</w:t>
      </w:r>
    </w:p>
    <w:p w14:paraId="3934B16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⑤在“信用中国”网站上披露的仍在公示期的严重失信行为(具体行为类别及判定依据见附件2)的。</w:t>
      </w:r>
    </w:p>
    <w:p w14:paraId="0AA59C0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⑥被列入</w:t>
      </w:r>
      <w:bookmarkStart w:id="15" w:name="OLE_LINK4"/>
      <w:r>
        <w:rPr>
          <w:rFonts w:hint="eastAsia" w:ascii="仿宋" w:hAnsi="仿宋" w:eastAsia="仿宋" w:cs="Times New Roman"/>
          <w:color w:val="auto"/>
          <w:sz w:val="28"/>
          <w:szCs w:val="28"/>
          <w:highlight w:val="none"/>
        </w:rPr>
        <w:t>国家企业信用信息公示系统网站</w:t>
      </w:r>
      <w:bookmarkEnd w:id="15"/>
      <w:r>
        <w:rPr>
          <w:rFonts w:hint="eastAsia" w:ascii="仿宋" w:hAnsi="仿宋" w:eastAsia="仿宋" w:cs="Times New Roman"/>
          <w:color w:val="auto"/>
          <w:sz w:val="28"/>
          <w:szCs w:val="28"/>
          <w:highlight w:val="none"/>
        </w:rPr>
        <w:t>“经营异常名录”或者“严重违法失信名单”的。</w:t>
      </w:r>
    </w:p>
    <w:p w14:paraId="1CA513B4">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⑦前三年有行贿犯罪行为的单位和个人；</w:t>
      </w:r>
    </w:p>
    <w:p w14:paraId="627FA6F5">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⑧被滁州市县两级公管部门及各行业主管部门取消在一定期限内的投标资格且在取消期限内的；</w:t>
      </w:r>
    </w:p>
    <w:p w14:paraId="35D33130">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⑨因拖欠农民工工资被县级及以上有关行政主管部门限制投标资格且在限制期限内的；</w:t>
      </w:r>
    </w:p>
    <w:p w14:paraId="4B9B7B0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09A0208">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.投标人所属分公司、办事处等分支机构存在第</w:t>
      </w: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款信誉要求①-⑩项情形之一的，接受投标人参加本项目。</w:t>
      </w:r>
    </w:p>
    <w:p w14:paraId="23F22C7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w:t>
      </w:r>
      <w:r>
        <w:rPr>
          <w:rFonts w:hint="eastAsia" w:ascii="仿宋" w:hAnsi="仿宋" w:eastAsia="仿宋" w:cs="Times New Roman"/>
          <w:color w:val="auto"/>
          <w:sz w:val="28"/>
          <w:szCs w:val="28"/>
          <w:highlight w:val="none"/>
          <w:lang w:val="en-US" w:eastAsia="zh-CN"/>
        </w:rPr>
        <w:t>2、3</w:t>
      </w:r>
      <w:r>
        <w:rPr>
          <w:rFonts w:hint="eastAsia" w:ascii="仿宋" w:hAnsi="仿宋" w:eastAsia="仿宋" w:cs="Times New Roman"/>
          <w:color w:val="auto"/>
          <w:sz w:val="28"/>
          <w:szCs w:val="28"/>
          <w:highlight w:val="none"/>
        </w:rPr>
        <w:t>条按照“关于联合惩戒失信行为加强信用查询管理的通知”查询或承诺。</w:t>
      </w:r>
    </w:p>
    <w:p w14:paraId="4422279A">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6C8E9DF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22</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2</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12</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6A79304D">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04C6EDF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2B4DF744">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39"/>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6F25F740">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bookmarkStart w:id="16" w:name="_Toc28359082"/>
      <w:bookmarkStart w:id="17" w:name="_Toc28359005"/>
      <w:bookmarkStart w:id="18" w:name="_Toc35393793"/>
      <w:bookmarkStart w:id="19" w:name="_Toc35393624"/>
      <w:r>
        <w:rPr>
          <w:rFonts w:hint="eastAsia" w:ascii="黑体" w:hAnsi="黑体" w:eastAsia="黑体" w:cs="黑体"/>
          <w:color w:val="auto"/>
          <w:sz w:val="28"/>
          <w:szCs w:val="28"/>
          <w:highlight w:val="none"/>
        </w:rPr>
        <w:t>四、提交投标文件</w:t>
      </w:r>
      <w:bookmarkEnd w:id="16"/>
      <w:bookmarkEnd w:id="17"/>
      <w:r>
        <w:rPr>
          <w:rFonts w:hint="eastAsia" w:ascii="黑体" w:hAnsi="黑体" w:eastAsia="黑体" w:cs="黑体"/>
          <w:color w:val="auto"/>
          <w:sz w:val="28"/>
          <w:szCs w:val="28"/>
          <w:highlight w:val="none"/>
        </w:rPr>
        <w:t>截止时间、开标时间和地点</w:t>
      </w:r>
      <w:bookmarkEnd w:id="18"/>
      <w:bookmarkEnd w:id="19"/>
    </w:p>
    <w:p w14:paraId="5784BE8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2</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日8点</w:t>
      </w:r>
      <w:r>
        <w:rPr>
          <w:rFonts w:hint="eastAsia" w:ascii="仿宋" w:hAnsi="仿宋" w:eastAsia="仿宋"/>
          <w:bCs/>
          <w:color w:val="auto"/>
          <w:sz w:val="28"/>
          <w:szCs w:val="28"/>
          <w:highlight w:val="none"/>
          <w:u w:val="single"/>
          <w:lang w:val="en-US" w:eastAsia="zh-CN"/>
        </w:rPr>
        <w:t>3</w:t>
      </w:r>
      <w:r>
        <w:rPr>
          <w:rFonts w:hint="eastAsia" w:ascii="仿宋" w:hAnsi="仿宋" w:eastAsia="仿宋"/>
          <w:bCs/>
          <w:color w:val="auto"/>
          <w:sz w:val="28"/>
          <w:szCs w:val="28"/>
          <w:highlight w:val="none"/>
          <w:u w:val="single"/>
        </w:rPr>
        <w:t>0分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632AFC75">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地点：网上开标（滁州市公共资源交易中心网）</w:t>
      </w:r>
    </w:p>
    <w:p w14:paraId="4DD9741C">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bookmarkStart w:id="20" w:name="_Toc28359084"/>
      <w:bookmarkStart w:id="21" w:name="_Toc28359007"/>
      <w:bookmarkStart w:id="22" w:name="_Toc35393794"/>
      <w:bookmarkStart w:id="23" w:name="_Toc35393625"/>
      <w:r>
        <w:rPr>
          <w:rFonts w:hint="eastAsia" w:ascii="黑体" w:hAnsi="黑体" w:eastAsia="黑体" w:cs="黑体"/>
          <w:color w:val="auto"/>
          <w:sz w:val="28"/>
          <w:szCs w:val="28"/>
          <w:highlight w:val="none"/>
        </w:rPr>
        <w:t>五、公告期限</w:t>
      </w:r>
      <w:bookmarkEnd w:id="20"/>
      <w:bookmarkEnd w:id="21"/>
      <w:bookmarkEnd w:id="22"/>
      <w:bookmarkEnd w:id="23"/>
    </w:p>
    <w:p w14:paraId="6BA8851E">
      <w:pPr>
        <w:shd w:val="clear"/>
        <w:kinsoku/>
        <w:overflowPunct/>
        <w:bidi w:val="0"/>
        <w:ind w:left="0" w:leftChars="0" w:right="0" w:rightChars="0"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6FB82246">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54B8B7A2">
      <w:pPr>
        <w:pStyle w:val="120"/>
        <w:shd w:val="clear"/>
        <w:kinsoku/>
        <w:overflowPunct/>
        <w:bidi w:val="0"/>
        <w:ind w:left="0" w:leftChars="0" w:right="0" w:rightChars="0"/>
        <w:rPr>
          <w:color w:val="auto"/>
          <w:highlight w:val="none"/>
        </w:rPr>
      </w:pPr>
      <w:bookmarkStart w:id="24" w:name="_Toc35393795"/>
      <w:bookmarkStart w:id="25" w:name="_Toc35393626"/>
      <w:r>
        <w:rPr>
          <w:color w:val="auto"/>
          <w:highlight w:val="none"/>
        </w:rPr>
        <w:t>窗体顶端</w:t>
      </w:r>
    </w:p>
    <w:p w14:paraId="7DF5F79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w:t>
      </w:r>
      <w:r>
        <w:rPr>
          <w:rFonts w:hint="eastAsia" w:ascii="仿宋" w:hAnsi="仿宋" w:eastAsia="仿宋" w:cs="Times New Roman"/>
          <w:color w:val="auto"/>
          <w:sz w:val="28"/>
          <w:szCs w:val="28"/>
          <w:highlight w:val="none"/>
        </w:rPr>
        <w:t>投标保证金收取</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rPr>
        <w:t>投标保证金的金额</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0.9</w:t>
      </w:r>
      <w:r>
        <w:rPr>
          <w:rFonts w:hint="eastAsia" w:ascii="仿宋" w:hAnsi="仿宋" w:eastAsia="仿宋" w:cs="Times New Roman"/>
          <w:color w:val="auto"/>
          <w:sz w:val="28"/>
          <w:szCs w:val="28"/>
          <w:highlight w:val="none"/>
        </w:rPr>
        <w:t>万元，</w:t>
      </w:r>
      <w:r>
        <w:rPr>
          <w:rFonts w:hint="eastAsia" w:ascii="仿宋" w:hAnsi="仿宋" w:eastAsia="仿宋" w:cs="Times New Roman"/>
          <w:color w:val="auto"/>
          <w:sz w:val="28"/>
          <w:szCs w:val="28"/>
          <w:highlight w:val="none"/>
          <w:lang w:val="en-US" w:eastAsia="zh-CN"/>
        </w:rPr>
        <w:t>要求</w:t>
      </w:r>
      <w:r>
        <w:rPr>
          <w:rFonts w:hint="eastAsia" w:ascii="仿宋" w:hAnsi="仿宋" w:eastAsia="仿宋" w:cs="Times New Roman"/>
          <w:color w:val="auto"/>
          <w:sz w:val="28"/>
          <w:szCs w:val="28"/>
          <w:highlight w:val="none"/>
        </w:rPr>
        <w:t>投标人提交投标保证金。</w:t>
      </w:r>
    </w:p>
    <w:p w14:paraId="463C3B4C">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rPr>
        <w:t>投标保证金形式：</w:t>
      </w:r>
      <w:bookmarkStart w:id="26" w:name="OLE_LINK69"/>
      <w:bookmarkStart w:id="27" w:name="OLE_LINK62"/>
      <w:bookmarkStart w:id="28" w:name="OLE_LINK61"/>
      <w:bookmarkStart w:id="29" w:name="OLE_LINK66"/>
      <w:bookmarkStart w:id="30" w:name="OLE_LINK71"/>
      <w:r>
        <w:rPr>
          <w:rFonts w:hint="eastAsia" w:ascii="仿宋" w:hAnsi="仿宋" w:eastAsia="仿宋" w:cs="Times New Roman"/>
          <w:color w:val="auto"/>
          <w:sz w:val="28"/>
          <w:szCs w:val="28"/>
          <w:highlight w:val="none"/>
        </w:rPr>
        <w:t>支持现金（银行转账、银行电汇等）、非现金形式（支票、银行汇票、本票等）、电子保函、纸质银行保函。</w:t>
      </w:r>
      <w:bookmarkEnd w:id="26"/>
      <w:bookmarkEnd w:id="27"/>
      <w:bookmarkEnd w:id="28"/>
      <w:bookmarkEnd w:id="29"/>
      <w:bookmarkEnd w:id="30"/>
    </w:p>
    <w:p w14:paraId="3ED2005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w:t>
      </w:r>
      <w:r>
        <w:rPr>
          <w:rFonts w:hint="eastAsia" w:ascii="仿宋" w:hAnsi="仿宋" w:eastAsia="仿宋" w:cs="Times New Roman"/>
          <w:color w:val="auto"/>
          <w:sz w:val="28"/>
          <w:szCs w:val="28"/>
          <w:highlight w:val="none"/>
        </w:rPr>
        <w:t>接收投标保证金的账户信息：</w:t>
      </w:r>
    </w:p>
    <w:p w14:paraId="36D5B42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3D7BE35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①户名：滁州市公共资源交易中心</w:t>
      </w:r>
    </w:p>
    <w:p w14:paraId="77009F83">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 xml:space="preserve">开户行：中国银行滁州分行 </w:t>
      </w:r>
    </w:p>
    <w:p w14:paraId="3915A5FA">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181215706736</w:t>
      </w:r>
      <w:r>
        <w:rPr>
          <w:rFonts w:hint="eastAsia" w:ascii="仿宋" w:hAnsi="仿宋" w:eastAsia="仿宋" w:cs="Times New Roman"/>
          <w:color w:val="auto"/>
          <w:sz w:val="28"/>
          <w:szCs w:val="28"/>
          <w:highlight w:val="none"/>
        </w:rPr>
        <w:t xml:space="preserve"> </w:t>
      </w:r>
    </w:p>
    <w:p w14:paraId="78897DB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 xml:space="preserve">②户名：滁州市公共资源交易中心 </w:t>
      </w:r>
    </w:p>
    <w:p w14:paraId="4828D4A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开户行：中国建设银行股份有限公司滁州南谯支行</w:t>
      </w:r>
    </w:p>
    <w:p w14:paraId="5C417E5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6232811720000035738</w:t>
      </w:r>
    </w:p>
    <w:p w14:paraId="49C434AA">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 xml:space="preserve">③户名：滁州市公共资源交易中心        </w:t>
      </w:r>
    </w:p>
    <w:p w14:paraId="25407DD2">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 xml:space="preserve">开户行：中国农业银行滁州中都支行                </w:t>
      </w:r>
    </w:p>
    <w:p w14:paraId="58405AAA">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账号：</w:t>
      </w:r>
      <w:r>
        <w:rPr>
          <w:rFonts w:hint="eastAsia" w:ascii="仿宋" w:hAnsi="仿宋" w:eastAsia="仿宋" w:cs="Times New Roman"/>
          <w:color w:val="auto"/>
          <w:sz w:val="28"/>
          <w:szCs w:val="28"/>
          <w:highlight w:val="none"/>
          <w:lang w:val="en-US" w:eastAsia="zh-CN"/>
        </w:rPr>
        <w:t>123340010400044210000000601</w:t>
      </w:r>
    </w:p>
    <w:p w14:paraId="4BF57376">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采用现金形式缴纳保证金时须在交易附言中注明：“</w:t>
      </w:r>
      <w:r>
        <w:rPr>
          <w:rFonts w:hint="eastAsia" w:ascii="仿宋" w:hAnsi="仿宋" w:eastAsia="仿宋" w:cs="Times New Roman"/>
          <w:color w:val="auto"/>
          <w:sz w:val="28"/>
          <w:szCs w:val="28"/>
          <w:highlight w:val="none"/>
          <w:lang w:val="en-US" w:eastAsia="zh-CN"/>
        </w:rPr>
        <w:t>czsjqt202601-012</w:t>
      </w:r>
      <w:r>
        <w:rPr>
          <w:rFonts w:hint="eastAsia" w:ascii="仿宋" w:hAnsi="仿宋" w:eastAsia="仿宋" w:cs="Times New Roman"/>
          <w:color w:val="auto"/>
          <w:sz w:val="28"/>
          <w:szCs w:val="28"/>
          <w:highlight w:val="none"/>
        </w:rPr>
        <w:t>项目投标保证金”。</w:t>
      </w:r>
    </w:p>
    <w:p w14:paraId="05CB566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2）采用支票、银行汇票、本票等非现金形式提交投标保证金时，投标人应在付款人开户行申请书附言处注明“</w:t>
      </w:r>
      <w:r>
        <w:rPr>
          <w:rFonts w:hint="eastAsia" w:ascii="仿宋" w:hAnsi="仿宋" w:eastAsia="仿宋" w:cs="Times New Roman"/>
          <w:color w:val="auto"/>
          <w:sz w:val="28"/>
          <w:szCs w:val="28"/>
          <w:highlight w:val="none"/>
          <w:lang w:val="en-US" w:eastAsia="zh-CN"/>
        </w:rPr>
        <w:t>czsjqt202601-012</w:t>
      </w:r>
      <w:r>
        <w:rPr>
          <w:rFonts w:hint="eastAsia" w:ascii="仿宋" w:hAnsi="仿宋" w:eastAsia="仿宋" w:cs="Times New Roman"/>
          <w:color w:val="auto"/>
          <w:sz w:val="28"/>
          <w:szCs w:val="28"/>
          <w:highlight w:val="none"/>
        </w:rPr>
        <w:t>项目投标保证金”字样，应确保收款人开户行进账单完整反映交易附言内容，由此导致无法识别投标保证金对应的投标项目，其后果由投标人负责。</w:t>
      </w:r>
    </w:p>
    <w:p w14:paraId="6491D71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3)采用电子保函形式具体要求如下：</w:t>
      </w:r>
    </w:p>
    <w:p w14:paraId="6442C2B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①电子保函提交要求：</w:t>
      </w:r>
    </w:p>
    <w:p w14:paraId="0282A81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a.投标人须在投标文件提交截止时间前提供与滁州市公共资源交易中心金融服务平台对接的电子保函，否则视为投标保证金未按规定要求缴纳。</w:t>
      </w:r>
    </w:p>
    <w:p w14:paraId="63CCF187">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711FC0BF">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c.投标有效期内未能确定中标结果，需要延长投标有效期，投标人同意延长投标有效期的，须相应延长电子保函的有效期。</w:t>
      </w:r>
    </w:p>
    <w:p w14:paraId="0DF1D6F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d.</w:t>
      </w:r>
      <w:bookmarkStart w:id="31" w:name="OLE_LINK52"/>
      <w:bookmarkStart w:id="32" w:name="OLE_LINK53"/>
      <w:r>
        <w:rPr>
          <w:rFonts w:hint="eastAsia" w:ascii="仿宋" w:hAnsi="仿宋" w:eastAsia="仿宋" w:cs="Times New Roman"/>
          <w:color w:val="auto"/>
          <w:sz w:val="28"/>
          <w:szCs w:val="28"/>
          <w:highlight w:val="none"/>
        </w:rPr>
        <w:t>投标人存在投标保证金不予退还的情形，采用电子保函形式的将予以追缴。</w:t>
      </w:r>
    </w:p>
    <w:bookmarkEnd w:id="31"/>
    <w:bookmarkEnd w:id="32"/>
    <w:p w14:paraId="55F54B17">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4)采用纸质</w:t>
      </w:r>
      <w:r>
        <w:rPr>
          <w:rFonts w:hint="eastAsia" w:ascii="仿宋" w:hAnsi="仿宋" w:eastAsia="仿宋" w:cs="Times New Roman"/>
          <w:color w:val="auto"/>
          <w:sz w:val="28"/>
          <w:szCs w:val="28"/>
          <w:highlight w:val="none"/>
          <w:lang w:eastAsia="zh-CN"/>
        </w:rPr>
        <w:t>银行</w:t>
      </w:r>
      <w:r>
        <w:rPr>
          <w:rFonts w:hint="eastAsia" w:ascii="仿宋" w:hAnsi="仿宋" w:eastAsia="仿宋" w:cs="Times New Roman"/>
          <w:color w:val="auto"/>
          <w:sz w:val="28"/>
          <w:szCs w:val="28"/>
          <w:highlight w:val="none"/>
        </w:rPr>
        <w:t>保函形式具体要求如下：</w:t>
      </w:r>
    </w:p>
    <w:p w14:paraId="1E98296B">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①应为投标人基本账户开户银行出具的不可撤销、不可转让的见索即付独立保函,所需费用由投标人承担。</w:t>
      </w:r>
    </w:p>
    <w:p w14:paraId="11EE012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②投标人在投标文件中必须提供基本存款账户证明（如基本存款账户开户许可证或基本存款账户信息），同时将纸质保函扫描件提供在投标文件中</w:t>
      </w:r>
      <w:r>
        <w:rPr>
          <w:rFonts w:hint="eastAsia" w:ascii="仿宋" w:hAnsi="仿宋" w:eastAsia="仿宋" w:cs="Times New Roman"/>
          <w:color w:val="auto"/>
          <w:sz w:val="28"/>
          <w:szCs w:val="28"/>
          <w:highlight w:val="none"/>
          <w:lang w:eastAsia="zh-CN"/>
        </w:rPr>
        <w:t>。</w:t>
      </w:r>
    </w:p>
    <w:p w14:paraId="46B109F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③投标人在投标文件中必须提供明确有效的查询途径（ 网址链接及查询方式），否则该纸质银行保函无效。</w:t>
      </w:r>
    </w:p>
    <w:p w14:paraId="1ADBE5C3">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5B75C94F">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rPr>
        <w:t>保证金电子保函业务应急处置措施。由于自然灾害、事故灾难、突发公共网络安全事件或者系统原因，以及保证金电子保函系统使用过程中出现的以下情况：</w:t>
      </w:r>
    </w:p>
    <w:p w14:paraId="57EFFDF8">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（1）开标时，系统获取明文保函文件异常，无法正常获取保函文件；</w:t>
      </w:r>
    </w:p>
    <w:p w14:paraId="182690F4">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（2）保证金电子保函系统的软件或数据库出现错误，不能进行正常操作；</w:t>
      </w:r>
    </w:p>
    <w:p w14:paraId="41ABEB11">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（3）保证金电子保函系统服务器发生故障等情况，无法访问或无法使用电子保函；</w:t>
      </w:r>
    </w:p>
    <w:p w14:paraId="4AEC572E">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（4）保证金电子保函系统服务器受到病毒或其他外来的攻击；</w:t>
      </w:r>
    </w:p>
    <w:p w14:paraId="39CF6035">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（5）其他影响电子保函出具的异常情形。</w:t>
      </w:r>
    </w:p>
    <w:p w14:paraId="48795F26">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4FCB0DC9">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rPr>
        <w:t>本次招标失败，再次进行招标的，投标人须按照新的账户重新缴纳投标保证金。</w:t>
      </w:r>
    </w:p>
    <w:p w14:paraId="7EB7293D">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投标人为联合体投标的，由牵头人基本账户转出投标保证金或由牵头人办理保函。</w:t>
      </w:r>
    </w:p>
    <w:p w14:paraId="531CD573">
      <w:pPr>
        <w:kinsoku/>
        <w:overflowPunct/>
        <w:bidi w:val="0"/>
        <w:spacing w:line="480" w:lineRule="exact"/>
        <w:ind w:left="0" w:leftChars="0" w:right="0" w:rightChars="0"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7</w:t>
      </w:r>
      <w:r>
        <w:rPr>
          <w:rFonts w:hint="eastAsia" w:ascii="仿宋" w:hAnsi="仿宋" w:eastAsia="仿宋" w:cs="Times New Roman"/>
          <w:color w:val="auto"/>
          <w:sz w:val="28"/>
          <w:szCs w:val="28"/>
          <w:highlight w:val="none"/>
        </w:rPr>
        <w:t>.是否适用免缴投标保证金政策</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不适用</w:t>
      </w:r>
      <w:r>
        <w:rPr>
          <w:rFonts w:hint="eastAsia" w:ascii="仿宋" w:hAnsi="仿宋" w:eastAsia="仿宋" w:cs="Times New Roman"/>
          <w:color w:val="auto"/>
          <w:sz w:val="28"/>
          <w:szCs w:val="28"/>
          <w:highlight w:val="none"/>
        </w:rPr>
        <w:t>。</w:t>
      </w:r>
    </w:p>
    <w:p w14:paraId="15400DFF">
      <w:pPr>
        <w:pStyle w:val="121"/>
        <w:shd w:val="clear"/>
        <w:kinsoku/>
        <w:overflowPunct/>
        <w:bidi w:val="0"/>
        <w:ind w:left="0" w:leftChars="0" w:right="0" w:rightChars="0"/>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168C7881">
      <w:pPr>
        <w:keepNext/>
        <w:keepLines/>
        <w:pageBreakBefore w:val="0"/>
        <w:widowControl w:val="0"/>
        <w:shd w:val="clear"/>
        <w:kinsoku/>
        <w:wordWrap/>
        <w:overflowPunct/>
        <w:topLinePunct w:val="0"/>
        <w:autoSpaceDE/>
        <w:autoSpaceDN/>
        <w:bidi w:val="0"/>
        <w:adjustRightInd/>
        <w:snapToGrid/>
        <w:spacing w:before="140" w:after="140"/>
        <w:ind w:left="0" w:leftChars="0" w:right="0" w:rightChars="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2B32E867">
      <w:pPr>
        <w:keepNext w:val="0"/>
        <w:keepLines w:val="0"/>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安徽省公共资源交易市场主体库使用相关问题（系统登录、信息登记、录入及提交、数字证书关联等）：010-86483801转5-2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2）CA数字证书有关问题：安徽CA客服400-880-4959、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7041962">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5AFEC89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502E06D1">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4FFA0A97">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08</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73CC5F4B">
      <w:pPr>
        <w:keepNext w:val="0"/>
        <w:keepLines w:val="0"/>
        <w:pageBreakBefore w:val="0"/>
        <w:widowControl w:val="0"/>
        <w:shd w:val="clear"/>
        <w:kinsoku/>
        <w:wordWrap w:val="0"/>
        <w:overflowPunct/>
        <w:topLinePunct w:val="0"/>
        <w:autoSpaceDE/>
        <w:autoSpaceDN/>
        <w:bidi w:val="0"/>
        <w:adjustRightInd/>
        <w:snapToGrid/>
        <w:spacing w:line="480" w:lineRule="exact"/>
        <w:ind w:left="0" w:leftChars="0" w:right="0" w:rightChars="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val="en-US" w:eastAsia="zh-CN"/>
        </w:rPr>
        <w:t>蔡工</w:t>
      </w:r>
      <w:r>
        <w:rPr>
          <w:rFonts w:hint="eastAsia" w:ascii="仿宋" w:hAnsi="仿宋" w:eastAsia="仿宋"/>
          <w:color w:val="auto"/>
          <w:sz w:val="28"/>
          <w:szCs w:val="28"/>
          <w:highlight w:val="none"/>
          <w:lang w:eastAsia="zh-CN"/>
        </w:rPr>
        <w:t>0550-3018125</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关勤勤</w:t>
      </w:r>
      <w:r>
        <w:rPr>
          <w:rFonts w:hint="eastAsia" w:ascii="仿宋" w:hAnsi="仿宋" w:eastAsia="仿宋"/>
          <w:color w:val="auto"/>
          <w:sz w:val="28"/>
          <w:szCs w:val="28"/>
          <w:highlight w:val="none"/>
        </w:rPr>
        <w:t>0550-3519590。</w:t>
      </w:r>
    </w:p>
    <w:p w14:paraId="61216A24">
      <w:pPr>
        <w:shd w:val="clear"/>
        <w:kinsoku/>
        <w:overflowPunct/>
        <w:bidi w:val="0"/>
        <w:ind w:left="0" w:leftChars="0" w:right="0" w:rightChars="0"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ABDBC49">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15FF8706">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eastAsia="zh-CN"/>
        </w:rPr>
        <w:t>滁州工投新能源开发有限公司</w:t>
      </w:r>
      <w:r>
        <w:rPr>
          <w:rFonts w:hint="eastAsia" w:ascii="仿宋" w:hAnsi="仿宋" w:eastAsia="仿宋" w:cs="仿宋"/>
          <w:color w:val="auto"/>
          <w:sz w:val="28"/>
          <w:szCs w:val="28"/>
          <w:highlight w:val="none"/>
          <w:u w:val="single"/>
        </w:rPr>
        <w:t xml:space="preserve">  </w:t>
      </w:r>
    </w:p>
    <w:p w14:paraId="4004FE56">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滁州市中新苏滁高新技术产业开发区子美路9号工投科技产业园综合服务楼317</w:t>
      </w:r>
    </w:p>
    <w:p w14:paraId="2DADD9C6">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eastAsia="zh-CN"/>
        </w:rPr>
        <w:t>0550-3018125</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330698DA">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5DE00EEF">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滁州市城投工程咨询管理有限公司</w:t>
      </w:r>
    </w:p>
    <w:p w14:paraId="6396F04C">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滁州市龙蟠大道109号房产大厦6楼</w:t>
      </w:r>
    </w:p>
    <w:p w14:paraId="12792B7B">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w:t>
      </w:r>
    </w:p>
    <w:p w14:paraId="21B965C2">
      <w:pPr>
        <w:pStyle w:val="3"/>
        <w:pageBreakBefore w:val="0"/>
        <w:widowControl w:val="0"/>
        <w:numPr>
          <w:ilvl w:val="0"/>
          <w:numId w:val="0"/>
        </w:numPr>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3B1A18C6">
      <w:pPr>
        <w:pStyle w:val="18"/>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val="en-US" w:eastAsia="zh-CN"/>
        </w:rPr>
        <w:t>蔡工</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关勤勤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14:paraId="64E69768">
      <w:pPr>
        <w:pageBreakBefore w:val="0"/>
        <w:widowControl w:val="0"/>
        <w:shd w:val="clear"/>
        <w:kinsoku/>
        <w:wordWrap/>
        <w:overflowPunct/>
        <w:topLinePunct w:val="0"/>
        <w:autoSpaceDE/>
        <w:autoSpaceDN/>
        <w:bidi w:val="0"/>
        <w:adjustRightInd/>
        <w:snapToGrid/>
        <w:spacing w:line="480" w:lineRule="exact"/>
        <w:ind w:left="0" w:leftChars="0" w:right="0" w:rightChars="0"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lang w:val="en-US" w:eastAsia="zh-CN"/>
        </w:rPr>
        <w:t>0550-3018125</w:t>
      </w:r>
      <w:r>
        <w:rPr>
          <w:rFonts w:hint="eastAsia" w:ascii="仿宋" w:hAnsi="仿宋" w:eastAsia="仿宋" w:cs="仿宋"/>
          <w:color w:val="auto"/>
          <w:sz w:val="28"/>
          <w:szCs w:val="28"/>
          <w:highlight w:val="none"/>
          <w:u w:val="single"/>
        </w:rPr>
        <w:t xml:space="preserve">、0550-3519590 </w:t>
      </w:r>
    </w:p>
    <w:p w14:paraId="76C20566">
      <w:pPr>
        <w:kinsoku/>
        <w:overflowPunct/>
        <w:bidi w:val="0"/>
        <w:ind w:left="0" w:leftChars="0" w:right="0" w:rightChars="0"/>
        <w:rPr>
          <w:rFonts w:hint="eastAsia"/>
          <w:color w:val="auto"/>
          <w:highlight w:val="none"/>
        </w:rPr>
      </w:pPr>
      <w:bookmarkStart w:id="33" w:name="_Toc20364"/>
      <w:r>
        <w:rPr>
          <w:rFonts w:hint="eastAsia"/>
          <w:color w:val="auto"/>
          <w:highlight w:val="none"/>
        </w:rPr>
        <w:br w:type="page"/>
      </w:r>
    </w:p>
    <w:p w14:paraId="4D20B7D4">
      <w:pPr>
        <w:pStyle w:val="2"/>
        <w:keepNext/>
        <w:keepLines/>
        <w:pageBreakBefore w:val="0"/>
        <w:widowControl w:val="0"/>
        <w:shd w:val="clear"/>
        <w:kinsoku/>
        <w:wordWrap/>
        <w:overflowPunct/>
        <w:topLinePunct w:val="0"/>
        <w:autoSpaceDE/>
        <w:autoSpaceDN/>
        <w:bidi w:val="0"/>
        <w:adjustRightInd/>
        <w:snapToGrid/>
        <w:spacing w:beforeLines="50" w:afterLines="50" w:line="520" w:lineRule="exact"/>
        <w:ind w:left="0" w:leftChars="0" w:right="0" w:rightChars="0"/>
        <w:textAlignment w:val="auto"/>
        <w:rPr>
          <w:rFonts w:ascii="宋体"/>
          <w:b w:val="0"/>
          <w:color w:val="auto"/>
          <w:szCs w:val="32"/>
          <w:highlight w:val="none"/>
        </w:rPr>
      </w:pPr>
      <w:r>
        <w:rPr>
          <w:rFonts w:hint="eastAsia"/>
          <w:color w:val="auto"/>
          <w:highlight w:val="none"/>
        </w:rPr>
        <w:t>第二章 投标人须知</w:t>
      </w:r>
      <w:bookmarkEnd w:id="33"/>
    </w:p>
    <w:p w14:paraId="7C11B346">
      <w:pPr>
        <w:shd w:val="clear"/>
        <w:kinsoku/>
        <w:overflowPunct/>
        <w:bidi w:val="0"/>
        <w:snapToGrid w:val="0"/>
        <w:spacing w:line="440" w:lineRule="exact"/>
        <w:ind w:left="0" w:leftChars="0" w:right="0" w:rightChars="0"/>
        <w:jc w:val="center"/>
        <w:outlineLvl w:val="1"/>
        <w:rPr>
          <w:rFonts w:ascii="宋体"/>
          <w:b/>
          <w:color w:val="auto"/>
          <w:sz w:val="28"/>
          <w:szCs w:val="28"/>
          <w:highlight w:val="none"/>
        </w:rPr>
      </w:pPr>
      <w:bookmarkStart w:id="34" w:name="_Toc1019"/>
      <w:bookmarkStart w:id="35" w:name="_Toc449028865"/>
      <w:bookmarkStart w:id="36" w:name="_Toc58430314"/>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34"/>
      <w:bookmarkEnd w:id="35"/>
      <w:bookmarkEnd w:id="36"/>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44928C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96" w:hRule="atLeast"/>
        </w:trPr>
        <w:tc>
          <w:tcPr>
            <w:tcW w:w="1048" w:type="dxa"/>
            <w:vAlign w:val="center"/>
          </w:tcPr>
          <w:p w14:paraId="05430436">
            <w:pPr>
              <w:pStyle w:val="18"/>
              <w:shd w:val="clear"/>
              <w:kinsoku/>
              <w:overflowPunct/>
              <w:bidi w:val="0"/>
              <w:spacing w:line="500" w:lineRule="exact"/>
              <w:ind w:left="0" w:leftChars="0" w:right="0" w:rightChars="0"/>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2B6A8514">
            <w:pPr>
              <w:pStyle w:val="18"/>
              <w:shd w:val="clear"/>
              <w:kinsoku/>
              <w:overflowPunct/>
              <w:bidi w:val="0"/>
              <w:spacing w:line="500" w:lineRule="exact"/>
              <w:ind w:left="0" w:leftChars="0" w:right="0" w:rightChars="0"/>
              <w:jc w:val="center"/>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75E6B005">
            <w:pPr>
              <w:pStyle w:val="18"/>
              <w:shd w:val="clear"/>
              <w:kinsoku/>
              <w:overflowPunct/>
              <w:bidi w:val="0"/>
              <w:spacing w:line="500" w:lineRule="exact"/>
              <w:ind w:left="0" w:leftChars="0" w:right="0" w:rightChars="0"/>
              <w:jc w:val="center"/>
              <w:rPr>
                <w:rFonts w:hAnsi="宋体" w:cs="宋体"/>
                <w:b/>
                <w:color w:val="auto"/>
                <w:szCs w:val="21"/>
                <w:highlight w:val="none"/>
              </w:rPr>
            </w:pPr>
            <w:r>
              <w:rPr>
                <w:rFonts w:hint="eastAsia" w:hAnsi="宋体" w:cs="宋体"/>
                <w:b/>
                <w:color w:val="auto"/>
                <w:szCs w:val="21"/>
                <w:highlight w:val="none"/>
              </w:rPr>
              <w:t>说明与要求</w:t>
            </w:r>
          </w:p>
        </w:tc>
      </w:tr>
      <w:tr w14:paraId="416EDC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trPr>
        <w:tc>
          <w:tcPr>
            <w:tcW w:w="1048" w:type="dxa"/>
            <w:vAlign w:val="center"/>
          </w:tcPr>
          <w:p w14:paraId="51356A46">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480E2FD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772E70CC">
            <w:pPr>
              <w:pStyle w:val="18"/>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滁州工投新能源开发有限公司2026年在营光伏电站及汽车充电站高压设备巡检维护项目</w:t>
            </w:r>
            <w:r>
              <w:rPr>
                <w:rFonts w:hint="eastAsia" w:hAnsi="宋体" w:cs="宋体"/>
                <w:color w:val="auto"/>
                <w:szCs w:val="21"/>
                <w:highlight w:val="none"/>
                <w:lang w:val="en-US" w:eastAsia="zh-CN"/>
              </w:rPr>
              <w:t>（二次）</w:t>
            </w:r>
          </w:p>
        </w:tc>
      </w:tr>
      <w:tr w14:paraId="686934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797B84F2">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58550E38">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65993D45">
            <w:pPr>
              <w:pStyle w:val="18"/>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default" w:hAnsi="宋体" w:eastAsia="宋体" w:cs="宋体"/>
                <w:color w:val="auto"/>
                <w:szCs w:val="21"/>
                <w:highlight w:val="none"/>
                <w:lang w:val="en-US" w:eastAsia="zh-CN"/>
              </w:rPr>
              <w:t>czsjqt202601-012</w:t>
            </w:r>
          </w:p>
        </w:tc>
      </w:tr>
      <w:tr w14:paraId="13A51B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0B170EE4">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45BBF6B">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5DB7D864">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本项目服务期</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p>
        </w:tc>
      </w:tr>
      <w:tr w14:paraId="10F4C7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7FA708E3">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2A12BE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2B2107D7">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滁州市内</w:t>
            </w:r>
          </w:p>
        </w:tc>
      </w:tr>
      <w:tr w14:paraId="2A2C0D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28" w:hRule="atLeast"/>
        </w:trPr>
        <w:tc>
          <w:tcPr>
            <w:tcW w:w="1048" w:type="dxa"/>
            <w:vAlign w:val="center"/>
          </w:tcPr>
          <w:p w14:paraId="18ADC013">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5BA08E5D">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67E2ADC4">
            <w:pPr>
              <w:pStyle w:val="18"/>
              <w:shd w:val="clear"/>
              <w:kinsoku/>
              <w:overflowPunct/>
              <w:bidi w:val="0"/>
              <w:spacing w:line="500" w:lineRule="exact"/>
              <w:ind w:left="0" w:leftChars="0" w:right="0" w:rightChars="0"/>
              <w:rPr>
                <w:rFonts w:hint="eastAsia" w:hAnsi="宋体" w:eastAsia="宋体" w:cs="宋体"/>
                <w:color w:val="auto"/>
                <w:szCs w:val="21"/>
                <w:highlight w:val="none"/>
                <w:lang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蔡工</w:t>
            </w:r>
            <w:r>
              <w:rPr>
                <w:rFonts w:hint="eastAsia" w:hAnsi="宋体" w:cs="宋体"/>
                <w:color w:val="auto"/>
                <w:szCs w:val="21"/>
                <w:highlight w:val="none"/>
              </w:rPr>
              <w:t xml:space="preserve">            </w:t>
            </w:r>
            <w:r>
              <w:rPr>
                <w:rFonts w:hint="eastAsia" w:hAnsi="宋体" w:cs="宋体"/>
                <w:color w:val="auto"/>
                <w:szCs w:val="21"/>
                <w:highlight w:val="none"/>
                <w:lang w:val="en-US" w:eastAsia="zh-CN"/>
              </w:rPr>
              <w:t xml:space="preserve">   </w:t>
            </w:r>
            <w:r>
              <w:rPr>
                <w:rFonts w:hint="eastAsia" w:hAnsi="宋体" w:cs="宋体"/>
                <w:color w:val="auto"/>
                <w:szCs w:val="21"/>
                <w:highlight w:val="none"/>
              </w:rPr>
              <w:t xml:space="preserve"> 电话：</w:t>
            </w:r>
            <w:r>
              <w:rPr>
                <w:rFonts w:hint="eastAsia" w:hAnsi="宋体" w:cs="宋体"/>
                <w:color w:val="auto"/>
                <w:szCs w:val="21"/>
                <w:highlight w:val="none"/>
                <w:lang w:eastAsia="zh-CN"/>
              </w:rPr>
              <w:t>0550-3018125</w:t>
            </w:r>
          </w:p>
        </w:tc>
      </w:tr>
      <w:tr w14:paraId="27F64B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66C52805">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6F13C873">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D59BAE3">
            <w:pPr>
              <w:pStyle w:val="18"/>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eastAsia" w:hAnsi="宋体" w:cs="宋体"/>
                <w:color w:val="auto"/>
                <w:szCs w:val="21"/>
                <w:highlight w:val="none"/>
              </w:rPr>
              <w:t>联系人：</w:t>
            </w:r>
            <w:r>
              <w:rPr>
                <w:rFonts w:hint="eastAsia" w:hAnsi="宋体" w:cs="宋体"/>
                <w:color w:val="auto"/>
                <w:szCs w:val="21"/>
                <w:highlight w:val="none"/>
                <w:lang w:val="en-US" w:eastAsia="zh-CN"/>
              </w:rPr>
              <w:t>关勤勤</w:t>
            </w:r>
            <w:r>
              <w:rPr>
                <w:rFonts w:hint="eastAsia" w:hAnsi="宋体" w:cs="宋体"/>
                <w:color w:val="auto"/>
                <w:szCs w:val="21"/>
                <w:highlight w:val="none"/>
              </w:rPr>
              <w:t xml:space="preserve">              电话0550-3519590   </w:t>
            </w:r>
            <w:r>
              <w:rPr>
                <w:rFonts w:hint="eastAsia" w:hAnsi="宋体" w:cs="宋体"/>
                <w:color w:val="auto"/>
                <w:szCs w:val="21"/>
                <w:highlight w:val="none"/>
                <w:lang w:val="en-US" w:eastAsia="zh-CN"/>
              </w:rPr>
              <w:t>18909605753</w:t>
            </w:r>
          </w:p>
        </w:tc>
      </w:tr>
      <w:tr w14:paraId="64AD8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7D178EA7">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3CD1F781">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 xml:space="preserve">资金来源                                                                                                                                                                 </w:t>
            </w:r>
          </w:p>
        </w:tc>
        <w:tc>
          <w:tcPr>
            <w:tcW w:w="6610" w:type="dxa"/>
            <w:vAlign w:val="center"/>
          </w:tcPr>
          <w:p w14:paraId="14BC05B7">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自筹资金</w:t>
            </w:r>
          </w:p>
        </w:tc>
      </w:tr>
      <w:tr w14:paraId="2F626D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28A747A2">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57FCDD9E">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lang w:val="en-US" w:eastAsia="zh-CN"/>
              </w:rPr>
              <w:t>采购</w:t>
            </w:r>
            <w:r>
              <w:rPr>
                <w:rFonts w:hint="eastAsia" w:hAnsi="宋体" w:cs="宋体"/>
                <w:color w:val="auto"/>
                <w:szCs w:val="21"/>
                <w:highlight w:val="none"/>
              </w:rPr>
              <w:t>预算</w:t>
            </w:r>
          </w:p>
        </w:tc>
        <w:tc>
          <w:tcPr>
            <w:tcW w:w="6610" w:type="dxa"/>
            <w:vAlign w:val="center"/>
          </w:tcPr>
          <w:p w14:paraId="4CCD50B9">
            <w:pPr>
              <w:pStyle w:val="18"/>
              <w:shd w:val="clear"/>
              <w:kinsoku/>
              <w:overflowPunct/>
              <w:bidi w:val="0"/>
              <w:spacing w:line="500" w:lineRule="exact"/>
              <w:ind w:left="0" w:leftChars="0" w:right="0" w:rightChars="0"/>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450000</w:t>
            </w:r>
            <w:r>
              <w:rPr>
                <w:rFonts w:hint="eastAsia" w:hAnsi="宋体" w:cs="宋体"/>
                <w:color w:val="auto"/>
                <w:szCs w:val="21"/>
                <w:highlight w:val="none"/>
              </w:rPr>
              <w:t>元</w:t>
            </w:r>
            <w:r>
              <w:rPr>
                <w:rFonts w:hint="eastAsia" w:hAnsi="宋体" w:cs="宋体"/>
                <w:color w:val="auto"/>
                <w:szCs w:val="21"/>
                <w:highlight w:val="none"/>
                <w:lang w:val="en-US" w:eastAsia="zh-CN"/>
              </w:rPr>
              <w:t>/年</w:t>
            </w:r>
          </w:p>
        </w:tc>
      </w:tr>
      <w:tr w14:paraId="613F38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025833DF">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1C7510A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2C858082">
            <w:pPr>
              <w:keepNext w:val="0"/>
              <w:keepLines w:val="0"/>
              <w:pageBreakBefore w:val="0"/>
              <w:shd w:val="clear"/>
              <w:kinsoku/>
              <w:wordWrap/>
              <w:overflowPunct/>
              <w:autoSpaceDE/>
              <w:autoSpaceDN/>
              <w:bidi w:val="0"/>
              <w:adjustRightInd w:val="0"/>
              <w:snapToGrid w:val="0"/>
              <w:spacing w:line="440" w:lineRule="exact"/>
              <w:ind w:left="0" w:leftChars="0" w:right="0" w:rightChars="0"/>
              <w:textAlignment w:val="auto"/>
              <w:rPr>
                <w:rFonts w:hint="default"/>
                <w:color w:val="auto"/>
                <w:highlight w:val="none"/>
                <w:lang w:val="en-US" w:eastAsia="zh-CN"/>
              </w:rPr>
            </w:pPr>
            <w:r>
              <w:rPr>
                <w:rFonts w:hint="eastAsia" w:ascii="宋体" w:hAnsi="宋体" w:eastAsia="宋体" w:cs="宋体"/>
                <w:b/>
                <w:bCs/>
                <w:color w:val="auto"/>
                <w:sz w:val="21"/>
                <w:szCs w:val="21"/>
                <w:highlight w:val="none"/>
                <w:lang w:val="en-US" w:eastAsia="zh-CN"/>
              </w:rPr>
              <w:t>本项目单价最高限价</w:t>
            </w:r>
            <w:r>
              <w:rPr>
                <w:rFonts w:hint="eastAsia" w:ascii="宋体" w:hAnsi="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lang w:val="en-US" w:eastAsia="zh-CN"/>
              </w:rPr>
              <w:t>元/千伏安/年（含税）。投标人报价高于最高限价的，其投标文件按无效标处理。</w:t>
            </w:r>
          </w:p>
          <w:p w14:paraId="405ACFF7">
            <w:pPr>
              <w:shd w:val="clear"/>
              <w:kinsoku/>
              <w:overflowPunct/>
              <w:bidi w:val="0"/>
              <w:spacing w:line="500" w:lineRule="exact"/>
              <w:ind w:left="0" w:leftChars="0" w:right="0" w:rightChars="0"/>
              <w:rPr>
                <w:rFonts w:ascii="宋体" w:hAnsi="宋体" w:cs="宋体"/>
                <w:color w:val="auto"/>
                <w:szCs w:val="21"/>
                <w:highlight w:val="none"/>
                <w:u w:color="000000"/>
              </w:rPr>
            </w:pPr>
            <w:r>
              <w:rPr>
                <w:rFonts w:hint="eastAsia" w:ascii="Times New Roman" w:eastAsia="宋体"/>
                <w:b/>
                <w:bCs/>
                <w:color w:val="auto"/>
                <w:highlight w:val="none"/>
                <w:lang w:val="en-US" w:eastAsia="zh-CN"/>
              </w:rPr>
              <w:t>注：投标报价小数点后最多保留两位小数，如填报多位小数的，按小数点后第3位四舍五入修正投标报价（如：某投标报价为</w:t>
            </w:r>
            <w:r>
              <w:rPr>
                <w:rFonts w:hint="eastAsia"/>
                <w:b/>
                <w:bCs/>
                <w:color w:val="auto"/>
                <w:highlight w:val="none"/>
                <w:lang w:val="en-US" w:eastAsia="zh-CN"/>
              </w:rPr>
              <w:t>15</w:t>
            </w:r>
            <w:r>
              <w:rPr>
                <w:rFonts w:hint="eastAsia" w:ascii="Times New Roman" w:eastAsia="宋体"/>
                <w:b/>
                <w:bCs/>
                <w:color w:val="auto"/>
                <w:highlight w:val="none"/>
                <w:lang w:val="en-US" w:eastAsia="zh-CN"/>
              </w:rPr>
              <w:t>.567，则修正为</w:t>
            </w:r>
            <w:r>
              <w:rPr>
                <w:rFonts w:hint="eastAsia"/>
                <w:b/>
                <w:bCs/>
                <w:color w:val="auto"/>
                <w:highlight w:val="none"/>
                <w:lang w:val="en-US" w:eastAsia="zh-CN"/>
              </w:rPr>
              <w:t>15.57</w:t>
            </w:r>
            <w:r>
              <w:rPr>
                <w:rFonts w:hint="eastAsia" w:ascii="Times New Roman" w:eastAsia="宋体"/>
                <w:b/>
                <w:bCs/>
                <w:color w:val="auto"/>
                <w:highlight w:val="none"/>
                <w:lang w:val="en-US" w:eastAsia="zh-CN"/>
              </w:rPr>
              <w:t>；某投标报价为</w:t>
            </w:r>
            <w:r>
              <w:rPr>
                <w:rFonts w:hint="eastAsia"/>
                <w:b/>
                <w:bCs/>
                <w:color w:val="auto"/>
                <w:highlight w:val="none"/>
                <w:lang w:val="en-US" w:eastAsia="zh-CN"/>
              </w:rPr>
              <w:t>15</w:t>
            </w:r>
            <w:r>
              <w:rPr>
                <w:rFonts w:hint="eastAsia" w:ascii="Times New Roman" w:eastAsia="宋体"/>
                <w:b/>
                <w:bCs/>
                <w:color w:val="auto"/>
                <w:highlight w:val="none"/>
                <w:lang w:val="en-US" w:eastAsia="zh-CN"/>
              </w:rPr>
              <w:t>.884，则修正为</w:t>
            </w:r>
            <w:r>
              <w:rPr>
                <w:rFonts w:hint="eastAsia"/>
                <w:b/>
                <w:bCs/>
                <w:color w:val="auto"/>
                <w:highlight w:val="none"/>
                <w:lang w:val="en-US" w:eastAsia="zh-CN"/>
              </w:rPr>
              <w:t>15</w:t>
            </w:r>
            <w:r>
              <w:rPr>
                <w:rFonts w:hint="eastAsia" w:ascii="Times New Roman" w:eastAsia="宋体"/>
                <w:b/>
                <w:bCs/>
                <w:color w:val="auto"/>
                <w:highlight w:val="none"/>
                <w:lang w:val="en-US" w:eastAsia="zh-CN"/>
              </w:rPr>
              <w:t>.88）</w:t>
            </w:r>
          </w:p>
        </w:tc>
      </w:tr>
      <w:tr w14:paraId="79E4D8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4000F029">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0472B07">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3DA4F68B">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b/>
                <w:color w:val="auto"/>
                <w:kern w:val="0"/>
                <w:szCs w:val="21"/>
                <w:highlight w:val="none"/>
              </w:rPr>
              <w:t>具体</w:t>
            </w:r>
            <w:r>
              <w:rPr>
                <w:rFonts w:hint="eastAsia" w:hAnsi="宋体" w:cs="宋体"/>
                <w:b/>
                <w:color w:val="auto"/>
                <w:kern w:val="0"/>
                <w:szCs w:val="21"/>
                <w:highlight w:val="none"/>
                <w:lang w:val="en-US" w:eastAsia="zh-CN"/>
              </w:rPr>
              <w:t>详见《服务内容及技术要求》和合同条款内容</w:t>
            </w:r>
          </w:p>
        </w:tc>
      </w:tr>
      <w:tr w14:paraId="255A26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2E4CAA6A">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20CEC5A0">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标</w:t>
            </w:r>
            <w:r>
              <w:rPr>
                <w:rFonts w:hint="eastAsia" w:hAnsi="宋体" w:cs="宋体"/>
                <w:color w:val="auto"/>
                <w:szCs w:val="21"/>
                <w:highlight w:val="none"/>
                <w:lang w:val="en-US" w:eastAsia="zh-CN"/>
              </w:rPr>
              <w:t>段</w:t>
            </w:r>
            <w:r>
              <w:rPr>
                <w:rFonts w:hint="eastAsia" w:hAnsi="宋体" w:cs="宋体"/>
                <w:color w:val="auto"/>
                <w:szCs w:val="21"/>
                <w:highlight w:val="none"/>
              </w:rPr>
              <w:t>划分</w:t>
            </w:r>
          </w:p>
        </w:tc>
        <w:tc>
          <w:tcPr>
            <w:tcW w:w="6610" w:type="dxa"/>
            <w:vAlign w:val="center"/>
          </w:tcPr>
          <w:p w14:paraId="59D77CBE">
            <w:pPr>
              <w:pStyle w:val="18"/>
              <w:shd w:val="clear"/>
              <w:kinsoku/>
              <w:overflowPunct/>
              <w:bidi w:val="0"/>
              <w:spacing w:line="500" w:lineRule="exact"/>
              <w:ind w:left="0" w:leftChars="0" w:right="0" w:rightChars="0"/>
              <w:rPr>
                <w:rFonts w:hint="eastAsia" w:hAnsi="宋体" w:eastAsia="宋体" w:cs="宋体"/>
                <w:color w:val="auto"/>
                <w:szCs w:val="21"/>
                <w:highlight w:val="none"/>
                <w:lang w:val="en-US" w:eastAsia="zh-CN"/>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w:t>
            </w:r>
            <w:r>
              <w:rPr>
                <w:rFonts w:hint="eastAsia" w:hAnsi="宋体" w:cs="宋体"/>
                <w:color w:val="auto"/>
                <w:szCs w:val="21"/>
                <w:highlight w:val="none"/>
              </w:rPr>
              <w:t>个标</w:t>
            </w:r>
            <w:r>
              <w:rPr>
                <w:rFonts w:hint="eastAsia" w:hAnsi="宋体" w:cs="宋体"/>
                <w:color w:val="auto"/>
                <w:szCs w:val="21"/>
                <w:highlight w:val="none"/>
                <w:lang w:val="en-US" w:eastAsia="zh-CN"/>
              </w:rPr>
              <w:t>段</w:t>
            </w:r>
          </w:p>
        </w:tc>
      </w:tr>
      <w:tr w14:paraId="778AF4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26F20593">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7AA231B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63C8AB2F">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公开招标</w:t>
            </w:r>
          </w:p>
        </w:tc>
      </w:tr>
      <w:tr w14:paraId="0A883E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153A72A4">
            <w:pPr>
              <w:pStyle w:val="18"/>
              <w:shd w:val="clear"/>
              <w:kinsoku/>
              <w:overflowPunct/>
              <w:bidi w:val="0"/>
              <w:spacing w:line="500" w:lineRule="exact"/>
              <w:ind w:left="0" w:leftChars="0" w:right="0" w:rightChars="0"/>
              <w:jc w:val="center"/>
              <w:rPr>
                <w:rFonts w:hint="eastAsia" w:hAnsi="宋体" w:eastAsia="宋体" w:cs="宋体"/>
                <w:color w:val="auto"/>
                <w:szCs w:val="21"/>
                <w:highlight w:val="none"/>
                <w:lang w:eastAsia="zh-CN"/>
              </w:rPr>
            </w:pPr>
            <w:r>
              <w:rPr>
                <w:rFonts w:hint="eastAsia" w:hAnsi="宋体" w:cs="宋体"/>
                <w:color w:val="auto"/>
                <w:szCs w:val="21"/>
                <w:highlight w:val="none"/>
              </w:rPr>
              <w:t>7.</w:t>
            </w:r>
            <w:r>
              <w:rPr>
                <w:rFonts w:hint="eastAsia" w:hAnsi="宋体" w:cs="宋体"/>
                <w:color w:val="auto"/>
                <w:szCs w:val="21"/>
                <w:highlight w:val="none"/>
                <w:lang w:val="en-US" w:eastAsia="zh-CN"/>
              </w:rPr>
              <w:t>1</w:t>
            </w:r>
          </w:p>
        </w:tc>
        <w:tc>
          <w:tcPr>
            <w:tcW w:w="2140" w:type="dxa"/>
            <w:gridSpan w:val="2"/>
            <w:vAlign w:val="center"/>
          </w:tcPr>
          <w:p w14:paraId="66EE2C5F">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07776A06">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147C59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B10D33D">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33E8BB06">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0653D44E">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不组织,投标人自行踏勘。</w:t>
            </w:r>
          </w:p>
        </w:tc>
      </w:tr>
      <w:tr w14:paraId="670F22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9E0D99B">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67BA3DE7">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7382D9D4">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不召开</w:t>
            </w:r>
          </w:p>
        </w:tc>
      </w:tr>
      <w:tr w14:paraId="769076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1CCBD4A">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1C70DD3A">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546EDCB9">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u w:val="single"/>
                <w:lang w:val="en-US" w:eastAsia="zh-CN"/>
              </w:rPr>
              <w:t>3375</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(参考计价格[2002]1980号文件</w:t>
            </w:r>
            <w:r>
              <w:rPr>
                <w:rFonts w:hint="eastAsia" w:ascii="宋体" w:hAnsi="宋体" w:cs="宋体"/>
                <w:color w:val="auto"/>
                <w:szCs w:val="21"/>
                <w:highlight w:val="none"/>
                <w:u w:val="single"/>
                <w:lang w:val="en-US" w:eastAsia="zh-CN"/>
              </w:rPr>
              <w:t xml:space="preserve"> 50 </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p w14:paraId="06CF02C2">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代理服务费支付主体：中标单位。</w:t>
            </w:r>
          </w:p>
          <w:p w14:paraId="3CF3A0B8">
            <w:pPr>
              <w:shd w:val="clear"/>
              <w:kinsoku/>
              <w:overflowPunct/>
              <w:bidi w:val="0"/>
              <w:spacing w:line="500" w:lineRule="exact"/>
              <w:ind w:left="0" w:leftChars="0" w:right="0" w:rightChars="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专家评审费支付主体：</w:t>
            </w:r>
            <w:r>
              <w:rPr>
                <w:rFonts w:hint="eastAsia" w:ascii="宋体" w:hAnsi="宋体" w:cs="宋体"/>
                <w:color w:val="auto"/>
                <w:szCs w:val="21"/>
                <w:highlight w:val="none"/>
                <w:lang w:val="en-US" w:eastAsia="zh-CN"/>
              </w:rPr>
              <w:t>招标单位</w:t>
            </w:r>
            <w:r>
              <w:rPr>
                <w:rFonts w:hint="eastAsia" w:ascii="宋体" w:hAnsi="宋体" w:cs="宋体"/>
                <w:color w:val="auto"/>
                <w:szCs w:val="21"/>
                <w:highlight w:val="none"/>
              </w:rPr>
              <w:t>。</w:t>
            </w:r>
          </w:p>
        </w:tc>
      </w:tr>
      <w:tr w14:paraId="32188B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132E98C5">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428A243C">
            <w:pPr>
              <w:pStyle w:val="18"/>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39FBFE0E">
            <w:pPr>
              <w:pStyle w:val="18"/>
              <w:keepNext w:val="0"/>
              <w:keepLines w:val="0"/>
              <w:pageBreakBefore w:val="0"/>
              <w:widowControl w:val="0"/>
              <w:shd w:val="clear"/>
              <w:kinsoku/>
              <w:wordWrap w:val="0"/>
              <w:overflowPunct/>
              <w:topLinePunct w:val="0"/>
              <w:autoSpaceDE/>
              <w:autoSpaceDN/>
              <w:bidi w:val="0"/>
              <w:adjustRightInd/>
              <w:snapToGrid/>
              <w:spacing w:line="500" w:lineRule="exact"/>
              <w:ind w:left="0" w:leftChars="0" w:right="0" w:rightChars="0"/>
              <w:textAlignment w:val="auto"/>
              <w:rPr>
                <w:rFonts w:ascii="宋体"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2</w:t>
            </w:r>
            <w:r>
              <w:rPr>
                <w:rFonts w:hint="eastAsia" w:hAnsi="宋体" w:cs="宋体"/>
                <w:b/>
                <w:bCs/>
                <w:color w:val="auto"/>
                <w:szCs w:val="21"/>
                <w:highlight w:val="none"/>
              </w:rPr>
              <w:t>月</w:t>
            </w:r>
            <w:r>
              <w:rPr>
                <w:rFonts w:hint="eastAsia" w:hAnsi="宋体" w:cs="宋体"/>
                <w:b/>
                <w:bCs/>
                <w:color w:val="auto"/>
                <w:szCs w:val="21"/>
                <w:highlight w:val="none"/>
                <w:lang w:val="en-US" w:eastAsia="zh-CN"/>
              </w:rPr>
              <w:t>2</w:t>
            </w:r>
            <w:r>
              <w:rPr>
                <w:rFonts w:hint="eastAsia" w:hAnsi="宋体" w:cs="宋体"/>
                <w:b/>
                <w:bCs/>
                <w:color w:val="auto"/>
                <w:szCs w:val="21"/>
                <w:highlight w:val="none"/>
              </w:rPr>
              <w:t>日</w:t>
            </w:r>
            <w:r>
              <w:rPr>
                <w:rFonts w:hint="eastAsia" w:hAnsi="宋体" w:cs="宋体"/>
                <w:b/>
                <w:bCs/>
                <w:color w:val="auto"/>
                <w:szCs w:val="21"/>
                <w:highlight w:val="none"/>
                <w:lang w:val="en-US" w:eastAsia="zh-CN"/>
              </w:rPr>
              <w:t>8</w:t>
            </w:r>
            <w:r>
              <w:rPr>
                <w:rFonts w:hint="eastAsia" w:hAnsi="宋体" w:cs="宋体"/>
                <w:b/>
                <w:bCs/>
                <w:color w:val="auto"/>
                <w:szCs w:val="21"/>
                <w:highlight w:val="none"/>
              </w:rPr>
              <w:t>时</w:t>
            </w:r>
            <w:r>
              <w:rPr>
                <w:rFonts w:hint="eastAsia" w:hAnsi="宋体" w:cs="宋体"/>
                <w:b/>
                <w:bCs/>
                <w:color w:val="auto"/>
                <w:szCs w:val="21"/>
                <w:highlight w:val="none"/>
                <w:lang w:val="en-US" w:eastAsia="zh-CN"/>
              </w:rPr>
              <w:t>30分</w:t>
            </w:r>
            <w:bookmarkStart w:id="193" w:name="_GoBack"/>
            <w:bookmarkEnd w:id="193"/>
            <w:r>
              <w:rPr>
                <w:rFonts w:hint="eastAsia" w:hAnsi="宋体" w:cs="宋体"/>
                <w:color w:val="auto"/>
                <w:szCs w:val="21"/>
                <w:highlight w:val="none"/>
              </w:rPr>
              <w:t xml:space="preserve">（投标截止10日）前在滁州市公共资源交易中心网电子交易系统中进行异议（质疑），具体操作步骤和程序请参见服务指南&gt;交易须知&gt;在线异议、质疑和投诉操作手册。 </w:t>
            </w:r>
          </w:p>
        </w:tc>
      </w:tr>
      <w:tr w14:paraId="326B4C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5F190A6D">
            <w:pPr>
              <w:shd w:val="clear"/>
              <w:kinsoku/>
              <w:overflowPunct/>
              <w:bidi w:val="0"/>
              <w:spacing w:line="500" w:lineRule="exact"/>
              <w:ind w:left="0" w:leftChars="0" w:right="0"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16.4</w:t>
            </w:r>
          </w:p>
        </w:tc>
        <w:tc>
          <w:tcPr>
            <w:tcW w:w="2140" w:type="dxa"/>
            <w:gridSpan w:val="2"/>
            <w:vAlign w:val="center"/>
          </w:tcPr>
          <w:p w14:paraId="162B7019">
            <w:pPr>
              <w:pStyle w:val="18"/>
              <w:shd w:val="clear"/>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33517326">
            <w:pPr>
              <w:keepNext w:val="0"/>
              <w:keepLines w:val="0"/>
              <w:pageBreakBefore w:val="0"/>
              <w:widowControl w:val="0"/>
              <w:shd w:val="clear"/>
              <w:kinsoku/>
              <w:wordWrap w:val="0"/>
              <w:overflowPunct/>
              <w:topLinePunct w:val="0"/>
              <w:autoSpaceDE/>
              <w:autoSpaceDN/>
              <w:bidi w:val="0"/>
              <w:adjustRightInd/>
              <w:snapToGrid/>
              <w:spacing w:line="500" w:lineRule="exact"/>
              <w:ind w:left="0" w:leftChars="0" w:right="0" w:rightChars="0"/>
              <w:textAlignment w:val="auto"/>
              <w:rPr>
                <w:rFonts w:hint="eastAsia"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2</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3</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3A820B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149BC2CA">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17EC8ECE">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124E20A9">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3DD26A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1F260142">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54EC087B">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009CA245">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投标保证金收取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投标保证金的金额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万元，</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投标人提交投标保证金。</w:t>
            </w:r>
          </w:p>
          <w:p w14:paraId="4CB92988">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投标保证金形式：支持现金（银行转账、银行电汇等）、非现金形式（支票、银行汇票、本票等）、电子保函、纸质银行保函。</w:t>
            </w:r>
          </w:p>
          <w:p w14:paraId="047A4E27">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接收投标保证金的账户信息：</w:t>
            </w:r>
          </w:p>
          <w:p w14:paraId="5ABECBAB">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24F3431D">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①户名：滁州市公共资源交易中心</w:t>
            </w:r>
          </w:p>
          <w:p w14:paraId="76A09C1A">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开户行：中国银行滁州分行 </w:t>
            </w:r>
          </w:p>
          <w:p w14:paraId="296032EB">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181215706736</w:t>
            </w:r>
            <w:r>
              <w:rPr>
                <w:rFonts w:hint="eastAsia" w:ascii="宋体" w:hAnsi="宋体" w:cs="宋体"/>
                <w:color w:val="auto"/>
                <w:szCs w:val="21"/>
                <w:highlight w:val="none"/>
              </w:rPr>
              <w:t xml:space="preserve"> </w:t>
            </w:r>
          </w:p>
          <w:p w14:paraId="7778046D">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②户名：滁州市公共资源交易中心 </w:t>
            </w:r>
          </w:p>
          <w:p w14:paraId="249E8366">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开户行：中国建设银行股份有限公司滁州南谯支行</w:t>
            </w:r>
          </w:p>
          <w:p w14:paraId="0AF81CC3">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lang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6232811720000035738</w:t>
            </w:r>
          </w:p>
          <w:p w14:paraId="592976C6">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③户名：滁州市公共资源交易中心        </w:t>
            </w:r>
          </w:p>
          <w:p w14:paraId="652DAC8C">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开户行：中国农业银行滁州中都支行                </w:t>
            </w:r>
          </w:p>
          <w:p w14:paraId="005FBFA1">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账号：</w:t>
            </w:r>
            <w:r>
              <w:rPr>
                <w:rFonts w:hint="eastAsia" w:ascii="宋体" w:hAnsi="宋体" w:cs="宋体"/>
                <w:color w:val="auto"/>
                <w:szCs w:val="21"/>
                <w:highlight w:val="none"/>
                <w:lang w:val="en-US" w:eastAsia="zh-CN"/>
              </w:rPr>
              <w:t>123340010400044210000000601</w:t>
            </w:r>
          </w:p>
          <w:p w14:paraId="0AB5BA76">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采用现金形式缴纳保证金时须在交易附言中注明：“</w:t>
            </w:r>
            <w:r>
              <w:rPr>
                <w:rFonts w:hint="eastAsia" w:ascii="宋体" w:hAnsi="宋体" w:cs="宋体"/>
                <w:color w:val="auto"/>
                <w:szCs w:val="21"/>
                <w:highlight w:val="none"/>
                <w:lang w:val="en-US" w:eastAsia="zh-CN"/>
              </w:rPr>
              <w:t>czsjqt202601-012</w:t>
            </w:r>
            <w:r>
              <w:rPr>
                <w:rFonts w:hint="eastAsia" w:ascii="宋体" w:hAnsi="宋体" w:cs="宋体"/>
                <w:color w:val="auto"/>
                <w:szCs w:val="21"/>
                <w:highlight w:val="none"/>
              </w:rPr>
              <w:t>项目投标保证金”。</w:t>
            </w:r>
          </w:p>
          <w:p w14:paraId="28E5C6EB">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2）采用支票、银行汇票、本票等非现金形式提交投标保证金时，投标人应在付款人开户行申请书附言处注明“</w:t>
            </w:r>
            <w:r>
              <w:rPr>
                <w:rFonts w:hint="eastAsia" w:ascii="宋体" w:hAnsi="宋体" w:cs="宋体"/>
                <w:color w:val="auto"/>
                <w:szCs w:val="21"/>
                <w:highlight w:val="none"/>
                <w:lang w:val="en-US" w:eastAsia="zh-CN"/>
              </w:rPr>
              <w:t>czsjqt202601-012</w:t>
            </w:r>
            <w:r>
              <w:rPr>
                <w:rFonts w:hint="eastAsia" w:ascii="宋体" w:hAnsi="宋体" w:cs="宋体"/>
                <w:color w:val="auto"/>
                <w:szCs w:val="21"/>
                <w:highlight w:val="none"/>
              </w:rPr>
              <w:t>项目投标保证金”字样，应确保收款人开户行进账单完整反映交易附言内容，由此导致无法识别投标保证金对应的投标项目，其后果由投标人负责。</w:t>
            </w:r>
          </w:p>
          <w:p w14:paraId="356E0EA7">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3)采用电子保函形式具体要求如下：</w:t>
            </w:r>
          </w:p>
          <w:p w14:paraId="03B71CEF">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①电子保函提交要求：</w:t>
            </w:r>
          </w:p>
          <w:p w14:paraId="313C0335">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a.投标人须在投标文件提交截止时间前提供与滁州市公共资源交易中心金融服务平台对接的电子保函，否则视为投标保证金未按规定要求缴纳。</w:t>
            </w:r>
          </w:p>
          <w:p w14:paraId="01AB7D19">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41191294">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c.投标有效期内未能确定中标结果，需要延长投标有效期，投标人同意延长投标有效期的，须相应延长电子保函的有效期。</w:t>
            </w:r>
          </w:p>
          <w:p w14:paraId="5227F53B">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d.投标人存在投标保证金不予退还的情形，采用电子保函形式的将予以追缴。</w:t>
            </w:r>
          </w:p>
          <w:p w14:paraId="51DEEC79">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4)采用纸质</w:t>
            </w:r>
            <w:r>
              <w:rPr>
                <w:rFonts w:hint="eastAsia" w:ascii="宋体" w:hAnsi="宋体" w:cs="宋体"/>
                <w:color w:val="auto"/>
                <w:szCs w:val="21"/>
                <w:highlight w:val="none"/>
                <w:lang w:eastAsia="zh-CN"/>
              </w:rPr>
              <w:t>银行</w:t>
            </w:r>
            <w:r>
              <w:rPr>
                <w:rFonts w:hint="eastAsia" w:ascii="宋体" w:hAnsi="宋体" w:cs="宋体"/>
                <w:color w:val="auto"/>
                <w:szCs w:val="21"/>
                <w:highlight w:val="none"/>
              </w:rPr>
              <w:t>保函形式具体要求如下：</w:t>
            </w:r>
          </w:p>
          <w:p w14:paraId="67841902">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①应为投标人基本账户开户银行出具的不可撤销、不可转让的见索即付独立保函,所需费用由投标人承担。</w:t>
            </w:r>
          </w:p>
          <w:p w14:paraId="0CAF17BA">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lang w:eastAsia="zh-CN"/>
              </w:rPr>
            </w:pPr>
            <w:r>
              <w:rPr>
                <w:rFonts w:hint="eastAsia" w:ascii="宋体" w:hAnsi="宋体" w:cs="宋体"/>
                <w:color w:val="auto"/>
                <w:szCs w:val="21"/>
                <w:highlight w:val="none"/>
              </w:rPr>
              <w:t>②投标人在投标文件中必须提供基本存款账户证明（如基本存款账户开户许可证或基本存款账户信息），同时将纸质保函扫描件提供在投标文件中</w:t>
            </w:r>
            <w:r>
              <w:rPr>
                <w:rFonts w:hint="eastAsia" w:ascii="宋体" w:hAnsi="宋体" w:cs="宋体"/>
                <w:color w:val="auto"/>
                <w:szCs w:val="21"/>
                <w:highlight w:val="none"/>
                <w:lang w:eastAsia="zh-CN"/>
              </w:rPr>
              <w:t>。</w:t>
            </w:r>
          </w:p>
          <w:p w14:paraId="6B89A801">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③投标人在投标文件中必须提供明确有效的查询途径（ 网址链接及查询方式），否则该纸质银行保函无效。</w:t>
            </w:r>
          </w:p>
          <w:p w14:paraId="22C45749">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0B2C1DF8">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保证金电子保函业务应急处置措施。由于自然灾害、事故灾难、突发公共网络安全事件或者系统原因，以及保证金电子保函系统使用过程中出现的以下情况：</w:t>
            </w:r>
          </w:p>
          <w:p w14:paraId="7667549F">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（1）开标时，系统获取明文保函文件异常，无法正常获取保函文件；</w:t>
            </w:r>
          </w:p>
          <w:p w14:paraId="690F8EDF">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（2）保证金电子保函系统的软件或数据库出现错误，不能进行正常操作；</w:t>
            </w:r>
          </w:p>
          <w:p w14:paraId="4B76131E">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（3）保证金电子保函系统服务器发生故障等情况，无法访问或无法使用电子保函；</w:t>
            </w:r>
          </w:p>
          <w:p w14:paraId="350CCB79">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（4）保证金电子保函系统服务器受到病毒或其他外来的攻击；</w:t>
            </w:r>
          </w:p>
          <w:p w14:paraId="6FBF6081">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（5）其他影响电子保函出具的异常情形。</w:t>
            </w:r>
          </w:p>
          <w:p w14:paraId="5B7957CC">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668829EC">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本次招标失败，再次进行招标的，投标人须按照新的账户重新缴纳投标保证金。</w:t>
            </w:r>
          </w:p>
          <w:p w14:paraId="73FBC8CC">
            <w:pPr>
              <w:widowControl/>
              <w:shd w:val="clear" w:color="auto"/>
              <w:kinsoku/>
              <w:overflowPunct/>
              <w:bidi w:val="0"/>
              <w:spacing w:line="500" w:lineRule="exact"/>
              <w:ind w:left="0" w:leftChars="0" w:right="0" w:right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投标人为联合体投标的，由牵头人基本账户转出投标保证金或由牵头人办理保函。</w:t>
            </w:r>
          </w:p>
          <w:p w14:paraId="3A32A4FE">
            <w:pPr>
              <w:widowControl/>
              <w:shd w:val="clear" w:color="auto"/>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.是否适用免缴投标保证金政策</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不适用</w:t>
            </w:r>
            <w:r>
              <w:rPr>
                <w:rFonts w:hint="eastAsia" w:ascii="宋体" w:hAnsi="宋体" w:cs="宋体"/>
                <w:color w:val="auto"/>
                <w:szCs w:val="21"/>
                <w:highlight w:val="none"/>
              </w:rPr>
              <w:t>。</w:t>
            </w:r>
          </w:p>
        </w:tc>
      </w:tr>
      <w:tr w14:paraId="2CF29D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B4EF961">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2D0ED125">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0B0B69B8">
            <w:pPr>
              <w:widowControl/>
              <w:shd w:val="clear"/>
              <w:kinsoku/>
              <w:overflowPunct/>
              <w:bidi w:val="0"/>
              <w:spacing w:line="500" w:lineRule="exact"/>
              <w:ind w:left="0" w:leftChars="0" w:right="0" w:rightChars="0"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3FBE7964">
            <w:pPr>
              <w:widowControl/>
              <w:shd w:val="clear"/>
              <w:kinsoku/>
              <w:overflowPunct/>
              <w:bidi w:val="0"/>
              <w:spacing w:line="500" w:lineRule="exact"/>
              <w:ind w:left="0" w:leftChars="0" w:right="0" w:rightChars="0"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（投标单位中标后须递交与网上电子投标文件完全一致的纸质版投标文件，并按要求加盖公章；份数：正本1份，副本2份；中标单位领取中标通知书时，一并递交给代理机构）</w:t>
            </w:r>
          </w:p>
        </w:tc>
      </w:tr>
      <w:tr w14:paraId="17D754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ACA9DC6">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0BC1F218">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A411634">
            <w:pPr>
              <w:widowControl/>
              <w:shd w:val="clear"/>
              <w:kinsoku/>
              <w:overflowPunct/>
              <w:bidi w:val="0"/>
              <w:spacing w:line="500" w:lineRule="exact"/>
              <w:ind w:left="0" w:leftChars="0" w:right="0" w:rightChars="0"/>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7393EAE">
            <w:pPr>
              <w:widowControl/>
              <w:shd w:val="clear"/>
              <w:kinsoku/>
              <w:overflowPunct/>
              <w:bidi w:val="0"/>
              <w:spacing w:line="500" w:lineRule="exact"/>
              <w:ind w:left="0" w:leftChars="0" w:right="0" w:rightChars="0"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599EC6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44AD16E6">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1B802058">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5C780016">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日8点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0分（北京时间）</w:t>
            </w:r>
          </w:p>
          <w:p w14:paraId="5EE566BB">
            <w:pPr>
              <w:shd w:val="clear"/>
              <w:kinsoku/>
              <w:overflowPunct/>
              <w:bidi w:val="0"/>
              <w:spacing w:line="500" w:lineRule="exact"/>
              <w:ind w:left="0" w:leftChars="0" w:right="0" w:rightChars="0"/>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1F419A8E">
            <w:pPr>
              <w:shd w:val="clear"/>
              <w:kinsoku/>
              <w:wordWrap w:val="0"/>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13C3425B">
            <w:pPr>
              <w:shd w:val="clear"/>
              <w:kinsoku/>
              <w:wordWrap w:val="0"/>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2月12</w:t>
            </w:r>
            <w:r>
              <w:rPr>
                <w:rFonts w:hint="eastAsia" w:ascii="宋体" w:hAnsi="宋体" w:cs="宋体"/>
                <w:b/>
                <w:bCs/>
                <w:color w:val="auto"/>
                <w:szCs w:val="21"/>
                <w:highlight w:val="none"/>
              </w:rPr>
              <w:t>日08点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日09点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w:t>
            </w:r>
          </w:p>
        </w:tc>
      </w:tr>
      <w:tr w14:paraId="6457DA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73300F3E">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w:t>
            </w:r>
          </w:p>
        </w:tc>
        <w:tc>
          <w:tcPr>
            <w:tcW w:w="2140" w:type="dxa"/>
            <w:gridSpan w:val="2"/>
            <w:vAlign w:val="center"/>
          </w:tcPr>
          <w:p w14:paraId="709C07EE">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3B4243C9">
            <w:pPr>
              <w:shd w:val="clear"/>
              <w:kinsoku/>
              <w:overflowPunct/>
              <w:bidi w:val="0"/>
              <w:spacing w:line="500" w:lineRule="exact"/>
              <w:ind w:left="0" w:leftChars="0" w:right="0" w:rightChars="0"/>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日8点</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0分（北京时间）</w:t>
            </w:r>
          </w:p>
          <w:p w14:paraId="26DEB139">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开标地点：滁州市公共资源交易中心(滁州市龙蟠大道109号房产商务大厦二楼)</w:t>
            </w:r>
          </w:p>
        </w:tc>
      </w:tr>
      <w:tr w14:paraId="229BAE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23D477BC">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w:t>
            </w:r>
          </w:p>
        </w:tc>
        <w:tc>
          <w:tcPr>
            <w:tcW w:w="2140" w:type="dxa"/>
            <w:gridSpan w:val="2"/>
            <w:vAlign w:val="center"/>
          </w:tcPr>
          <w:p w14:paraId="635C9873">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22E9F8E3">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3FE1A2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2D3D8EB3">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lang w:val="en-US" w:eastAsia="zh-CN"/>
              </w:rPr>
              <w:t>30</w:t>
            </w:r>
            <w:r>
              <w:rPr>
                <w:rFonts w:hint="eastAsia" w:hAnsi="宋体" w:cs="宋体"/>
                <w:color w:val="auto"/>
                <w:szCs w:val="21"/>
                <w:highlight w:val="none"/>
              </w:rPr>
              <w:t>.1</w:t>
            </w:r>
          </w:p>
        </w:tc>
        <w:tc>
          <w:tcPr>
            <w:tcW w:w="2140" w:type="dxa"/>
            <w:gridSpan w:val="2"/>
            <w:vAlign w:val="center"/>
          </w:tcPr>
          <w:p w14:paraId="16288688">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68E2F1BB">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人，专家评委</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34F16C6E">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评标专家确定方式：专家评委由招标人在开标前从专家库中随机抽取。</w:t>
            </w:r>
          </w:p>
        </w:tc>
      </w:tr>
      <w:tr w14:paraId="3270FA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7FD839C2">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3611B35F">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18B6EFAB">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是，评标委员会推荐3名中标候选人。</w:t>
            </w:r>
          </w:p>
        </w:tc>
      </w:tr>
      <w:tr w14:paraId="087BE1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FAB7660">
            <w:pPr>
              <w:pStyle w:val="18"/>
              <w:shd w:val="clear"/>
              <w:kinsoku/>
              <w:overflowPunct/>
              <w:bidi w:val="0"/>
              <w:spacing w:line="500" w:lineRule="exact"/>
              <w:ind w:left="0" w:leftChars="0" w:right="0" w:rightChars="0"/>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3DADEB85">
            <w:pPr>
              <w:pStyle w:val="18"/>
              <w:shd w:val="clear"/>
              <w:kinsoku/>
              <w:overflowPunct/>
              <w:bidi w:val="0"/>
              <w:spacing w:line="500" w:lineRule="exact"/>
              <w:ind w:left="0" w:leftChars="0" w:right="0" w:rightChars="0"/>
              <w:jc w:val="left"/>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1613262A">
            <w:pPr>
              <w:pStyle w:val="18"/>
              <w:shd w:val="clear"/>
              <w:kinsoku/>
              <w:overflowPunct/>
              <w:bidi w:val="0"/>
              <w:spacing w:line="500" w:lineRule="exact"/>
              <w:ind w:left="0" w:leftChars="0" w:right="0" w:rightChars="0"/>
              <w:rPr>
                <w:rFonts w:hAnsi="宋体" w:cs="宋体"/>
                <w:color w:val="auto"/>
                <w:szCs w:val="21"/>
                <w:highlight w:val="none"/>
              </w:rPr>
            </w:pPr>
            <w:r>
              <w:rPr>
                <w:rFonts w:hint="eastAsia" w:hAnsi="宋体" w:cs="宋体"/>
                <w:color w:val="auto"/>
                <w:szCs w:val="21"/>
                <w:highlight w:val="none"/>
              </w:rPr>
              <w:t>公示媒介：同招标公告发布媒介</w:t>
            </w:r>
          </w:p>
          <w:p w14:paraId="68C4AE0F">
            <w:pPr>
              <w:pStyle w:val="18"/>
              <w:shd w:val="clear"/>
              <w:kinsoku/>
              <w:overflowPunct/>
              <w:bidi w:val="0"/>
              <w:spacing w:line="500" w:lineRule="exact"/>
              <w:ind w:left="0" w:leftChars="0" w:right="0" w:rightChars="0"/>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04BA0F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535896C1">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06AD6C76">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4C74179E">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212F3A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03EF91E2">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140" w:type="dxa"/>
            <w:gridSpan w:val="2"/>
            <w:vAlign w:val="center"/>
          </w:tcPr>
          <w:p w14:paraId="7F6EACAA">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4D5A5D59">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数据电文</w:t>
            </w:r>
          </w:p>
        </w:tc>
      </w:tr>
      <w:tr w14:paraId="1103FD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28EC94C4">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4657A689">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77A32535">
            <w:pPr>
              <w:shd w:val="clear"/>
              <w:tabs>
                <w:tab w:val="left" w:pos="5034"/>
              </w:tabs>
              <w:kinsoku/>
              <w:overflowPunct/>
              <w:bidi w:val="0"/>
              <w:spacing w:line="500" w:lineRule="exact"/>
              <w:ind w:left="0" w:leftChars="0" w:right="0" w:rightChars="0"/>
              <w:rPr>
                <w:rFonts w:hint="eastAsia" w:ascii="宋体" w:hAnsi="宋体" w:cs="宋体"/>
                <w:color w:val="auto"/>
                <w:szCs w:val="21"/>
                <w:highlight w:val="none"/>
              </w:rPr>
            </w:pPr>
            <w:r>
              <w:rPr>
                <w:rFonts w:hint="eastAsia" w:ascii="宋体" w:hAnsi="宋体" w:cs="宋体"/>
                <w:color w:val="auto"/>
                <w:szCs w:val="21"/>
                <w:highlight w:val="none"/>
              </w:rPr>
              <w:t>是否收取履约担保：收取</w:t>
            </w:r>
          </w:p>
          <w:p w14:paraId="54722B3D">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6619AA7E">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履约担保的金额：</w:t>
            </w:r>
            <w:r>
              <w:rPr>
                <w:rFonts w:hint="eastAsia" w:ascii="Times New Roman" w:hAnsi="Times New Roman" w:eastAsia="宋体" w:cs="Times New Roman"/>
                <w:color w:val="auto"/>
                <w:highlight w:val="none"/>
              </w:rPr>
              <w:t>中标</w:t>
            </w:r>
            <w:r>
              <w:rPr>
                <w:rFonts w:hint="eastAsia" w:ascii="Times New Roman" w:hAnsi="Times New Roman" w:eastAsia="宋体" w:cs="Times New Roman"/>
                <w:color w:val="auto"/>
                <w:highlight w:val="none"/>
                <w:lang w:val="en-US" w:eastAsia="zh-CN"/>
              </w:rPr>
              <w:t>单价</w:t>
            </w:r>
            <w:r>
              <w:rPr>
                <w:rFonts w:hint="eastAsia" w:ascii="Times New Roman" w:hAnsi="Times New Roman" w:eastAsia="宋体" w:cs="Times New Roman"/>
                <w:color w:val="auto"/>
                <w:highlight w:val="none"/>
              </w:rPr>
              <w:t>×</w:t>
            </w:r>
            <w:r>
              <w:rPr>
                <w:rFonts w:hint="eastAsia" w:cs="Times New Roman"/>
                <w:color w:val="auto"/>
                <w:highlight w:val="none"/>
                <w:lang w:val="en-US" w:eastAsia="zh-CN"/>
              </w:rPr>
              <w:t>29990</w:t>
            </w:r>
            <w:r>
              <w:rPr>
                <w:rFonts w:hint="eastAsia" w:ascii="Times New Roman" w:hAnsi="Times New Roman" w:eastAsia="宋体" w:cs="Times New Roman"/>
                <w:color w:val="auto"/>
                <w:highlight w:val="none"/>
                <w:lang w:val="en-US" w:eastAsia="zh-CN"/>
              </w:rPr>
              <w:t>千伏安</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%，取整到千位</w:t>
            </w:r>
          </w:p>
          <w:p w14:paraId="69A64EDF">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收款单位：另行通知</w:t>
            </w:r>
          </w:p>
          <w:p w14:paraId="0D4B14F3">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开户行、账号：另行通知</w:t>
            </w:r>
          </w:p>
          <w:p w14:paraId="05F997DC">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00C3B141">
            <w:pPr>
              <w:shd w:val="clear"/>
              <w:kinsoku/>
              <w:overflowPunct/>
              <w:bidi w:val="0"/>
              <w:spacing w:line="500" w:lineRule="exact"/>
              <w:ind w:left="0" w:leftChars="0" w:right="0" w:rightChars="0" w:firstLine="0"/>
              <w:rPr>
                <w:rFonts w:hint="eastAsia" w:ascii="宋体" w:hAnsi="宋体" w:cs="宋体"/>
                <w:color w:val="auto"/>
                <w:szCs w:val="21"/>
                <w:highlight w:val="none"/>
              </w:rPr>
            </w:pPr>
            <w:r>
              <w:rPr>
                <w:rFonts w:hint="eastAsia" w:ascii="宋体" w:hAnsi="宋体" w:cs="宋体"/>
                <w:color w:val="auto"/>
                <w:szCs w:val="21"/>
                <w:highlight w:val="none"/>
              </w:rPr>
              <w:t>履约保证金退还方式：</w:t>
            </w:r>
            <w:r>
              <w:rPr>
                <w:rFonts w:hint="eastAsia" w:ascii="宋体" w:hAnsi="宋体" w:eastAsia="宋体" w:cs="宋体"/>
                <w:color w:val="auto"/>
                <w:sz w:val="21"/>
                <w:szCs w:val="21"/>
                <w:highlight w:val="none"/>
              </w:rPr>
              <w:t>履约保证金在</w:t>
            </w:r>
            <w:r>
              <w:rPr>
                <w:rFonts w:hint="eastAsia" w:ascii="宋体" w:hAnsi="宋体" w:eastAsia="宋体" w:cs="宋体"/>
                <w:b w:val="0"/>
                <w:i w:val="0"/>
                <w:color w:val="auto"/>
                <w:sz w:val="21"/>
                <w:szCs w:val="21"/>
                <w:highlight w:val="none"/>
                <w:u w:val="none"/>
              </w:rPr>
              <w:t>合同</w:t>
            </w:r>
            <w:r>
              <w:rPr>
                <w:rFonts w:hint="eastAsia" w:ascii="宋体" w:hAnsi="宋体" w:eastAsia="宋体" w:cs="宋体"/>
                <w:color w:val="auto"/>
                <w:sz w:val="21"/>
                <w:szCs w:val="21"/>
                <w:highlight w:val="none"/>
              </w:rPr>
              <w:t>约定期间内不予退还或者应完全有效，</w:t>
            </w:r>
            <w:r>
              <w:rPr>
                <w:rFonts w:hint="eastAsia" w:ascii="宋体" w:hAnsi="宋体" w:cs="宋体"/>
                <w:color w:val="auto"/>
                <w:sz w:val="21"/>
                <w:szCs w:val="21"/>
                <w:highlight w:val="none"/>
                <w:lang w:val="en-US" w:eastAsia="zh-CN"/>
              </w:rPr>
              <w:t>合同</w:t>
            </w:r>
            <w:r>
              <w:rPr>
                <w:rFonts w:hint="eastAsia" w:ascii="宋体" w:hAnsi="宋体" w:eastAsia="宋体" w:cs="宋体"/>
                <w:color w:val="auto"/>
                <w:sz w:val="21"/>
                <w:szCs w:val="21"/>
                <w:highlight w:val="none"/>
              </w:rPr>
              <w:t>约定期间届满之日起</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rPr>
              <w:t>个工作日内，甲方应将履约保证金退还乙方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逾期退还履约保证金</w:t>
            </w:r>
            <w:r>
              <w:rPr>
                <w:rFonts w:hint="eastAsia" w:ascii="宋体" w:hAnsi="宋体" w:eastAsia="宋体" w:cs="宋体"/>
                <w:color w:val="auto"/>
                <w:sz w:val="21"/>
                <w:szCs w:val="21"/>
                <w:highlight w:val="none"/>
                <w:lang w:val="en-US" w:eastAsia="zh-CN"/>
              </w:rPr>
              <w:t>应承担违约责任。</w:t>
            </w:r>
          </w:p>
          <w:p w14:paraId="31985C20">
            <w:pPr>
              <w:shd w:val="clear"/>
              <w:kinsoku/>
              <w:overflowPunct/>
              <w:bidi w:val="0"/>
              <w:spacing w:line="500" w:lineRule="exact"/>
              <w:ind w:left="0" w:leftChars="0" w:right="0" w:rightChars="0"/>
              <w:rPr>
                <w:color w:val="auto"/>
                <w:highlight w:val="none"/>
              </w:rPr>
            </w:pPr>
            <w:r>
              <w:rPr>
                <w:rFonts w:hint="eastAsia" w:ascii="宋体" w:hAnsi="宋体" w:cs="宋体"/>
                <w:color w:val="auto"/>
                <w:szCs w:val="21"/>
                <w:highlight w:val="none"/>
              </w:rPr>
              <w:t>其他相关要求：保函内容及格式等均须经招标人认可。</w:t>
            </w:r>
          </w:p>
        </w:tc>
      </w:tr>
      <w:tr w14:paraId="350F85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69F3AB5C">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724CF7CE">
            <w:pPr>
              <w:kinsoku/>
              <w:overflowPunct/>
              <w:topLinePunct/>
              <w:bidi w:val="0"/>
              <w:spacing w:line="500" w:lineRule="exact"/>
              <w:ind w:left="0" w:leftChars="0" w:right="0" w:rightChars="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季度款：按巡检维护场站数量及变压器的总容量确定总结算费用，以总结算费用除以巡检维护次数（共四次，不含预防性试验）按季度付款，每次巡检维护结束后，10个工作日内提交书面《季度巡检维护报告》，甲方向乙方支付对应场站总结算费用的20%；（如新增项目因合同时效性未能达到四次巡检维护，按单个场站总结算费用除以四次巡检维护计算每</w:t>
            </w:r>
            <w:r>
              <w:rPr>
                <w:rFonts w:hint="eastAsia" w:ascii="宋体" w:hAnsi="宋体" w:cs="宋体"/>
                <w:b w:val="0"/>
                <w:bCs w:val="0"/>
                <w:color w:val="auto"/>
                <w:sz w:val="21"/>
                <w:szCs w:val="21"/>
                <w:highlight w:val="none"/>
                <w:lang w:val="en-US" w:eastAsia="zh-CN"/>
              </w:rPr>
              <w:t>次</w:t>
            </w:r>
            <w:r>
              <w:rPr>
                <w:rFonts w:hint="eastAsia" w:ascii="宋体" w:hAnsi="宋体" w:eastAsia="宋体" w:cs="宋体"/>
                <w:b w:val="0"/>
                <w:bCs w:val="0"/>
                <w:color w:val="auto"/>
                <w:sz w:val="21"/>
                <w:szCs w:val="21"/>
                <w:highlight w:val="none"/>
                <w:lang w:val="en-US" w:eastAsia="zh-CN"/>
              </w:rPr>
              <w:t>结算金额，按实际巡检维护次数据实付款）</w:t>
            </w:r>
          </w:p>
          <w:p w14:paraId="5E83F1BA">
            <w:pPr>
              <w:kinsoku/>
              <w:overflowPunct/>
              <w:topLinePunct/>
              <w:bidi w:val="0"/>
              <w:spacing w:line="500" w:lineRule="exact"/>
              <w:ind w:left="0" w:leftChars="0" w:right="0" w:rightChars="0" w:firstLine="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尾款：年度服务期满，乙方完成全部服务并提交《预防性试验报告》、《年度巡检维护报告》经甲方验收合格后15个工作日内，甲方向乙方支付剩余20%费用。</w:t>
            </w:r>
          </w:p>
          <w:p w14:paraId="52337F9C">
            <w:pPr>
              <w:kinsoku/>
              <w:overflowPunct/>
              <w:topLinePunct/>
              <w:bidi w:val="0"/>
              <w:spacing w:line="500" w:lineRule="exact"/>
              <w:ind w:left="0" w:leftChars="0" w:right="0" w:rightChars="0" w:firstLine="0"/>
              <w:rPr>
                <w:color w:val="auto"/>
                <w:highlight w:val="none"/>
              </w:rPr>
            </w:pPr>
            <w:r>
              <w:rPr>
                <w:rFonts w:hint="eastAsia" w:ascii="宋体" w:hAnsi="宋体" w:eastAsia="宋体" w:cs="宋体"/>
                <w:b w:val="0"/>
                <w:bCs w:val="0"/>
                <w:color w:val="auto"/>
                <w:sz w:val="21"/>
                <w:szCs w:val="21"/>
                <w:highlight w:val="none"/>
                <w:lang w:val="en-US" w:eastAsia="zh-CN"/>
              </w:rPr>
              <w:t>乙方每次申请付款前，需向甲方提供合法有效的增值税专用发票，甲方收到发票后按上述约定付款</w:t>
            </w:r>
            <w:r>
              <w:rPr>
                <w:rFonts w:hint="eastAsia" w:ascii="宋体" w:hAnsi="宋体" w:eastAsia="宋体" w:cs="宋体"/>
                <w:b w:val="0"/>
                <w:bCs w:val="0"/>
                <w:color w:val="auto"/>
                <w:sz w:val="21"/>
                <w:szCs w:val="21"/>
                <w:highlight w:val="none"/>
              </w:rPr>
              <w:t>。</w:t>
            </w:r>
          </w:p>
        </w:tc>
      </w:tr>
      <w:tr w14:paraId="124A76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7F6263EB">
            <w:pPr>
              <w:shd w:val="clear"/>
              <w:kinsoku/>
              <w:overflow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49B30DF1">
            <w:pPr>
              <w:shd w:val="clear"/>
              <w:kinsoku/>
              <w:overflowPunct/>
              <w:topLine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51CA73C8">
            <w:pPr>
              <w:shd w:val="clear"/>
              <w:kinsoku/>
              <w:overflowPunct/>
              <w:topLinePunct/>
              <w:bidi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32F484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3D6F160">
            <w:pPr>
              <w:shd w:val="clear"/>
              <w:kinsoku/>
              <w:overflowPunct/>
              <w:bidi w:val="0"/>
              <w:adjustRightInd w:val="0"/>
              <w:snapToGrid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21F93238">
            <w:pPr>
              <w:keepNext w:val="0"/>
              <w:keepLines w:val="0"/>
              <w:pageBreakBefore w:val="0"/>
              <w:widowControl w:val="0"/>
              <w:shd w:val="clear"/>
              <w:kinsoku/>
              <w:wordWrap w:val="0"/>
              <w:overflowPunct/>
              <w:topLinePunct w:val="0"/>
              <w:autoSpaceDE/>
              <w:autoSpaceDN/>
              <w:bidi w:val="0"/>
              <w:adjustRightInd w:val="0"/>
              <w:snapToGrid w:val="0"/>
              <w:spacing w:line="50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7C2EC7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160489A">
            <w:pPr>
              <w:widowControl/>
              <w:shd w:val="clear"/>
              <w:kinsoku/>
              <w:overflowPunct/>
              <w:bidi w:val="0"/>
              <w:spacing w:line="500" w:lineRule="exact"/>
              <w:ind w:left="0" w:leftChars="0" w:right="0" w:rightChars="0"/>
              <w:jc w:val="center"/>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0CE7D24C">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1.本项目投标保证金、履约保证金、工程质量保证金、农民工工资保证金均支持保函使用。以现金形式提交保证金的，应当同时退还保证金本金和银行同期存款利息。</w:t>
            </w:r>
          </w:p>
          <w:p w14:paraId="7774D593">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54897A0E">
            <w:pPr>
              <w:keepNext w:val="0"/>
              <w:keepLines w:val="0"/>
              <w:pageBreakBefore w:val="0"/>
              <w:widowControl w:val="0"/>
              <w:shd w:val="clear"/>
              <w:kinsoku/>
              <w:wordWrap w:val="0"/>
              <w:overflowPunct/>
              <w:topLinePunct w:val="0"/>
              <w:autoSpaceDE/>
              <w:autoSpaceDN/>
              <w:bidi w:val="0"/>
              <w:adjustRightInd/>
              <w:snapToGrid w:val="0"/>
              <w:spacing w:line="50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094FC6E9">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2ED41B45">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41C0FD31">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590A664F">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52A6893C">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3CDE0607">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1462DA16">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91B1DAA">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030B7C35">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55611B37">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10C6A74B">
            <w:pPr>
              <w:shd w:val="clear"/>
              <w:kinsoku/>
              <w:overflowPunct/>
              <w:bidi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715297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16E5AAD">
            <w:pPr>
              <w:shd w:val="clear"/>
              <w:kinsoku/>
              <w:overflowPunct/>
              <w:bidi w:val="0"/>
              <w:spacing w:line="500" w:lineRule="exact"/>
              <w:ind w:left="0" w:leftChars="0" w:right="0" w:rightChars="0"/>
              <w:jc w:val="center"/>
              <w:rPr>
                <w:rFonts w:ascii="宋体" w:hAnsi="宋体" w:cs="宋体"/>
                <w:bCs/>
                <w:color w:val="auto"/>
                <w:szCs w:val="21"/>
                <w:highlight w:val="none"/>
              </w:rPr>
            </w:pPr>
            <w:r>
              <w:rPr>
                <w:rFonts w:hint="eastAsia" w:ascii="宋体" w:hAnsi="宋体" w:cs="宋体"/>
                <w:bCs/>
                <w:color w:val="auto"/>
                <w:szCs w:val="21"/>
                <w:highlight w:val="none"/>
              </w:rPr>
              <w:t>其他</w:t>
            </w:r>
          </w:p>
        </w:tc>
        <w:tc>
          <w:tcPr>
            <w:tcW w:w="7872" w:type="dxa"/>
            <w:gridSpan w:val="2"/>
            <w:shd w:val="clear" w:color="auto" w:fill="auto"/>
          </w:tcPr>
          <w:p w14:paraId="0A3AAE5C">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28B1FC9">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2D764617">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19ECAE99">
            <w:pPr>
              <w:shd w:val="clear"/>
              <w:kinsoku/>
              <w:overflowPunct/>
              <w:bidi w:val="0"/>
              <w:snapToGrid w:val="0"/>
              <w:spacing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0411FC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3786672D">
            <w:pPr>
              <w:shd w:val="clear"/>
              <w:kinsoku/>
              <w:overflowPunct/>
              <w:bidi w:val="0"/>
              <w:adjustRightInd w:val="0"/>
              <w:snapToGrid w:val="0"/>
              <w:spacing w:line="500" w:lineRule="exact"/>
              <w:ind w:left="0" w:leftChars="0" w:right="0" w:rightChars="0"/>
              <w:jc w:val="center"/>
              <w:rPr>
                <w:rFonts w:ascii="宋体" w:hAnsi="宋体" w:cs="宋体"/>
                <w:bCs/>
                <w:color w:val="auto"/>
                <w:szCs w:val="21"/>
                <w:highlight w:val="none"/>
              </w:rPr>
            </w:pPr>
            <w:r>
              <w:rPr>
                <w:rFonts w:hint="eastAsia" w:ascii="宋体" w:hAnsi="宋体" w:cs="宋体"/>
                <w:bCs/>
                <w:color w:val="auto"/>
                <w:szCs w:val="21"/>
                <w:highlight w:val="none"/>
              </w:rPr>
              <w:t>变更招标方式</w:t>
            </w:r>
          </w:p>
        </w:tc>
        <w:tc>
          <w:tcPr>
            <w:tcW w:w="7872" w:type="dxa"/>
            <w:gridSpan w:val="2"/>
            <w:shd w:val="clear" w:color="auto" w:fill="auto"/>
            <w:vAlign w:val="center"/>
          </w:tcPr>
          <w:p w14:paraId="5D94AA03">
            <w:pPr>
              <w:pStyle w:val="14"/>
              <w:shd w:val="clear"/>
              <w:kinsoku/>
              <w:overflowPunct/>
              <w:bidi w:val="0"/>
              <w:adjustRightInd w:val="0"/>
              <w:snapToGrid w:val="0"/>
              <w:spacing w:after="0" w:line="500" w:lineRule="exact"/>
              <w:ind w:left="0" w:leftChars="0" w:right="0" w:rightChars="0"/>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64ED11E8">
      <w:pPr>
        <w:pageBreakBefore/>
        <w:shd w:val="clear"/>
        <w:kinsoku/>
        <w:overflowPunct/>
        <w:bidi w:val="0"/>
        <w:spacing w:beforeLines="100" w:afterLines="100" w:line="500" w:lineRule="exact"/>
        <w:ind w:left="0" w:leftChars="0" w:right="0" w:rightChars="0"/>
        <w:jc w:val="center"/>
        <w:outlineLvl w:val="1"/>
        <w:rPr>
          <w:rFonts w:ascii="宋体"/>
          <w:b/>
          <w:color w:val="auto"/>
          <w:sz w:val="28"/>
          <w:szCs w:val="32"/>
          <w:highlight w:val="none"/>
        </w:rPr>
      </w:pPr>
      <w:bookmarkStart w:id="37" w:name="_Toc449028866"/>
      <w:bookmarkStart w:id="38" w:name="_Toc28397"/>
      <w:bookmarkStart w:id="39" w:name="_Toc58430315"/>
      <w:r>
        <w:rPr>
          <w:rFonts w:hint="eastAsia" w:ascii="宋体"/>
          <w:b/>
          <w:color w:val="auto"/>
          <w:sz w:val="28"/>
          <w:szCs w:val="28"/>
          <w:highlight w:val="none"/>
        </w:rPr>
        <w:t>二、投标人须知</w:t>
      </w:r>
      <w:bookmarkEnd w:id="37"/>
      <w:bookmarkEnd w:id="38"/>
      <w:bookmarkEnd w:id="39"/>
    </w:p>
    <w:p w14:paraId="78589D02">
      <w:pPr>
        <w:shd w:val="clear"/>
        <w:kinsoku/>
        <w:overflowPunct/>
        <w:bidi w:val="0"/>
        <w:spacing w:beforeLines="50" w:afterLines="50" w:line="500" w:lineRule="exact"/>
        <w:ind w:left="0" w:leftChars="0" w:right="0" w:rightChars="0"/>
        <w:jc w:val="center"/>
        <w:rPr>
          <w:rFonts w:ascii="宋体" w:hAnsi="宋体" w:cs="宋体"/>
          <w:color w:val="auto"/>
          <w:sz w:val="28"/>
          <w:szCs w:val="28"/>
          <w:highlight w:val="none"/>
        </w:rPr>
      </w:pPr>
      <w:bookmarkStart w:id="40" w:name="_Toc449028867"/>
      <w:r>
        <w:rPr>
          <w:rFonts w:hint="eastAsia" w:ascii="宋体" w:hAnsi="宋体" w:cs="宋体"/>
          <w:b/>
          <w:color w:val="auto"/>
          <w:sz w:val="28"/>
          <w:szCs w:val="28"/>
          <w:highlight w:val="none"/>
        </w:rPr>
        <w:t>（一）总  则</w:t>
      </w:r>
      <w:bookmarkEnd w:id="40"/>
    </w:p>
    <w:p w14:paraId="30726BC0">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760956E3">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4EF6DD90">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2B1CCE2A">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4294B514">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hAnsi="宋体" w:cs="宋体"/>
          <w:color w:val="auto"/>
          <w:szCs w:val="21"/>
          <w:highlight w:val="none"/>
        </w:rPr>
        <w:t>合同履行期限</w:t>
      </w:r>
      <w:r>
        <w:rPr>
          <w:rFonts w:hint="eastAsia" w:ascii="宋体" w:hAnsi="宋体" w:cs="宋体"/>
          <w:color w:val="auto"/>
          <w:szCs w:val="21"/>
          <w:highlight w:val="none"/>
        </w:rPr>
        <w:t>：见投标人须知前附表。</w:t>
      </w:r>
    </w:p>
    <w:p w14:paraId="3050AB8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0B9877F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w:t>
      </w:r>
      <w:r>
        <w:rPr>
          <w:rFonts w:hint="eastAsia" w:hAnsi="宋体" w:cs="宋体"/>
          <w:color w:val="auto"/>
          <w:szCs w:val="21"/>
          <w:highlight w:val="none"/>
        </w:rPr>
        <w:t>招标人联系人及电话</w:t>
      </w:r>
      <w:r>
        <w:rPr>
          <w:rFonts w:hint="eastAsia" w:ascii="宋体" w:hAnsi="宋体" w:cs="宋体"/>
          <w:color w:val="auto"/>
          <w:szCs w:val="21"/>
          <w:highlight w:val="none"/>
        </w:rPr>
        <w:t>: 见投标人须知前附表。</w:t>
      </w:r>
    </w:p>
    <w:p w14:paraId="60BBBF47">
      <w:pPr>
        <w:shd w:val="clear"/>
        <w:kinsoku/>
        <w:overflowPunct/>
        <w:bidi w:val="0"/>
        <w:snapToGrid w:val="0"/>
        <w:spacing w:line="500" w:lineRule="exact"/>
        <w:ind w:left="0" w:leftChars="0" w:right="0" w:rightChars="0"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hAnsi="宋体" w:cs="宋体"/>
          <w:color w:val="auto"/>
          <w:szCs w:val="21"/>
          <w:highlight w:val="none"/>
        </w:rPr>
        <w:t>采购代理机构联系人及电话</w:t>
      </w:r>
      <w:r>
        <w:rPr>
          <w:rFonts w:hint="eastAsia" w:ascii="宋体" w:hAnsi="宋体" w:cs="宋体"/>
          <w:color w:val="auto"/>
          <w:szCs w:val="21"/>
          <w:highlight w:val="none"/>
        </w:rPr>
        <w:t>: 见投标人须知前附表。</w:t>
      </w:r>
    </w:p>
    <w:p w14:paraId="0D581A4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6D6F51FF">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预算：见投标人须知前附表。</w:t>
      </w:r>
    </w:p>
    <w:p w14:paraId="79190B67">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28724D44">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4F5F5744">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w:t>
      </w:r>
      <w:r>
        <w:rPr>
          <w:rFonts w:hint="eastAsia" w:ascii="宋体" w:hAnsi="宋体" w:cs="宋体"/>
          <w:color w:val="auto"/>
          <w:szCs w:val="21"/>
          <w:highlight w:val="none"/>
          <w:lang w:val="en-US" w:eastAsia="zh-CN"/>
        </w:rPr>
        <w:t>详见《服务内容及技术要求》和合同条款内容</w:t>
      </w:r>
      <w:r>
        <w:rPr>
          <w:rFonts w:hint="eastAsia" w:ascii="宋体" w:hAnsi="宋体" w:cs="宋体"/>
          <w:color w:val="auto"/>
          <w:szCs w:val="21"/>
          <w:highlight w:val="none"/>
        </w:rPr>
        <w:t>。</w:t>
      </w:r>
    </w:p>
    <w:p w14:paraId="1199B0BE">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w:t>
      </w:r>
      <w:r>
        <w:rPr>
          <w:rFonts w:hint="eastAsia" w:ascii="宋体" w:hAnsi="宋体" w:cs="宋体"/>
          <w:color w:val="auto"/>
          <w:szCs w:val="21"/>
          <w:highlight w:val="none"/>
          <w:lang w:val="en-US" w:eastAsia="zh-CN"/>
        </w:rPr>
        <w:t>详见《服务内容及技术要求》和合同条款内容</w:t>
      </w:r>
      <w:r>
        <w:rPr>
          <w:rFonts w:hint="eastAsia" w:ascii="宋体" w:hAnsi="宋体" w:cs="宋体"/>
          <w:color w:val="auto"/>
          <w:szCs w:val="21"/>
          <w:highlight w:val="none"/>
        </w:rPr>
        <w:t>。</w:t>
      </w:r>
    </w:p>
    <w:p w14:paraId="460355C9">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eastAsia="zh-CN"/>
        </w:rPr>
        <w:t>标段</w:t>
      </w:r>
      <w:r>
        <w:rPr>
          <w:rFonts w:hint="eastAsia" w:ascii="宋体" w:hAnsi="宋体" w:cs="宋体"/>
          <w:b/>
          <w:color w:val="auto"/>
          <w:szCs w:val="21"/>
          <w:highlight w:val="none"/>
        </w:rPr>
        <w:t>划分：</w:t>
      </w:r>
    </w:p>
    <w:p w14:paraId="39DD7C51">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C3DC5E4">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0E09166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3196FC61">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63F0FD0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2A3E2FE3">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52E1A421">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11FAB86A">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531E374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748FF56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6645938F">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2DEAAA01">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61F2133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479C37A">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41" w:name="_Toc152045539"/>
      <w:bookmarkStart w:id="42" w:name="_Toc296602429"/>
      <w:bookmarkStart w:id="43" w:name="_Toc247513962"/>
      <w:bookmarkStart w:id="44" w:name="_Toc247592876"/>
      <w:bookmarkStart w:id="45" w:name="_Toc144974507"/>
      <w:bookmarkStart w:id="46" w:name="_Toc152042315"/>
      <w:bookmarkStart w:id="47" w:name="_Toc247527563"/>
      <w:r>
        <w:rPr>
          <w:rFonts w:hint="eastAsia" w:ascii="宋体" w:hAnsi="宋体" w:cs="宋体"/>
          <w:b/>
          <w:color w:val="auto"/>
          <w:szCs w:val="21"/>
          <w:highlight w:val="none"/>
        </w:rPr>
        <w:t xml:space="preserve"> 踏勘现场</w:t>
      </w:r>
      <w:bookmarkEnd w:id="41"/>
      <w:bookmarkEnd w:id="42"/>
      <w:bookmarkEnd w:id="43"/>
      <w:bookmarkEnd w:id="44"/>
      <w:bookmarkEnd w:id="45"/>
      <w:bookmarkEnd w:id="46"/>
      <w:bookmarkEnd w:id="47"/>
    </w:p>
    <w:p w14:paraId="1857BE84">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2960625B">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112290A4">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2CCB0AFA">
      <w:pPr>
        <w:shd w:val="clear"/>
        <w:kinsoku/>
        <w:overflowPunct/>
        <w:bidi w:val="0"/>
        <w:spacing w:line="500" w:lineRule="exact"/>
        <w:ind w:left="0" w:leftChars="0" w:right="0" w:rightChars="0"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8" w:name="_Toc296602430"/>
      <w:bookmarkStart w:id="49" w:name="_Toc247513963"/>
      <w:bookmarkStart w:id="50" w:name="_Toc247592877"/>
      <w:bookmarkStart w:id="51" w:name="_Toc144974508"/>
      <w:bookmarkStart w:id="52" w:name="_Toc247527564"/>
      <w:bookmarkStart w:id="53" w:name="_Toc152045540"/>
      <w:bookmarkStart w:id="54" w:name="_Toc152042316"/>
    </w:p>
    <w:p w14:paraId="280F2B9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8"/>
      <w:bookmarkEnd w:id="49"/>
      <w:bookmarkEnd w:id="50"/>
      <w:bookmarkEnd w:id="51"/>
      <w:bookmarkEnd w:id="52"/>
      <w:bookmarkEnd w:id="53"/>
      <w:bookmarkEnd w:id="54"/>
      <w:r>
        <w:rPr>
          <w:rFonts w:hint="eastAsia" w:ascii="宋体" w:hAnsi="宋体" w:cs="宋体"/>
          <w:b/>
          <w:color w:val="auto"/>
          <w:szCs w:val="21"/>
          <w:highlight w:val="none"/>
        </w:rPr>
        <w:t>（本项目不采用）</w:t>
      </w:r>
    </w:p>
    <w:p w14:paraId="472BA454">
      <w:pPr>
        <w:shd w:val="clear"/>
        <w:kinsoku/>
        <w:overflowPunct/>
        <w:bidi w:val="0"/>
        <w:spacing w:line="500" w:lineRule="exact"/>
        <w:ind w:left="0" w:leftChars="0" w:right="0" w:rightChars="0"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0CF6B5C4">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03E7E0A6">
      <w:pPr>
        <w:shd w:val="clear"/>
        <w:kinsoku/>
        <w:overflowPunct/>
        <w:bidi w:val="0"/>
        <w:spacing w:line="500" w:lineRule="exact"/>
        <w:ind w:left="0" w:leftChars="0" w:right="0" w:rightChars="0"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5F90C632">
      <w:pPr>
        <w:shd w:val="clear"/>
        <w:kinsoku/>
        <w:overflowPunct/>
        <w:bidi w:val="0"/>
        <w:spacing w:line="500" w:lineRule="exact"/>
        <w:ind w:left="0" w:leftChars="0" w:right="0" w:rightChars="0"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2B95C44E">
      <w:pPr>
        <w:shd w:val="clear"/>
        <w:kinsoku/>
        <w:overflowPunct/>
        <w:bidi w:val="0"/>
        <w:spacing w:line="500" w:lineRule="exact"/>
        <w:ind w:left="0" w:leftChars="0" w:right="0" w:rightChars="0"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6CD70949">
      <w:pPr>
        <w:shd w:val="clear"/>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0E167ABA">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7E12A2A6">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FF0C6E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749D7BB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49F19FF7">
      <w:pPr>
        <w:shd w:val="clear"/>
        <w:kinsoku/>
        <w:overflowPunct/>
        <w:bidi w:val="0"/>
        <w:spacing w:line="500" w:lineRule="exact"/>
        <w:ind w:left="0" w:leftChars="0" w:right="0" w:rightChars="0"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 所有投标人的投标保证金都应在投标文件规定的投标保证金缴纳截止时间前缴纳，以资金到账时间为准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5FCBF3D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094179AC">
      <w:pPr>
        <w:shd w:val="clear"/>
        <w:kinsoku/>
        <w:overflowPunct/>
        <w:bidi w:val="0"/>
        <w:spacing w:line="500" w:lineRule="exact"/>
        <w:ind w:left="0" w:leftChars="0" w:right="0" w:rightChars="0"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0123C59E">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7FCC5E1D">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00E2F0A5">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272C7FA7">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53F61FB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166407E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0A287E3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3744E75A">
      <w:pPr>
        <w:pStyle w:val="34"/>
        <w:shd w:val="clear"/>
        <w:kinsoku/>
        <w:overflowPunct/>
        <w:bidi w:val="0"/>
        <w:spacing w:after="0" w:line="500" w:lineRule="exact"/>
        <w:ind w:left="0" w:leftChars="0" w:right="0" w:righ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5527353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19FCAEDA">
      <w:pPr>
        <w:pStyle w:val="34"/>
        <w:shd w:val="clear"/>
        <w:kinsoku/>
        <w:overflowPunct/>
        <w:bidi w:val="0"/>
        <w:spacing w:after="0" w:line="500" w:lineRule="exact"/>
        <w:ind w:left="0" w:leftChars="0" w:right="0" w:righ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048752E9">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bookmarkStart w:id="55" w:name="_Toc449028868"/>
      <w:r>
        <w:rPr>
          <w:rFonts w:hint="eastAsia" w:ascii="宋体" w:hAnsi="宋体" w:cs="宋体"/>
          <w:b/>
          <w:color w:val="auto"/>
          <w:sz w:val="28"/>
          <w:szCs w:val="28"/>
          <w:highlight w:val="none"/>
        </w:rPr>
        <w:t>（二）</w:t>
      </w:r>
      <w:bookmarkEnd w:id="55"/>
      <w:r>
        <w:rPr>
          <w:rFonts w:hint="eastAsia" w:ascii="宋体" w:hAnsi="宋体" w:cs="宋体"/>
          <w:b/>
          <w:color w:val="auto"/>
          <w:sz w:val="28"/>
          <w:szCs w:val="28"/>
          <w:highlight w:val="none"/>
        </w:rPr>
        <w:t>招标文件</w:t>
      </w:r>
    </w:p>
    <w:p w14:paraId="2EF7945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6EC22390">
      <w:pPr>
        <w:shd w:val="clear"/>
        <w:kinsoku/>
        <w:overflowPunct/>
        <w:bidi w:val="0"/>
        <w:spacing w:line="500" w:lineRule="exact"/>
        <w:ind w:left="0" w:leftChars="0" w:right="0" w:rightChars="0"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42F83599">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660F1FF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15E26A59">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74F74786">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65FDBC85">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6B5A6240">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 xml:space="preserve">第四章  </w:t>
      </w:r>
      <w:r>
        <w:rPr>
          <w:rFonts w:hint="eastAsia" w:ascii="宋体" w:hAnsi="宋体" w:cs="宋体"/>
          <w:color w:val="auto"/>
          <w:szCs w:val="21"/>
          <w:highlight w:val="none"/>
          <w:lang w:val="en-US" w:eastAsia="zh-CN"/>
        </w:rPr>
        <w:t>服务内容及技术要求</w:t>
      </w:r>
    </w:p>
    <w:p w14:paraId="709543BC">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30CBB51A">
      <w:pPr>
        <w:shd w:val="clear"/>
        <w:kinsoku/>
        <w:overflowPunct/>
        <w:bidi w:val="0"/>
        <w:spacing w:line="500" w:lineRule="exact"/>
        <w:ind w:left="0" w:leftChars="0" w:right="0" w:rightChars="0"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158023F4">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6968ACA5">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4A482FD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3339E678">
      <w:pPr>
        <w:shd w:val="clear"/>
        <w:kinsoku/>
        <w:overflowPunct/>
        <w:bidi w:val="0"/>
        <w:spacing w:line="500" w:lineRule="exact"/>
        <w:ind w:left="0" w:leftChars="0" w:right="0" w:rightChars="0"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313D15C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0BEA4CED">
      <w:pPr>
        <w:shd w:val="clear"/>
        <w:kinsoku/>
        <w:overflowPunct/>
        <w:bidi w:val="0"/>
        <w:spacing w:line="500" w:lineRule="exact"/>
        <w:ind w:left="0" w:leftChars="0" w:right="0" w:rightChars="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466DF9F6">
      <w:pPr>
        <w:shd w:val="clear"/>
        <w:kinsoku/>
        <w:overflowPunct/>
        <w:bidi w:val="0"/>
        <w:spacing w:line="500" w:lineRule="exact"/>
        <w:ind w:left="0" w:leftChars="0" w:right="0" w:rightChars="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0528AAD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70CE3A2F">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4EE5311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566985E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3B3ED6B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1A945515">
      <w:pPr>
        <w:shd w:val="clear"/>
        <w:kinsoku/>
        <w:overflowPunct/>
        <w:bidi w:val="0"/>
        <w:spacing w:line="500" w:lineRule="exact"/>
        <w:ind w:left="0" w:leftChars="0" w:right="0" w:rightChars="0"/>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6C0F50C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4336497D">
      <w:pPr>
        <w:shd w:val="clear"/>
        <w:kinsoku/>
        <w:overflowPunct/>
        <w:bidi w:val="0"/>
        <w:spacing w:line="500" w:lineRule="exact"/>
        <w:ind w:left="0" w:leftChars="0" w:right="0" w:rightChars="0" w:firstLine="843" w:firstLineChars="400"/>
        <w:rPr>
          <w:rFonts w:ascii="宋体" w:hAnsi="宋体" w:cs="宋体"/>
          <w:b/>
          <w:bCs/>
          <w:color w:val="auto"/>
          <w:szCs w:val="21"/>
          <w:highlight w:val="none"/>
        </w:rPr>
      </w:pPr>
      <w:bookmarkStart w:id="56" w:name="_Toc449028869"/>
      <w:r>
        <w:rPr>
          <w:rFonts w:hint="eastAsia" w:ascii="宋体" w:hAnsi="宋体" w:cs="宋体"/>
          <w:b/>
          <w:bCs/>
          <w:color w:val="auto"/>
          <w:szCs w:val="21"/>
          <w:highlight w:val="none"/>
        </w:rPr>
        <w:t>19. 样品（本项目不采用）</w:t>
      </w:r>
    </w:p>
    <w:p w14:paraId="291F469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3887C88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55F45A05">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6"/>
    </w:p>
    <w:p w14:paraId="16FEB4AE">
      <w:pPr>
        <w:shd w:val="clear"/>
        <w:kinsoku/>
        <w:overflowPunct/>
        <w:bidi w:val="0"/>
        <w:spacing w:line="500" w:lineRule="exact"/>
        <w:ind w:left="0" w:leftChars="0" w:right="0" w:rightChars="0" w:firstLine="306" w:firstLineChars="145"/>
        <w:jc w:val="left"/>
        <w:rPr>
          <w:rFonts w:hint="eastAsia"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1BA887A5">
      <w:pPr>
        <w:shd w:val="clear"/>
        <w:kinsoku/>
        <w:overflowPunct/>
        <w:bidi w:val="0"/>
        <w:spacing w:line="500" w:lineRule="exact"/>
        <w:ind w:left="0" w:leftChars="0" w:right="0" w:rightChars="0" w:firstLine="304" w:firstLineChars="145"/>
        <w:jc w:val="left"/>
        <w:rPr>
          <w:rFonts w:hint="eastAsia"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1418F498">
      <w:pPr>
        <w:shd w:val="clear"/>
        <w:kinsoku/>
        <w:overflowPunct/>
        <w:bidi w:val="0"/>
        <w:spacing w:line="500" w:lineRule="exact"/>
        <w:ind w:left="0" w:leftChars="0" w:right="0" w:rightChars="0" w:firstLine="304" w:firstLineChars="145"/>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0A7ED319">
      <w:pPr>
        <w:shd w:val="clear"/>
        <w:kinsoku/>
        <w:overflowPunct/>
        <w:bidi w:val="0"/>
        <w:spacing w:line="500" w:lineRule="exact"/>
        <w:ind w:left="0" w:leftChars="0" w:right="0" w:rightChars="0"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48D7E0EC">
      <w:pPr>
        <w:shd w:val="clear"/>
        <w:kinsoku/>
        <w:overflowPunct/>
        <w:bidi w:val="0"/>
        <w:spacing w:line="500" w:lineRule="exact"/>
        <w:ind w:left="0" w:leftChars="0" w:right="0" w:rightChars="0"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05FA7B0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78E9AD65">
      <w:pPr>
        <w:shd w:val="clear"/>
        <w:kinsoku/>
        <w:overflowPunct/>
        <w:bidi w:val="0"/>
        <w:spacing w:line="500" w:lineRule="exact"/>
        <w:ind w:left="0" w:leftChars="0" w:right="0" w:rightChars="0"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4D7A91D0">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427D0C5B">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4C01174C">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21EC93EC">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6BC0856B">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6C4539EE">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4F436476">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5D08BBC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7D302018">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121541CC">
      <w:pPr>
        <w:shd w:val="clear"/>
        <w:kinsoku/>
        <w:overflowPunct/>
        <w:bidi w:val="0"/>
        <w:spacing w:line="500" w:lineRule="exact"/>
        <w:ind w:left="0" w:leftChars="0" w:right="0" w:rightChars="0"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6FD22C09">
      <w:pPr>
        <w:shd w:val="clear"/>
        <w:kinsoku/>
        <w:overflowPunct/>
        <w:bidi w:val="0"/>
        <w:spacing w:line="500" w:lineRule="exact"/>
        <w:ind w:left="0" w:leftChars="0" w:right="0" w:rightChars="0"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44DB0DC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color w:val="auto"/>
          <w:szCs w:val="21"/>
          <w:highlight w:val="none"/>
          <w:lang w:val="en-US" w:eastAsia="zh-CN"/>
        </w:rPr>
        <w:t>本项目投标报价采用单价报价</w:t>
      </w:r>
      <w:r>
        <w:rPr>
          <w:rFonts w:hint="eastAsia" w:ascii="宋体" w:hAnsi="宋体" w:cs="宋体"/>
          <w:color w:val="auto"/>
          <w:szCs w:val="21"/>
          <w:highlight w:val="none"/>
        </w:rPr>
        <w:t>。</w:t>
      </w:r>
    </w:p>
    <w:p w14:paraId="60232EB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22.2投标人只允许有一个方案、一个报价。</w:t>
      </w:r>
    </w:p>
    <w:p w14:paraId="1DDE53FF">
      <w:pPr>
        <w:shd w:val="clear"/>
        <w:kinsoku/>
        <w:overflowPunct/>
        <w:bidi w:val="0"/>
        <w:spacing w:line="500" w:lineRule="exact"/>
        <w:ind w:left="0" w:leftChars="0" w:right="0" w:rightChars="0" w:firstLine="420" w:firstLineChars="200"/>
        <w:rPr>
          <w:rFonts w:hint="eastAsia" w:ascii="宋体"/>
          <w:b/>
          <w:bCs/>
          <w:color w:val="auto"/>
          <w:szCs w:val="21"/>
          <w:highlight w:val="none"/>
          <w:lang w:val="en-US" w:eastAsia="zh-CN"/>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3</w:t>
      </w:r>
      <w:r>
        <w:rPr>
          <w:rFonts w:hint="eastAsia" w:ascii="宋体"/>
          <w:b/>
          <w:bCs/>
          <w:color w:val="auto"/>
          <w:szCs w:val="21"/>
          <w:highlight w:val="none"/>
          <w:lang w:val="en-US" w:eastAsia="zh-CN"/>
        </w:rPr>
        <w:t>中标综合单价，今后不做任何调整。投标人报价中应充分考虑运输、装卸、安全、技术、服务、保险、税金、验收、风险等及完全达到招标文件要求内容并通过验收合格所需的全部费用。招标单位不再另行支付因养护维修、抢修等情况需增加材料、人员、机械等的任何费用。因材料丢失、被盗等所造成的损失视为中标人巡查不到位，所有损失由中标人负责（不可抗力除外）。</w:t>
      </w:r>
    </w:p>
    <w:p w14:paraId="11D78643">
      <w:pPr>
        <w:shd w:val="clear"/>
        <w:kinsoku/>
        <w:overflowPunct/>
        <w:bidi w:val="0"/>
        <w:spacing w:line="500" w:lineRule="exact"/>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投标报价的价格是完成项目全部内容（包括后期的相关服务）交付验收的价格，其价格即为履行合同的固定价格。</w:t>
      </w:r>
    </w:p>
    <w:p w14:paraId="63DFE50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技术要求中规定的安装、调试和培训费用应包括在投标价格中。投标文件报价为含税价，采购人不再为此次招标支付任何费用。</w:t>
      </w:r>
    </w:p>
    <w:p w14:paraId="5307074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投标报价应由法定代表人或被授权人签署。</w:t>
      </w:r>
    </w:p>
    <w:p w14:paraId="7B57D6C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14226DA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总投标价中不得包含招标文件要求以外的内容，否则，在评标时不予核减，但在授予合同时，采购人有权将这部分价格从其中标价格中扣除。</w:t>
      </w:r>
    </w:p>
    <w:p w14:paraId="719337AD">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47F8C12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24CC2EF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425E8B6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8845CCB">
      <w:pPr>
        <w:shd w:val="clear"/>
        <w:kinsoku/>
        <w:overflowPunct/>
        <w:bidi w:val="0"/>
        <w:spacing w:line="500" w:lineRule="exact"/>
        <w:ind w:left="0" w:leftChars="0" w:right="0" w:rightChars="0"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584C764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bookmarkStart w:id="57"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13A61C9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4B78231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24.2投标人不按本章第24.11项要求提交投标保证金的，评标委员会将否决其投标。</w:t>
      </w:r>
    </w:p>
    <w:p w14:paraId="195C416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7CF182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576728C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28B76C6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7F68069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76B095FF">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7"/>
    </w:p>
    <w:p w14:paraId="52520111">
      <w:pPr>
        <w:shd w:val="clear"/>
        <w:kinsoku/>
        <w:overflowPunct/>
        <w:bidi w:val="0"/>
        <w:spacing w:line="500" w:lineRule="exact"/>
        <w:ind w:left="0" w:leftChars="0" w:right="0" w:rightChars="0"/>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7B349BA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bookmarkStart w:id="58"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1599A50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3BDA1920">
      <w:pPr>
        <w:shd w:val="clear"/>
        <w:kinsoku/>
        <w:overflowPunct/>
        <w:bidi w:val="0"/>
        <w:spacing w:line="500" w:lineRule="exact"/>
        <w:ind w:left="0" w:leftChars="0" w:right="0" w:rightChars="0"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1C55B5B8">
      <w:pPr>
        <w:shd w:val="clear"/>
        <w:kinsoku/>
        <w:overflowPunct/>
        <w:bidi w:val="0"/>
        <w:spacing w:line="500" w:lineRule="exact"/>
        <w:ind w:left="0" w:leftChars="0" w:right="0" w:rightChars="0"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35144DED">
      <w:pPr>
        <w:shd w:val="clear"/>
        <w:kinsoku/>
        <w:overflowPunct/>
        <w:bidi w:val="0"/>
        <w:spacing w:line="500" w:lineRule="exact"/>
        <w:ind w:left="0" w:leftChars="0" w:right="0" w:rightChars="0"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11AD6D0D">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5D176F45">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28.偏离</w:t>
      </w:r>
    </w:p>
    <w:p w14:paraId="7E9E90FF">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2D50265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3EC06F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2594AA4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493491BF">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0262AA9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68A06F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24A3DD9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55A9543D">
      <w:pPr>
        <w:shd w:val="clear"/>
        <w:kinsoku/>
        <w:overflowPunct/>
        <w:bidi w:val="0"/>
        <w:spacing w:beforeLines="50" w:afterLines="50" w:line="500" w:lineRule="exact"/>
        <w:ind w:left="0" w:leftChars="0" w:right="0" w:rightChars="0"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46E38F9A">
      <w:pPr>
        <w:shd w:val="clear"/>
        <w:kinsoku/>
        <w:overflowPunct/>
        <w:bidi w:val="0"/>
        <w:spacing w:beforeLines="50" w:afterLines="50" w:line="500" w:lineRule="exact"/>
        <w:ind w:left="0" w:leftChars="0" w:right="0" w:rightChars="0"/>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8"/>
    </w:p>
    <w:p w14:paraId="784449EA">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29. 开标</w:t>
      </w:r>
    </w:p>
    <w:p w14:paraId="7B73E93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31D221B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3A1E1E6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B1CB018">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5E4D061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4FECAF3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65F0565A">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68B69827">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03EE827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07C1320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71116FC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38259B1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3CAC50C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7C545B9">
      <w:pPr>
        <w:shd w:val="clear"/>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29.4开标异议</w:t>
      </w:r>
    </w:p>
    <w:p w14:paraId="2C5A51A8">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55EA9E4E">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30.评标委员会</w:t>
      </w:r>
    </w:p>
    <w:p w14:paraId="43EEF86B">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160A4B2">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5521B937">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598D11A6">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431638D8">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591AC20A">
      <w:pPr>
        <w:shd w:val="clear"/>
        <w:kinsoku/>
        <w:overflowPunct/>
        <w:bidi w:val="0"/>
        <w:spacing w:line="500" w:lineRule="exact"/>
        <w:ind w:left="0" w:leftChars="0" w:right="0" w:rightChars="0"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B8333A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763F193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59D38C4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2D9D457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BEE0B0B">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31.评标</w:t>
      </w:r>
    </w:p>
    <w:p w14:paraId="4437E5E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78E40DA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bookmarkStart w:id="59"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3C3E2D84">
      <w:pPr>
        <w:shd w:val="clear"/>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3263F8B5">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31.4投标文件的澄清</w:t>
      </w:r>
    </w:p>
    <w:p w14:paraId="25A5B2BB">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1C463365">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18FA7B1C">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31.5报价合理性的判断</w:t>
      </w:r>
    </w:p>
    <w:p w14:paraId="398AC98A">
      <w:pPr>
        <w:shd w:val="clear"/>
        <w:kinsoku/>
        <w:overflowPunct/>
        <w:bidi w:val="0"/>
        <w:spacing w:line="500" w:lineRule="exact"/>
        <w:ind w:left="0" w:leftChars="0" w:right="0" w:rightChars="0"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2527BF1">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10724830">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5BEB654B">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68208D32">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31.7评标报告的签署</w:t>
      </w:r>
    </w:p>
    <w:p w14:paraId="01FCC5A9">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E20B645">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31.8评标过程的保密</w:t>
      </w:r>
    </w:p>
    <w:p w14:paraId="1FB3FE13">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6D5401E9">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31.9评标结果公告</w:t>
      </w:r>
    </w:p>
    <w:p w14:paraId="20BFEBDE">
      <w:pPr>
        <w:shd w:val="clear"/>
        <w:tabs>
          <w:tab w:val="left" w:pos="720"/>
        </w:tabs>
        <w:kinsoku/>
        <w:overflowPunct/>
        <w:bidi w:val="0"/>
        <w:spacing w:line="500" w:lineRule="exact"/>
        <w:ind w:left="0" w:leftChars="0" w:right="0" w:rightChars="0"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2C4A9C4C">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32.定标</w:t>
      </w:r>
    </w:p>
    <w:p w14:paraId="30701F89">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32.1 中标人的确定</w:t>
      </w:r>
    </w:p>
    <w:p w14:paraId="7BB50456">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32.1.1</w:t>
      </w: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ascii="宋体"/>
          <w:color w:val="auto"/>
          <w:szCs w:val="21"/>
          <w:highlight w:val="none"/>
        </w:rPr>
        <w:t>。</w:t>
      </w:r>
    </w:p>
    <w:p w14:paraId="27A6ADE0">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0B417F52">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 中标通知书</w:t>
      </w:r>
    </w:p>
    <w:p w14:paraId="2E2F210B">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11198131">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7F9D0F4E">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35B601A4">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b/>
          <w:color w:val="auto"/>
          <w:szCs w:val="21"/>
          <w:highlight w:val="none"/>
        </w:rPr>
        <w:t>33.开评标异常情况处理</w:t>
      </w:r>
    </w:p>
    <w:p w14:paraId="00D88424">
      <w:pPr>
        <w:shd w:val="clear"/>
        <w:kinsoku/>
        <w:overflowPunct/>
        <w:bidi w:val="0"/>
        <w:spacing w:line="500" w:lineRule="exact"/>
        <w:ind w:left="0" w:leftChars="0" w:right="0" w:rightChars="0"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3561DD62">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158D6CFC">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7B352E94">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06AA1BCE">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76C9D646">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39BE9FB2">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087F6302">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45E1FF4E">
      <w:pPr>
        <w:shd w:val="clear"/>
        <w:kinsoku/>
        <w:overflowPunct/>
        <w:bidi w:val="0"/>
        <w:adjustRightInd w:val="0"/>
        <w:snapToGrid w:val="0"/>
        <w:spacing w:line="500" w:lineRule="exact"/>
        <w:ind w:left="0" w:leftChars="0" w:right="0" w:rightChars="0"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065D5EED">
      <w:pPr>
        <w:shd w:val="clear"/>
        <w:tabs>
          <w:tab w:val="left" w:pos="720"/>
        </w:tabs>
        <w:kinsoku/>
        <w:overflowPunct/>
        <w:bidi w:val="0"/>
        <w:spacing w:line="500" w:lineRule="exact"/>
        <w:ind w:left="0" w:leftChars="0" w:right="0" w:rightChars="0" w:firstLine="420" w:firstLineChars="200"/>
        <w:jc w:val="left"/>
        <w:rPr>
          <w:rFonts w:ascii="宋体"/>
          <w:color w:val="auto"/>
          <w:szCs w:val="21"/>
          <w:highlight w:val="none"/>
        </w:rPr>
      </w:pPr>
      <w:bookmarkStart w:id="60" w:name="_Toc449028872"/>
      <w:r>
        <w:rPr>
          <w:rFonts w:hint="eastAsia" w:ascii="宋体"/>
          <w:color w:val="auto"/>
          <w:szCs w:val="21"/>
          <w:highlight w:val="none"/>
        </w:rPr>
        <w:t>按照滁州市公管局相关规定执行。</w:t>
      </w:r>
      <w:bookmarkEnd w:id="60"/>
    </w:p>
    <w:p w14:paraId="0D8196D5">
      <w:pPr>
        <w:shd w:val="clear"/>
        <w:kinsoku/>
        <w:overflowPunct/>
        <w:bidi w:val="0"/>
        <w:spacing w:line="500" w:lineRule="exact"/>
        <w:ind w:left="0" w:leftChars="0" w:right="0" w:rightChars="0"/>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9"/>
    </w:p>
    <w:p w14:paraId="01794EB0">
      <w:pPr>
        <w:shd w:val="clear"/>
        <w:kinsoku/>
        <w:overflowPunct/>
        <w:bidi w:val="0"/>
        <w:spacing w:line="500" w:lineRule="exact"/>
        <w:ind w:left="0" w:leftChars="0" w:right="0" w:rightChars="0"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345B3D88">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22C0F99C">
      <w:pPr>
        <w:shd w:val="clear"/>
        <w:kinsoku/>
        <w:overflowPunct/>
        <w:bidi w:val="0"/>
        <w:spacing w:line="500" w:lineRule="exact"/>
        <w:ind w:left="0" w:leftChars="0" w:right="0" w:rightChars="0"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47A9FC8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10216F64">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233975C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352072A3">
      <w:pPr>
        <w:shd w:val="clear"/>
        <w:kinsoku/>
        <w:overflowPunct/>
        <w:bidi w:val="0"/>
        <w:spacing w:line="500" w:lineRule="exact"/>
        <w:ind w:left="0" w:leftChars="0" w:right="0" w:rightChars="0"/>
        <w:rPr>
          <w:rFonts w:ascii="宋体" w:hAnsi="宋体" w:cs="宋体"/>
          <w:b/>
          <w:color w:val="auto"/>
          <w:szCs w:val="21"/>
          <w:highlight w:val="none"/>
        </w:rPr>
      </w:pPr>
      <w:r>
        <w:rPr>
          <w:rFonts w:hint="eastAsia" w:ascii="宋体" w:hAnsi="宋体" w:cs="宋体"/>
          <w:color w:val="auto"/>
          <w:szCs w:val="21"/>
          <w:highlight w:val="none"/>
        </w:rPr>
        <w:t xml:space="preserve">    36.</w:t>
      </w:r>
      <w:bookmarkStart w:id="61"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61"/>
      <w:r>
        <w:rPr>
          <w:rFonts w:hint="eastAsia" w:ascii="宋体" w:hAnsi="宋体" w:cs="宋体"/>
          <w:b/>
          <w:color w:val="auto"/>
          <w:szCs w:val="21"/>
          <w:highlight w:val="none"/>
        </w:rPr>
        <w:t>担保</w:t>
      </w:r>
    </w:p>
    <w:p w14:paraId="69E89A71">
      <w:pPr>
        <w:shd w:val="clear"/>
        <w:kinsoku/>
        <w:overflowPunct/>
        <w:bidi w:val="0"/>
        <w:spacing w:line="500" w:lineRule="exact"/>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34A18645">
      <w:pPr>
        <w:shd w:val="clear"/>
        <w:kinsoku/>
        <w:overflowPunct/>
        <w:bidi w:val="0"/>
        <w:spacing w:line="500" w:lineRule="exact"/>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776E2A9E">
      <w:pPr>
        <w:shd w:val="clear"/>
        <w:kinsoku/>
        <w:overflowPunct/>
        <w:bidi w:val="0"/>
        <w:spacing w:beforeLines="100" w:afterLines="100" w:line="500" w:lineRule="exact"/>
        <w:ind w:left="0" w:leftChars="0" w:right="0" w:rightChars="0"/>
        <w:jc w:val="center"/>
        <w:rPr>
          <w:rFonts w:ascii="宋体"/>
          <w:b/>
          <w:color w:val="auto"/>
          <w:sz w:val="28"/>
          <w:szCs w:val="28"/>
          <w:highlight w:val="none"/>
        </w:rPr>
      </w:pPr>
      <w:bookmarkStart w:id="62" w:name="_Toc449028874"/>
      <w:r>
        <w:rPr>
          <w:rFonts w:hint="eastAsia" w:ascii="宋体"/>
          <w:b/>
          <w:color w:val="auto"/>
          <w:sz w:val="28"/>
          <w:szCs w:val="28"/>
          <w:highlight w:val="none"/>
        </w:rPr>
        <w:t>（七）纪律和监督</w:t>
      </w:r>
      <w:bookmarkEnd w:id="62"/>
    </w:p>
    <w:p w14:paraId="1E905502">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76DF673A">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79C1574D">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36BAA937">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6F76A73C">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3B52DAC7">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20E21CA">
      <w:pPr>
        <w:shd w:val="clear"/>
        <w:kinsoku/>
        <w:overflowPunct/>
        <w:bidi w:val="0"/>
        <w:spacing w:line="500" w:lineRule="exact"/>
        <w:ind w:left="0" w:leftChars="0" w:right="0" w:rightChars="0"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3B52D9D5">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4F26E987">
      <w:pPr>
        <w:shd w:val="clear"/>
        <w:kinsoku/>
        <w:overflowPunct/>
        <w:bidi w:val="0"/>
        <w:spacing w:beforeLines="100" w:afterLines="100" w:line="500" w:lineRule="exact"/>
        <w:ind w:left="0" w:leftChars="0" w:right="0" w:rightChars="0"/>
        <w:jc w:val="center"/>
        <w:rPr>
          <w:rFonts w:ascii="宋体"/>
          <w:b/>
          <w:color w:val="auto"/>
          <w:sz w:val="28"/>
          <w:szCs w:val="28"/>
          <w:highlight w:val="none"/>
        </w:rPr>
      </w:pPr>
      <w:r>
        <w:rPr>
          <w:rFonts w:hint="eastAsia" w:ascii="宋体"/>
          <w:b/>
          <w:color w:val="auto"/>
          <w:sz w:val="28"/>
          <w:szCs w:val="28"/>
          <w:highlight w:val="none"/>
        </w:rPr>
        <w:t>（八）投诉</w:t>
      </w:r>
    </w:p>
    <w:p w14:paraId="52463948">
      <w:pPr>
        <w:shd w:val="clear"/>
        <w:kinsoku/>
        <w:overflowPunct/>
        <w:bidi w:val="0"/>
        <w:spacing w:line="500" w:lineRule="exact"/>
        <w:ind w:left="0" w:leftChars="0" w:right="0" w:rightChars="0"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2A112188">
      <w:pPr>
        <w:shd w:val="clear"/>
        <w:kinsoku/>
        <w:overflowPunct/>
        <w:bidi w:val="0"/>
        <w:adjustRightInd w:val="0"/>
        <w:snapToGrid w:val="0"/>
        <w:spacing w:line="500" w:lineRule="exact"/>
        <w:ind w:left="0" w:leftChars="0" w:right="0" w:rightChars="0"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6E386C47">
      <w:pPr>
        <w:shd w:val="clear"/>
        <w:kinsoku/>
        <w:overflowPunct/>
        <w:bidi w:val="0"/>
        <w:adjustRightInd w:val="0"/>
        <w:snapToGrid w:val="0"/>
        <w:spacing w:line="500" w:lineRule="exact"/>
        <w:ind w:left="0" w:leftChars="0" w:right="0" w:rightChars="0" w:firstLine="315" w:firstLineChars="150"/>
        <w:rPr>
          <w:rFonts w:hint="eastAsia"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16F2407F">
      <w:pPr>
        <w:kinsoku/>
        <w:overflowPunct/>
        <w:bidi w:val="0"/>
        <w:ind w:left="0" w:leftChars="0" w:right="0" w:rightChars="0"/>
        <w:rPr>
          <w:color w:val="auto"/>
          <w:highlight w:val="none"/>
        </w:rPr>
      </w:pPr>
      <w:r>
        <w:rPr>
          <w:color w:val="auto"/>
          <w:highlight w:val="none"/>
        </w:rPr>
        <w:br w:type="page"/>
      </w:r>
    </w:p>
    <w:p w14:paraId="555AC392">
      <w:pPr>
        <w:pStyle w:val="2"/>
        <w:keepNext/>
        <w:keepLines/>
        <w:pageBreakBefore w:val="0"/>
        <w:widowControl w:val="0"/>
        <w:shd w:val="clear"/>
        <w:kinsoku/>
        <w:wordWrap/>
        <w:overflowPunct/>
        <w:topLinePunct w:val="0"/>
        <w:autoSpaceDE/>
        <w:autoSpaceDN/>
        <w:bidi w:val="0"/>
        <w:adjustRightInd/>
        <w:snapToGrid/>
        <w:spacing w:before="0" w:beforeLines="100" w:after="0" w:afterLines="100" w:line="440" w:lineRule="exact"/>
        <w:ind w:left="0" w:leftChars="0" w:right="0" w:rightChars="0"/>
        <w:textAlignment w:val="auto"/>
        <w:rPr>
          <w:rFonts w:ascii="宋体"/>
          <w:b w:val="0"/>
          <w:color w:val="auto"/>
          <w:szCs w:val="32"/>
          <w:highlight w:val="none"/>
        </w:rPr>
      </w:pPr>
      <w:bookmarkStart w:id="63" w:name="_Toc28871"/>
      <w:r>
        <w:rPr>
          <w:rFonts w:hint="eastAsia" w:ascii="宋体"/>
          <w:bCs w:val="0"/>
          <w:color w:val="auto"/>
          <w:szCs w:val="32"/>
          <w:highlight w:val="none"/>
        </w:rPr>
        <w:t>第三章 评标办法（综合评分法）</w:t>
      </w:r>
      <w:bookmarkEnd w:id="63"/>
    </w:p>
    <w:p w14:paraId="7C5C9944">
      <w:pPr>
        <w:shd w:val="clear"/>
        <w:kinsoku/>
        <w:overflowPunct/>
        <w:bidi w:val="0"/>
        <w:spacing w:beforeLines="50" w:afterLines="50" w:line="500" w:lineRule="exact"/>
        <w:ind w:left="0" w:leftChars="0" w:right="0" w:rightChars="0"/>
        <w:jc w:val="center"/>
        <w:outlineLvl w:val="1"/>
        <w:rPr>
          <w:rFonts w:ascii="宋体" w:hAnsi="宋体" w:cs="宋体"/>
          <w:b/>
          <w:color w:val="auto"/>
          <w:sz w:val="28"/>
          <w:szCs w:val="28"/>
          <w:highlight w:val="none"/>
        </w:rPr>
      </w:pPr>
      <w:bookmarkStart w:id="64" w:name="_Toc362983801"/>
      <w:bookmarkStart w:id="65" w:name="_Toc58430317"/>
      <w:bookmarkStart w:id="66" w:name="_Toc20697"/>
      <w:bookmarkStart w:id="67" w:name="_Toc449028877"/>
      <w:bookmarkStart w:id="68" w:name="_Toc267320058"/>
      <w:bookmarkStart w:id="69" w:name="_Toc363135205"/>
      <w:r>
        <w:rPr>
          <w:rFonts w:hint="eastAsia" w:ascii="宋体" w:hAnsi="宋体" w:cs="宋体"/>
          <w:b/>
          <w:color w:val="auto"/>
          <w:sz w:val="28"/>
          <w:szCs w:val="28"/>
          <w:highlight w:val="none"/>
        </w:rPr>
        <w:t>一、总则</w:t>
      </w:r>
      <w:bookmarkEnd w:id="64"/>
      <w:bookmarkEnd w:id="65"/>
      <w:bookmarkEnd w:id="66"/>
      <w:bookmarkEnd w:id="67"/>
    </w:p>
    <w:p w14:paraId="19FAE32C">
      <w:pPr>
        <w:shd w:val="clear"/>
        <w:kinsoku/>
        <w:overflowPunct/>
        <w:bidi w:val="0"/>
        <w:spacing w:line="500" w:lineRule="exact"/>
        <w:ind w:left="0" w:leftChars="0" w:right="0" w:rightChars="0"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295779B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51EA690E">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2287E9AB">
      <w:pPr>
        <w:shd w:val="clear"/>
        <w:kinsoku/>
        <w:overflowPunct/>
        <w:bidi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4CB8B4B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2AC6F99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0ABA5781">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43876D05">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56A452B0">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4A2788BA">
      <w:pPr>
        <w:shd w:val="clear"/>
        <w:kinsoku/>
        <w:wordWrap w:val="0"/>
        <w:overflowPunct/>
        <w:bidi w:val="0"/>
        <w:spacing w:line="500" w:lineRule="exact"/>
        <w:ind w:left="0" w:leftChars="0" w:right="0" w:rightChars="0"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0DD936F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3AFB1DD2">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674B1D2D">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2043D634">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2FFED97C">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65D33EFB">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31FD5F34">
      <w:pPr>
        <w:shd w:val="clear"/>
        <w:kinsoku/>
        <w:overflowPunct/>
        <w:bidi w:val="0"/>
        <w:spacing w:line="500" w:lineRule="exact"/>
        <w:ind w:left="0" w:leftChars="0" w:right="0" w:rightChars="0"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70" w:name="_Toc449028878"/>
      <w:bookmarkStart w:id="71" w:name="_Toc362983802"/>
      <w:bookmarkStart w:id="72" w:name="_Toc58430318"/>
    </w:p>
    <w:p w14:paraId="4D7C3DE3">
      <w:pPr>
        <w:shd w:val="clear"/>
        <w:kinsoku/>
        <w:overflowPunct/>
        <w:bidi w:val="0"/>
        <w:spacing w:beforeLines="50" w:afterLines="50" w:line="500" w:lineRule="exact"/>
        <w:ind w:left="0" w:leftChars="0" w:right="0" w:rightChars="0"/>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70"/>
      <w:bookmarkEnd w:id="71"/>
      <w:bookmarkEnd w:id="72"/>
    </w:p>
    <w:p w14:paraId="2B9AD607">
      <w:pPr>
        <w:shd w:val="clear"/>
        <w:kinsoku/>
        <w:overflowPunct/>
        <w:bidi w:val="0"/>
        <w:spacing w:line="500" w:lineRule="exact"/>
        <w:ind w:left="0" w:leftChars="0" w:right="0" w:rightChars="0"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3DBD03C5">
      <w:pPr>
        <w:shd w:val="clear"/>
        <w:kinsoku/>
        <w:overflowPunct/>
        <w:bidi w:val="0"/>
        <w:spacing w:line="500" w:lineRule="exact"/>
        <w:ind w:left="0" w:leftChars="0" w:right="0" w:rightChars="0"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5"/>
        <w:tblW w:w="9359"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090"/>
        <w:gridCol w:w="4859"/>
        <w:gridCol w:w="2644"/>
      </w:tblGrid>
      <w:tr w14:paraId="405D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66" w:type="dxa"/>
            <w:vAlign w:val="center"/>
          </w:tcPr>
          <w:p w14:paraId="5654966B">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949" w:type="dxa"/>
            <w:gridSpan w:val="2"/>
            <w:vAlign w:val="center"/>
          </w:tcPr>
          <w:p w14:paraId="16E09C72">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2644" w:type="dxa"/>
            <w:vAlign w:val="center"/>
          </w:tcPr>
          <w:p w14:paraId="23D247B8">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3C22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66" w:type="dxa"/>
            <w:vAlign w:val="center"/>
          </w:tcPr>
          <w:p w14:paraId="5B91F973">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090" w:type="dxa"/>
            <w:vAlign w:val="center"/>
          </w:tcPr>
          <w:p w14:paraId="3108D6E0">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r>
              <w:rPr>
                <w:rFonts w:hint="eastAsia" w:ascii="宋体" w:hAnsi="宋体" w:cs="宋体"/>
                <w:color w:val="auto"/>
                <w:szCs w:val="21"/>
                <w:highlight w:val="none"/>
              </w:rPr>
              <w:t>重要要求</w:t>
            </w:r>
          </w:p>
        </w:tc>
        <w:tc>
          <w:tcPr>
            <w:tcW w:w="4859" w:type="dxa"/>
            <w:vAlign w:val="center"/>
          </w:tcPr>
          <w:p w14:paraId="3EF6E62D">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2644" w:type="dxa"/>
            <w:vAlign w:val="center"/>
          </w:tcPr>
          <w:p w14:paraId="243926E5">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检验电子标书</w:t>
            </w:r>
          </w:p>
        </w:tc>
      </w:tr>
      <w:tr w14:paraId="685F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66" w:type="dxa"/>
            <w:vMerge w:val="restart"/>
            <w:vAlign w:val="center"/>
          </w:tcPr>
          <w:p w14:paraId="7C7410B2">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1090" w:type="dxa"/>
            <w:vMerge w:val="restart"/>
            <w:vAlign w:val="center"/>
          </w:tcPr>
          <w:p w14:paraId="614A2110">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859" w:type="dxa"/>
            <w:vAlign w:val="center"/>
          </w:tcPr>
          <w:p w14:paraId="4A59AB34">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（2）具有独立承担民事责任的能力</w:t>
            </w:r>
          </w:p>
        </w:tc>
        <w:tc>
          <w:tcPr>
            <w:tcW w:w="2644" w:type="dxa"/>
            <w:vAlign w:val="center"/>
          </w:tcPr>
          <w:p w14:paraId="7E3E3D18">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38B64C41">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投标人有效的营业执照、税务登记证、组织机构码证（或“三证合一证书”）</w:t>
            </w:r>
          </w:p>
        </w:tc>
      </w:tr>
      <w:tr w14:paraId="6F82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66" w:type="dxa"/>
            <w:vMerge w:val="continue"/>
            <w:vAlign w:val="center"/>
          </w:tcPr>
          <w:p w14:paraId="1FAB16BC">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p>
        </w:tc>
        <w:tc>
          <w:tcPr>
            <w:tcW w:w="1090" w:type="dxa"/>
            <w:vMerge w:val="continue"/>
            <w:vAlign w:val="center"/>
          </w:tcPr>
          <w:p w14:paraId="7A69D7F7">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p>
        </w:tc>
        <w:tc>
          <w:tcPr>
            <w:tcW w:w="4859" w:type="dxa"/>
            <w:vAlign w:val="center"/>
          </w:tcPr>
          <w:p w14:paraId="49AE5D7C">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企业资质证书、有效的安全生产许可证</w:t>
            </w:r>
          </w:p>
        </w:tc>
        <w:tc>
          <w:tcPr>
            <w:tcW w:w="2644" w:type="dxa"/>
            <w:vAlign w:val="center"/>
          </w:tcPr>
          <w:p w14:paraId="2584B56E">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r>
              <w:rPr>
                <w:rFonts w:hint="eastAsia" w:ascii="宋体" w:hAnsi="宋体" w:cs="宋体"/>
                <w:color w:val="auto"/>
                <w:szCs w:val="21"/>
                <w:highlight w:val="none"/>
              </w:rPr>
              <w:t>检验电子标书</w:t>
            </w:r>
          </w:p>
        </w:tc>
      </w:tr>
      <w:tr w14:paraId="58EA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766" w:type="dxa"/>
            <w:vMerge w:val="continue"/>
            <w:vAlign w:val="center"/>
          </w:tcPr>
          <w:p w14:paraId="58295B86">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center"/>
              <w:textAlignment w:val="auto"/>
              <w:rPr>
                <w:rFonts w:ascii="宋体" w:hAnsi="宋体" w:cs="宋体"/>
                <w:color w:val="auto"/>
                <w:szCs w:val="21"/>
                <w:highlight w:val="none"/>
              </w:rPr>
            </w:pPr>
          </w:p>
        </w:tc>
        <w:tc>
          <w:tcPr>
            <w:tcW w:w="1090" w:type="dxa"/>
            <w:vMerge w:val="continue"/>
            <w:vAlign w:val="center"/>
          </w:tcPr>
          <w:p w14:paraId="07B0523E">
            <w:pPr>
              <w:keepNext w:val="0"/>
              <w:keepLines w:val="0"/>
              <w:pageBreakBefore w:val="0"/>
              <w:shd w:val="clear"/>
              <w:kinsoku/>
              <w:wordWrap/>
              <w:overflowPunct/>
              <w:topLinePunct w:val="0"/>
              <w:autoSpaceDE/>
              <w:autoSpaceDN/>
              <w:bidi w:val="0"/>
              <w:adjustRightInd/>
              <w:snapToGrid/>
              <w:spacing w:line="440" w:lineRule="exact"/>
              <w:ind w:left="0" w:leftChars="0" w:right="0" w:rightChars="0"/>
              <w:textAlignment w:val="auto"/>
              <w:rPr>
                <w:rFonts w:ascii="宋体" w:hAnsi="宋体" w:cs="宋体"/>
                <w:color w:val="auto"/>
                <w:szCs w:val="21"/>
                <w:highlight w:val="none"/>
              </w:rPr>
            </w:pPr>
          </w:p>
        </w:tc>
        <w:tc>
          <w:tcPr>
            <w:tcW w:w="4859" w:type="dxa"/>
            <w:vAlign w:val="center"/>
          </w:tcPr>
          <w:p w14:paraId="037B9A2A">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left"/>
              <w:textAlignment w:val="auto"/>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）诚信投标承诺书或公共信用信息报告（无违法违规证明版或核查版）</w:t>
            </w:r>
          </w:p>
        </w:tc>
        <w:tc>
          <w:tcPr>
            <w:tcW w:w="2644" w:type="dxa"/>
            <w:vAlign w:val="center"/>
          </w:tcPr>
          <w:p w14:paraId="44F08D09">
            <w:pPr>
              <w:keepNext w:val="0"/>
              <w:keepLines w:val="0"/>
              <w:pageBreakBefore w:val="0"/>
              <w:shd w:val="clear"/>
              <w:kinsoku/>
              <w:wordWrap/>
              <w:overflowPunct/>
              <w:topLinePunct w:val="0"/>
              <w:autoSpaceDE/>
              <w:autoSpaceDN/>
              <w:bidi w:val="0"/>
              <w:adjustRightInd/>
              <w:snapToGrid/>
              <w:spacing w:line="440" w:lineRule="exact"/>
              <w:ind w:left="0" w:leftChars="0" w:right="0" w:rightChars="0"/>
              <w:jc w:val="left"/>
              <w:textAlignment w:val="auto"/>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0232E946">
      <w:pPr>
        <w:shd w:val="clear"/>
        <w:kinsoku/>
        <w:overflowPunct/>
        <w:bidi w:val="0"/>
        <w:spacing w:line="500" w:lineRule="exact"/>
        <w:ind w:left="0" w:leftChars="0" w:right="0" w:rightChars="0" w:firstLine="508" w:firstLineChars="241"/>
        <w:jc w:val="left"/>
        <w:rPr>
          <w:rFonts w:hint="eastAsia"/>
          <w:color w:val="auto"/>
          <w:highlight w:val="none"/>
        </w:rPr>
      </w:pPr>
      <w:bookmarkStart w:id="73" w:name="_Toc95223394"/>
      <w:bookmarkStart w:id="74" w:name="_Toc15058904"/>
      <w:bookmarkStart w:id="75" w:name="_Toc506107319"/>
      <w:bookmarkStart w:id="76" w:name="_Toc324404866"/>
      <w:bookmarkStart w:id="77" w:name="_Toc60061491"/>
      <w:r>
        <w:rPr>
          <w:rFonts w:hint="eastAsia" w:ascii="宋体" w:hAnsi="宋体" w:eastAsia="宋体" w:cs="宋体"/>
          <w:b/>
          <w:color w:val="auto"/>
          <w:szCs w:val="21"/>
          <w:highlight w:val="none"/>
        </w:rPr>
        <w:t>重要提示：</w:t>
      </w:r>
    </w:p>
    <w:p w14:paraId="37C2517A">
      <w:pPr>
        <w:shd w:val="clear"/>
        <w:kinsoku/>
        <w:overflowPunct/>
        <w:bidi w:val="0"/>
        <w:spacing w:line="500" w:lineRule="exact"/>
        <w:ind w:left="0" w:leftChars="0" w:right="0" w:rightChars="0" w:firstLine="506" w:firstLineChars="2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0EF88594">
      <w:pPr>
        <w:shd w:val="clear"/>
        <w:kinsoku/>
        <w:overflowPunct/>
        <w:bidi w:val="0"/>
        <w:spacing w:line="500" w:lineRule="exact"/>
        <w:ind w:left="0" w:leftChars="0" w:right="0" w:rightChars="0" w:firstLine="506" w:firstLineChars="24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bookmarkEnd w:id="73"/>
    <w:bookmarkEnd w:id="74"/>
    <w:bookmarkEnd w:id="75"/>
    <w:bookmarkEnd w:id="76"/>
    <w:bookmarkEnd w:id="77"/>
    <w:p w14:paraId="2CF8A050">
      <w:pPr>
        <w:shd w:val="clear"/>
        <w:kinsoku/>
        <w:overflowPunct/>
        <w:bidi w:val="0"/>
        <w:spacing w:line="500" w:lineRule="exact"/>
        <w:ind w:left="0" w:leftChars="0" w:right="0" w:rightChars="0"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5920EC3">
      <w:pPr>
        <w:shd w:val="clear"/>
        <w:kinsoku/>
        <w:overflowPunct/>
        <w:bidi w:val="0"/>
        <w:spacing w:line="500" w:lineRule="exact"/>
        <w:ind w:left="0" w:leftChars="0" w:right="0" w:rightChars="0"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5"/>
        <w:tblW w:w="961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31"/>
      </w:tblGrid>
      <w:tr w14:paraId="5EE8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12392893">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545ED4CE">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31" w:type="dxa"/>
            <w:vAlign w:val="center"/>
          </w:tcPr>
          <w:p w14:paraId="60659967">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6AE8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794F2509">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691BD08C">
            <w:pPr>
              <w:shd w:val="clear"/>
              <w:kinsoku/>
              <w:overflowPunct/>
              <w:bidi w:val="0"/>
              <w:spacing w:line="500" w:lineRule="exact"/>
              <w:ind w:left="0" w:leftChars="0" w:right="0" w:rightChars="0"/>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1A5751B3">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31" w:type="dxa"/>
            <w:vAlign w:val="center"/>
          </w:tcPr>
          <w:p w14:paraId="57119486">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53A0F930">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711F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1DB1A02B">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18" w:type="dxa"/>
            <w:vMerge w:val="continue"/>
            <w:vAlign w:val="center"/>
          </w:tcPr>
          <w:p w14:paraId="17B080FC">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931" w:type="dxa"/>
            <w:vAlign w:val="center"/>
          </w:tcPr>
          <w:p w14:paraId="04521C6E">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31" w:type="dxa"/>
            <w:vAlign w:val="center"/>
          </w:tcPr>
          <w:p w14:paraId="729096D2">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C6E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75C98FD5">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18" w:type="dxa"/>
            <w:vMerge w:val="continue"/>
            <w:vAlign w:val="center"/>
          </w:tcPr>
          <w:p w14:paraId="3645310E">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931" w:type="dxa"/>
            <w:vAlign w:val="center"/>
          </w:tcPr>
          <w:p w14:paraId="48E0D8DC">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31" w:type="dxa"/>
            <w:vAlign w:val="center"/>
          </w:tcPr>
          <w:p w14:paraId="041E4137">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4F0E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4872439D">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18" w:type="dxa"/>
            <w:vMerge w:val="continue"/>
            <w:vAlign w:val="center"/>
          </w:tcPr>
          <w:p w14:paraId="7A374555">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931" w:type="dxa"/>
            <w:vAlign w:val="center"/>
          </w:tcPr>
          <w:p w14:paraId="70545AA5">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31" w:type="dxa"/>
            <w:vAlign w:val="center"/>
          </w:tcPr>
          <w:p w14:paraId="505AF0D1">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4C9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7670B8F9">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08B28408">
            <w:pPr>
              <w:shd w:val="clear"/>
              <w:kinsoku/>
              <w:overflowPunct/>
              <w:bidi w:val="0"/>
              <w:spacing w:line="500" w:lineRule="exact"/>
              <w:ind w:left="0" w:leftChars="0" w:right="0" w:rightChars="0"/>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70343096">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31" w:type="dxa"/>
            <w:vAlign w:val="center"/>
          </w:tcPr>
          <w:p w14:paraId="0282894D">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3B61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3FCB2636">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1318" w:type="dxa"/>
            <w:vMerge w:val="continue"/>
            <w:vAlign w:val="center"/>
          </w:tcPr>
          <w:p w14:paraId="0D4078BB">
            <w:pPr>
              <w:shd w:val="clear"/>
              <w:kinsoku/>
              <w:overflowPunct/>
              <w:bidi w:val="0"/>
              <w:spacing w:line="500" w:lineRule="exact"/>
              <w:ind w:left="0" w:leftChars="0" w:right="0" w:rightChars="0"/>
              <w:jc w:val="center"/>
              <w:rPr>
                <w:rFonts w:ascii="宋体" w:hAnsi="宋体" w:cs="宋体"/>
                <w:color w:val="auto"/>
                <w:szCs w:val="21"/>
                <w:highlight w:val="none"/>
              </w:rPr>
            </w:pPr>
          </w:p>
        </w:tc>
        <w:tc>
          <w:tcPr>
            <w:tcW w:w="2931" w:type="dxa"/>
            <w:vAlign w:val="center"/>
          </w:tcPr>
          <w:p w14:paraId="02876D74">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31" w:type="dxa"/>
            <w:vAlign w:val="center"/>
          </w:tcPr>
          <w:p w14:paraId="0AE77BD2">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3113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3440CC5F">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3F6940A1">
            <w:pPr>
              <w:shd w:val="clear"/>
              <w:kinsoku/>
              <w:overflowPunct/>
              <w:bidi w:val="0"/>
              <w:spacing w:line="500" w:lineRule="exact"/>
              <w:ind w:left="0" w:leftChars="0" w:right="0" w:rightChars="0"/>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15CB7F31">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31" w:type="dxa"/>
            <w:vAlign w:val="center"/>
          </w:tcPr>
          <w:p w14:paraId="32CAD7CB">
            <w:pPr>
              <w:shd w:val="clear"/>
              <w:kinsoku/>
              <w:overflowPunct/>
              <w:bidi w:val="0"/>
              <w:spacing w:line="500" w:lineRule="exact"/>
              <w:ind w:left="0" w:leftChars="0" w:right="0" w:rightChars="0"/>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p>
        </w:tc>
      </w:tr>
      <w:tr w14:paraId="033B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0AAC77C5">
            <w:pPr>
              <w:shd w:val="clear"/>
              <w:kinsoku/>
              <w:overflowPunct/>
              <w:bidi w:val="0"/>
              <w:spacing w:line="500" w:lineRule="exact"/>
              <w:ind w:left="0" w:leftChars="0" w:right="0" w:rightChars="0"/>
              <w:jc w:val="left"/>
              <w:rPr>
                <w:rFonts w:ascii="宋体" w:hAnsi="宋体" w:cs="宋体"/>
                <w:color w:val="auto"/>
                <w:szCs w:val="21"/>
                <w:highlight w:val="none"/>
              </w:rPr>
            </w:pPr>
          </w:p>
        </w:tc>
        <w:tc>
          <w:tcPr>
            <w:tcW w:w="1318" w:type="dxa"/>
            <w:vMerge w:val="continue"/>
            <w:vAlign w:val="center"/>
          </w:tcPr>
          <w:p w14:paraId="34282EFB">
            <w:pPr>
              <w:shd w:val="clear"/>
              <w:kinsoku/>
              <w:overflowPunct/>
              <w:bidi w:val="0"/>
              <w:spacing w:line="500" w:lineRule="exact"/>
              <w:ind w:left="0" w:leftChars="0" w:right="0" w:rightChars="0"/>
              <w:jc w:val="left"/>
              <w:rPr>
                <w:rFonts w:ascii="宋体" w:hAnsi="宋体" w:cs="宋体"/>
                <w:color w:val="auto"/>
                <w:szCs w:val="21"/>
                <w:highlight w:val="none"/>
              </w:rPr>
            </w:pPr>
          </w:p>
        </w:tc>
        <w:tc>
          <w:tcPr>
            <w:tcW w:w="2931" w:type="dxa"/>
            <w:vAlign w:val="center"/>
          </w:tcPr>
          <w:p w14:paraId="2310ED35">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31" w:type="dxa"/>
            <w:vAlign w:val="center"/>
          </w:tcPr>
          <w:p w14:paraId="7214EB52">
            <w:pPr>
              <w:shd w:val="clear"/>
              <w:kinsoku/>
              <w:overflowPunct/>
              <w:bidi w:val="0"/>
              <w:spacing w:line="500" w:lineRule="exact"/>
              <w:ind w:left="0" w:leftChars="0" w:right="0" w:rightChars="0"/>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284B09E8">
      <w:pPr>
        <w:shd w:val="clear"/>
        <w:kinsoku/>
        <w:overflowPunct/>
        <w:bidi w:val="0"/>
        <w:spacing w:line="500" w:lineRule="exact"/>
        <w:ind w:left="0" w:leftChars="0" w:right="0" w:rightChars="0"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436F29DD">
      <w:pPr>
        <w:shd w:val="clear"/>
        <w:kinsoku/>
        <w:overflowPunct/>
        <w:bidi w:val="0"/>
        <w:spacing w:line="500" w:lineRule="exact"/>
        <w:ind w:left="0" w:leftChars="0" w:right="0" w:rightChars="0"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436C59C6">
      <w:pPr>
        <w:shd w:val="clear"/>
        <w:kinsoku/>
        <w:overflowPunct/>
        <w:bidi w:val="0"/>
        <w:spacing w:line="500" w:lineRule="exact"/>
        <w:ind w:left="0" w:leftChars="0" w:right="0" w:rightChars="0"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3D87CFA9">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7C189174">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628441A4">
      <w:pPr>
        <w:shd w:val="clear"/>
        <w:kinsoku/>
        <w:overflowPunct/>
        <w:bidi w:val="0"/>
        <w:spacing w:line="500" w:lineRule="exact"/>
        <w:ind w:left="0" w:leftChars="0" w:right="0" w:rightChars="0"/>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5444A671">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3259ED9E">
      <w:pPr>
        <w:shd w:val="clear"/>
        <w:kinsoku/>
        <w:overflowPunct/>
        <w:bidi w:val="0"/>
        <w:spacing w:beforeLines="50" w:afterLines="50"/>
        <w:ind w:left="0" w:leftChars="0" w:right="0" w:rightChars="0"/>
        <w:jc w:val="center"/>
        <w:outlineLvl w:val="1"/>
        <w:rPr>
          <w:rFonts w:ascii="宋体"/>
          <w:b/>
          <w:color w:val="auto"/>
          <w:sz w:val="28"/>
          <w:szCs w:val="28"/>
          <w:highlight w:val="none"/>
        </w:rPr>
      </w:pPr>
      <w:bookmarkStart w:id="78" w:name="_Toc58430319"/>
      <w:bookmarkStart w:id="79" w:name="_Toc449028879"/>
      <w:bookmarkStart w:id="80" w:name="_Toc362983803"/>
      <w:bookmarkStart w:id="81" w:name="_Toc14002"/>
      <w:r>
        <w:rPr>
          <w:rFonts w:hint="eastAsia" w:ascii="宋体"/>
          <w:b/>
          <w:color w:val="auto"/>
          <w:sz w:val="28"/>
          <w:szCs w:val="28"/>
          <w:highlight w:val="none"/>
        </w:rPr>
        <w:t>三、投标文件的澄清和补正</w:t>
      </w:r>
      <w:bookmarkEnd w:id="78"/>
      <w:bookmarkEnd w:id="79"/>
      <w:bookmarkEnd w:id="80"/>
      <w:bookmarkEnd w:id="81"/>
    </w:p>
    <w:p w14:paraId="7EDE1843">
      <w:pPr>
        <w:shd w:val="clear"/>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rPr>
        <w:t>如因投标人未参加开标导致开评标过程中无法澄清、说明或补正的，视同投标人放弃该权利。</w:t>
      </w:r>
    </w:p>
    <w:p w14:paraId="0E8CB8D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18226FA5">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6C0ADB4F">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6CC05701">
      <w:pPr>
        <w:shd w:val="clear"/>
        <w:kinsoku/>
        <w:overflowPunct/>
        <w:bidi w:val="0"/>
        <w:spacing w:line="500" w:lineRule="exact"/>
        <w:ind w:left="0" w:leftChars="0" w:right="0" w:rightChars="0"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051D43F2">
      <w:pPr>
        <w:shd w:val="clear"/>
        <w:kinsoku/>
        <w:overflowPunct/>
        <w:bidi w:val="0"/>
        <w:spacing w:line="500" w:lineRule="exact"/>
        <w:ind w:left="0" w:leftChars="0" w:right="0" w:rightChars="0"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8"/>
    <w:p w14:paraId="2F8BD6B4">
      <w:pPr>
        <w:shd w:val="clear"/>
        <w:kinsoku/>
        <w:overflowPunct/>
        <w:bidi w:val="0"/>
        <w:spacing w:beforeLines="50" w:afterLines="50"/>
        <w:ind w:left="0" w:leftChars="0" w:right="0" w:rightChars="0"/>
        <w:jc w:val="center"/>
        <w:outlineLvl w:val="1"/>
        <w:rPr>
          <w:rFonts w:ascii="宋体"/>
          <w:b/>
          <w:color w:val="auto"/>
          <w:sz w:val="28"/>
          <w:szCs w:val="28"/>
          <w:highlight w:val="none"/>
        </w:rPr>
      </w:pPr>
      <w:bookmarkStart w:id="82" w:name="_Toc3630"/>
      <w:bookmarkStart w:id="83" w:name="_Toc449028880"/>
      <w:bookmarkStart w:id="84" w:name="_Toc58430320"/>
      <w:bookmarkStart w:id="85" w:name="_Hlk101517174"/>
      <w:r>
        <w:rPr>
          <w:rFonts w:hint="eastAsia" w:ascii="宋体"/>
          <w:b/>
          <w:color w:val="auto"/>
          <w:sz w:val="28"/>
          <w:szCs w:val="28"/>
          <w:highlight w:val="none"/>
        </w:rPr>
        <w:t>四、比较与评价</w:t>
      </w:r>
      <w:bookmarkEnd w:id="82"/>
      <w:bookmarkEnd w:id="83"/>
      <w:bookmarkEnd w:id="84"/>
    </w:p>
    <w:p w14:paraId="1DB08AAF">
      <w:pPr>
        <w:shd w:val="clear"/>
        <w:kinsoku/>
        <w:overflowPunct/>
        <w:bidi w:val="0"/>
        <w:spacing w:line="500" w:lineRule="exact"/>
        <w:ind w:left="0" w:leftChars="0" w:right="0" w:rightChars="0"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86"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0BDBA3A7">
      <w:pPr>
        <w:shd w:val="clear"/>
        <w:kinsoku/>
        <w:overflowPunct/>
        <w:bidi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分）</w:t>
      </w:r>
    </w:p>
    <w:tbl>
      <w:tblPr>
        <w:tblStyle w:val="35"/>
        <w:tblW w:w="9616"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51"/>
        <w:gridCol w:w="766"/>
        <w:gridCol w:w="7002"/>
      </w:tblGrid>
      <w:tr w14:paraId="029F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D2C357C">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51" w:type="dxa"/>
            <w:vAlign w:val="center"/>
          </w:tcPr>
          <w:p w14:paraId="659503FA">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66" w:type="dxa"/>
            <w:vAlign w:val="center"/>
          </w:tcPr>
          <w:p w14:paraId="123FACEB">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002" w:type="dxa"/>
            <w:vAlign w:val="center"/>
          </w:tcPr>
          <w:p w14:paraId="40B4FA68">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5080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41ED176">
            <w:pPr>
              <w:pStyle w:val="14"/>
              <w:shd w:val="clear"/>
              <w:kinsoku/>
              <w:overflowPunct/>
              <w:bidi w:val="0"/>
              <w:spacing w:line="500" w:lineRule="exact"/>
              <w:ind w:left="0" w:leftChars="0" w:right="0" w:rightChars="0"/>
              <w:jc w:val="center"/>
              <w:rPr>
                <w:rFonts w:ascii="宋体" w:hAnsi="宋体" w:cs="宋体"/>
                <w:b/>
                <w:bCs/>
                <w:color w:val="auto"/>
                <w:highlight w:val="none"/>
              </w:rPr>
            </w:pPr>
            <w:r>
              <w:rPr>
                <w:rFonts w:hint="eastAsia" w:ascii="宋体" w:hAnsi="宋体" w:cs="宋体"/>
                <w:b/>
                <w:bCs/>
                <w:color w:val="auto"/>
                <w:highlight w:val="none"/>
              </w:rPr>
              <w:t>1</w:t>
            </w:r>
          </w:p>
        </w:tc>
        <w:tc>
          <w:tcPr>
            <w:tcW w:w="1151" w:type="dxa"/>
            <w:vAlign w:val="center"/>
          </w:tcPr>
          <w:p w14:paraId="1FEB370B">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企业业绩</w:t>
            </w:r>
          </w:p>
        </w:tc>
        <w:tc>
          <w:tcPr>
            <w:tcW w:w="766" w:type="dxa"/>
            <w:vAlign w:val="center"/>
          </w:tcPr>
          <w:p w14:paraId="737449D3">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分</w:t>
            </w:r>
          </w:p>
        </w:tc>
        <w:tc>
          <w:tcPr>
            <w:tcW w:w="7002" w:type="dxa"/>
            <w:vAlign w:val="center"/>
          </w:tcPr>
          <w:p w14:paraId="72C128C2">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自2020年1月1日至投标截止时间（以合同签订时间为准）投标人具有高压设备巡检维护项目业绩的得5分，本项最高得5分。</w:t>
            </w:r>
          </w:p>
          <w:p w14:paraId="0FB721A2">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cs="宋体"/>
                <w:b/>
                <w:bCs/>
                <w:color w:val="auto"/>
                <w:szCs w:val="21"/>
                <w:highlight w:val="none"/>
                <w:lang w:val="en-US" w:eastAsia="zh-CN"/>
              </w:rPr>
            </w:pPr>
            <w:r>
              <w:rPr>
                <w:rFonts w:hint="eastAsia" w:ascii="宋体" w:hAnsi="宋体" w:cs="宋体"/>
                <w:b/>
                <w:bCs/>
                <w:color w:val="auto"/>
                <w:highlight w:val="none"/>
              </w:rPr>
              <w:t>注：</w:t>
            </w:r>
            <w:r>
              <w:rPr>
                <w:rFonts w:hint="eastAsia" w:ascii="宋体" w:hAnsi="宋体" w:cs="宋体"/>
                <w:b/>
                <w:bCs/>
                <w:color w:val="auto"/>
                <w:szCs w:val="21"/>
                <w:highlight w:val="none"/>
                <w:lang w:val="en-US" w:eastAsia="zh-CN"/>
              </w:rPr>
              <w:t>投标文件中提供业绩合同，若合同反映不出业绩内容的还须另外提供业主（合同甲方）盖章的证明材料。</w:t>
            </w:r>
          </w:p>
          <w:p w14:paraId="7335D714">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color w:val="auto"/>
                <w:highlight w:val="none"/>
              </w:rPr>
            </w:pPr>
            <w:r>
              <w:rPr>
                <w:rFonts w:hint="eastAsia" w:ascii="宋体" w:hAnsi="宋体" w:eastAsia="宋体" w:cs="宋体"/>
                <w:b/>
                <w:bCs/>
                <w:color w:val="auto"/>
                <w:highlight w:val="none"/>
                <w:lang w:val="en-US" w:eastAsia="zh-CN"/>
              </w:rPr>
              <w:t>企业业绩和项目负责人业绩不可为同一业绩</w:t>
            </w:r>
            <w:r>
              <w:rPr>
                <w:rFonts w:hint="eastAsia" w:ascii="宋体" w:hAnsi="宋体" w:cs="宋体"/>
                <w:b/>
                <w:bCs/>
                <w:color w:val="auto"/>
                <w:highlight w:val="none"/>
                <w:lang w:val="en-US" w:eastAsia="zh-CN"/>
              </w:rPr>
              <w:t>，为同一业绩的不重复计分，仅计取一次得分</w:t>
            </w:r>
            <w:r>
              <w:rPr>
                <w:rFonts w:hint="eastAsia" w:ascii="宋体" w:hAnsi="宋体" w:eastAsia="宋体" w:cs="宋体"/>
                <w:b/>
                <w:bCs/>
                <w:color w:val="auto"/>
                <w:highlight w:val="none"/>
                <w:lang w:val="en-US" w:eastAsia="zh-CN"/>
              </w:rPr>
              <w:t>。同一单位的不同年份的续签合同，仅计取一次。</w:t>
            </w:r>
          </w:p>
        </w:tc>
      </w:tr>
      <w:tr w14:paraId="2755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5DB60B7">
            <w:pPr>
              <w:pStyle w:val="14"/>
              <w:shd w:val="clear"/>
              <w:kinsoku/>
              <w:overflowPunct/>
              <w:bidi w:val="0"/>
              <w:spacing w:line="500" w:lineRule="exact"/>
              <w:ind w:left="0" w:leftChars="0" w:right="0" w:rightChars="0"/>
              <w:jc w:val="center"/>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w:t>
            </w:r>
          </w:p>
        </w:tc>
        <w:tc>
          <w:tcPr>
            <w:tcW w:w="1151" w:type="dxa"/>
            <w:vAlign w:val="center"/>
          </w:tcPr>
          <w:p w14:paraId="087CCA23">
            <w:pPr>
              <w:shd w:val="clear"/>
              <w:kinsoku/>
              <w:overflowPunct/>
              <w:bidi w:val="0"/>
              <w:spacing w:line="500" w:lineRule="exact"/>
              <w:ind w:left="0" w:leftChars="0" w:right="0" w:rightChars="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项目负责人业绩</w:t>
            </w:r>
          </w:p>
        </w:tc>
        <w:tc>
          <w:tcPr>
            <w:tcW w:w="766" w:type="dxa"/>
            <w:vAlign w:val="center"/>
          </w:tcPr>
          <w:p w14:paraId="4FEC6402">
            <w:pPr>
              <w:shd w:val="clear"/>
              <w:kinsoku/>
              <w:overflowPunct/>
              <w:bidi w:val="0"/>
              <w:spacing w:line="500" w:lineRule="exact"/>
              <w:ind w:left="0" w:leftChars="0" w:right="0" w:rightChars="0"/>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分</w:t>
            </w:r>
          </w:p>
        </w:tc>
        <w:tc>
          <w:tcPr>
            <w:tcW w:w="7002" w:type="dxa"/>
            <w:vAlign w:val="center"/>
          </w:tcPr>
          <w:p w14:paraId="0621F2BF">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ascii="宋体" w:hAnsi="宋体" w:cs="宋体"/>
                <w:b/>
                <w:bCs/>
                <w:color w:val="auto"/>
                <w:highlight w:val="none"/>
              </w:rPr>
            </w:pPr>
            <w:r>
              <w:rPr>
                <w:rFonts w:hint="eastAsia" w:ascii="宋体" w:hAnsi="宋体" w:cs="宋体"/>
                <w:color w:val="auto"/>
                <w:szCs w:val="21"/>
                <w:highlight w:val="none"/>
                <w:lang w:val="en-US" w:eastAsia="zh-CN"/>
              </w:rPr>
              <w:t>自2020年1月1日至投标截止时间（以合同签订时间为准）项目负责人具有高压设备巡检维护项目业绩的得5分，本项最高得5分。</w:t>
            </w:r>
          </w:p>
          <w:p w14:paraId="18E931BC">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cs="宋体"/>
                <w:b/>
                <w:color w:val="auto"/>
                <w:szCs w:val="21"/>
                <w:highlight w:val="none"/>
                <w:lang w:eastAsia="zh-CN"/>
              </w:rPr>
            </w:pPr>
            <w:r>
              <w:rPr>
                <w:rFonts w:hint="eastAsia" w:ascii="宋体" w:hAnsi="宋体" w:cs="宋体"/>
                <w:b/>
                <w:bCs/>
                <w:color w:val="auto"/>
                <w:highlight w:val="none"/>
              </w:rPr>
              <w:t>注：</w:t>
            </w:r>
            <w:r>
              <w:rPr>
                <w:rFonts w:hint="eastAsia" w:ascii="宋体" w:hAnsi="宋体" w:cs="宋体"/>
                <w:b/>
                <w:bCs/>
                <w:color w:val="auto"/>
                <w:szCs w:val="21"/>
                <w:highlight w:val="none"/>
                <w:lang w:val="en-US" w:eastAsia="zh-CN"/>
              </w:rPr>
              <w:t>投标文件中提供业绩合同，若合同反映不出业绩内容的还须另外提供业主（合同甲方）盖章的证明材料</w:t>
            </w:r>
            <w:r>
              <w:rPr>
                <w:rFonts w:hint="eastAsia" w:ascii="宋体" w:hAnsi="宋体" w:cs="宋体"/>
                <w:b/>
                <w:color w:val="auto"/>
                <w:szCs w:val="21"/>
                <w:highlight w:val="none"/>
                <w:lang w:eastAsia="zh-CN"/>
              </w:rPr>
              <w:t>。</w:t>
            </w:r>
          </w:p>
          <w:p w14:paraId="1B610A3F">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项目负责人以合同中约定姓名为准，且必须以项目负责人身份参与的，其他身份参与的不予认可。</w:t>
            </w:r>
          </w:p>
          <w:p w14:paraId="0EC8F517">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jc w:val="left"/>
              <w:textAlignment w:val="auto"/>
              <w:rPr>
                <w:rFonts w:hint="eastAsia" w:ascii="宋体" w:hAnsi="宋体" w:cs="宋体"/>
                <w:b/>
                <w:bCs/>
                <w:color w:val="auto"/>
                <w:highlight w:val="none"/>
                <w:lang w:val="en-US" w:eastAsia="zh-CN"/>
              </w:rPr>
            </w:pPr>
            <w:r>
              <w:rPr>
                <w:rFonts w:hint="eastAsia" w:ascii="宋体" w:hAnsi="宋体" w:eastAsia="宋体" w:cs="宋体"/>
                <w:b/>
                <w:bCs/>
                <w:color w:val="auto"/>
                <w:highlight w:val="none"/>
                <w:lang w:val="en-US" w:eastAsia="zh-CN"/>
              </w:rPr>
              <w:t>企业业绩和项目负责人业绩不可为同一业绩</w:t>
            </w:r>
            <w:r>
              <w:rPr>
                <w:rFonts w:hint="eastAsia" w:ascii="宋体" w:hAnsi="宋体" w:cs="宋体"/>
                <w:b/>
                <w:bCs/>
                <w:color w:val="auto"/>
                <w:highlight w:val="none"/>
                <w:lang w:val="en-US" w:eastAsia="zh-CN"/>
              </w:rPr>
              <w:t>，为同一业绩的不重复计分，仅计取一次得分</w:t>
            </w:r>
            <w:r>
              <w:rPr>
                <w:rFonts w:hint="eastAsia" w:ascii="宋体" w:hAnsi="宋体" w:eastAsia="宋体" w:cs="宋体"/>
                <w:b/>
                <w:bCs/>
                <w:color w:val="auto"/>
                <w:highlight w:val="none"/>
                <w:lang w:val="en-US" w:eastAsia="zh-CN"/>
              </w:rPr>
              <w:t>。同一单位的不同年份的续签合同，仅计取一次。</w:t>
            </w:r>
          </w:p>
        </w:tc>
      </w:tr>
      <w:bookmarkEnd w:id="85"/>
    </w:tbl>
    <w:p w14:paraId="432336AC">
      <w:pPr>
        <w:shd w:val="clear"/>
        <w:kinsoku/>
        <w:overflowPunct/>
        <w:bidi w:val="0"/>
        <w:adjustRightInd w:val="0"/>
        <w:snapToGrid w:val="0"/>
        <w:spacing w:line="500" w:lineRule="exact"/>
        <w:ind w:left="0" w:leftChars="0" w:right="0" w:rightChars="0"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w:t>
      </w:r>
    </w:p>
    <w:tbl>
      <w:tblPr>
        <w:tblStyle w:val="35"/>
        <w:tblW w:w="9579"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27"/>
        <w:gridCol w:w="778"/>
        <w:gridCol w:w="6977"/>
      </w:tblGrid>
      <w:tr w14:paraId="1A35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AA9F3FD">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127" w:type="dxa"/>
            <w:vAlign w:val="center"/>
          </w:tcPr>
          <w:p w14:paraId="63091A04">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78" w:type="dxa"/>
            <w:vAlign w:val="center"/>
          </w:tcPr>
          <w:p w14:paraId="507B021E">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6977" w:type="dxa"/>
            <w:vAlign w:val="center"/>
          </w:tcPr>
          <w:p w14:paraId="10BDE574">
            <w:pPr>
              <w:shd w:val="clear"/>
              <w:kinsoku/>
              <w:overflowPunct/>
              <w:bidi w:val="0"/>
              <w:spacing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6C49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C62AFE3">
            <w:pPr>
              <w:pStyle w:val="14"/>
              <w:shd w:val="clear"/>
              <w:kinsoku/>
              <w:overflowPunct/>
              <w:bidi w:val="0"/>
              <w:spacing w:after="0" w:line="50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1127" w:type="dxa"/>
            <w:vAlign w:val="center"/>
          </w:tcPr>
          <w:p w14:paraId="3C54220C">
            <w:pPr>
              <w:widowControl/>
              <w:shd w:val="clear"/>
              <w:kinsoku/>
              <w:overflowPunct/>
              <w:bidi w:val="0"/>
              <w:spacing w:line="440" w:lineRule="exact"/>
              <w:ind w:left="0" w:leftChars="0" w:right="0" w:rightChars="0"/>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维护实施方案</w:t>
            </w:r>
          </w:p>
        </w:tc>
        <w:tc>
          <w:tcPr>
            <w:tcW w:w="778" w:type="dxa"/>
            <w:vAlign w:val="center"/>
          </w:tcPr>
          <w:p w14:paraId="1CB4C3AE">
            <w:pPr>
              <w:shd w:val="clear"/>
              <w:kinsoku/>
              <w:overflowPunct/>
              <w:bidi w:val="0"/>
              <w:spacing w:line="500" w:lineRule="exact"/>
              <w:ind w:left="0" w:leftChars="0" w:right="0" w:rightChars="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10分</w:t>
            </w:r>
          </w:p>
        </w:tc>
        <w:tc>
          <w:tcPr>
            <w:tcW w:w="6977" w:type="dxa"/>
            <w:vAlign w:val="center"/>
          </w:tcPr>
          <w:p w14:paraId="5C450529">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根据各投标人提供的针对本项目实际情况制定的维护实施方案</w:t>
            </w:r>
            <w:r>
              <w:rPr>
                <w:rFonts w:hint="eastAsia" w:ascii="宋体" w:hAnsi="宋体" w:cs="宋体"/>
                <w:color w:val="auto"/>
                <w:kern w:val="0"/>
                <w:szCs w:val="21"/>
                <w:highlight w:val="none"/>
                <w:lang w:val="en-US" w:eastAsia="zh-CN"/>
              </w:rPr>
              <w:t>，包括但不限于</w:t>
            </w:r>
            <w:r>
              <w:rPr>
                <w:rFonts w:hint="eastAsia" w:ascii="宋体" w:hAnsi="宋体" w:eastAsia="宋体" w:cs="宋体"/>
                <w:color w:val="auto"/>
                <w:kern w:val="0"/>
                <w:szCs w:val="21"/>
                <w:highlight w:val="none"/>
                <w:lang w:val="en-US" w:eastAsia="zh-CN"/>
              </w:rPr>
              <w:t>日常维护方案（如每日巡检流程、突发故障响应机制、设备外观检查标准等）</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月计划维护方案（如月度设备性能检测、线路隐患排查、零部件损耗评估等）</w:t>
            </w:r>
            <w:r>
              <w:rPr>
                <w:rFonts w:hint="eastAsia" w:ascii="宋体" w:hAnsi="宋体" w:cs="宋体"/>
                <w:color w:val="auto"/>
                <w:kern w:val="0"/>
                <w:szCs w:val="21"/>
                <w:highlight w:val="none"/>
                <w:lang w:val="en-US" w:eastAsia="zh-CN"/>
              </w:rPr>
              <w:t>、维修方法、安装环境、实施路径的完整性、可行性、针对性等综合评分，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3E44BE7B">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ascii="宋体" w:hAnsi="宋体" w:cs="宋体"/>
                <w:color w:val="auto"/>
                <w:szCs w:val="21"/>
                <w:highlight w:val="none"/>
              </w:rPr>
            </w:pPr>
            <w:r>
              <w:rPr>
                <w:rFonts w:hint="eastAsia" w:ascii="宋体" w:hAnsi="宋体" w:eastAsia="宋体" w:cs="宋体"/>
                <w:color w:val="auto"/>
                <w:kern w:val="0"/>
                <w:szCs w:val="21"/>
                <w:highlight w:val="none"/>
                <w:lang w:val="en-US" w:eastAsia="zh-CN"/>
              </w:rPr>
              <w:t>【技术标中须能充分反映出本评分项内容】</w:t>
            </w:r>
          </w:p>
        </w:tc>
      </w:tr>
      <w:tr w14:paraId="4B18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D8877E3">
            <w:pPr>
              <w:pStyle w:val="14"/>
              <w:shd w:val="clear"/>
              <w:kinsoku/>
              <w:overflowPunct/>
              <w:bidi w:val="0"/>
              <w:spacing w:after="0" w:line="500" w:lineRule="exact"/>
              <w:ind w:left="0" w:leftChars="0" w:right="0" w:rightChars="0"/>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p>
        </w:tc>
        <w:tc>
          <w:tcPr>
            <w:tcW w:w="1127" w:type="dxa"/>
            <w:vAlign w:val="center"/>
          </w:tcPr>
          <w:p w14:paraId="2A20B67B">
            <w:pPr>
              <w:widowControl/>
              <w:shd w:val="clear"/>
              <w:kinsoku/>
              <w:overflowPunct/>
              <w:bidi w:val="0"/>
              <w:spacing w:line="440" w:lineRule="exact"/>
              <w:ind w:left="0" w:leftChars="0" w:right="0" w:rightChars="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维护日志与记录</w:t>
            </w:r>
          </w:p>
        </w:tc>
        <w:tc>
          <w:tcPr>
            <w:tcW w:w="778" w:type="dxa"/>
            <w:vAlign w:val="center"/>
          </w:tcPr>
          <w:p w14:paraId="26A5CA94">
            <w:pPr>
              <w:shd w:val="clear"/>
              <w:kinsoku/>
              <w:overflowPunct/>
              <w:bidi w:val="0"/>
              <w:spacing w:line="500" w:lineRule="exact"/>
              <w:ind w:left="0" w:leftChars="0" w:right="0" w:rightChars="0"/>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lang w:val="en-US" w:eastAsia="zh-CN"/>
              </w:rPr>
              <w:t>分</w:t>
            </w:r>
          </w:p>
        </w:tc>
        <w:tc>
          <w:tcPr>
            <w:tcW w:w="6977" w:type="dxa"/>
            <w:vAlign w:val="center"/>
          </w:tcPr>
          <w:p w14:paraId="02D3B10B">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kern w:val="0"/>
                <w:szCs w:val="21"/>
                <w:highlight w:val="none"/>
                <w:lang w:val="en-US" w:eastAsia="zh-CN"/>
              </w:rPr>
            </w:pPr>
            <w:r>
              <w:rPr>
                <w:rFonts w:ascii="Segoe UI" w:hAnsi="Segoe UI" w:eastAsia="Segoe UI" w:cs="Segoe UI"/>
                <w:i w:val="0"/>
                <w:iCs w:val="0"/>
                <w:caps w:val="0"/>
                <w:color w:val="auto"/>
                <w:spacing w:val="0"/>
                <w:sz w:val="20"/>
                <w:szCs w:val="20"/>
                <w:highlight w:val="none"/>
              </w:rPr>
              <w:t>根据各投标人提供的针对本项目实际情况制定的维护日志与记录方案，包括但不限于日志记录内容（如维护时间、维护部位、维护人员、维护操作详情等）、记录规范（如填写标准、归档流程、查阅机制等</w:t>
            </w:r>
            <w:r>
              <w:rPr>
                <w:rFonts w:hint="eastAsia" w:ascii="宋体" w:hAnsi="宋体" w:cs="宋体"/>
                <w:color w:val="auto"/>
                <w:szCs w:val="21"/>
                <w:highlight w:val="none"/>
              </w:rPr>
              <w:t>）、记录完整性（如无关键信息缺失、无时间断层）、准确性、可追溯性等综合评分，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389216B4">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b/>
                <w:bCs/>
                <w:color w:val="auto"/>
                <w:kern w:val="0"/>
                <w:szCs w:val="21"/>
                <w:highlight w:val="none"/>
              </w:rPr>
            </w:pPr>
            <w:r>
              <w:rPr>
                <w:rFonts w:hint="default" w:ascii="Segoe UI" w:hAnsi="Segoe UI" w:eastAsia="Segoe UI" w:cs="Segoe UI"/>
                <w:i w:val="0"/>
                <w:iCs w:val="0"/>
                <w:caps w:val="0"/>
                <w:color w:val="auto"/>
                <w:spacing w:val="0"/>
                <w:sz w:val="20"/>
                <w:szCs w:val="20"/>
                <w:highlight w:val="none"/>
              </w:rPr>
              <w:t>【技术标中须能充分反映出本评分项内容】</w:t>
            </w:r>
          </w:p>
        </w:tc>
      </w:tr>
      <w:tr w14:paraId="1336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04489E16">
            <w:pPr>
              <w:pStyle w:val="14"/>
              <w:shd w:val="clear"/>
              <w:kinsoku/>
              <w:overflowPunct/>
              <w:bidi w:val="0"/>
              <w:spacing w:after="0" w:line="500" w:lineRule="exact"/>
              <w:ind w:left="0" w:leftChars="0" w:right="0" w:rightChars="0"/>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p>
        </w:tc>
        <w:tc>
          <w:tcPr>
            <w:tcW w:w="1127" w:type="dxa"/>
            <w:vAlign w:val="center"/>
          </w:tcPr>
          <w:p w14:paraId="0D3177B4">
            <w:pPr>
              <w:widowControl/>
              <w:shd w:val="clear"/>
              <w:kinsoku/>
              <w:overflowPunct/>
              <w:bidi w:val="0"/>
              <w:spacing w:line="440" w:lineRule="exact"/>
              <w:ind w:left="0" w:leftChars="0" w:right="0" w:rightChars="0"/>
              <w:jc w:val="center"/>
              <w:rPr>
                <w:rFonts w:hint="eastAsia" w:ascii="宋体" w:hAnsi="宋体" w:cs="宋体"/>
                <w:b/>
                <w:bCs/>
                <w:color w:val="auto"/>
                <w:kern w:val="0"/>
                <w:szCs w:val="21"/>
                <w:highlight w:val="none"/>
              </w:rPr>
            </w:pPr>
            <w:r>
              <w:rPr>
                <w:rFonts w:hint="eastAsia" w:ascii="宋体" w:hAnsi="宋体" w:eastAsia="宋体" w:cs="宋体"/>
                <w:b/>
                <w:bCs/>
                <w:color w:val="auto"/>
                <w:kern w:val="0"/>
                <w:szCs w:val="21"/>
                <w:highlight w:val="none"/>
              </w:rPr>
              <w:t>特殊情况恢复方案</w:t>
            </w:r>
          </w:p>
        </w:tc>
        <w:tc>
          <w:tcPr>
            <w:tcW w:w="778" w:type="dxa"/>
            <w:vAlign w:val="center"/>
          </w:tcPr>
          <w:p w14:paraId="7759431D">
            <w:pPr>
              <w:shd w:val="clear"/>
              <w:kinsoku/>
              <w:overflowPunct/>
              <w:bidi w:val="0"/>
              <w:spacing w:line="500" w:lineRule="exact"/>
              <w:ind w:left="0" w:leftChars="0" w:right="0" w:rightChars="0"/>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lang w:val="en-US" w:eastAsia="zh-CN"/>
              </w:rPr>
              <w:t>分</w:t>
            </w:r>
          </w:p>
        </w:tc>
        <w:tc>
          <w:tcPr>
            <w:tcW w:w="6977" w:type="dxa"/>
            <w:vAlign w:val="top"/>
          </w:tcPr>
          <w:p w14:paraId="1D18533C">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kern w:val="0"/>
                <w:szCs w:val="21"/>
                <w:highlight w:val="none"/>
                <w:lang w:val="en-US" w:eastAsia="zh-CN"/>
              </w:rPr>
            </w:pPr>
            <w:r>
              <w:rPr>
                <w:rFonts w:ascii="Segoe UI" w:hAnsi="Segoe UI" w:eastAsia="Segoe UI" w:cs="Segoe UI"/>
                <w:i w:val="0"/>
                <w:iCs w:val="0"/>
                <w:caps w:val="0"/>
                <w:color w:val="auto"/>
                <w:spacing w:val="0"/>
                <w:sz w:val="20"/>
                <w:szCs w:val="20"/>
                <w:highlight w:val="none"/>
              </w:rPr>
              <w:t>根据各投标人提供的针对本项目实际情况制定的特殊情况恢复方案，包括但不限于重大活动保障计划（如设施提前检修、人员值守安排等）、防汛抗台预案（如设备防护加固、排水疏导方案等）、雨雪灾害天气应对策略（如除冰除雪措施、设备防冻保护等）、重大节假日保障方案（如高频巡检计划</w:t>
            </w:r>
            <w:r>
              <w:rPr>
                <w:rFonts w:hint="eastAsia" w:ascii="宋体" w:hAnsi="宋体" w:cs="宋体"/>
                <w:color w:val="auto"/>
                <w:szCs w:val="21"/>
                <w:highlight w:val="none"/>
              </w:rPr>
              <w:t>、应急抢修准备等）、方案针对性、与项目实际贴合度、可操作性等综合评分，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4C3C7C35">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b/>
                <w:bCs/>
                <w:color w:val="auto"/>
                <w:kern w:val="0"/>
                <w:szCs w:val="21"/>
                <w:highlight w:val="none"/>
              </w:rPr>
            </w:pPr>
            <w:r>
              <w:rPr>
                <w:rFonts w:hint="default" w:ascii="Segoe UI" w:hAnsi="Segoe UI" w:eastAsia="Segoe UI" w:cs="Segoe UI"/>
                <w:i w:val="0"/>
                <w:iCs w:val="0"/>
                <w:caps w:val="0"/>
                <w:color w:val="auto"/>
                <w:spacing w:val="0"/>
                <w:sz w:val="20"/>
                <w:szCs w:val="20"/>
                <w:highlight w:val="none"/>
              </w:rPr>
              <w:t>【技术标中须能充分反映出本评分项内容】</w:t>
            </w:r>
          </w:p>
        </w:tc>
      </w:tr>
      <w:tr w14:paraId="1448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221F742">
            <w:pPr>
              <w:widowControl/>
              <w:shd w:val="clear"/>
              <w:kinsoku/>
              <w:overflowPunct/>
              <w:bidi w:val="0"/>
              <w:spacing w:line="440" w:lineRule="exact"/>
              <w:ind w:left="0" w:leftChars="0" w:right="0" w:rightChars="0"/>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4</w:t>
            </w:r>
          </w:p>
        </w:tc>
        <w:tc>
          <w:tcPr>
            <w:tcW w:w="1127" w:type="dxa"/>
            <w:vAlign w:val="center"/>
          </w:tcPr>
          <w:p w14:paraId="62CC59C0">
            <w:pPr>
              <w:widowControl/>
              <w:shd w:val="clear"/>
              <w:kinsoku/>
              <w:overflowPunct/>
              <w:bidi w:val="0"/>
              <w:spacing w:line="440" w:lineRule="exact"/>
              <w:ind w:left="0" w:leftChars="0" w:right="0" w:rightChars="0"/>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安全文明  作业方案</w:t>
            </w:r>
          </w:p>
        </w:tc>
        <w:tc>
          <w:tcPr>
            <w:tcW w:w="778" w:type="dxa"/>
            <w:vAlign w:val="center"/>
          </w:tcPr>
          <w:p w14:paraId="38C8CCE8">
            <w:pPr>
              <w:widowControl/>
              <w:shd w:val="clear"/>
              <w:kinsoku/>
              <w:overflowPunct/>
              <w:bidi w:val="0"/>
              <w:spacing w:line="440" w:lineRule="exact"/>
              <w:ind w:left="0" w:leftChars="0" w:right="0" w:rightChars="0"/>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lang w:val="en-US" w:eastAsia="zh-CN"/>
              </w:rPr>
              <w:t>分</w:t>
            </w:r>
          </w:p>
        </w:tc>
        <w:tc>
          <w:tcPr>
            <w:tcW w:w="6977" w:type="dxa"/>
            <w:vAlign w:val="top"/>
          </w:tcPr>
          <w:p w14:paraId="1E7A9761">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kern w:val="0"/>
                <w:szCs w:val="21"/>
                <w:highlight w:val="none"/>
                <w:lang w:val="en-US" w:eastAsia="zh-CN"/>
              </w:rPr>
            </w:pPr>
            <w:r>
              <w:rPr>
                <w:rFonts w:ascii="Segoe UI" w:hAnsi="Segoe UI" w:eastAsia="Segoe UI" w:cs="Segoe UI"/>
                <w:i w:val="0"/>
                <w:iCs w:val="0"/>
                <w:caps w:val="0"/>
                <w:color w:val="auto"/>
                <w:spacing w:val="0"/>
                <w:sz w:val="20"/>
                <w:szCs w:val="20"/>
                <w:highlight w:val="none"/>
              </w:rPr>
              <w:t>根据各投标人提供的针对本项目实际情况制定的安全文明作业方案，包括但不限于道路作业安全保障措施（如警示标识设置、交通疏导方案等）</w:t>
            </w:r>
            <w:r>
              <w:rPr>
                <w:rFonts w:hint="eastAsia" w:ascii="宋体" w:hAnsi="宋体" w:cs="宋体"/>
                <w:color w:val="auto"/>
                <w:szCs w:val="21"/>
                <w:highlight w:val="none"/>
              </w:rPr>
              <w:t>、人员服装规范（如统一工装标准、安全防护装备要求等）、方案全面性、措施合理性、与项目现场适配性等综合评分，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0437CABA">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b/>
                <w:bCs/>
                <w:color w:val="auto"/>
                <w:kern w:val="0"/>
                <w:szCs w:val="21"/>
                <w:highlight w:val="none"/>
              </w:rPr>
            </w:pPr>
            <w:r>
              <w:rPr>
                <w:rFonts w:hint="default" w:ascii="Segoe UI" w:hAnsi="Segoe UI" w:eastAsia="Segoe UI" w:cs="Segoe UI"/>
                <w:i w:val="0"/>
                <w:iCs w:val="0"/>
                <w:caps w:val="0"/>
                <w:color w:val="auto"/>
                <w:spacing w:val="0"/>
                <w:sz w:val="20"/>
                <w:szCs w:val="20"/>
                <w:highlight w:val="none"/>
              </w:rPr>
              <w:t>【技术标中须能充分反映出本评分项内容】</w:t>
            </w:r>
          </w:p>
        </w:tc>
      </w:tr>
      <w:tr w14:paraId="5FB3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C36C6AA">
            <w:pPr>
              <w:widowControl/>
              <w:shd w:val="clear"/>
              <w:kinsoku/>
              <w:overflowPunct/>
              <w:bidi w:val="0"/>
              <w:spacing w:line="440" w:lineRule="exact"/>
              <w:ind w:left="0" w:leftChars="0" w:right="0" w:rightChars="0"/>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5</w:t>
            </w:r>
          </w:p>
        </w:tc>
        <w:tc>
          <w:tcPr>
            <w:tcW w:w="1127" w:type="dxa"/>
            <w:vAlign w:val="center"/>
          </w:tcPr>
          <w:p w14:paraId="3EE3C8EE">
            <w:pPr>
              <w:widowControl/>
              <w:shd w:val="clear"/>
              <w:kinsoku/>
              <w:overflowPunct/>
              <w:bidi w:val="0"/>
              <w:spacing w:line="440" w:lineRule="exact"/>
              <w:ind w:left="0" w:leftChars="0" w:right="0" w:rightChars="0"/>
              <w:jc w:val="center"/>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人员管理和培训方 案</w:t>
            </w:r>
          </w:p>
        </w:tc>
        <w:tc>
          <w:tcPr>
            <w:tcW w:w="778" w:type="dxa"/>
            <w:vAlign w:val="center"/>
          </w:tcPr>
          <w:p w14:paraId="72DC98F8">
            <w:pPr>
              <w:widowControl/>
              <w:shd w:val="clear"/>
              <w:kinsoku/>
              <w:overflowPunct/>
              <w:bidi w:val="0"/>
              <w:spacing w:line="440" w:lineRule="exact"/>
              <w:ind w:left="0" w:leftChars="0" w:right="0" w:rightChars="0"/>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lang w:val="en-US" w:eastAsia="zh-CN"/>
              </w:rPr>
              <w:t>分</w:t>
            </w:r>
          </w:p>
        </w:tc>
        <w:tc>
          <w:tcPr>
            <w:tcW w:w="6977" w:type="dxa"/>
            <w:vAlign w:val="top"/>
          </w:tcPr>
          <w:p w14:paraId="65432828">
            <w:pPr>
              <w:keepNext w:val="0"/>
              <w:keepLines w:val="0"/>
              <w:pageBreakBefore w:val="0"/>
              <w:widowControl w:val="0"/>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kern w:val="0"/>
                <w:szCs w:val="21"/>
                <w:highlight w:val="none"/>
                <w:lang w:val="en-US" w:eastAsia="zh-CN"/>
              </w:rPr>
            </w:pPr>
            <w:r>
              <w:rPr>
                <w:rFonts w:hint="eastAsia" w:ascii="Segoe UI" w:hAnsi="Segoe UI" w:eastAsia="Segoe UI" w:cs="Segoe UI"/>
                <w:i w:val="0"/>
                <w:iCs w:val="0"/>
                <w:caps w:val="0"/>
                <w:color w:val="auto"/>
                <w:spacing w:val="0"/>
                <w:sz w:val="20"/>
                <w:szCs w:val="20"/>
                <w:highlight w:val="none"/>
              </w:rPr>
              <w:t>根据各投标人提供的针对本项目实际情况制定的人员管理和培训方案，包括但不限于人员培训计划（如培训周期、培训内容模块等）、培训方式（如线上理论教学、线下实操演练等）、培训目标（如技能达标要求等）、人员行为规范（如作业操作准则、沟通服务规范等）、录用与考核机制（如招聘标准、绩效评估办法等）、淘</w:t>
            </w:r>
            <w:r>
              <w:rPr>
                <w:rFonts w:hint="eastAsia" w:ascii="宋体" w:hAnsi="宋体" w:cs="宋体"/>
                <w:color w:val="auto"/>
                <w:szCs w:val="21"/>
                <w:highlight w:val="none"/>
              </w:rPr>
              <w:t>汰与奖罚制度（如末位淘汰规则、奖惩等级设定等）、方案完整性、针对性、可行性等综合评分，</w:t>
            </w:r>
            <w:r>
              <w:rPr>
                <w:rFonts w:hint="eastAsia" w:ascii="宋体" w:hAnsi="宋体" w:cs="宋体"/>
                <w:color w:val="auto"/>
                <w:szCs w:val="21"/>
                <w:highlight w:val="none"/>
                <w:lang w:val="en-US" w:eastAsia="zh-CN"/>
              </w:rPr>
              <w:t>优秀</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分；良</w:t>
            </w:r>
            <w:r>
              <w:rPr>
                <w:rFonts w:hint="eastAsia" w:ascii="宋体" w:hAnsi="宋体" w:cs="宋体"/>
                <w:color w:val="auto"/>
                <w:szCs w:val="21"/>
                <w:highlight w:val="none"/>
                <w:lang w:val="en-US" w:eastAsia="zh-CN"/>
              </w:rPr>
              <w:t>好</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分；一般的得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不合格或</w:t>
            </w:r>
            <w:r>
              <w:rPr>
                <w:rFonts w:hint="eastAsia" w:ascii="宋体" w:hAnsi="宋体" w:cs="宋体"/>
                <w:color w:val="auto"/>
                <w:szCs w:val="21"/>
                <w:highlight w:val="none"/>
              </w:rPr>
              <w:t>未提供的不得分。</w:t>
            </w:r>
          </w:p>
          <w:p w14:paraId="052D340F">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left="0" w:leftChars="0" w:right="0" w:rightChars="0"/>
              <w:textAlignment w:val="auto"/>
              <w:rPr>
                <w:rFonts w:hint="eastAsia" w:ascii="宋体" w:hAnsi="宋体" w:cs="宋体"/>
                <w:b/>
                <w:bCs/>
                <w:color w:val="auto"/>
                <w:kern w:val="0"/>
                <w:szCs w:val="21"/>
                <w:highlight w:val="none"/>
              </w:rPr>
            </w:pPr>
            <w:r>
              <w:rPr>
                <w:rFonts w:hint="eastAsia" w:ascii="Segoe UI" w:hAnsi="Segoe UI" w:eastAsia="Segoe UI" w:cs="Segoe UI"/>
                <w:i w:val="0"/>
                <w:iCs w:val="0"/>
                <w:caps w:val="0"/>
                <w:color w:val="auto"/>
                <w:spacing w:val="0"/>
                <w:sz w:val="20"/>
                <w:szCs w:val="20"/>
                <w:highlight w:val="none"/>
              </w:rPr>
              <w:t>【技术标中须能充分反映出本评分项内容】</w:t>
            </w:r>
          </w:p>
        </w:tc>
      </w:tr>
      <w:tr w14:paraId="0CE5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79" w:type="dxa"/>
            <w:gridSpan w:val="4"/>
            <w:vAlign w:val="center"/>
          </w:tcPr>
          <w:p w14:paraId="6BDBAEAB">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注：1.各投标人技术标总得分为各评委评分的平均值为最终得分。取两位小数，小数点后第三位四舍五入。</w:t>
            </w:r>
          </w:p>
          <w:p w14:paraId="318A0434">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61FB2E5C">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2.1 技术标暗标不设空白页。技术标投标文件封面不出现投标人、法定代表人签章内容，格式以系统设置为准。正文必须按招标文件要求的顺序进行排版；</w:t>
            </w:r>
          </w:p>
          <w:p w14:paraId="0DC0614F">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5186B820">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2BE34F38">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3.技术标暗标文件的格式、制作不符合上述要求的，每一分项扣0.2分。技术标实行暗标的，对技术标（暗标）部分不予澄清、说明或者补正。</w:t>
            </w:r>
          </w:p>
          <w:p w14:paraId="5B9B1474">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b/>
                <w:bCs/>
                <w:color w:val="auto"/>
                <w:kern w:val="0"/>
                <w:szCs w:val="21"/>
                <w:highlight w:val="none"/>
              </w:rPr>
              <w:t>技术标的</w:t>
            </w:r>
            <w:r>
              <w:rPr>
                <w:rFonts w:hint="eastAsia" w:ascii="宋体" w:hAnsi="宋体" w:cs="宋体"/>
                <w:b/>
                <w:bCs/>
                <w:color w:val="auto"/>
                <w:kern w:val="0"/>
                <w:szCs w:val="21"/>
                <w:highlight w:val="none"/>
                <w:lang w:val="en-US" w:eastAsia="zh-CN"/>
              </w:rPr>
              <w:t>每个评分点</w:t>
            </w:r>
            <w:r>
              <w:rPr>
                <w:rFonts w:hint="eastAsia" w:ascii="宋体" w:hAnsi="宋体" w:cs="宋体"/>
                <w:b/>
                <w:bCs/>
                <w:color w:val="auto"/>
                <w:kern w:val="0"/>
                <w:szCs w:val="21"/>
                <w:highlight w:val="none"/>
              </w:rPr>
              <w:t>页数不多于</w:t>
            </w:r>
            <w:r>
              <w:rPr>
                <w:rFonts w:hint="eastAsia" w:ascii="宋体" w:hAnsi="宋体" w:cs="宋体"/>
                <w:b/>
                <w:bCs/>
                <w:color w:val="auto"/>
                <w:kern w:val="0"/>
                <w:szCs w:val="21"/>
                <w:highlight w:val="none"/>
                <w:lang w:val="en-US" w:eastAsia="zh-CN"/>
              </w:rPr>
              <w:t>30</w:t>
            </w:r>
            <w:r>
              <w:rPr>
                <w:rFonts w:hint="eastAsia" w:ascii="宋体" w:hAnsi="宋体" w:cs="宋体"/>
                <w:b/>
                <w:bCs/>
                <w:color w:val="auto"/>
                <w:kern w:val="0"/>
                <w:szCs w:val="21"/>
                <w:highlight w:val="none"/>
              </w:rPr>
              <w:t>页</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含附图、附表</w:t>
            </w:r>
            <w:r>
              <w:rPr>
                <w:rFonts w:hint="eastAsia" w:ascii="宋体" w:hAnsi="宋体" w:cs="宋体"/>
                <w:b/>
                <w:bCs/>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olor w:val="auto"/>
                <w:szCs w:val="21"/>
                <w:highlight w:val="none"/>
              </w:rPr>
              <w:t>具体篇幅(字数)要求及扣分标准（扣分值为0.</w:t>
            </w:r>
            <w:r>
              <w:rPr>
                <w:rFonts w:hint="eastAsia" w:ascii="宋体" w:hAnsi="宋体"/>
                <w:color w:val="auto"/>
                <w:szCs w:val="21"/>
                <w:highlight w:val="none"/>
                <w:lang w:val="en-US" w:eastAsia="zh-CN"/>
              </w:rPr>
              <w:t>5</w:t>
            </w:r>
            <w:r>
              <w:rPr>
                <w:rFonts w:hint="eastAsia" w:ascii="宋体" w:hAnsi="宋体"/>
                <w:color w:val="auto"/>
                <w:szCs w:val="21"/>
                <w:highlight w:val="none"/>
              </w:rPr>
              <w:t>分）。偏离规定标准的，评标委员会应酌情扣分。</w:t>
            </w:r>
          </w:p>
          <w:p w14:paraId="3A7D6C52">
            <w:pPr>
              <w:widowControl/>
              <w:shd w:val="clear"/>
              <w:kinsoku/>
              <w:overflowPunct/>
              <w:bidi w:val="0"/>
              <w:spacing w:line="500" w:lineRule="exact"/>
              <w:ind w:left="0" w:leftChars="0" w:right="0" w:rightChars="0"/>
              <w:jc w:val="left"/>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19140C7C">
            <w:pPr>
              <w:shd w:val="clear"/>
              <w:kinsoku/>
              <w:overflowPunct/>
              <w:bidi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如所有投标企业技术标都出现能反映企业信息等相关内容的，该项目流标。</w:t>
            </w:r>
          </w:p>
        </w:tc>
      </w:tr>
    </w:tbl>
    <w:p w14:paraId="3C023600">
      <w:pPr>
        <w:shd w:val="clear"/>
        <w:kinsoku/>
        <w:overflowPunct/>
        <w:bidi w:val="0"/>
        <w:adjustRightInd w:val="0"/>
        <w:snapToGrid w:val="0"/>
        <w:spacing w:line="500" w:lineRule="exact"/>
        <w:ind w:left="0" w:leftChars="0" w:right="0" w:rightChars="0"/>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40</w:t>
      </w:r>
      <w:r>
        <w:rPr>
          <w:rFonts w:hint="eastAsia" w:ascii="宋体" w:hAnsi="宋体" w:cs="宋体"/>
          <w:b/>
          <w:bCs/>
          <w:color w:val="auto"/>
          <w:szCs w:val="21"/>
          <w:highlight w:val="none"/>
        </w:rPr>
        <w:t>分）</w:t>
      </w:r>
    </w:p>
    <w:tbl>
      <w:tblPr>
        <w:tblStyle w:val="35"/>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01D9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6E94CD9D">
            <w:pPr>
              <w:shd w:val="clear"/>
              <w:kinsoku/>
              <w:overflowPunct/>
              <w:bidi w:val="0"/>
              <w:spacing w:line="500" w:lineRule="exact"/>
              <w:ind w:left="0" w:leftChars="0" w:right="0" w:rightChars="0"/>
              <w:jc w:val="center"/>
              <w:rPr>
                <w:rFonts w:ascii="宋体" w:hAnsi="宋体" w:cs="宋体"/>
                <w:b/>
                <w:bCs/>
                <w:color w:val="auto"/>
                <w:highlight w:val="none"/>
              </w:rPr>
            </w:pPr>
            <w:bookmarkStart w:id="87" w:name="_Toc449028881"/>
            <w:bookmarkStart w:id="88" w:name="_Toc23311"/>
            <w:bookmarkStart w:id="89" w:name="_Toc58430321"/>
            <w:r>
              <w:rPr>
                <w:rFonts w:hint="eastAsia" w:ascii="宋体" w:hAnsi="宋体" w:cs="宋体"/>
                <w:b/>
                <w:bCs/>
                <w:color w:val="auto"/>
                <w:highlight w:val="none"/>
              </w:rPr>
              <w:t>评分因素</w:t>
            </w:r>
          </w:p>
        </w:tc>
        <w:tc>
          <w:tcPr>
            <w:tcW w:w="8584" w:type="dxa"/>
            <w:vAlign w:val="center"/>
          </w:tcPr>
          <w:p w14:paraId="7C74BBB5">
            <w:pPr>
              <w:shd w:val="clear"/>
              <w:kinsoku/>
              <w:overflowPunct/>
              <w:bidi w:val="0"/>
              <w:spacing w:line="500" w:lineRule="exact"/>
              <w:ind w:left="0" w:leftChars="0" w:right="0" w:rightChars="0"/>
              <w:jc w:val="center"/>
              <w:rPr>
                <w:rFonts w:ascii="宋体" w:hAnsi="宋体" w:cs="宋体"/>
                <w:b/>
                <w:bCs/>
                <w:color w:val="auto"/>
                <w:highlight w:val="none"/>
              </w:rPr>
            </w:pPr>
            <w:r>
              <w:rPr>
                <w:rFonts w:hint="eastAsia" w:ascii="宋体" w:hAnsi="宋体" w:cs="宋体"/>
                <w:b/>
                <w:bCs/>
                <w:color w:val="auto"/>
                <w:highlight w:val="none"/>
              </w:rPr>
              <w:t>评审细则</w:t>
            </w:r>
          </w:p>
        </w:tc>
      </w:tr>
      <w:tr w14:paraId="2244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345" w:type="dxa"/>
            <w:vAlign w:val="center"/>
          </w:tcPr>
          <w:p w14:paraId="3F6F80B0">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商务标</w:t>
            </w:r>
          </w:p>
          <w:p w14:paraId="114B7101">
            <w:pPr>
              <w:shd w:val="clear"/>
              <w:kinsoku/>
              <w:overflowPunct/>
              <w:bidi w:val="0"/>
              <w:spacing w:line="500" w:lineRule="exact"/>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8584" w:type="dxa"/>
          </w:tcPr>
          <w:p w14:paraId="70110B44">
            <w:pPr>
              <w:shd w:val="clear"/>
              <w:tabs>
                <w:tab w:val="left" w:pos="1080"/>
              </w:tabs>
              <w:kinsoku/>
              <w:overflowPunct/>
              <w:bidi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2DEC4737">
            <w:pPr>
              <w:shd w:val="clear"/>
              <w:tabs>
                <w:tab w:val="left" w:pos="1080"/>
              </w:tabs>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w:t>
            </w:r>
            <w:r>
              <w:rPr>
                <w:rFonts w:hint="eastAsia" w:ascii="宋体" w:hAnsi="宋体" w:cs="宋体"/>
                <w:color w:val="auto"/>
                <w:szCs w:val="21"/>
                <w:highlight w:val="none"/>
                <w:lang w:val="en-US" w:eastAsia="zh-CN"/>
              </w:rPr>
              <w:t>40分</w:t>
            </w:r>
            <w:r>
              <w:rPr>
                <w:rFonts w:hint="eastAsia" w:ascii="宋体" w:hAnsi="宋体" w:cs="宋体"/>
                <w:color w:val="auto"/>
                <w:szCs w:val="21"/>
                <w:highlight w:val="none"/>
              </w:rPr>
              <w:t>；</w:t>
            </w:r>
          </w:p>
          <w:p w14:paraId="62047AB0">
            <w:pPr>
              <w:shd w:val="clear"/>
              <w:tabs>
                <w:tab w:val="left" w:pos="1080"/>
              </w:tabs>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，小数点后保留两位小数，第三位四舍五入；</w:t>
            </w:r>
          </w:p>
          <w:p w14:paraId="3FAA775C">
            <w:pPr>
              <w:shd w:val="clear"/>
              <w:kinsoku/>
              <w:overflowPunct/>
              <w:bidi w:val="0"/>
              <w:spacing w:line="500" w:lineRule="exact"/>
              <w:ind w:left="0" w:leftChars="0" w:right="0" w:rightChars="0"/>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61653210">
      <w:pPr>
        <w:shd w:val="clear"/>
        <w:kinsoku/>
        <w:overflowPunct/>
        <w:bidi w:val="0"/>
        <w:spacing w:beforeLines="50" w:afterLines="50" w:line="500" w:lineRule="exact"/>
        <w:ind w:left="0" w:leftChars="0" w:right="0" w:rightChars="0"/>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86"/>
      <w:bookmarkEnd w:id="87"/>
      <w:bookmarkEnd w:id="88"/>
      <w:bookmarkEnd w:id="89"/>
    </w:p>
    <w:p w14:paraId="6C11D8F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7.评标委员会按资信、技术及商务三部分得分之和从高到低按顺序，推荐3名中标候选人。 </w:t>
      </w:r>
    </w:p>
    <w:p w14:paraId="4A477A61">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77C96248">
      <w:pPr>
        <w:shd w:val="clear"/>
        <w:kinsoku/>
        <w:overflowPunct/>
        <w:bidi w:val="0"/>
        <w:snapToGrid w:val="0"/>
        <w:spacing w:line="500" w:lineRule="exact"/>
        <w:ind w:left="0" w:leftChars="0" w:right="0" w:rightChars="0"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7.2</w:t>
      </w: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2A30D6FF">
      <w:pPr>
        <w:shd w:val="clear"/>
        <w:kinsoku/>
        <w:overflowPunct/>
        <w:bidi w:val="0"/>
        <w:snapToGrid w:val="0"/>
        <w:spacing w:line="500" w:lineRule="exact"/>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4C4D3125">
      <w:pPr>
        <w:shd w:val="clear"/>
        <w:kinsoku/>
        <w:overflowPunct/>
        <w:bidi w:val="0"/>
        <w:snapToGrid w:val="0"/>
        <w:spacing w:line="500" w:lineRule="exact"/>
        <w:ind w:left="0" w:leftChars="0" w:right="0" w:rightChars="0"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8.1投标文件有下列情形之一的,其投标文件拒收</w:t>
      </w:r>
      <w:r>
        <w:rPr>
          <w:rFonts w:hint="eastAsia" w:ascii="宋体" w:hAnsi="宋体" w:cs="宋体"/>
          <w:color w:val="auto"/>
          <w:szCs w:val="21"/>
          <w:highlight w:val="none"/>
          <w:lang w:eastAsia="zh-CN"/>
        </w:rPr>
        <w:t>：</w:t>
      </w:r>
    </w:p>
    <w:p w14:paraId="25486316">
      <w:pPr>
        <w:shd w:val="clear"/>
        <w:kinsoku/>
        <w:overflowPunct/>
        <w:bidi w:val="0"/>
        <w:spacing w:line="500" w:lineRule="exact"/>
        <w:ind w:left="0" w:leftChars="0" w:right="0" w:rightChars="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(1)未在开标截止时间前通过网上招标投标系统递交有效电子投标文件的，开标系统不予接收，投标将被拒绝。</w:t>
      </w:r>
    </w:p>
    <w:p w14:paraId="032F384C">
      <w:pPr>
        <w:shd w:val="clear"/>
        <w:kinsoku/>
        <w:overflowPunct/>
        <w:bidi w:val="0"/>
        <w:spacing w:line="500" w:lineRule="exact"/>
        <w:ind w:left="0" w:leftChars="0" w:right="0" w:rightChars="0"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461058F3">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26225DDB">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08311410">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70D3998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27F561E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5043905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73833E4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23280C9F">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4F7C9B4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79DA9B4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55AACE0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071CA90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182FFAD7">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06E7FC54">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6617352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5AB0255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2F4BF5B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04069147">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0AAE80AD">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4D7856A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）投标文件签字、盖章不全，经评标委员会一致认定对开评标内容有实质性影响并经公共资源交易监督部门核准的；</w:t>
      </w:r>
    </w:p>
    <w:p w14:paraId="7D0DA2D7">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）未按规定的格式填写导致实质性内容不全以及实质上不响应，或者关键字迹模糊、无法辨认； 经公共资源交易监督部门核准的；</w:t>
      </w:r>
    </w:p>
    <w:p w14:paraId="3B6D027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2F2F2D1C">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1EEEB9EF">
      <w:pPr>
        <w:shd w:val="clear"/>
        <w:kinsoku/>
        <w:overflowPunct/>
        <w:bidi w:val="0"/>
        <w:spacing w:line="500" w:lineRule="exact"/>
        <w:ind w:left="0" w:leftChars="0" w:right="0" w:rightChars="0"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E19B42B">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74AC2049">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）其它情形，经评标委员会委提出按无效投标处理，并经公共资源交易监督部门核准的；</w:t>
      </w:r>
    </w:p>
    <w:p w14:paraId="37212B76">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）投标文件含有招标人不能接受的附加条件的;</w:t>
      </w:r>
    </w:p>
    <w:p w14:paraId="337C06DE">
      <w:pPr>
        <w:shd w:val="clear"/>
        <w:tabs>
          <w:tab w:val="left" w:pos="1123"/>
        </w:tabs>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1B889E95">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0EE7933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3B243CBF">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1D104C0A">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92F2D3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37F07218">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442AAE7D">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1358FED2">
      <w:pPr>
        <w:shd w:val="clear"/>
        <w:kinsoku/>
        <w:overflowPunct/>
        <w:bidi w:val="0"/>
        <w:snapToGrid w:val="0"/>
        <w:spacing w:line="500" w:lineRule="exact"/>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bookmarkEnd w:id="69"/>
    <w:p w14:paraId="5037E0B5">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bookmarkStart w:id="90" w:name="_Toc30417"/>
      <w:bookmarkStart w:id="91" w:name="_Toc449028945"/>
      <w:bookmarkStart w:id="92" w:name="_Toc22340"/>
    </w:p>
    <w:p w14:paraId="4D0AFE36">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1B20C00F">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6ED8D5D1">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3669F67D">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548B81E2">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41AAD168">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5D09A85C">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33366208">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5FE44EA1">
      <w:pPr>
        <w:numPr>
          <w:ilvl w:val="0"/>
          <w:numId w:val="0"/>
        </w:numPr>
        <w:shd w:val="clear"/>
        <w:kinsoku/>
        <w:overflowPunct/>
        <w:bidi w:val="0"/>
        <w:snapToGrid w:val="0"/>
        <w:spacing w:line="440" w:lineRule="exact"/>
        <w:ind w:left="0" w:leftChars="0" w:right="0" w:rightChars="0" w:firstLine="14" w:firstLineChars="0"/>
        <w:jc w:val="center"/>
        <w:outlineLvl w:val="0"/>
        <w:rPr>
          <w:rFonts w:hint="eastAsia" w:ascii="宋体"/>
          <w:b/>
          <w:color w:val="auto"/>
          <w:sz w:val="32"/>
          <w:szCs w:val="32"/>
          <w:highlight w:val="none"/>
          <w:lang w:val="en-US" w:eastAsia="zh-CN"/>
        </w:rPr>
      </w:pPr>
    </w:p>
    <w:p w14:paraId="73EE4575">
      <w:pPr>
        <w:numPr>
          <w:ilvl w:val="0"/>
          <w:numId w:val="0"/>
        </w:numPr>
        <w:shd w:val="clear"/>
        <w:kinsoku/>
        <w:overflowPunct/>
        <w:bidi w:val="0"/>
        <w:snapToGrid w:val="0"/>
        <w:spacing w:line="440" w:lineRule="exact"/>
        <w:ind w:left="0" w:leftChars="0" w:right="0" w:rightChars="0" w:firstLine="14" w:firstLineChars="0"/>
        <w:jc w:val="center"/>
        <w:outlineLvl w:val="0"/>
        <w:rPr>
          <w:rFonts w:hAnsi="宋体"/>
          <w:b/>
          <w:bCs/>
          <w:color w:val="auto"/>
          <w:sz w:val="32"/>
          <w:szCs w:val="32"/>
          <w:highlight w:val="none"/>
        </w:rPr>
      </w:pPr>
      <w:r>
        <w:rPr>
          <w:rFonts w:hint="eastAsia" w:ascii="宋体"/>
          <w:b/>
          <w:color w:val="auto"/>
          <w:sz w:val="32"/>
          <w:szCs w:val="32"/>
          <w:highlight w:val="none"/>
          <w:lang w:val="en-US" w:eastAsia="zh-CN"/>
        </w:rPr>
        <w:t>第四章</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服务内容及技术要</w:t>
      </w:r>
      <w:r>
        <w:rPr>
          <w:rFonts w:hint="eastAsia" w:hAnsi="宋体"/>
          <w:b/>
          <w:bCs/>
          <w:color w:val="auto"/>
          <w:sz w:val="32"/>
          <w:szCs w:val="32"/>
          <w:highlight w:val="none"/>
        </w:rPr>
        <w:t>求</w:t>
      </w:r>
      <w:bookmarkEnd w:id="90"/>
    </w:p>
    <w:p w14:paraId="29F61579">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一、项目概况</w:t>
      </w:r>
    </w:p>
    <w:p w14:paraId="4159673A">
      <w:pPr>
        <w:pStyle w:val="52"/>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420" w:firstLineChars="200"/>
        <w:textAlignment w:val="auto"/>
        <w:rPr>
          <w:rFonts w:hint="eastAsia"/>
          <w:b w:val="0"/>
          <w:bCs w:val="0"/>
          <w:color w:val="auto"/>
          <w:highlight w:val="none"/>
        </w:rPr>
      </w:pPr>
      <w:r>
        <w:rPr>
          <w:rFonts w:hint="eastAsia"/>
          <w:b w:val="0"/>
          <w:bCs w:val="0"/>
          <w:color w:val="auto"/>
          <w:highlight w:val="none"/>
          <w:lang w:val="en-US" w:eastAsia="zh-CN"/>
        </w:rPr>
        <w:t>为保障滁州工投新能源开发有限公司旗下运营的光伏电站及电动汽车充电站的高压配电设施安全、稳定、高效的运行，现公开招标巡检维护服务单位。服务范围涵盖所有场站内的环网柜、箱变及其内部全部设施，以及高压下火线至环网柜、箱变段的高压配电设施。</w:t>
      </w:r>
    </w:p>
    <w:p w14:paraId="0DD7098B">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二、工作内容</w:t>
      </w:r>
    </w:p>
    <w:p w14:paraId="72C52CF5">
      <w:pPr>
        <w:keepNext w:val="0"/>
        <w:keepLines w:val="0"/>
        <w:pageBreakBefore w:val="0"/>
        <w:kinsoku/>
        <w:wordWrap/>
        <w:overflowPunct/>
        <w:topLinePunct w:val="0"/>
        <w:autoSpaceDE/>
        <w:autoSpaceDN/>
        <w:bidi w:val="0"/>
        <w:adjustRightInd/>
        <w:snapToGrid w:val="0"/>
        <w:spacing w:line="400" w:lineRule="exact"/>
        <w:ind w:left="0" w:leftChars="0" w:right="0" w:rightChars="0" w:firstLine="422" w:firstLineChars="200"/>
        <w:textAlignment w:val="auto"/>
        <w:rPr>
          <w:rFonts w:hint="eastAsia" w:ascii="宋体" w:hAnsi="宋体" w:cs="宋体"/>
          <w:b w:val="0"/>
          <w:bCs/>
          <w:color w:val="auto"/>
          <w:szCs w:val="21"/>
          <w:highlight w:val="none"/>
          <w:lang w:val="en-US" w:eastAsia="zh-CN"/>
        </w:rPr>
      </w:pPr>
      <w:r>
        <w:rPr>
          <w:rFonts w:hint="eastAsia" w:ascii="宋体" w:hAnsi="宋体" w:cs="宋体"/>
          <w:b/>
          <w:bCs w:val="0"/>
          <w:color w:val="auto"/>
          <w:szCs w:val="21"/>
          <w:highlight w:val="none"/>
          <w:lang w:val="en-US" w:eastAsia="zh-CN"/>
        </w:rPr>
        <w:t>1、工作范围：</w:t>
      </w:r>
      <w:r>
        <w:rPr>
          <w:rFonts w:hint="eastAsia" w:ascii="宋体" w:hAnsi="宋体" w:eastAsia="宋体" w:cs="宋体"/>
          <w:color w:val="auto"/>
          <w:szCs w:val="21"/>
          <w:highlight w:val="none"/>
          <w:shd w:val="clear" w:color="auto" w:fill="auto"/>
          <w:lang w:val="en-US" w:eastAsia="zh-CN"/>
        </w:rPr>
        <w:t>具体以《工程量清单》所列场站及设备为准。</w:t>
      </w:r>
    </w:p>
    <w:p w14:paraId="614494CB">
      <w:pPr>
        <w:shd w:val="clear"/>
        <w:kinsoku/>
        <w:overflowPunct/>
        <w:bidi w:val="0"/>
        <w:snapToGrid w:val="0"/>
        <w:spacing w:line="500" w:lineRule="exact"/>
        <w:ind w:left="0" w:leftChars="0" w:right="0" w:rightChars="0" w:firstLine="422" w:firstLineChars="200"/>
        <w:jc w:val="left"/>
        <w:rPr>
          <w:rFonts w:hint="eastAsia" w:ascii="宋体" w:hAnsi="宋体" w:eastAsia="宋体" w:cs="宋体"/>
          <w:color w:val="auto"/>
          <w:szCs w:val="21"/>
          <w:highlight w:val="none"/>
          <w:shd w:val="clear" w:color="auto" w:fill="auto"/>
          <w:lang w:val="en-US" w:eastAsia="zh-CN"/>
        </w:rPr>
      </w:pPr>
      <w:r>
        <w:rPr>
          <w:rFonts w:hint="eastAsia" w:ascii="宋体" w:hAnsi="宋体" w:cs="宋体"/>
          <w:b/>
          <w:bCs w:val="0"/>
          <w:color w:val="auto"/>
          <w:szCs w:val="21"/>
          <w:highlight w:val="none"/>
          <w:lang w:val="en-US" w:eastAsia="zh-CN"/>
        </w:rPr>
        <w:t>2、巡检维护内容：</w:t>
      </w:r>
      <w:r>
        <w:rPr>
          <w:rFonts w:hint="eastAsia" w:ascii="宋体" w:hAnsi="宋体" w:eastAsia="宋体" w:cs="宋体"/>
          <w:color w:val="auto"/>
          <w:szCs w:val="21"/>
          <w:highlight w:val="none"/>
          <w:shd w:val="clear" w:color="auto" w:fill="auto"/>
          <w:lang w:val="en-US" w:eastAsia="zh-CN"/>
        </w:rPr>
        <w:t>包括但不限于以下项目的检查、测试、记录与必要维护：</w:t>
      </w:r>
    </w:p>
    <w:p w14:paraId="62AEB64B">
      <w:pPr>
        <w:pStyle w:val="98"/>
        <w:keepNext w:val="0"/>
        <w:keepLines w:val="0"/>
        <w:pageBreakBefore w:val="0"/>
        <w:numPr>
          <w:ilvl w:val="0"/>
          <w:numId w:val="0"/>
        </w:numPr>
        <w:kinsoku/>
        <w:wordWrap/>
        <w:overflowPunct/>
        <w:topLinePunct w:val="0"/>
        <w:autoSpaceDE/>
        <w:autoSpaceDN/>
        <w:bidi w:val="0"/>
        <w:adjustRightInd/>
        <w:snapToGrid/>
        <w:spacing w:line="420" w:lineRule="exact"/>
        <w:ind w:left="0" w:leftChars="0" w:right="0" w:rightChars="0"/>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检查配电柜及柜上的电气元件名称、标志、编号是否正确，开关柜上的操作把手、按钮按键等。位置是否与实际情况一致，固定是否牢固，操作是否灵活。</w:t>
      </w:r>
    </w:p>
    <w:p w14:paraId="07622F04">
      <w:pPr>
        <w:pStyle w:val="98"/>
        <w:keepNext w:val="0"/>
        <w:keepLines w:val="0"/>
        <w:pageBreakBefore w:val="0"/>
        <w:kinsoku/>
        <w:wordWrap/>
        <w:overflowPunct/>
        <w:topLinePunct w:val="0"/>
        <w:autoSpaceDE/>
        <w:autoSpaceDN/>
        <w:bidi w:val="0"/>
        <w:adjustRightInd/>
        <w:snapToGrid/>
        <w:spacing w:line="420" w:lineRule="exact"/>
        <w:ind w:left="0" w:leftChars="0" w:right="0" w:rightChars="0" w:firstLine="63" w:firstLineChars="3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配电柜上表示“合闸”、“分闸”的按钮是否牢靠，操作是否灵活。</w:t>
      </w:r>
    </w:p>
    <w:p w14:paraId="16CDC704">
      <w:pPr>
        <w:pStyle w:val="98"/>
        <w:keepNext w:val="0"/>
        <w:keepLines w:val="0"/>
        <w:pageBreakBefore w:val="0"/>
        <w:kinsoku/>
        <w:wordWrap/>
        <w:overflowPunct/>
        <w:topLinePunct w:val="0"/>
        <w:autoSpaceDE/>
        <w:autoSpaceDN/>
        <w:bidi w:val="0"/>
        <w:adjustRightInd/>
        <w:snapToGrid/>
        <w:spacing w:line="420" w:lineRule="exact"/>
        <w:ind w:left="0" w:leftChars="0" w:right="0" w:rightChars="0" w:firstLine="63" w:firstLineChars="3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隔离开关、断路器、熔断器和互感器等的触点是否牢靠，有无过热、变色现象。</w:t>
      </w:r>
    </w:p>
    <w:p w14:paraId="0054DD13">
      <w:pPr>
        <w:pStyle w:val="98"/>
        <w:keepNext w:val="0"/>
        <w:keepLines w:val="0"/>
        <w:pageBreakBefore w:val="0"/>
        <w:kinsoku/>
        <w:wordWrap/>
        <w:overflowPunct/>
        <w:topLinePunct w:val="0"/>
        <w:autoSpaceDE/>
        <w:autoSpaceDN/>
        <w:bidi w:val="0"/>
        <w:adjustRightInd/>
        <w:snapToGrid/>
        <w:spacing w:line="420" w:lineRule="exact"/>
        <w:ind w:left="0" w:leftChars="0" w:right="0" w:rightChars="0" w:firstLine="63" w:firstLineChars="3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二次回路导线的绝缘是否破损、老化。</w:t>
      </w:r>
    </w:p>
    <w:p w14:paraId="5C0E9F9A">
      <w:pPr>
        <w:pStyle w:val="98"/>
        <w:keepNext w:val="0"/>
        <w:keepLines w:val="0"/>
        <w:pageBreakBefore w:val="0"/>
        <w:kinsoku/>
        <w:wordWrap/>
        <w:overflowPunct/>
        <w:topLinePunct w:val="0"/>
        <w:autoSpaceDE/>
        <w:autoSpaceDN/>
        <w:bidi w:val="0"/>
        <w:adjustRightInd/>
        <w:snapToGrid/>
        <w:spacing w:line="420" w:lineRule="exact"/>
        <w:ind w:left="0" w:leftChars="0" w:right="0" w:rightChars="0" w:firstLine="63" w:firstLineChars="3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开关柜上标的操作模拟板与电气设备运行状态是否对应。</w:t>
      </w:r>
    </w:p>
    <w:p w14:paraId="62E8AAC0">
      <w:pPr>
        <w:pStyle w:val="98"/>
        <w:keepNext w:val="0"/>
        <w:keepLines w:val="0"/>
        <w:pageBreakBefore w:val="0"/>
        <w:kinsoku/>
        <w:wordWrap/>
        <w:overflowPunct/>
        <w:topLinePunct w:val="0"/>
        <w:autoSpaceDE/>
        <w:autoSpaceDN/>
        <w:bidi w:val="0"/>
        <w:adjustRightInd/>
        <w:snapToGrid/>
        <w:spacing w:line="420" w:lineRule="exact"/>
        <w:ind w:left="0" w:leftChars="0" w:right="0" w:rightChars="0" w:firstLine="63" w:firstLineChars="3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仪表或表盘内玻璃是否松动，仪表指示是否正确。</w:t>
      </w:r>
    </w:p>
    <w:p w14:paraId="0F9C3B12">
      <w:pPr>
        <w:pStyle w:val="98"/>
        <w:keepNext w:val="0"/>
        <w:keepLines w:val="0"/>
        <w:pageBreakBefore w:val="0"/>
        <w:kinsoku/>
        <w:wordWrap/>
        <w:overflowPunct/>
        <w:topLinePunct w:val="0"/>
        <w:autoSpaceDE/>
        <w:autoSpaceDN/>
        <w:bidi w:val="0"/>
        <w:adjustRightInd/>
        <w:snapToGrid/>
        <w:spacing w:line="420" w:lineRule="exact"/>
        <w:ind w:left="0" w:leftChars="0" w:right="0" w:rightChars="0" w:firstLine="63" w:firstLineChars="3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箱变内照明灯具是否完好，亮度是否均匀，观察仪表时有无眩光。</w:t>
      </w:r>
    </w:p>
    <w:p w14:paraId="1B9D3FA2">
      <w:pPr>
        <w:pStyle w:val="98"/>
        <w:keepNext w:val="0"/>
        <w:keepLines w:val="0"/>
        <w:pageBreakBefore w:val="0"/>
        <w:kinsoku/>
        <w:wordWrap/>
        <w:overflowPunct/>
        <w:topLinePunct w:val="0"/>
        <w:autoSpaceDE/>
        <w:autoSpaceDN/>
        <w:bidi w:val="0"/>
        <w:adjustRightInd/>
        <w:snapToGrid/>
        <w:spacing w:line="420" w:lineRule="exact"/>
        <w:ind w:left="0" w:leftChars="0" w:right="0" w:rightChars="0" w:firstLine="63" w:firstLineChars="3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巡视检查中发现的问题要及时处理，并做好记录。</w:t>
      </w:r>
    </w:p>
    <w:p w14:paraId="1519EC31">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三、服务标准与要求</w:t>
      </w:r>
    </w:p>
    <w:p w14:paraId="1BD1ECF5">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422" w:firstLineChars="200"/>
        <w:jc w:val="left"/>
        <w:textAlignment w:val="center"/>
        <w:rPr>
          <w:rFonts w:hint="default" w:ascii="宋体" w:hAnsi="宋体" w:cs="宋体"/>
          <w:b/>
          <w:bCs w:val="0"/>
          <w:color w:val="auto"/>
          <w:kern w:val="2"/>
          <w:sz w:val="21"/>
          <w:szCs w:val="21"/>
          <w:highlight w:val="none"/>
          <w:lang w:val="en-US" w:eastAsia="zh-CN" w:bidi="ar-SA"/>
        </w:rPr>
      </w:pPr>
      <w:r>
        <w:rPr>
          <w:rFonts w:hint="eastAsia" w:ascii="宋体" w:hAnsi="宋体" w:cs="宋体"/>
          <w:b/>
          <w:bCs w:val="0"/>
          <w:color w:val="auto"/>
          <w:kern w:val="2"/>
          <w:sz w:val="21"/>
          <w:szCs w:val="21"/>
          <w:highlight w:val="none"/>
          <w:lang w:val="en-US" w:eastAsia="zh-CN" w:bidi="ar-SA"/>
        </w:rPr>
        <w:t>1、定期巡检维护</w:t>
      </w:r>
    </w:p>
    <w:p w14:paraId="32D3EC8C">
      <w:pPr>
        <w:keepNext w:val="0"/>
        <w:keepLines w:val="0"/>
        <w:pageBreakBefore w:val="0"/>
        <w:kinsoku/>
        <w:wordWrap/>
        <w:overflowPunct/>
        <w:topLinePunct w:val="0"/>
        <w:autoSpaceDE/>
        <w:autoSpaceDN/>
        <w:bidi w:val="0"/>
        <w:adjustRightInd/>
        <w:snapToGrid w:val="0"/>
        <w:spacing w:line="500" w:lineRule="exact"/>
        <w:ind w:left="0" w:leftChars="0" w:right="0" w:rightChars="0" w:firstLine="422" w:firstLineChars="200"/>
        <w:textAlignment w:val="auto"/>
        <w:rPr>
          <w:rFonts w:hint="eastAsia" w:ascii="宋体" w:hAnsi="宋体" w:cs="宋体"/>
          <w:b w:val="0"/>
          <w:bCs/>
          <w:color w:val="auto"/>
          <w:szCs w:val="21"/>
          <w:highlight w:val="none"/>
          <w:lang w:val="en-US" w:eastAsia="zh-CN"/>
        </w:rPr>
      </w:pPr>
      <w:r>
        <w:rPr>
          <w:rFonts w:hint="eastAsia" w:ascii="宋体" w:hAnsi="宋体" w:cs="宋体"/>
          <w:b/>
          <w:bCs w:val="0"/>
          <w:color w:val="auto"/>
          <w:szCs w:val="21"/>
          <w:highlight w:val="none"/>
          <w:lang w:val="en-US" w:eastAsia="zh-CN"/>
        </w:rPr>
        <w:t>频率</w:t>
      </w:r>
      <w:r>
        <w:rPr>
          <w:rFonts w:hint="default" w:ascii="宋体" w:hAnsi="宋体" w:cs="宋体"/>
          <w:b/>
          <w:bCs w:val="0"/>
          <w:color w:val="auto"/>
          <w:szCs w:val="21"/>
          <w:highlight w:val="none"/>
          <w:lang w:val="en-US" w:eastAsia="zh-CN"/>
        </w:rPr>
        <w:t>：</w:t>
      </w:r>
      <w:r>
        <w:rPr>
          <w:rFonts w:hint="default" w:ascii="宋体" w:hAnsi="宋体" w:cs="宋体"/>
          <w:b w:val="0"/>
          <w:bCs/>
          <w:color w:val="auto"/>
          <w:szCs w:val="21"/>
          <w:highlight w:val="none"/>
          <w:lang w:val="en-US" w:eastAsia="zh-CN"/>
        </w:rPr>
        <w:t>每季度一次，全年共四次。</w:t>
      </w:r>
    </w:p>
    <w:p w14:paraId="63731500">
      <w:pPr>
        <w:keepNext w:val="0"/>
        <w:keepLines w:val="0"/>
        <w:pageBreakBefore w:val="0"/>
        <w:kinsoku/>
        <w:wordWrap/>
        <w:overflowPunct/>
        <w:topLinePunct w:val="0"/>
        <w:autoSpaceDE/>
        <w:autoSpaceDN/>
        <w:bidi w:val="0"/>
        <w:adjustRightInd/>
        <w:snapToGrid w:val="0"/>
        <w:spacing w:line="500" w:lineRule="exact"/>
        <w:ind w:left="0" w:leftChars="0" w:right="0" w:rightChars="0" w:firstLine="422" w:firstLineChars="200"/>
        <w:textAlignment w:val="auto"/>
        <w:rPr>
          <w:rFonts w:hint="eastAsia" w:ascii="宋体" w:hAnsi="宋体" w:cs="宋体"/>
          <w:b w:val="0"/>
          <w:bCs/>
          <w:color w:val="auto"/>
          <w:szCs w:val="21"/>
          <w:highlight w:val="none"/>
          <w:lang w:val="en-US" w:eastAsia="zh-CN"/>
        </w:rPr>
      </w:pPr>
      <w:r>
        <w:rPr>
          <w:rFonts w:hint="default" w:ascii="宋体" w:hAnsi="宋体" w:cs="宋体"/>
          <w:b/>
          <w:bCs w:val="0"/>
          <w:color w:val="auto"/>
          <w:szCs w:val="21"/>
          <w:highlight w:val="none"/>
          <w:lang w:val="en-US" w:eastAsia="zh-CN"/>
        </w:rPr>
        <w:t>内容：</w:t>
      </w:r>
      <w:r>
        <w:rPr>
          <w:rFonts w:hint="default" w:ascii="宋体" w:hAnsi="宋体" w:cs="宋体"/>
          <w:b w:val="0"/>
          <w:bCs/>
          <w:color w:val="auto"/>
          <w:szCs w:val="21"/>
          <w:highlight w:val="none"/>
          <w:lang w:val="en-US" w:eastAsia="zh-CN"/>
        </w:rPr>
        <w:t>包括但不限于——柜内异响（</w:t>
      </w:r>
      <w:r>
        <w:rPr>
          <w:rFonts w:hint="eastAsia" w:ascii="宋体" w:hAnsi="宋体" w:cs="宋体"/>
          <w:b w:val="0"/>
          <w:bCs/>
          <w:color w:val="auto"/>
          <w:szCs w:val="21"/>
          <w:highlight w:val="none"/>
          <w:lang w:val="en-US" w:eastAsia="zh-CN"/>
        </w:rPr>
        <w:t>满足《</w:t>
      </w:r>
      <w:bookmarkStart w:id="93" w:name="OLE_LINK3"/>
      <w:r>
        <w:rPr>
          <w:rFonts w:hint="eastAsia" w:ascii="宋体" w:hAnsi="宋体" w:cs="宋体"/>
          <w:b w:val="0"/>
          <w:bCs/>
          <w:color w:val="auto"/>
          <w:szCs w:val="21"/>
          <w:highlight w:val="none"/>
          <w:lang w:val="en-US" w:eastAsia="zh-CN"/>
        </w:rPr>
        <w:t>城市区域噪音标准》GB3096-2008</w:t>
      </w:r>
      <w:bookmarkEnd w:id="93"/>
      <w:r>
        <w:rPr>
          <w:rFonts w:hint="default" w:ascii="宋体" w:hAnsi="宋体" w:cs="宋体"/>
          <w:b w:val="0"/>
          <w:bCs/>
          <w:color w:val="auto"/>
          <w:szCs w:val="21"/>
          <w:highlight w:val="none"/>
          <w:lang w:val="en-US" w:eastAsia="zh-CN"/>
        </w:rPr>
        <w:t>）与异味检测；设备积尘清理；电柜温湿度测量；变压器渗油检查与定期加油保养；</w:t>
      </w:r>
      <w:r>
        <w:rPr>
          <w:rFonts w:hint="eastAsia" w:ascii="宋体" w:hAnsi="宋体" w:cs="宋体"/>
          <w:b w:val="0"/>
          <w:bCs/>
          <w:color w:val="auto"/>
          <w:szCs w:val="21"/>
          <w:highlight w:val="none"/>
        </w:rPr>
        <w:t>隔离开关、断路器、熔断器和互感器</w:t>
      </w:r>
      <w:r>
        <w:rPr>
          <w:rFonts w:hint="eastAsia" w:ascii="宋体" w:hAnsi="宋体" w:cs="宋体"/>
          <w:b w:val="0"/>
          <w:bCs/>
          <w:color w:val="auto"/>
          <w:szCs w:val="21"/>
          <w:highlight w:val="none"/>
          <w:lang w:val="en-US" w:eastAsia="zh-CN"/>
        </w:rPr>
        <w:t>工作状态；</w:t>
      </w:r>
      <w:r>
        <w:rPr>
          <w:rFonts w:hint="default" w:ascii="宋体" w:hAnsi="宋体" w:cs="宋体"/>
          <w:b w:val="0"/>
          <w:bCs/>
          <w:color w:val="auto"/>
          <w:szCs w:val="21"/>
          <w:highlight w:val="none"/>
          <w:lang w:val="en-US" w:eastAsia="zh-CN"/>
        </w:rPr>
        <w:t>设备外观完整性检查；防小动物设施（如挡板）有效性检查；高低压信号灯状态检查；计量装置铅封完好性检查；电容柜无功补偿器工作状态及电容器外观（鼓胀、漏油）检查；场站积水抽除与周边杂草清除。</w:t>
      </w:r>
    </w:p>
    <w:p w14:paraId="67398642">
      <w:pPr>
        <w:kinsoku/>
        <w:overflowPunct/>
        <w:bidi w:val="0"/>
        <w:spacing w:line="360" w:lineRule="auto"/>
        <w:ind w:left="0" w:leftChars="0" w:right="0" w:rightChars="0" w:firstLine="435"/>
        <w:rPr>
          <w:rFonts w:hint="default" w:ascii="宋体" w:hAnsi="宋体" w:eastAsia="宋体" w:cs="宋体"/>
          <w:b w:val="0"/>
          <w:bCs/>
          <w:color w:val="auto"/>
          <w:szCs w:val="21"/>
          <w:highlight w:val="none"/>
          <w:lang w:val="en-US" w:eastAsia="zh-CN"/>
        </w:rPr>
      </w:pPr>
      <w:r>
        <w:rPr>
          <w:rFonts w:hint="default" w:ascii="宋体" w:hAnsi="宋体" w:cs="宋体"/>
          <w:b/>
          <w:bCs w:val="0"/>
          <w:color w:val="auto"/>
          <w:szCs w:val="21"/>
          <w:highlight w:val="none"/>
          <w:lang w:val="en-US" w:eastAsia="zh-CN"/>
        </w:rPr>
        <w:t>费用说明：</w:t>
      </w:r>
      <w:r>
        <w:rPr>
          <w:rFonts w:hint="default" w:ascii="宋体" w:hAnsi="宋体" w:cs="宋体"/>
          <w:b w:val="0"/>
          <w:bCs/>
          <w:color w:val="auto"/>
          <w:szCs w:val="21"/>
          <w:highlight w:val="none"/>
          <w:lang w:val="en-US" w:eastAsia="zh-CN"/>
        </w:rPr>
        <w:t>单次服务中，若仅涉及人工、普通工具及低值耗材，且总费用在人民币</w:t>
      </w:r>
      <w:r>
        <w:rPr>
          <w:rFonts w:hint="eastAsia" w:ascii="宋体" w:hAnsi="宋体" w:cs="宋体"/>
          <w:b w:val="0"/>
          <w:bCs/>
          <w:color w:val="auto"/>
          <w:szCs w:val="21"/>
          <w:highlight w:val="none"/>
          <w:lang w:val="en-US" w:eastAsia="zh-CN"/>
        </w:rPr>
        <w:t>2</w:t>
      </w:r>
      <w:r>
        <w:rPr>
          <w:rFonts w:hint="default" w:ascii="宋体" w:hAnsi="宋体" w:cs="宋体"/>
          <w:b w:val="0"/>
          <w:bCs/>
          <w:color w:val="auto"/>
          <w:szCs w:val="21"/>
          <w:highlight w:val="none"/>
          <w:lang w:val="en-US" w:eastAsia="zh-CN"/>
        </w:rPr>
        <w:t>000元（含）以下，由中标单位承担。</w:t>
      </w:r>
      <w:r>
        <w:rPr>
          <w:rFonts w:hint="default" w:ascii="宋体" w:hAnsi="宋体" w:eastAsia="宋体" w:cs="宋体"/>
          <w:b w:val="0"/>
          <w:bCs/>
          <w:color w:val="auto"/>
          <w:szCs w:val="21"/>
          <w:highlight w:val="none"/>
          <w:lang w:val="en-US" w:eastAsia="zh-CN"/>
        </w:rPr>
        <w:t>超出人民币2000元，设备更换的，主要材料及设备由甲方提供。本项目所有人工服务费用含在综合报价中。</w:t>
      </w:r>
    </w:p>
    <w:p w14:paraId="2ED3E34A">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cs="宋体"/>
          <w:b w:val="0"/>
          <w:bCs/>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2、年度预防性试验</w:t>
      </w:r>
    </w:p>
    <w:p w14:paraId="3D798A8B">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cs="宋体"/>
          <w:b w:val="0"/>
          <w:bCs/>
          <w:i w:val="0"/>
          <w:color w:val="auto"/>
          <w:kern w:val="0"/>
          <w:sz w:val="21"/>
          <w:szCs w:val="21"/>
          <w:highlight w:val="none"/>
          <w:u w:val="none"/>
          <w:lang w:val="en-US" w:eastAsia="zh-CN" w:bidi="ar"/>
        </w:rPr>
      </w:pPr>
      <w:r>
        <w:rPr>
          <w:rFonts w:hint="eastAsia" w:ascii="宋体" w:hAnsi="宋体" w:cs="宋体"/>
          <w:b/>
          <w:bCs w:val="0"/>
          <w:i w:val="0"/>
          <w:color w:val="auto"/>
          <w:kern w:val="0"/>
          <w:sz w:val="21"/>
          <w:szCs w:val="21"/>
          <w:highlight w:val="none"/>
          <w:u w:val="none"/>
          <w:lang w:val="en-US" w:eastAsia="zh-CN" w:bidi="ar"/>
        </w:rPr>
        <w:t>频率：</w:t>
      </w:r>
      <w:r>
        <w:rPr>
          <w:rFonts w:hint="eastAsia" w:ascii="宋体" w:hAnsi="宋体" w:cs="宋体"/>
          <w:b w:val="0"/>
          <w:bCs/>
          <w:i w:val="0"/>
          <w:color w:val="auto"/>
          <w:kern w:val="0"/>
          <w:sz w:val="21"/>
          <w:szCs w:val="21"/>
          <w:highlight w:val="none"/>
          <w:u w:val="none"/>
          <w:lang w:val="en-US" w:eastAsia="zh-CN" w:bidi="ar"/>
        </w:rPr>
        <w:t>每年一次。</w:t>
      </w:r>
    </w:p>
    <w:p w14:paraId="4946FC28">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cs="宋体"/>
          <w:b w:val="0"/>
          <w:bCs/>
          <w:i w:val="0"/>
          <w:color w:val="auto"/>
          <w:kern w:val="0"/>
          <w:sz w:val="21"/>
          <w:szCs w:val="21"/>
          <w:highlight w:val="none"/>
          <w:u w:val="none"/>
          <w:lang w:val="en-US" w:eastAsia="zh-CN" w:bidi="ar"/>
        </w:rPr>
      </w:pPr>
      <w:r>
        <w:rPr>
          <w:rFonts w:hint="eastAsia" w:ascii="宋体" w:hAnsi="宋体" w:cs="宋体"/>
          <w:b/>
          <w:bCs w:val="0"/>
          <w:i w:val="0"/>
          <w:color w:val="auto"/>
          <w:kern w:val="0"/>
          <w:sz w:val="21"/>
          <w:szCs w:val="21"/>
          <w:highlight w:val="none"/>
          <w:u w:val="none"/>
          <w:lang w:val="en-US" w:eastAsia="zh-CN" w:bidi="ar"/>
        </w:rPr>
        <w:t>内容：</w:t>
      </w:r>
      <w:r>
        <w:rPr>
          <w:rFonts w:hint="eastAsia" w:ascii="宋体" w:hAnsi="宋体" w:cs="宋体"/>
          <w:b w:val="0"/>
          <w:bCs/>
          <w:i w:val="0"/>
          <w:color w:val="auto"/>
          <w:kern w:val="0"/>
          <w:sz w:val="21"/>
          <w:szCs w:val="21"/>
          <w:highlight w:val="none"/>
          <w:u w:val="none"/>
          <w:lang w:val="en-US" w:eastAsia="zh-CN" w:bidi="ar"/>
        </w:rPr>
        <w:t>包括但不限于——变压器、10kV高压电缆、10kV避雷器、电流/电压互感器、真空断路器（或六氟化硫断路器）的预防性试验；全部配电设备的清扫检查；高低压系统检查；“五防”功能验证；瓷绝缘部件状况检查；连接点腐蚀与过热检查；六氟化硫断路器压力值检查；进线电源及计量系统检查；变压器及接线端异常检查；接地电阻测试。</w:t>
      </w:r>
    </w:p>
    <w:p w14:paraId="51D12E2B">
      <w:pPr>
        <w:kinsoku/>
        <w:overflowPunct/>
        <w:bidi w:val="0"/>
        <w:spacing w:line="360" w:lineRule="auto"/>
        <w:ind w:left="0" w:leftChars="0" w:right="0" w:rightChars="0" w:firstLine="435"/>
        <w:rPr>
          <w:rFonts w:hint="default" w:ascii="宋体" w:hAnsi="宋体" w:eastAsia="宋体" w:cs="宋体"/>
          <w:b w:val="0"/>
          <w:bCs/>
          <w:color w:val="auto"/>
          <w:szCs w:val="21"/>
          <w:highlight w:val="none"/>
          <w:lang w:val="en-US" w:eastAsia="zh-CN"/>
        </w:rPr>
      </w:pPr>
      <w:r>
        <w:rPr>
          <w:rFonts w:hint="eastAsia" w:ascii="宋体" w:hAnsi="宋体" w:cs="宋体"/>
          <w:b/>
          <w:bCs w:val="0"/>
          <w:i w:val="0"/>
          <w:color w:val="auto"/>
          <w:kern w:val="0"/>
          <w:sz w:val="21"/>
          <w:szCs w:val="21"/>
          <w:highlight w:val="none"/>
          <w:u w:val="none"/>
          <w:lang w:val="en-US" w:eastAsia="zh-CN" w:bidi="ar"/>
        </w:rPr>
        <w:t>费用说明：</w:t>
      </w:r>
      <w:r>
        <w:rPr>
          <w:rFonts w:hint="default" w:ascii="宋体" w:hAnsi="宋体" w:cs="宋体"/>
          <w:b w:val="0"/>
          <w:bCs/>
          <w:color w:val="auto"/>
          <w:szCs w:val="21"/>
          <w:highlight w:val="none"/>
          <w:lang w:val="en-US" w:eastAsia="zh-CN"/>
        </w:rPr>
        <w:t>服务中，若仅涉及人工、普通工具及低值耗材，且总费用在人民币</w:t>
      </w:r>
      <w:r>
        <w:rPr>
          <w:rFonts w:hint="eastAsia" w:ascii="宋体" w:hAnsi="宋体" w:cs="宋体"/>
          <w:b w:val="0"/>
          <w:bCs/>
          <w:color w:val="auto"/>
          <w:szCs w:val="21"/>
          <w:highlight w:val="none"/>
          <w:lang w:val="en-US" w:eastAsia="zh-CN"/>
        </w:rPr>
        <w:t>2</w:t>
      </w:r>
      <w:r>
        <w:rPr>
          <w:rFonts w:hint="default" w:ascii="宋体" w:hAnsi="宋体" w:cs="宋体"/>
          <w:b w:val="0"/>
          <w:bCs/>
          <w:color w:val="auto"/>
          <w:szCs w:val="21"/>
          <w:highlight w:val="none"/>
          <w:lang w:val="en-US" w:eastAsia="zh-CN"/>
        </w:rPr>
        <w:t>000元（含）以下，由中标单位承担。</w:t>
      </w:r>
      <w:r>
        <w:rPr>
          <w:rFonts w:hint="eastAsia" w:ascii="宋体" w:hAnsi="宋体" w:eastAsia="宋体" w:cs="宋体"/>
          <w:b w:val="0"/>
          <w:bCs/>
          <w:color w:val="auto"/>
          <w:szCs w:val="21"/>
          <w:highlight w:val="none"/>
          <w:lang w:val="en-US" w:eastAsia="zh-CN"/>
        </w:rPr>
        <w:t>超出</w:t>
      </w:r>
      <w:r>
        <w:rPr>
          <w:rFonts w:hint="default" w:ascii="宋体" w:hAnsi="宋体" w:eastAsia="宋体" w:cs="宋体"/>
          <w:b w:val="0"/>
          <w:bCs/>
          <w:color w:val="auto"/>
          <w:szCs w:val="21"/>
          <w:highlight w:val="none"/>
          <w:lang w:val="en-US" w:eastAsia="zh-CN"/>
        </w:rPr>
        <w:t>人民币</w:t>
      </w:r>
      <w:r>
        <w:rPr>
          <w:rFonts w:hint="eastAsia" w:ascii="宋体" w:hAnsi="宋体" w:eastAsia="宋体" w:cs="宋体"/>
          <w:b w:val="0"/>
          <w:bCs/>
          <w:color w:val="auto"/>
          <w:szCs w:val="21"/>
          <w:highlight w:val="none"/>
          <w:lang w:val="en-US" w:eastAsia="zh-CN"/>
        </w:rPr>
        <w:t>2</w:t>
      </w:r>
      <w:r>
        <w:rPr>
          <w:rFonts w:hint="default" w:ascii="宋体" w:hAnsi="宋体" w:eastAsia="宋体" w:cs="宋体"/>
          <w:b w:val="0"/>
          <w:bCs/>
          <w:color w:val="auto"/>
          <w:szCs w:val="21"/>
          <w:highlight w:val="none"/>
          <w:lang w:val="en-US" w:eastAsia="zh-CN"/>
        </w:rPr>
        <w:t>000元</w:t>
      </w:r>
      <w:r>
        <w:rPr>
          <w:rFonts w:hint="eastAsia" w:ascii="宋体" w:hAnsi="宋体" w:eastAsia="宋体" w:cs="宋体"/>
          <w:b w:val="0"/>
          <w:bCs/>
          <w:color w:val="auto"/>
          <w:szCs w:val="21"/>
          <w:highlight w:val="none"/>
          <w:lang w:val="en-US" w:eastAsia="zh-CN"/>
        </w:rPr>
        <w:t>，</w:t>
      </w:r>
      <w:r>
        <w:rPr>
          <w:rFonts w:hint="default" w:ascii="宋体" w:hAnsi="宋体" w:eastAsia="宋体" w:cs="宋体"/>
          <w:b w:val="0"/>
          <w:bCs/>
          <w:color w:val="auto"/>
          <w:szCs w:val="21"/>
          <w:highlight w:val="none"/>
          <w:lang w:val="en-US" w:eastAsia="zh-CN"/>
        </w:rPr>
        <w:t>设备更换的，主要材料及设备由</w:t>
      </w:r>
      <w:r>
        <w:rPr>
          <w:rFonts w:hint="eastAsia" w:ascii="宋体" w:hAnsi="宋体" w:eastAsia="宋体" w:cs="宋体"/>
          <w:b w:val="0"/>
          <w:bCs/>
          <w:color w:val="auto"/>
          <w:szCs w:val="21"/>
          <w:highlight w:val="none"/>
          <w:lang w:val="en-US" w:eastAsia="zh-CN"/>
        </w:rPr>
        <w:t>甲方</w:t>
      </w:r>
      <w:r>
        <w:rPr>
          <w:rFonts w:hint="default" w:ascii="宋体" w:hAnsi="宋体" w:eastAsia="宋体" w:cs="宋体"/>
          <w:b w:val="0"/>
          <w:bCs/>
          <w:color w:val="auto"/>
          <w:szCs w:val="21"/>
          <w:highlight w:val="none"/>
          <w:lang w:val="en-US" w:eastAsia="zh-CN"/>
        </w:rPr>
        <w:t>提供</w:t>
      </w:r>
      <w:r>
        <w:rPr>
          <w:rFonts w:hint="eastAsia" w:ascii="宋体" w:hAnsi="宋体" w:eastAsia="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本项目所有人工服务费用含在综合报价中。</w:t>
      </w:r>
    </w:p>
    <w:p w14:paraId="775C00B1">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3、应急抢修服务</w:t>
      </w:r>
    </w:p>
    <w:p w14:paraId="1D32FD8F">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default" w:ascii="宋体" w:hAnsi="宋体" w:cs="宋体"/>
          <w:b w:val="0"/>
          <w:bCs/>
          <w:i w:val="0"/>
          <w:color w:val="auto"/>
          <w:kern w:val="0"/>
          <w:sz w:val="21"/>
          <w:szCs w:val="21"/>
          <w:highlight w:val="none"/>
          <w:u w:val="none"/>
          <w:lang w:val="en-US" w:eastAsia="zh-CN" w:bidi="ar"/>
        </w:rPr>
      </w:pPr>
      <w:r>
        <w:rPr>
          <w:rFonts w:hint="default" w:ascii="宋体" w:hAnsi="宋体" w:cs="宋体"/>
          <w:b/>
          <w:bCs w:val="0"/>
          <w:i w:val="0"/>
          <w:color w:val="auto"/>
          <w:kern w:val="0"/>
          <w:sz w:val="21"/>
          <w:szCs w:val="21"/>
          <w:highlight w:val="none"/>
          <w:u w:val="none"/>
          <w:lang w:val="en-US" w:eastAsia="zh-CN" w:bidi="ar"/>
        </w:rPr>
        <w:t>响应：</w:t>
      </w:r>
      <w:r>
        <w:rPr>
          <w:rFonts w:hint="default" w:ascii="宋体" w:hAnsi="宋体" w:cs="宋体"/>
          <w:b w:val="0"/>
          <w:bCs/>
          <w:i w:val="0"/>
          <w:color w:val="auto"/>
          <w:kern w:val="0"/>
          <w:sz w:val="21"/>
          <w:szCs w:val="21"/>
          <w:highlight w:val="none"/>
          <w:u w:val="none"/>
          <w:lang w:val="en-US" w:eastAsia="zh-CN" w:bidi="ar"/>
        </w:rPr>
        <w:t xml:space="preserve">提供7×24小时应急抢修服务。 </w:t>
      </w:r>
    </w:p>
    <w:p w14:paraId="21AE5299">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default" w:ascii="宋体" w:hAnsi="宋体" w:cs="宋体"/>
          <w:b w:val="0"/>
          <w:bCs/>
          <w:i w:val="0"/>
          <w:color w:val="auto"/>
          <w:kern w:val="0"/>
          <w:sz w:val="21"/>
          <w:szCs w:val="21"/>
          <w:highlight w:val="none"/>
          <w:u w:val="none"/>
          <w:lang w:val="en-US" w:eastAsia="zh-CN" w:bidi="ar"/>
        </w:rPr>
      </w:pPr>
      <w:r>
        <w:rPr>
          <w:rFonts w:hint="default" w:ascii="宋体" w:hAnsi="宋体" w:cs="宋体"/>
          <w:b/>
          <w:bCs w:val="0"/>
          <w:i w:val="0"/>
          <w:color w:val="auto"/>
          <w:kern w:val="0"/>
          <w:sz w:val="21"/>
          <w:szCs w:val="21"/>
          <w:highlight w:val="none"/>
          <w:u w:val="none"/>
          <w:lang w:val="en-US" w:eastAsia="zh-CN" w:bidi="ar"/>
        </w:rPr>
        <w:t>到达时限：</w:t>
      </w:r>
      <w:r>
        <w:rPr>
          <w:rFonts w:hint="default" w:ascii="宋体" w:hAnsi="宋体" w:cs="宋体"/>
          <w:b w:val="0"/>
          <w:bCs/>
          <w:i w:val="0"/>
          <w:color w:val="auto"/>
          <w:kern w:val="0"/>
          <w:sz w:val="21"/>
          <w:szCs w:val="21"/>
          <w:highlight w:val="none"/>
          <w:u w:val="none"/>
          <w:lang w:val="en-US" w:eastAsia="zh-CN" w:bidi="ar"/>
        </w:rPr>
        <w:t>接到故障通知</w:t>
      </w:r>
      <w:r>
        <w:rPr>
          <w:rFonts w:hint="default" w:ascii="宋体" w:hAnsi="宋体" w:eastAsia="宋体" w:cs="宋体"/>
          <w:b w:val="0"/>
          <w:bCs/>
          <w:i w:val="0"/>
          <w:color w:val="auto"/>
          <w:kern w:val="0"/>
          <w:sz w:val="21"/>
          <w:szCs w:val="21"/>
          <w:highlight w:val="none"/>
          <w:u w:val="none"/>
          <w:lang w:val="en-US" w:eastAsia="zh-CN" w:bidi="ar"/>
        </w:rPr>
        <w:t>后</w:t>
      </w:r>
      <w:r>
        <w:rPr>
          <w:rFonts w:hint="default" w:ascii="宋体" w:hAnsi="宋体" w:eastAsia="宋体" w:cs="宋体"/>
          <w:bCs/>
          <w:color w:val="auto"/>
          <w:kern w:val="0"/>
          <w:sz w:val="21"/>
          <w:szCs w:val="21"/>
          <w:highlight w:val="none"/>
          <w:u w:val="none"/>
          <w:lang w:val="en-US" w:eastAsia="zh-CN" w:bidi="ar"/>
        </w:rPr>
        <w:t>市区范围内1小时、郊区范围内2小时内到达现场</w:t>
      </w:r>
      <w:r>
        <w:rPr>
          <w:rFonts w:hint="default" w:ascii="宋体" w:hAnsi="宋体" w:eastAsia="宋体" w:cs="宋体"/>
          <w:b w:val="0"/>
          <w:bCs/>
          <w:i w:val="0"/>
          <w:color w:val="auto"/>
          <w:kern w:val="0"/>
          <w:sz w:val="21"/>
          <w:szCs w:val="21"/>
          <w:highlight w:val="none"/>
          <w:u w:val="none"/>
          <w:lang w:val="en-US" w:eastAsia="zh-CN" w:bidi="ar"/>
        </w:rPr>
        <w:t>，维</w:t>
      </w:r>
      <w:r>
        <w:rPr>
          <w:rFonts w:hint="default" w:ascii="宋体" w:hAnsi="宋体" w:cs="宋体"/>
          <w:b w:val="0"/>
          <w:bCs/>
          <w:i w:val="0"/>
          <w:color w:val="auto"/>
          <w:kern w:val="0"/>
          <w:sz w:val="21"/>
          <w:szCs w:val="21"/>
          <w:highlight w:val="none"/>
          <w:u w:val="none"/>
          <w:lang w:val="en-US" w:eastAsia="zh-CN" w:bidi="ar"/>
        </w:rPr>
        <w:t>护人员携带工具抵达现场。</w:t>
      </w:r>
    </w:p>
    <w:p w14:paraId="6188F8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cs="宋体"/>
          <w:b w:val="0"/>
          <w:bCs/>
          <w:i w:val="0"/>
          <w:color w:val="auto"/>
          <w:kern w:val="0"/>
          <w:sz w:val="21"/>
          <w:szCs w:val="21"/>
          <w:highlight w:val="none"/>
          <w:u w:val="none"/>
          <w:lang w:val="en-US" w:eastAsia="zh-CN" w:bidi="ar"/>
        </w:rPr>
      </w:pPr>
      <w:r>
        <w:rPr>
          <w:rFonts w:hint="default" w:ascii="宋体" w:hAnsi="宋体" w:cs="宋体"/>
          <w:b/>
          <w:bCs w:val="0"/>
          <w:i w:val="0"/>
          <w:color w:val="auto"/>
          <w:kern w:val="0"/>
          <w:sz w:val="21"/>
          <w:szCs w:val="21"/>
          <w:highlight w:val="none"/>
          <w:u w:val="none"/>
          <w:lang w:val="en-US" w:eastAsia="zh-CN" w:bidi="ar"/>
        </w:rPr>
        <w:t>修复时限：</w:t>
      </w:r>
      <w:r>
        <w:rPr>
          <w:rFonts w:hint="default" w:ascii="宋体" w:hAnsi="宋体" w:cs="宋体"/>
          <w:b w:val="0"/>
          <w:bCs/>
          <w:i w:val="0"/>
          <w:color w:val="auto"/>
          <w:kern w:val="0"/>
          <w:sz w:val="21"/>
          <w:szCs w:val="21"/>
          <w:highlight w:val="none"/>
          <w:u w:val="none"/>
          <w:lang w:val="en-US" w:eastAsia="zh-CN" w:bidi="ar"/>
        </w:rPr>
        <w:t>高压线路（设备）故障，原则上24小时内修复；复杂情况需向招标方报告并获批准</w:t>
      </w:r>
      <w:r>
        <w:rPr>
          <w:rFonts w:hint="eastAsia" w:ascii="宋体" w:hAnsi="宋体" w:cs="宋体"/>
          <w:b w:val="0"/>
          <w:bCs/>
          <w:i w:val="0"/>
          <w:color w:val="auto"/>
          <w:kern w:val="0"/>
          <w:sz w:val="21"/>
          <w:szCs w:val="21"/>
          <w:highlight w:val="none"/>
          <w:u w:val="none"/>
          <w:lang w:val="en-US" w:eastAsia="zh-CN" w:bidi="ar"/>
        </w:rPr>
        <w:t>。</w:t>
      </w:r>
    </w:p>
    <w:p w14:paraId="422962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22" w:firstLineChars="200"/>
        <w:textAlignment w:val="auto"/>
        <w:rPr>
          <w:rFonts w:hint="default" w:ascii="宋体" w:hAnsi="宋体" w:eastAsia="宋体" w:cs="宋体"/>
          <w:b w:val="0"/>
          <w:bCs/>
          <w:color w:val="auto"/>
          <w:szCs w:val="21"/>
          <w:highlight w:val="none"/>
          <w:lang w:val="en-US" w:eastAsia="zh-CN"/>
        </w:rPr>
      </w:pPr>
      <w:r>
        <w:rPr>
          <w:rFonts w:hint="default" w:ascii="宋体" w:hAnsi="宋体" w:cs="宋体"/>
          <w:b/>
          <w:bCs w:val="0"/>
          <w:i w:val="0"/>
          <w:color w:val="auto"/>
          <w:kern w:val="0"/>
          <w:sz w:val="21"/>
          <w:szCs w:val="21"/>
          <w:highlight w:val="none"/>
          <w:u w:val="none"/>
          <w:lang w:val="en-US" w:eastAsia="zh-CN" w:bidi="ar"/>
        </w:rPr>
        <w:t>费用说明</w:t>
      </w:r>
      <w:r>
        <w:rPr>
          <w:rFonts w:hint="default" w:ascii="宋体" w:hAnsi="宋体" w:cs="宋体"/>
          <w:b w:val="0"/>
          <w:bCs/>
          <w:i w:val="0"/>
          <w:color w:val="auto"/>
          <w:kern w:val="0"/>
          <w:sz w:val="21"/>
          <w:szCs w:val="21"/>
          <w:highlight w:val="none"/>
          <w:u w:val="none"/>
          <w:lang w:val="en-US" w:eastAsia="zh-CN" w:bidi="ar"/>
        </w:rPr>
        <w:t>：</w:t>
      </w:r>
      <w:r>
        <w:rPr>
          <w:rFonts w:hint="eastAsia" w:ascii="宋体" w:hAnsi="宋体" w:cs="宋体"/>
          <w:b w:val="0"/>
          <w:bCs/>
          <w:i w:val="0"/>
          <w:color w:val="auto"/>
          <w:kern w:val="0"/>
          <w:sz w:val="21"/>
          <w:szCs w:val="21"/>
          <w:highlight w:val="none"/>
          <w:u w:val="none"/>
          <w:lang w:val="en-US" w:eastAsia="zh-CN" w:bidi="ar"/>
        </w:rPr>
        <w:t>每次</w:t>
      </w:r>
      <w:r>
        <w:rPr>
          <w:rFonts w:hint="default" w:ascii="宋体" w:hAnsi="宋体" w:cs="宋体"/>
          <w:b w:val="0"/>
          <w:bCs/>
          <w:i w:val="0"/>
          <w:color w:val="auto"/>
          <w:kern w:val="0"/>
          <w:sz w:val="21"/>
          <w:szCs w:val="21"/>
          <w:highlight w:val="none"/>
          <w:u w:val="none"/>
          <w:lang w:val="en-US" w:eastAsia="zh-CN" w:bidi="ar"/>
        </w:rPr>
        <w:t>抢修服务中，若仅涉及人工、普通工具及低值耗材，且总费用在人民币</w:t>
      </w:r>
      <w:r>
        <w:rPr>
          <w:rFonts w:hint="eastAsia" w:ascii="宋体" w:hAnsi="宋体" w:cs="宋体"/>
          <w:b w:val="0"/>
          <w:bCs/>
          <w:i w:val="0"/>
          <w:color w:val="auto"/>
          <w:kern w:val="0"/>
          <w:sz w:val="21"/>
          <w:szCs w:val="21"/>
          <w:highlight w:val="none"/>
          <w:u w:val="none"/>
          <w:lang w:val="en-US" w:eastAsia="zh-CN" w:bidi="ar"/>
        </w:rPr>
        <w:t>2</w:t>
      </w:r>
      <w:r>
        <w:rPr>
          <w:rFonts w:hint="default" w:ascii="宋体" w:hAnsi="宋体" w:cs="宋体"/>
          <w:b w:val="0"/>
          <w:bCs/>
          <w:i w:val="0"/>
          <w:color w:val="auto"/>
          <w:kern w:val="0"/>
          <w:sz w:val="21"/>
          <w:szCs w:val="21"/>
          <w:highlight w:val="none"/>
          <w:u w:val="none"/>
          <w:lang w:val="en-US" w:eastAsia="zh-CN" w:bidi="ar"/>
        </w:rPr>
        <w:t>000元（含）以下，由中标单位承担。</w:t>
      </w:r>
      <w:r>
        <w:rPr>
          <w:rFonts w:hint="default" w:ascii="宋体" w:hAnsi="宋体" w:eastAsia="宋体" w:cs="宋体"/>
          <w:b w:val="0"/>
          <w:bCs/>
          <w:color w:val="auto"/>
          <w:szCs w:val="21"/>
          <w:highlight w:val="none"/>
          <w:lang w:val="en-US" w:eastAsia="zh-CN"/>
        </w:rPr>
        <w:t>超出人民币2000元，设备更换的，主要材料及设备由甲方提供。本项目所有人工服务费用含在综合报价中。</w:t>
      </w:r>
    </w:p>
    <w:p w14:paraId="7858D9A1">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4、问题报告与方案确认</w:t>
      </w:r>
    </w:p>
    <w:p w14:paraId="3520AF20">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中标单位须在服务初期及后续巡检中，全面勘查现场，对需更换或整改的设备编制清单及建议方案，提交招标人确认后实施。</w:t>
      </w:r>
    </w:p>
    <w:p w14:paraId="1B45F4D2">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5、手续办理</w:t>
      </w:r>
    </w:p>
    <w:p w14:paraId="138D3293">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涉及高低压用电、停电等手续，中标单位负责办理，办理周期不超过一周。</w:t>
      </w:r>
    </w:p>
    <w:p w14:paraId="60A09413">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6、关键操作管理</w:t>
      </w:r>
    </w:p>
    <w:p w14:paraId="0B84B00D">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重要设备的维修、更换，须在招标方代表现场监督或书面批准后方可进行，并留存完整的施工过程证明材料。</w:t>
      </w:r>
    </w:p>
    <w:p w14:paraId="70FFFEBF">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7、质量保证与整改</w:t>
      </w:r>
    </w:p>
    <w:p w14:paraId="320A89AC">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维护质量须完全符合本文件要求及国家、行业相关标准规范。</w:t>
      </w:r>
    </w:p>
    <w:p w14:paraId="7ED2AA18">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若招标方检查或测试发现质量不合格，中标单位须无条件立即整改，并承担由此产生的一切费用。</w:t>
      </w:r>
    </w:p>
    <w:p w14:paraId="297AB62C">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8、资产保全责任</w:t>
      </w:r>
    </w:p>
    <w:p w14:paraId="4DC3FD25">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服务期间，中标单位对</w:t>
      </w:r>
      <w:r>
        <w:rPr>
          <w:rFonts w:hint="eastAsia" w:ascii="宋体" w:hAnsi="宋体" w:cs="宋体"/>
          <w:b w:val="0"/>
          <w:bCs/>
          <w:color w:val="auto"/>
          <w:szCs w:val="21"/>
          <w:highlight w:val="none"/>
          <w:lang w:val="en-US" w:eastAsia="zh-CN"/>
        </w:rPr>
        <w:t>维护</w:t>
      </w:r>
      <w:r>
        <w:rPr>
          <w:rFonts w:hint="eastAsia" w:ascii="宋体" w:hAnsi="宋体" w:eastAsia="宋体" w:cs="宋体"/>
          <w:b w:val="0"/>
          <w:bCs/>
          <w:color w:val="auto"/>
          <w:szCs w:val="21"/>
          <w:highlight w:val="none"/>
          <w:lang w:val="en-US" w:eastAsia="zh-CN"/>
        </w:rPr>
        <w:t>范围内的设备、材料负有保管责任，因维护、巡检不及时或管理不善导致的损坏、丢失，由中标单位承担修复或赔偿责任。</w:t>
      </w:r>
    </w:p>
    <w:p w14:paraId="3B3C36DE">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9、服务期满交接</w:t>
      </w:r>
    </w:p>
    <w:p w14:paraId="65F0AF37">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若服务期满未续约，中标单位须无条件积极配合与新服务单位的全部交接工作，确保设施设备完好移交，不得以任何理由阻碍或拖延。</w:t>
      </w:r>
    </w:p>
    <w:p w14:paraId="221BEC70">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10、安全生产与法律责任</w:t>
      </w:r>
    </w:p>
    <w:p w14:paraId="17BB0C79">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中标单位必须严格遵守安全生产法律法规及《电力安全工作规程》等标准，落实全部安全措施。</w:t>
      </w:r>
    </w:p>
    <w:p w14:paraId="7241756F">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服务期内，中标单位的人员安全有中标单位自行负责，并为本项目的服务人员购买</w:t>
      </w:r>
      <w:r>
        <w:rPr>
          <w:rFonts w:hint="eastAsia" w:ascii="宋体" w:hAnsi="宋体" w:cs="宋体"/>
          <w:b w:val="0"/>
          <w:bCs/>
          <w:color w:val="auto"/>
          <w:szCs w:val="21"/>
          <w:highlight w:val="none"/>
          <w:lang w:val="en-US" w:eastAsia="zh-CN"/>
        </w:rPr>
        <w:t>人身保险</w:t>
      </w:r>
      <w:r>
        <w:rPr>
          <w:rFonts w:hint="eastAsia" w:ascii="宋体" w:hAnsi="宋体" w:eastAsia="宋体" w:cs="宋体"/>
          <w:b w:val="0"/>
          <w:bCs/>
          <w:color w:val="auto"/>
          <w:szCs w:val="21"/>
          <w:highlight w:val="none"/>
          <w:lang w:val="en-US" w:eastAsia="zh-CN"/>
        </w:rPr>
        <w:t>。</w:t>
      </w:r>
    </w:p>
    <w:p w14:paraId="7BCD2F55">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服务期内，因中标单位原因（包括但不限于作业安全、治安、交通、防火、劳资纠纷、违法乱纪等）造成的一切人员伤亡、财产损失或第三方损失，全部法律责任和经济赔偿责任由中标单位独立承担，招标</w:t>
      </w:r>
      <w:r>
        <w:rPr>
          <w:rFonts w:hint="eastAsia" w:ascii="宋体" w:hAnsi="宋体" w:cs="宋体"/>
          <w:b w:val="0"/>
          <w:bCs/>
          <w:color w:val="auto"/>
          <w:szCs w:val="21"/>
          <w:highlight w:val="none"/>
          <w:lang w:val="en-US" w:eastAsia="zh-CN"/>
        </w:rPr>
        <w:t>人</w:t>
      </w:r>
      <w:r>
        <w:rPr>
          <w:rFonts w:hint="eastAsia" w:ascii="宋体" w:hAnsi="宋体" w:eastAsia="宋体" w:cs="宋体"/>
          <w:b w:val="0"/>
          <w:bCs/>
          <w:color w:val="auto"/>
          <w:szCs w:val="21"/>
          <w:highlight w:val="none"/>
          <w:lang w:val="en-US" w:eastAsia="zh-CN"/>
        </w:rPr>
        <w:t>不承担任何连带责任。</w:t>
      </w:r>
    </w:p>
    <w:p w14:paraId="191BD908">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若因巡检维护不及时、不到位引发安全事故或负面曝光，招标方有权委托第三方紧急处理，所产生费用由中标单位承担。</w:t>
      </w:r>
    </w:p>
    <w:p w14:paraId="4508940F">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422" w:firstLineChars="200"/>
        <w:rPr>
          <w:rFonts w:hint="eastAsia" w:ascii="宋体" w:hAnsi="宋体" w:eastAsia="宋体" w:cs="宋体"/>
          <w:b/>
          <w:bCs w:val="0"/>
          <w:i w:val="0"/>
          <w:color w:val="auto"/>
          <w:kern w:val="0"/>
          <w:sz w:val="21"/>
          <w:szCs w:val="21"/>
          <w:highlight w:val="none"/>
          <w:u w:val="none"/>
          <w:lang w:val="en-US" w:eastAsia="zh-CN" w:bidi="ar"/>
        </w:rPr>
      </w:pPr>
      <w:r>
        <w:rPr>
          <w:rFonts w:hint="eastAsia" w:ascii="宋体" w:hAnsi="宋体" w:eastAsia="宋体" w:cs="宋体"/>
          <w:b/>
          <w:bCs w:val="0"/>
          <w:i w:val="0"/>
          <w:color w:val="auto"/>
          <w:kern w:val="0"/>
          <w:sz w:val="21"/>
          <w:szCs w:val="21"/>
          <w:highlight w:val="none"/>
          <w:u w:val="none"/>
          <w:lang w:val="en-US" w:eastAsia="zh-CN" w:bidi="ar"/>
        </w:rPr>
        <w:t>11、服务报告与支付</w:t>
      </w:r>
    </w:p>
    <w:p w14:paraId="60E8FB2B">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报告要求：每季度提交《</w:t>
      </w:r>
      <w:r>
        <w:rPr>
          <w:rFonts w:hint="eastAsia" w:ascii="宋体" w:hAnsi="宋体" w:cs="宋体"/>
          <w:b w:val="0"/>
          <w:bCs/>
          <w:color w:val="auto"/>
          <w:szCs w:val="21"/>
          <w:highlight w:val="none"/>
          <w:lang w:val="en-US" w:eastAsia="zh-CN"/>
        </w:rPr>
        <w:t>季度</w:t>
      </w:r>
      <w:r>
        <w:rPr>
          <w:rFonts w:hint="eastAsia" w:ascii="宋体" w:hAnsi="宋体" w:eastAsia="宋体" w:cs="宋体"/>
          <w:b w:val="0"/>
          <w:bCs/>
          <w:color w:val="auto"/>
          <w:szCs w:val="21"/>
          <w:highlight w:val="none"/>
          <w:lang w:val="en-US" w:eastAsia="zh-CN"/>
        </w:rPr>
        <w:t>巡检</w:t>
      </w:r>
      <w:r>
        <w:rPr>
          <w:rFonts w:hint="eastAsia" w:ascii="宋体" w:hAnsi="宋体" w:cs="宋体"/>
          <w:b w:val="0"/>
          <w:bCs/>
          <w:color w:val="auto"/>
          <w:szCs w:val="21"/>
          <w:highlight w:val="none"/>
          <w:lang w:val="en-US" w:eastAsia="zh-CN"/>
        </w:rPr>
        <w:t>维护</w:t>
      </w:r>
      <w:r>
        <w:rPr>
          <w:rFonts w:hint="eastAsia" w:ascii="宋体" w:hAnsi="宋体" w:eastAsia="宋体" w:cs="宋体"/>
          <w:b w:val="0"/>
          <w:bCs/>
          <w:color w:val="auto"/>
          <w:szCs w:val="21"/>
          <w:highlight w:val="none"/>
          <w:lang w:val="en-US" w:eastAsia="zh-CN"/>
        </w:rPr>
        <w:t>报告》；每年</w:t>
      </w:r>
      <w:r>
        <w:rPr>
          <w:rFonts w:hint="eastAsia" w:ascii="宋体" w:hAnsi="宋体" w:cs="宋体"/>
          <w:b w:val="0"/>
          <w:bCs/>
          <w:color w:val="auto"/>
          <w:szCs w:val="21"/>
          <w:highlight w:val="none"/>
          <w:lang w:val="en-US" w:eastAsia="zh-CN"/>
        </w:rPr>
        <w:t>末</w:t>
      </w:r>
      <w:r>
        <w:rPr>
          <w:rFonts w:hint="eastAsia" w:ascii="宋体" w:hAnsi="宋体" w:eastAsia="宋体" w:cs="宋体"/>
          <w:b w:val="0"/>
          <w:bCs/>
          <w:color w:val="auto"/>
          <w:szCs w:val="21"/>
          <w:highlight w:val="none"/>
          <w:lang w:val="en-US" w:eastAsia="zh-CN"/>
        </w:rPr>
        <w:t>提交《年度预防性试验报告》、《年度巡检</w:t>
      </w:r>
      <w:r>
        <w:rPr>
          <w:rFonts w:hint="eastAsia" w:ascii="宋体" w:hAnsi="宋体" w:cs="宋体"/>
          <w:b w:val="0"/>
          <w:bCs/>
          <w:color w:val="auto"/>
          <w:szCs w:val="21"/>
          <w:highlight w:val="none"/>
          <w:lang w:val="en-US" w:eastAsia="zh-CN"/>
        </w:rPr>
        <w:t>维护</w:t>
      </w:r>
      <w:r>
        <w:rPr>
          <w:rFonts w:hint="eastAsia" w:ascii="宋体" w:hAnsi="宋体" w:eastAsia="宋体" w:cs="宋体"/>
          <w:b w:val="0"/>
          <w:bCs/>
          <w:color w:val="auto"/>
          <w:szCs w:val="21"/>
          <w:highlight w:val="none"/>
          <w:lang w:val="en-US" w:eastAsia="zh-CN"/>
        </w:rPr>
        <w:t>报告》。报告需详细记录检查结果、维护数据及改进建议，并由</w:t>
      </w:r>
      <w:r>
        <w:rPr>
          <w:rFonts w:hint="eastAsia" w:ascii="宋体" w:hAnsi="宋体" w:cs="宋体"/>
          <w:b w:val="0"/>
          <w:bCs/>
          <w:color w:val="auto"/>
          <w:szCs w:val="21"/>
          <w:highlight w:val="none"/>
          <w:lang w:val="en-US" w:eastAsia="zh-CN"/>
        </w:rPr>
        <w:t>中标单位</w:t>
      </w:r>
      <w:r>
        <w:rPr>
          <w:rFonts w:hint="eastAsia" w:ascii="宋体" w:hAnsi="宋体" w:eastAsia="宋体" w:cs="宋体"/>
          <w:b w:val="0"/>
          <w:bCs/>
          <w:color w:val="auto"/>
          <w:szCs w:val="21"/>
          <w:highlight w:val="none"/>
          <w:lang w:val="en-US" w:eastAsia="zh-CN"/>
        </w:rPr>
        <w:t>盖章确认。</w:t>
      </w:r>
    </w:p>
    <w:p w14:paraId="1019E82C">
      <w:pPr>
        <w:keepNext w:val="0"/>
        <w:keepLines w:val="0"/>
        <w:pageBreakBefore w:val="0"/>
        <w:kinsoku/>
        <w:wordWrap/>
        <w:overflowPunct/>
        <w:topLinePunct w:val="0"/>
        <w:autoSpaceDE/>
        <w:autoSpaceDN/>
        <w:bidi w:val="0"/>
        <w:adjustRightInd/>
        <w:snapToGrid/>
        <w:spacing w:line="500" w:lineRule="exact"/>
        <w:ind w:left="0" w:leftChars="0" w:right="0" w:rightChars="0"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支付凭证：经招标</w:t>
      </w:r>
      <w:r>
        <w:rPr>
          <w:rFonts w:hint="eastAsia" w:ascii="宋体" w:hAnsi="宋体" w:cs="宋体"/>
          <w:b w:val="0"/>
          <w:bCs/>
          <w:color w:val="auto"/>
          <w:szCs w:val="21"/>
          <w:highlight w:val="none"/>
          <w:lang w:val="en-US" w:eastAsia="zh-CN"/>
        </w:rPr>
        <w:t>人</w:t>
      </w:r>
      <w:r>
        <w:rPr>
          <w:rFonts w:hint="eastAsia" w:ascii="宋体" w:hAnsi="宋体" w:eastAsia="宋体" w:cs="宋体"/>
          <w:b w:val="0"/>
          <w:bCs/>
          <w:color w:val="auto"/>
          <w:szCs w:val="21"/>
          <w:highlight w:val="none"/>
          <w:lang w:val="en-US" w:eastAsia="zh-CN"/>
        </w:rPr>
        <w:t>确认的《</w:t>
      </w:r>
      <w:r>
        <w:rPr>
          <w:rFonts w:hint="eastAsia" w:ascii="宋体" w:hAnsi="宋体" w:cs="宋体"/>
          <w:b w:val="0"/>
          <w:bCs/>
          <w:color w:val="auto"/>
          <w:szCs w:val="21"/>
          <w:highlight w:val="none"/>
          <w:lang w:val="en-US" w:eastAsia="zh-CN"/>
        </w:rPr>
        <w:t>季度</w:t>
      </w:r>
      <w:r>
        <w:rPr>
          <w:rFonts w:hint="eastAsia" w:ascii="宋体" w:hAnsi="宋体" w:eastAsia="宋体" w:cs="宋体"/>
          <w:b w:val="0"/>
          <w:bCs/>
          <w:color w:val="auto"/>
          <w:szCs w:val="21"/>
          <w:highlight w:val="none"/>
          <w:lang w:val="en-US" w:eastAsia="zh-CN"/>
        </w:rPr>
        <w:t>巡检</w:t>
      </w:r>
      <w:r>
        <w:rPr>
          <w:rFonts w:hint="eastAsia" w:ascii="宋体" w:hAnsi="宋体" w:cs="宋体"/>
          <w:b w:val="0"/>
          <w:bCs/>
          <w:color w:val="auto"/>
          <w:szCs w:val="21"/>
          <w:highlight w:val="none"/>
          <w:lang w:val="en-US" w:eastAsia="zh-CN"/>
        </w:rPr>
        <w:t>维护</w:t>
      </w:r>
      <w:r>
        <w:rPr>
          <w:rFonts w:hint="eastAsia" w:ascii="宋体" w:hAnsi="宋体" w:eastAsia="宋体" w:cs="宋体"/>
          <w:b w:val="0"/>
          <w:bCs/>
          <w:color w:val="auto"/>
          <w:szCs w:val="21"/>
          <w:highlight w:val="none"/>
          <w:lang w:val="en-US" w:eastAsia="zh-CN"/>
        </w:rPr>
        <w:t>报告》、《年度预防性试验报告》、《年度巡检</w:t>
      </w:r>
      <w:r>
        <w:rPr>
          <w:rFonts w:hint="eastAsia" w:ascii="宋体" w:hAnsi="宋体" w:cs="宋体"/>
          <w:b w:val="0"/>
          <w:bCs/>
          <w:color w:val="auto"/>
          <w:szCs w:val="21"/>
          <w:highlight w:val="none"/>
          <w:lang w:val="en-US" w:eastAsia="zh-CN"/>
        </w:rPr>
        <w:t>维护</w:t>
      </w:r>
      <w:r>
        <w:rPr>
          <w:rFonts w:hint="eastAsia" w:ascii="宋体" w:hAnsi="宋体" w:eastAsia="宋体" w:cs="宋体"/>
          <w:b w:val="0"/>
          <w:bCs/>
          <w:color w:val="auto"/>
          <w:szCs w:val="21"/>
          <w:highlight w:val="none"/>
          <w:lang w:val="en-US" w:eastAsia="zh-CN"/>
        </w:rPr>
        <w:t>报告》是支付相应运维费用的唯一依据。</w:t>
      </w:r>
    </w:p>
    <w:p w14:paraId="685A0B3F">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四、技术标准和规范</w:t>
      </w:r>
    </w:p>
    <w:p w14:paraId="73457A40">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宋体"/>
          <w:b w:val="0"/>
          <w:bCs w:val="0"/>
          <w:color w:val="auto"/>
          <w:szCs w:val="21"/>
          <w:highlight w:val="none"/>
          <w:lang w:val="en-US" w:eastAsia="zh-CN"/>
        </w:rPr>
      </w:pPr>
      <w:r>
        <w:rPr>
          <w:rFonts w:ascii="Segoe UI" w:hAnsi="Segoe UI" w:eastAsia="Segoe UI" w:cs="Segoe UI"/>
          <w:i w:val="0"/>
          <w:iCs w:val="0"/>
          <w:caps w:val="0"/>
          <w:color w:val="auto"/>
          <w:spacing w:val="0"/>
          <w:sz w:val="21"/>
          <w:szCs w:val="21"/>
          <w:highlight w:val="none"/>
          <w:shd w:val="clear" w:fill="FFFFFF"/>
        </w:rPr>
        <w:t>服务工作必须遵循（包括但不限于）以下最新版本的标准和规范：</w:t>
      </w:r>
    </w:p>
    <w:p w14:paraId="22F51A7C">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DL/T409-2023《电力安全工作规程电力线路部分》</w:t>
      </w:r>
    </w:p>
    <w:p w14:paraId="4635D61A">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GB50150-2016《电气装置安装工程电气设备交接试验标准》</w:t>
      </w:r>
    </w:p>
    <w:p w14:paraId="23A3A218">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GB26860-2011《电力安全工作规程发电厂和变电站电气部分》</w:t>
      </w:r>
    </w:p>
    <w:p w14:paraId="7CEB729B">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GB26859-2011《电力安全工作规程电力线路部分》</w:t>
      </w:r>
    </w:p>
    <w:p w14:paraId="13D12859">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GB/T29319-2024《光伏发电系统接入配电网技术规定》</w:t>
      </w:r>
    </w:p>
    <w:p w14:paraId="678FD3CF">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五、人员及机械设备要求</w:t>
      </w:r>
    </w:p>
    <w:p w14:paraId="4111464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w:t>
      </w:r>
      <w:r>
        <w:rPr>
          <w:rFonts w:hint="default" w:ascii="宋体" w:hAnsi="宋体" w:eastAsia="宋体" w:cs="宋体"/>
          <w:b/>
          <w:bCs/>
          <w:color w:val="auto"/>
          <w:szCs w:val="21"/>
          <w:highlight w:val="none"/>
          <w:lang w:val="en-US" w:eastAsia="zh-CN"/>
        </w:rPr>
        <w:t>项目团队</w:t>
      </w:r>
    </w:p>
    <w:p w14:paraId="1002EDA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项目负责人：1名，需具备电力工程师证及有效的“高压电工作业”特种作业操作证</w:t>
      </w:r>
      <w:r>
        <w:rPr>
          <w:rFonts w:hint="eastAsia" w:ascii="宋体" w:hAnsi="宋体" w:eastAsia="宋体" w:cs="宋体"/>
          <w:b/>
          <w:bCs/>
          <w:color w:val="auto"/>
          <w:szCs w:val="21"/>
          <w:highlight w:val="none"/>
          <w:lang w:val="en-US" w:eastAsia="zh-CN"/>
        </w:rPr>
        <w:t>（投标时提供人员名单和证书）</w:t>
      </w:r>
    </w:p>
    <w:p w14:paraId="33049F2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eastAsia" w:ascii="宋体" w:hAnsi="宋体" w:eastAsia="宋体" w:cs="宋体"/>
          <w:b/>
          <w:bCs/>
          <w:color w:val="auto"/>
          <w:szCs w:val="21"/>
          <w:highlight w:val="none"/>
          <w:lang w:val="en-US" w:eastAsia="zh-CN"/>
        </w:rPr>
      </w:pPr>
      <w:r>
        <w:rPr>
          <w:rFonts w:hint="default" w:ascii="宋体" w:hAnsi="宋体" w:eastAsia="宋体" w:cs="宋体"/>
          <w:b w:val="0"/>
          <w:bCs w:val="0"/>
          <w:color w:val="auto"/>
          <w:szCs w:val="21"/>
          <w:highlight w:val="none"/>
          <w:lang w:val="en-US" w:eastAsia="zh-CN"/>
        </w:rPr>
        <w:t>维护人员：至少2名，均须持有效的“高压电工作业”特种作业操作证。</w:t>
      </w:r>
      <w:r>
        <w:rPr>
          <w:rFonts w:hint="eastAsia" w:ascii="宋体" w:hAnsi="宋体" w:eastAsia="宋体" w:cs="宋体"/>
          <w:b/>
          <w:bCs/>
          <w:color w:val="auto"/>
          <w:szCs w:val="21"/>
          <w:highlight w:val="none"/>
          <w:lang w:val="en-US" w:eastAsia="zh-CN"/>
        </w:rPr>
        <w:t>（投标时提供人员名单和证书）</w:t>
      </w:r>
    </w:p>
    <w:p w14:paraId="2FD1D8D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val="0"/>
          <w:bCs w:val="0"/>
          <w:color w:val="auto"/>
          <w:szCs w:val="21"/>
          <w:highlight w:val="none"/>
          <w:lang w:val="en-US" w:eastAsia="zh-CN"/>
        </w:rPr>
        <w:t>以上人员为最低配备标准，如遇特殊情况需要</w:t>
      </w:r>
      <w:r>
        <w:rPr>
          <w:rFonts w:hint="default" w:ascii="宋体" w:hAnsi="宋体" w:eastAsia="宋体" w:cs="宋体"/>
          <w:b w:val="0"/>
          <w:bCs w:val="0"/>
          <w:color w:val="auto"/>
          <w:szCs w:val="21"/>
          <w:highlight w:val="none"/>
          <w:lang w:val="en-US" w:eastAsia="zh-CN"/>
        </w:rPr>
        <w:t>增派人员</w:t>
      </w:r>
      <w:r>
        <w:rPr>
          <w:rFonts w:hint="eastAsia" w:ascii="宋体" w:hAnsi="宋体" w:eastAsia="宋体" w:cs="宋体"/>
          <w:b w:val="0"/>
          <w:bCs w:val="0"/>
          <w:color w:val="auto"/>
          <w:szCs w:val="21"/>
          <w:highlight w:val="none"/>
          <w:lang w:val="en-US" w:eastAsia="zh-CN"/>
        </w:rPr>
        <w:t>得，中标人应自行配备相应人员，费用包含在投标报价中，招标人不再另行支付费用</w:t>
      </w:r>
      <w:r>
        <w:rPr>
          <w:rFonts w:hint="default" w:ascii="宋体" w:hAnsi="宋体" w:eastAsia="宋体" w:cs="宋体"/>
          <w:b w:val="0"/>
          <w:bCs w:val="0"/>
          <w:color w:val="auto"/>
          <w:szCs w:val="21"/>
          <w:highlight w:val="none"/>
          <w:lang w:val="en-US" w:eastAsia="zh-CN"/>
        </w:rPr>
        <w:t>。</w:t>
      </w:r>
    </w:p>
    <w:p w14:paraId="3F52E5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w:t>
      </w:r>
      <w:r>
        <w:rPr>
          <w:rFonts w:hint="default" w:ascii="宋体" w:hAnsi="宋体" w:eastAsia="宋体" w:cs="宋体"/>
          <w:b w:val="0"/>
          <w:bCs w:val="0"/>
          <w:color w:val="auto"/>
          <w:szCs w:val="21"/>
          <w:highlight w:val="none"/>
          <w:lang w:val="en-US" w:eastAsia="zh-CN"/>
        </w:rPr>
        <w:t>机械设备</w:t>
      </w:r>
    </w:p>
    <w:p w14:paraId="6EB94FB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配备数量充足、种类合适的维护、检测及试验设备，以满足维保工作需要。</w:t>
      </w:r>
    </w:p>
    <w:p w14:paraId="0940390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leftChars="0" w:right="0" w:rightChars="0" w:firstLine="420" w:firstLineChars="200"/>
        <w:textAlignment w:val="auto"/>
        <w:rPr>
          <w:rFonts w:hint="default" w:ascii="宋体" w:hAnsi="宋体" w:eastAsia="宋体" w:cs="宋体"/>
          <w:b w:val="0"/>
          <w:bCs w:val="0"/>
          <w:color w:val="auto"/>
          <w:szCs w:val="21"/>
          <w:highlight w:val="none"/>
          <w:lang w:val="en-US" w:eastAsia="zh-CN"/>
        </w:rPr>
      </w:pPr>
      <w:r>
        <w:rPr>
          <w:rFonts w:hint="default" w:ascii="宋体" w:hAnsi="宋体" w:eastAsia="宋体" w:cs="宋体"/>
          <w:b w:val="0"/>
          <w:bCs w:val="0"/>
          <w:color w:val="auto"/>
          <w:szCs w:val="21"/>
          <w:highlight w:val="none"/>
          <w:lang w:val="en-US" w:eastAsia="zh-CN"/>
        </w:rPr>
        <w:t>至少提供1辆专用巡查车辆，用于日常维护及应急响应。</w:t>
      </w:r>
      <w:r>
        <w:rPr>
          <w:rFonts w:hint="eastAsia" w:ascii="宋体" w:hAnsi="宋体" w:eastAsia="宋体" w:cs="宋体"/>
          <w:b/>
          <w:bCs/>
          <w:color w:val="auto"/>
          <w:szCs w:val="21"/>
          <w:highlight w:val="none"/>
          <w:lang w:val="en-US" w:eastAsia="zh-CN"/>
        </w:rPr>
        <w:t>（投标</w:t>
      </w:r>
      <w:r>
        <w:rPr>
          <w:rFonts w:hint="eastAsia" w:ascii="宋体" w:hAnsi="宋体" w:cs="宋体"/>
          <w:b/>
          <w:bCs/>
          <w:color w:val="auto"/>
          <w:szCs w:val="21"/>
          <w:highlight w:val="none"/>
          <w:lang w:val="en-US" w:eastAsia="zh-CN"/>
        </w:rPr>
        <w:t>时</w:t>
      </w:r>
      <w:r>
        <w:rPr>
          <w:rFonts w:hint="eastAsia" w:ascii="宋体" w:hAnsi="宋体" w:eastAsia="宋体" w:cs="宋体"/>
          <w:b/>
          <w:bCs/>
          <w:color w:val="auto"/>
          <w:szCs w:val="21"/>
          <w:highlight w:val="none"/>
          <w:lang w:val="en-US" w:eastAsia="zh-CN"/>
        </w:rPr>
        <w:t>无需提供证明材料，中标后进场前按要求配备，否则视为虚假响应）</w:t>
      </w:r>
    </w:p>
    <w:p w14:paraId="2A85B33D">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六、报价要求</w:t>
      </w:r>
    </w:p>
    <w:p w14:paraId="24EC2973">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Segoe UI" w:hAnsi="Segoe UI" w:eastAsia="Segoe UI" w:cs="Segoe UI"/>
          <w:i w:val="0"/>
          <w:iCs w:val="0"/>
          <w:caps w:val="0"/>
          <w:color w:val="auto"/>
          <w:spacing w:val="0"/>
          <w:sz w:val="21"/>
          <w:szCs w:val="21"/>
          <w:highlight w:val="none"/>
          <w:shd w:val="clear" w:fill="FFFFFF"/>
          <w:lang w:val="en-US" w:eastAsia="zh-CN"/>
        </w:rPr>
        <w:t>投标报价应为完成</w:t>
      </w:r>
      <w:r>
        <w:rPr>
          <w:rFonts w:ascii="Segoe UI" w:hAnsi="Segoe UI" w:eastAsia="Segoe UI" w:cs="Segoe UI"/>
          <w:i w:val="0"/>
          <w:iCs w:val="0"/>
          <w:caps w:val="0"/>
          <w:color w:val="auto"/>
          <w:spacing w:val="0"/>
          <w:sz w:val="21"/>
          <w:szCs w:val="21"/>
          <w:highlight w:val="none"/>
          <w:shd w:val="clear" w:fill="FFFFFF"/>
        </w:rPr>
        <w:t>本项目所有服务内容按清单计算的固定单价。报价须涵盖人员薪酬、社会保险、工具耗材、维修配件、企业管理、利润、税金、风险及合同明示或暗示的一切费用。合同期内价格不因任何因素调整</w:t>
      </w:r>
      <w:r>
        <w:rPr>
          <w:rFonts w:hint="eastAsia" w:ascii="宋体" w:hAnsi="宋体" w:eastAsia="宋体" w:cs="宋体"/>
          <w:color w:val="auto"/>
          <w:szCs w:val="21"/>
          <w:highlight w:val="none"/>
          <w:lang w:val="en-US" w:eastAsia="zh-CN"/>
        </w:rPr>
        <w:t>。</w:t>
      </w:r>
    </w:p>
    <w:p w14:paraId="2411AD3F">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七、工程量清单</w:t>
      </w:r>
    </w:p>
    <w:p w14:paraId="2EA0B5BB">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以下工程量仅为当前已运营和预估，具体以服务期内实际工程量为准。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540"/>
        <w:gridCol w:w="2387"/>
        <w:gridCol w:w="1549"/>
        <w:gridCol w:w="1069"/>
        <w:gridCol w:w="1324"/>
      </w:tblGrid>
      <w:tr w14:paraId="526A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054B2E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Times New Roman" w:hAnsi="Times New Roman" w:eastAsia="宋体" w:cs="Times New Roman"/>
                <w:b/>
                <w:bCs/>
                <w:caps/>
                <w:color w:val="auto"/>
                <w:kern w:val="2"/>
                <w:sz w:val="20"/>
                <w:szCs w:val="20"/>
                <w:highlight w:val="none"/>
                <w:vertAlign w:val="baseline"/>
                <w:lang w:val="en-US" w:eastAsia="zh-CN" w:bidi="ar-SA"/>
              </w:rPr>
            </w:pPr>
            <w:r>
              <w:rPr>
                <w:rFonts w:hint="eastAsia" w:ascii="Times New Roman" w:hAnsi="Times New Roman" w:eastAsia="宋体" w:cs="Times New Roman"/>
                <w:b/>
                <w:bCs/>
                <w:caps/>
                <w:color w:val="auto"/>
                <w:kern w:val="2"/>
                <w:sz w:val="20"/>
                <w:szCs w:val="20"/>
                <w:highlight w:val="none"/>
                <w:vertAlign w:val="baseline"/>
                <w:lang w:val="en-US" w:eastAsia="zh-CN" w:bidi="ar-SA"/>
              </w:rPr>
              <w:t>序号</w:t>
            </w:r>
          </w:p>
        </w:tc>
        <w:tc>
          <w:tcPr>
            <w:tcW w:w="2540" w:type="dxa"/>
            <w:vAlign w:val="center"/>
          </w:tcPr>
          <w:p w14:paraId="5940D83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Times New Roman" w:hAnsi="Times New Roman" w:eastAsia="宋体" w:cs="Times New Roman"/>
                <w:b/>
                <w:bCs/>
                <w:caps/>
                <w:color w:val="auto"/>
                <w:kern w:val="2"/>
                <w:sz w:val="20"/>
                <w:szCs w:val="20"/>
                <w:highlight w:val="none"/>
                <w:vertAlign w:val="baseline"/>
                <w:lang w:val="en-US" w:eastAsia="zh-CN" w:bidi="ar-SA"/>
              </w:rPr>
            </w:pPr>
            <w:r>
              <w:rPr>
                <w:rFonts w:hint="eastAsia" w:ascii="Times New Roman" w:hAnsi="Times New Roman" w:eastAsia="宋体" w:cs="Times New Roman"/>
                <w:b/>
                <w:bCs/>
                <w:caps/>
                <w:color w:val="auto"/>
                <w:kern w:val="2"/>
                <w:sz w:val="20"/>
                <w:szCs w:val="20"/>
                <w:highlight w:val="none"/>
                <w:vertAlign w:val="baseline"/>
                <w:lang w:val="en-US" w:eastAsia="zh-CN" w:bidi="ar-SA"/>
              </w:rPr>
              <w:t>场站名称</w:t>
            </w:r>
          </w:p>
        </w:tc>
        <w:tc>
          <w:tcPr>
            <w:tcW w:w="2387" w:type="dxa"/>
            <w:vAlign w:val="center"/>
          </w:tcPr>
          <w:p w14:paraId="1E16263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Times New Roman" w:hAnsi="Times New Roman" w:eastAsia="宋体" w:cs="Times New Roman"/>
                <w:b/>
                <w:bCs/>
                <w:caps/>
                <w:color w:val="auto"/>
                <w:kern w:val="2"/>
                <w:sz w:val="20"/>
                <w:szCs w:val="20"/>
                <w:highlight w:val="none"/>
                <w:vertAlign w:val="baseline"/>
                <w:lang w:val="en-US" w:eastAsia="zh-CN" w:bidi="ar-SA"/>
              </w:rPr>
            </w:pPr>
            <w:r>
              <w:rPr>
                <w:rFonts w:hint="eastAsia" w:ascii="Times New Roman" w:hAnsi="Times New Roman" w:eastAsia="宋体" w:cs="Times New Roman"/>
                <w:b/>
                <w:bCs/>
                <w:caps/>
                <w:color w:val="auto"/>
                <w:kern w:val="2"/>
                <w:sz w:val="20"/>
                <w:szCs w:val="20"/>
                <w:highlight w:val="none"/>
                <w:vertAlign w:val="baseline"/>
                <w:lang w:val="en-US" w:eastAsia="zh-CN" w:bidi="ar-SA"/>
              </w:rPr>
              <w:t>场站地址</w:t>
            </w:r>
          </w:p>
        </w:tc>
        <w:tc>
          <w:tcPr>
            <w:tcW w:w="1549" w:type="dxa"/>
            <w:vAlign w:val="center"/>
          </w:tcPr>
          <w:p w14:paraId="4C5670F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Times New Roman" w:hAnsi="Times New Roman" w:eastAsia="宋体" w:cs="Times New Roman"/>
                <w:b/>
                <w:bCs/>
                <w:caps/>
                <w:color w:val="auto"/>
                <w:kern w:val="2"/>
                <w:sz w:val="20"/>
                <w:szCs w:val="20"/>
                <w:highlight w:val="none"/>
                <w:vertAlign w:val="baseline"/>
                <w:lang w:val="en-US" w:eastAsia="zh-CN" w:bidi="ar-SA"/>
              </w:rPr>
            </w:pPr>
            <w:r>
              <w:rPr>
                <w:rFonts w:hint="eastAsia" w:cs="Times New Roman"/>
                <w:b/>
                <w:bCs/>
                <w:caps/>
                <w:color w:val="auto"/>
                <w:kern w:val="2"/>
                <w:sz w:val="20"/>
                <w:szCs w:val="20"/>
                <w:highlight w:val="none"/>
                <w:vertAlign w:val="baseline"/>
                <w:lang w:val="en-US" w:eastAsia="zh-CN" w:bidi="ar-SA"/>
              </w:rPr>
              <w:t>场站</w:t>
            </w:r>
            <w:r>
              <w:rPr>
                <w:rFonts w:hint="eastAsia" w:ascii="Times New Roman" w:hAnsi="Times New Roman" w:eastAsia="宋体" w:cs="Times New Roman"/>
                <w:b/>
                <w:bCs/>
                <w:caps/>
                <w:color w:val="auto"/>
                <w:kern w:val="2"/>
                <w:sz w:val="20"/>
                <w:szCs w:val="20"/>
                <w:highlight w:val="none"/>
                <w:vertAlign w:val="baseline"/>
                <w:lang w:val="en-US" w:eastAsia="zh-CN" w:bidi="ar-SA"/>
              </w:rPr>
              <w:t>规模</w:t>
            </w:r>
          </w:p>
        </w:tc>
        <w:tc>
          <w:tcPr>
            <w:tcW w:w="1069" w:type="dxa"/>
            <w:vAlign w:val="center"/>
          </w:tcPr>
          <w:p w14:paraId="4EACFBA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Times New Roman" w:hAnsi="Times New Roman" w:eastAsia="宋体" w:cs="Times New Roman"/>
                <w:b/>
                <w:bCs/>
                <w:caps/>
                <w:color w:val="auto"/>
                <w:kern w:val="2"/>
                <w:sz w:val="20"/>
                <w:szCs w:val="20"/>
                <w:highlight w:val="none"/>
                <w:vertAlign w:val="baseline"/>
                <w:lang w:val="en-US" w:eastAsia="zh-CN" w:bidi="ar-SA"/>
              </w:rPr>
            </w:pPr>
            <w:r>
              <w:rPr>
                <w:rFonts w:hint="eastAsia" w:ascii="Times New Roman" w:hAnsi="Times New Roman" w:eastAsia="宋体" w:cs="Times New Roman"/>
                <w:b/>
                <w:bCs/>
                <w:caps/>
                <w:color w:val="auto"/>
                <w:kern w:val="2"/>
                <w:sz w:val="20"/>
                <w:szCs w:val="20"/>
                <w:highlight w:val="none"/>
                <w:vertAlign w:val="baseline"/>
                <w:lang w:val="en-US" w:eastAsia="zh-CN" w:bidi="ar-SA"/>
              </w:rPr>
              <w:t>变压器容量（kVA）</w:t>
            </w:r>
          </w:p>
        </w:tc>
        <w:tc>
          <w:tcPr>
            <w:tcW w:w="1324" w:type="dxa"/>
            <w:vAlign w:val="center"/>
          </w:tcPr>
          <w:p w14:paraId="77B824C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Times New Roman" w:hAnsi="Times New Roman" w:eastAsia="宋体" w:cs="Times New Roman"/>
                <w:b/>
                <w:bCs/>
                <w:caps/>
                <w:color w:val="auto"/>
                <w:kern w:val="2"/>
                <w:sz w:val="20"/>
                <w:szCs w:val="20"/>
                <w:highlight w:val="none"/>
                <w:vertAlign w:val="baseline"/>
                <w:lang w:val="en-US" w:eastAsia="zh-CN" w:bidi="ar-SA"/>
              </w:rPr>
            </w:pPr>
            <w:r>
              <w:rPr>
                <w:rFonts w:hint="eastAsia" w:ascii="Times New Roman" w:hAnsi="Times New Roman" w:eastAsia="宋体" w:cs="Times New Roman"/>
                <w:b/>
                <w:bCs/>
                <w:caps/>
                <w:color w:val="auto"/>
                <w:kern w:val="2"/>
                <w:sz w:val="20"/>
                <w:szCs w:val="20"/>
                <w:highlight w:val="none"/>
                <w:vertAlign w:val="baseline"/>
                <w:lang w:val="en-US" w:eastAsia="zh-CN" w:bidi="ar-SA"/>
              </w:rPr>
              <w:t>备注</w:t>
            </w:r>
          </w:p>
        </w:tc>
      </w:tr>
      <w:tr w14:paraId="07AC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4832F28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w:t>
            </w:r>
          </w:p>
        </w:tc>
        <w:tc>
          <w:tcPr>
            <w:tcW w:w="2540" w:type="dxa"/>
            <w:vAlign w:val="center"/>
          </w:tcPr>
          <w:p w14:paraId="5AC92F9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滁州充电涧北公园电动汽车充电站</w:t>
            </w:r>
          </w:p>
        </w:tc>
        <w:tc>
          <w:tcPr>
            <w:tcW w:w="2387" w:type="dxa"/>
            <w:vAlign w:val="center"/>
          </w:tcPr>
          <w:p w14:paraId="4737991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琅琊区环滁西路92号</w:t>
            </w:r>
          </w:p>
        </w:tc>
        <w:tc>
          <w:tcPr>
            <w:tcW w:w="1549" w:type="dxa"/>
            <w:vAlign w:val="center"/>
          </w:tcPr>
          <w:p w14:paraId="5FE6333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1515CF5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45CF4D6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2E00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7D1A3F5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w:t>
            </w:r>
          </w:p>
        </w:tc>
        <w:tc>
          <w:tcPr>
            <w:tcW w:w="2540" w:type="dxa"/>
            <w:vAlign w:val="center"/>
          </w:tcPr>
          <w:p w14:paraId="4350A19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滁州充电琅琊山管委会电动汽车充电站</w:t>
            </w:r>
          </w:p>
        </w:tc>
        <w:tc>
          <w:tcPr>
            <w:tcW w:w="2387" w:type="dxa"/>
            <w:vAlign w:val="center"/>
          </w:tcPr>
          <w:p w14:paraId="3B04A5C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南谯区西涧中路4306号</w:t>
            </w:r>
          </w:p>
        </w:tc>
        <w:tc>
          <w:tcPr>
            <w:tcW w:w="1549" w:type="dxa"/>
            <w:vAlign w:val="center"/>
          </w:tcPr>
          <w:p w14:paraId="17A6FEA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1805E86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7F4304B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1EE2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01A6F96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3</w:t>
            </w:r>
          </w:p>
        </w:tc>
        <w:tc>
          <w:tcPr>
            <w:tcW w:w="2540" w:type="dxa"/>
            <w:vAlign w:val="center"/>
          </w:tcPr>
          <w:p w14:paraId="2DD1C62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滁州充电滁州中学明湖校区校园外电动汽车充电站</w:t>
            </w:r>
          </w:p>
        </w:tc>
        <w:tc>
          <w:tcPr>
            <w:tcW w:w="2387" w:type="dxa"/>
            <w:vAlign w:val="center"/>
          </w:tcPr>
          <w:p w14:paraId="39128401">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南谯区南谯南路3888号</w:t>
            </w:r>
          </w:p>
        </w:tc>
        <w:tc>
          <w:tcPr>
            <w:tcW w:w="1549" w:type="dxa"/>
            <w:vAlign w:val="center"/>
          </w:tcPr>
          <w:p w14:paraId="4962A69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155CC0F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3AFCF84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7B3B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4010D48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4</w:t>
            </w:r>
          </w:p>
        </w:tc>
        <w:tc>
          <w:tcPr>
            <w:tcW w:w="2540" w:type="dxa"/>
            <w:vAlign w:val="center"/>
          </w:tcPr>
          <w:p w14:paraId="0E390FD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滁州充电金陵苑小区外停车场电动汽车充电站</w:t>
            </w:r>
          </w:p>
        </w:tc>
        <w:tc>
          <w:tcPr>
            <w:tcW w:w="2387" w:type="dxa"/>
            <w:vAlign w:val="center"/>
          </w:tcPr>
          <w:p w14:paraId="4E69481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南谯区东坡东路638号</w:t>
            </w:r>
          </w:p>
        </w:tc>
        <w:tc>
          <w:tcPr>
            <w:tcW w:w="1549" w:type="dxa"/>
            <w:vAlign w:val="center"/>
          </w:tcPr>
          <w:p w14:paraId="6679354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1A1B5EA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250</w:t>
            </w:r>
          </w:p>
        </w:tc>
        <w:tc>
          <w:tcPr>
            <w:tcW w:w="1324" w:type="dxa"/>
            <w:vAlign w:val="center"/>
          </w:tcPr>
          <w:p w14:paraId="591E17E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02FD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EDE0D1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w:t>
            </w:r>
          </w:p>
        </w:tc>
        <w:tc>
          <w:tcPr>
            <w:tcW w:w="2540" w:type="dxa"/>
            <w:vAlign w:val="center"/>
          </w:tcPr>
          <w:p w14:paraId="0A4872C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滁州充电新生路停车场电动汽车充电站</w:t>
            </w:r>
          </w:p>
        </w:tc>
        <w:tc>
          <w:tcPr>
            <w:tcW w:w="2387" w:type="dxa"/>
            <w:vAlign w:val="center"/>
          </w:tcPr>
          <w:p w14:paraId="2F8A596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金陵路与新生路交口西南侧</w:t>
            </w:r>
          </w:p>
        </w:tc>
        <w:tc>
          <w:tcPr>
            <w:tcW w:w="1549" w:type="dxa"/>
            <w:vAlign w:val="center"/>
          </w:tcPr>
          <w:p w14:paraId="6127208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高压分接箱1座，箱变1座</w:t>
            </w:r>
          </w:p>
        </w:tc>
        <w:tc>
          <w:tcPr>
            <w:tcW w:w="1069" w:type="dxa"/>
            <w:vAlign w:val="center"/>
          </w:tcPr>
          <w:p w14:paraId="1CB929D6">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1A8AD9F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1D88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E47896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w:t>
            </w:r>
          </w:p>
        </w:tc>
        <w:tc>
          <w:tcPr>
            <w:tcW w:w="2540" w:type="dxa"/>
            <w:vAlign w:val="center"/>
          </w:tcPr>
          <w:p w14:paraId="4E2F11E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滁州充电龙兴路景观带丰乐大道停车场电动汽车充电站</w:t>
            </w:r>
          </w:p>
        </w:tc>
        <w:tc>
          <w:tcPr>
            <w:tcW w:w="2387" w:type="dxa"/>
            <w:vAlign w:val="center"/>
          </w:tcPr>
          <w:p w14:paraId="0F241533">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南谯区龙兴路景观带丰乐大道停车场</w:t>
            </w:r>
          </w:p>
        </w:tc>
        <w:tc>
          <w:tcPr>
            <w:tcW w:w="1549" w:type="dxa"/>
            <w:vAlign w:val="center"/>
          </w:tcPr>
          <w:p w14:paraId="5C552241">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1FE5ED8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5270BC6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6858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52A9E22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7</w:t>
            </w:r>
          </w:p>
        </w:tc>
        <w:tc>
          <w:tcPr>
            <w:tcW w:w="2540" w:type="dxa"/>
            <w:vAlign w:val="center"/>
          </w:tcPr>
          <w:p w14:paraId="05CF4A1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滁州充电南小庄公共停车场电动汽车充电站</w:t>
            </w:r>
          </w:p>
        </w:tc>
        <w:tc>
          <w:tcPr>
            <w:tcW w:w="2387" w:type="dxa"/>
            <w:vAlign w:val="center"/>
          </w:tcPr>
          <w:p w14:paraId="41999DA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南谯区凤谯路120号</w:t>
            </w:r>
          </w:p>
        </w:tc>
        <w:tc>
          <w:tcPr>
            <w:tcW w:w="1549" w:type="dxa"/>
            <w:vAlign w:val="center"/>
          </w:tcPr>
          <w:p w14:paraId="02C48C6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61E8354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1000</w:t>
            </w:r>
          </w:p>
        </w:tc>
        <w:tc>
          <w:tcPr>
            <w:tcW w:w="1324" w:type="dxa"/>
            <w:vAlign w:val="center"/>
          </w:tcPr>
          <w:p w14:paraId="6F33CD9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3CA7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3BDECFF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8</w:t>
            </w:r>
          </w:p>
        </w:tc>
        <w:tc>
          <w:tcPr>
            <w:tcW w:w="2540" w:type="dxa"/>
            <w:vAlign w:val="center"/>
          </w:tcPr>
          <w:p w14:paraId="3E5EBE9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滁州充电花博园轻轨站电动汽车充电站</w:t>
            </w:r>
          </w:p>
        </w:tc>
        <w:tc>
          <w:tcPr>
            <w:tcW w:w="2387" w:type="dxa"/>
            <w:vAlign w:val="center"/>
          </w:tcPr>
          <w:p w14:paraId="74E92251">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南谯区丰乐大道2318号</w:t>
            </w:r>
          </w:p>
        </w:tc>
        <w:tc>
          <w:tcPr>
            <w:tcW w:w="1549" w:type="dxa"/>
            <w:vAlign w:val="center"/>
          </w:tcPr>
          <w:p w14:paraId="2AFC204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环网柜1座，箱变1座</w:t>
            </w:r>
          </w:p>
        </w:tc>
        <w:tc>
          <w:tcPr>
            <w:tcW w:w="1069" w:type="dxa"/>
            <w:vAlign w:val="center"/>
          </w:tcPr>
          <w:p w14:paraId="18562A06">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1000</w:t>
            </w:r>
          </w:p>
        </w:tc>
        <w:tc>
          <w:tcPr>
            <w:tcW w:w="1324" w:type="dxa"/>
            <w:vAlign w:val="center"/>
          </w:tcPr>
          <w:p w14:paraId="47E54FD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2DA2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5301604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9</w:t>
            </w:r>
          </w:p>
        </w:tc>
        <w:tc>
          <w:tcPr>
            <w:tcW w:w="2540" w:type="dxa"/>
            <w:vAlign w:val="center"/>
          </w:tcPr>
          <w:p w14:paraId="652F142B">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滁州充电裕安园停车场电动汽车充电站</w:t>
            </w:r>
          </w:p>
        </w:tc>
        <w:tc>
          <w:tcPr>
            <w:tcW w:w="2387" w:type="dxa"/>
            <w:vAlign w:val="center"/>
          </w:tcPr>
          <w:p w14:paraId="44250BD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琅琊区卫民路11号</w:t>
            </w:r>
          </w:p>
        </w:tc>
        <w:tc>
          <w:tcPr>
            <w:tcW w:w="1549" w:type="dxa"/>
            <w:vAlign w:val="center"/>
          </w:tcPr>
          <w:p w14:paraId="4216813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5B2FCB5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0D64C2C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324A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1006FE1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10</w:t>
            </w:r>
          </w:p>
        </w:tc>
        <w:tc>
          <w:tcPr>
            <w:tcW w:w="2540" w:type="dxa"/>
            <w:vAlign w:val="center"/>
          </w:tcPr>
          <w:p w14:paraId="58F99E7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滁州充电卫校巷停车场电动汽车充电站</w:t>
            </w:r>
          </w:p>
        </w:tc>
        <w:tc>
          <w:tcPr>
            <w:tcW w:w="2387" w:type="dxa"/>
            <w:vAlign w:val="center"/>
          </w:tcPr>
          <w:p w14:paraId="2F2BDBC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琅琊区中都大道12号</w:t>
            </w:r>
          </w:p>
        </w:tc>
        <w:tc>
          <w:tcPr>
            <w:tcW w:w="1549" w:type="dxa"/>
            <w:vAlign w:val="center"/>
          </w:tcPr>
          <w:p w14:paraId="0E59338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环网柜1座，箱变2座</w:t>
            </w:r>
          </w:p>
        </w:tc>
        <w:tc>
          <w:tcPr>
            <w:tcW w:w="1069" w:type="dxa"/>
            <w:vAlign w:val="center"/>
          </w:tcPr>
          <w:p w14:paraId="57455D1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1600</w:t>
            </w:r>
          </w:p>
        </w:tc>
        <w:tc>
          <w:tcPr>
            <w:tcW w:w="1324" w:type="dxa"/>
            <w:vAlign w:val="center"/>
          </w:tcPr>
          <w:p w14:paraId="2CEA941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5CA8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501BBA0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11</w:t>
            </w:r>
          </w:p>
        </w:tc>
        <w:tc>
          <w:tcPr>
            <w:tcW w:w="2540" w:type="dxa"/>
            <w:vAlign w:val="center"/>
          </w:tcPr>
          <w:p w14:paraId="3ACCB69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滁州充电王桥停车场电动汽车充电站</w:t>
            </w:r>
          </w:p>
        </w:tc>
        <w:tc>
          <w:tcPr>
            <w:tcW w:w="2387" w:type="dxa"/>
            <w:vAlign w:val="center"/>
          </w:tcPr>
          <w:p w14:paraId="4876978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琅琊区丰乐北路129号</w:t>
            </w:r>
          </w:p>
        </w:tc>
        <w:tc>
          <w:tcPr>
            <w:tcW w:w="1549" w:type="dxa"/>
            <w:vAlign w:val="center"/>
          </w:tcPr>
          <w:p w14:paraId="44AC96D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7ABB510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675A7CC3">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2530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036C9F8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12</w:t>
            </w:r>
          </w:p>
        </w:tc>
        <w:tc>
          <w:tcPr>
            <w:tcW w:w="2540" w:type="dxa"/>
            <w:vAlign w:val="center"/>
          </w:tcPr>
          <w:p w14:paraId="4573E8E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滁州充电小桥湖停车场电动汽车充电站</w:t>
            </w:r>
          </w:p>
        </w:tc>
        <w:tc>
          <w:tcPr>
            <w:tcW w:w="2387" w:type="dxa"/>
            <w:vAlign w:val="center"/>
          </w:tcPr>
          <w:p w14:paraId="4169C43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南谯区清流西路192号</w:t>
            </w:r>
          </w:p>
        </w:tc>
        <w:tc>
          <w:tcPr>
            <w:tcW w:w="1549" w:type="dxa"/>
            <w:vAlign w:val="center"/>
          </w:tcPr>
          <w:p w14:paraId="72786C63">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环网柜1座，箱变3座</w:t>
            </w:r>
          </w:p>
        </w:tc>
        <w:tc>
          <w:tcPr>
            <w:tcW w:w="1069" w:type="dxa"/>
            <w:vAlign w:val="center"/>
          </w:tcPr>
          <w:p w14:paraId="5C57EC9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2060</w:t>
            </w:r>
          </w:p>
        </w:tc>
        <w:tc>
          <w:tcPr>
            <w:tcW w:w="1324" w:type="dxa"/>
            <w:vAlign w:val="center"/>
          </w:tcPr>
          <w:p w14:paraId="1E9AD78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2B34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0781576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13</w:t>
            </w:r>
          </w:p>
        </w:tc>
        <w:tc>
          <w:tcPr>
            <w:tcW w:w="2540" w:type="dxa"/>
            <w:vAlign w:val="center"/>
          </w:tcPr>
          <w:p w14:paraId="1B05D71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滁州充电扬子宾馆停车场电动汽车充电站</w:t>
            </w:r>
          </w:p>
        </w:tc>
        <w:tc>
          <w:tcPr>
            <w:tcW w:w="2387" w:type="dxa"/>
            <w:vAlign w:val="center"/>
          </w:tcPr>
          <w:p w14:paraId="4A450E7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琅琊区南谯中路858号</w:t>
            </w:r>
          </w:p>
        </w:tc>
        <w:tc>
          <w:tcPr>
            <w:tcW w:w="1549" w:type="dxa"/>
            <w:vAlign w:val="center"/>
          </w:tcPr>
          <w:p w14:paraId="5DB32B7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环网柜1座，箱变2座</w:t>
            </w:r>
          </w:p>
        </w:tc>
        <w:tc>
          <w:tcPr>
            <w:tcW w:w="1069" w:type="dxa"/>
            <w:vAlign w:val="center"/>
          </w:tcPr>
          <w:p w14:paraId="6EDFB40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1260</w:t>
            </w:r>
          </w:p>
        </w:tc>
        <w:tc>
          <w:tcPr>
            <w:tcW w:w="1324" w:type="dxa"/>
            <w:vAlign w:val="center"/>
          </w:tcPr>
          <w:p w14:paraId="54B43E6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1888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4833609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14</w:t>
            </w:r>
          </w:p>
        </w:tc>
        <w:tc>
          <w:tcPr>
            <w:tcW w:w="2540" w:type="dxa"/>
            <w:vAlign w:val="center"/>
          </w:tcPr>
          <w:p w14:paraId="4B5286D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滁州充电农歌会广场停车场光储充示范站电动汽车充电站</w:t>
            </w:r>
          </w:p>
        </w:tc>
        <w:tc>
          <w:tcPr>
            <w:tcW w:w="2387" w:type="dxa"/>
            <w:vAlign w:val="center"/>
          </w:tcPr>
          <w:p w14:paraId="4F5771F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南谯区龙蟠大道农歌会广场停车场</w:t>
            </w:r>
          </w:p>
        </w:tc>
        <w:tc>
          <w:tcPr>
            <w:tcW w:w="1549" w:type="dxa"/>
            <w:vAlign w:val="center"/>
          </w:tcPr>
          <w:p w14:paraId="4C75916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2539E2F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1000</w:t>
            </w:r>
          </w:p>
        </w:tc>
        <w:tc>
          <w:tcPr>
            <w:tcW w:w="1324" w:type="dxa"/>
            <w:vAlign w:val="center"/>
          </w:tcPr>
          <w:p w14:paraId="1DD4D8B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164F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574338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15</w:t>
            </w:r>
          </w:p>
        </w:tc>
        <w:tc>
          <w:tcPr>
            <w:tcW w:w="2540" w:type="dxa"/>
            <w:vAlign w:val="center"/>
          </w:tcPr>
          <w:p w14:paraId="606C9B3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滁州充电佑安公园停车场超充电动汽车充电站</w:t>
            </w:r>
          </w:p>
        </w:tc>
        <w:tc>
          <w:tcPr>
            <w:tcW w:w="2387" w:type="dxa"/>
            <w:vAlign w:val="center"/>
          </w:tcPr>
          <w:p w14:paraId="1E2C0AF1">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南谯区东坡西路220号</w:t>
            </w:r>
          </w:p>
        </w:tc>
        <w:tc>
          <w:tcPr>
            <w:tcW w:w="1549" w:type="dxa"/>
            <w:vAlign w:val="center"/>
          </w:tcPr>
          <w:p w14:paraId="16AB706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63F93C1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2BBAD7F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0DC0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7DF759E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16</w:t>
            </w:r>
          </w:p>
        </w:tc>
        <w:tc>
          <w:tcPr>
            <w:tcW w:w="2540" w:type="dxa"/>
            <w:vAlign w:val="center"/>
          </w:tcPr>
          <w:p w14:paraId="088F407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滁州充电红三环家园停车场超充电动汽车充电站</w:t>
            </w:r>
          </w:p>
        </w:tc>
        <w:tc>
          <w:tcPr>
            <w:tcW w:w="2387" w:type="dxa"/>
            <w:vAlign w:val="center"/>
          </w:tcPr>
          <w:p w14:paraId="162DB0F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琅琊区清流中路1519号</w:t>
            </w:r>
          </w:p>
        </w:tc>
        <w:tc>
          <w:tcPr>
            <w:tcW w:w="1549" w:type="dxa"/>
            <w:vAlign w:val="center"/>
          </w:tcPr>
          <w:p w14:paraId="3E0067C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5AB2589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6F26E74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3323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38612A7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17</w:t>
            </w:r>
          </w:p>
        </w:tc>
        <w:tc>
          <w:tcPr>
            <w:tcW w:w="2540" w:type="dxa"/>
            <w:vAlign w:val="center"/>
          </w:tcPr>
          <w:p w14:paraId="1A2AF813">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滁州充电永乐北路停车场电动汽车充电站</w:t>
            </w:r>
          </w:p>
        </w:tc>
        <w:tc>
          <w:tcPr>
            <w:tcW w:w="2387" w:type="dxa"/>
            <w:vAlign w:val="center"/>
          </w:tcPr>
          <w:p w14:paraId="7283494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南谯区同乐西路22号</w:t>
            </w:r>
          </w:p>
        </w:tc>
        <w:tc>
          <w:tcPr>
            <w:tcW w:w="1549" w:type="dxa"/>
            <w:vAlign w:val="center"/>
          </w:tcPr>
          <w:p w14:paraId="73B2DEC3">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5EC4693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60B5AE7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43F2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10F972C6">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18</w:t>
            </w:r>
          </w:p>
        </w:tc>
        <w:tc>
          <w:tcPr>
            <w:tcW w:w="2540" w:type="dxa"/>
            <w:vAlign w:val="center"/>
          </w:tcPr>
          <w:p w14:paraId="317C7F6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滁州充电阳明路停车场电动汽车充电站</w:t>
            </w:r>
          </w:p>
        </w:tc>
        <w:tc>
          <w:tcPr>
            <w:tcW w:w="2387" w:type="dxa"/>
            <w:vAlign w:val="center"/>
          </w:tcPr>
          <w:p w14:paraId="5F023626">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南谯区金陵北路777号</w:t>
            </w:r>
          </w:p>
        </w:tc>
        <w:tc>
          <w:tcPr>
            <w:tcW w:w="1549" w:type="dxa"/>
            <w:vAlign w:val="center"/>
          </w:tcPr>
          <w:p w14:paraId="08E5C76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6033E946">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257E18E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23BB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3D562E6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19</w:t>
            </w:r>
          </w:p>
        </w:tc>
        <w:tc>
          <w:tcPr>
            <w:tcW w:w="2540" w:type="dxa"/>
            <w:vAlign w:val="center"/>
          </w:tcPr>
          <w:p w14:paraId="0A199E4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滁州充电二纺机停车场电动汽车充电站</w:t>
            </w:r>
          </w:p>
        </w:tc>
        <w:tc>
          <w:tcPr>
            <w:tcW w:w="2387" w:type="dxa"/>
            <w:vAlign w:val="center"/>
          </w:tcPr>
          <w:p w14:paraId="2EDE453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琅琊区明光西路151号</w:t>
            </w:r>
          </w:p>
        </w:tc>
        <w:tc>
          <w:tcPr>
            <w:tcW w:w="1549" w:type="dxa"/>
            <w:vAlign w:val="center"/>
          </w:tcPr>
          <w:p w14:paraId="36297C66">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30BD4AD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5452B16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1A70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44F3921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20</w:t>
            </w:r>
          </w:p>
        </w:tc>
        <w:tc>
          <w:tcPr>
            <w:tcW w:w="2540" w:type="dxa"/>
            <w:vAlign w:val="center"/>
          </w:tcPr>
          <w:p w14:paraId="3933CC2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滁州充电老二院停车场电动汽车充电站</w:t>
            </w:r>
          </w:p>
        </w:tc>
        <w:tc>
          <w:tcPr>
            <w:tcW w:w="2387" w:type="dxa"/>
            <w:vAlign w:val="center"/>
          </w:tcPr>
          <w:p w14:paraId="022E5A7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琅琊区西大街80号</w:t>
            </w:r>
          </w:p>
        </w:tc>
        <w:tc>
          <w:tcPr>
            <w:tcW w:w="1549" w:type="dxa"/>
            <w:vAlign w:val="center"/>
          </w:tcPr>
          <w:p w14:paraId="3CD2350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534F37E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3DAE12A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4E86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0489C60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21</w:t>
            </w:r>
          </w:p>
        </w:tc>
        <w:tc>
          <w:tcPr>
            <w:tcW w:w="2540" w:type="dxa"/>
            <w:vAlign w:val="center"/>
          </w:tcPr>
          <w:p w14:paraId="267B8ED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滁州充电育新西路停车场电动汽车充电站</w:t>
            </w:r>
          </w:p>
        </w:tc>
        <w:tc>
          <w:tcPr>
            <w:tcW w:w="2387" w:type="dxa"/>
            <w:vAlign w:val="center"/>
          </w:tcPr>
          <w:p w14:paraId="1EE1E5E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琅琊区丰乐大道53号</w:t>
            </w:r>
          </w:p>
        </w:tc>
        <w:tc>
          <w:tcPr>
            <w:tcW w:w="1549" w:type="dxa"/>
            <w:vAlign w:val="center"/>
          </w:tcPr>
          <w:p w14:paraId="28B4F8AB">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475CAAD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498B314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5913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073B35A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22</w:t>
            </w:r>
          </w:p>
        </w:tc>
        <w:tc>
          <w:tcPr>
            <w:tcW w:w="2540" w:type="dxa"/>
            <w:vAlign w:val="center"/>
          </w:tcPr>
          <w:p w14:paraId="5F90D0B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滁州充电八中南侧停车场电动汽车充电站</w:t>
            </w:r>
          </w:p>
        </w:tc>
        <w:tc>
          <w:tcPr>
            <w:tcW w:w="2387" w:type="dxa"/>
            <w:vAlign w:val="center"/>
          </w:tcPr>
          <w:p w14:paraId="0E7ECA7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南谯区南谯中路1719号</w:t>
            </w:r>
          </w:p>
        </w:tc>
        <w:tc>
          <w:tcPr>
            <w:tcW w:w="1549" w:type="dxa"/>
            <w:vAlign w:val="center"/>
          </w:tcPr>
          <w:p w14:paraId="385E994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7BCE49D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431FB203">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3C55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1DCFE4D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23</w:t>
            </w:r>
          </w:p>
        </w:tc>
        <w:tc>
          <w:tcPr>
            <w:tcW w:w="2540" w:type="dxa"/>
            <w:vAlign w:val="center"/>
          </w:tcPr>
          <w:p w14:paraId="4C82D2B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滁州充电凤凰路停车场电动汽车充电站</w:t>
            </w:r>
          </w:p>
        </w:tc>
        <w:tc>
          <w:tcPr>
            <w:tcW w:w="2387" w:type="dxa"/>
            <w:vAlign w:val="center"/>
          </w:tcPr>
          <w:p w14:paraId="66B56031">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琅琊区凤西路20号</w:t>
            </w:r>
          </w:p>
        </w:tc>
        <w:tc>
          <w:tcPr>
            <w:tcW w:w="1549" w:type="dxa"/>
            <w:vAlign w:val="center"/>
          </w:tcPr>
          <w:p w14:paraId="7A7EE21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440F5AB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0B41E2A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3915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111B3ED5">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24</w:t>
            </w:r>
          </w:p>
        </w:tc>
        <w:tc>
          <w:tcPr>
            <w:tcW w:w="2540" w:type="dxa"/>
            <w:vAlign w:val="center"/>
          </w:tcPr>
          <w:p w14:paraId="5B9C68E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滁州充电凤凰菜市场停车场电动汽车充电站</w:t>
            </w:r>
          </w:p>
        </w:tc>
        <w:tc>
          <w:tcPr>
            <w:tcW w:w="2387" w:type="dxa"/>
            <w:vAlign w:val="center"/>
          </w:tcPr>
          <w:p w14:paraId="72CF62B4">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琅琊区中都大道426号</w:t>
            </w:r>
          </w:p>
        </w:tc>
        <w:tc>
          <w:tcPr>
            <w:tcW w:w="1549" w:type="dxa"/>
            <w:vAlign w:val="center"/>
          </w:tcPr>
          <w:p w14:paraId="061CC5D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6727B6C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630</w:t>
            </w:r>
          </w:p>
        </w:tc>
        <w:tc>
          <w:tcPr>
            <w:tcW w:w="1324" w:type="dxa"/>
            <w:vAlign w:val="center"/>
          </w:tcPr>
          <w:p w14:paraId="0147284B">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19A8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79CF0351">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25</w:t>
            </w:r>
          </w:p>
        </w:tc>
        <w:tc>
          <w:tcPr>
            <w:tcW w:w="2540" w:type="dxa"/>
            <w:vAlign w:val="center"/>
          </w:tcPr>
          <w:p w14:paraId="2DA86F4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滁州充电人民西路停车场电动汽车充电站</w:t>
            </w:r>
          </w:p>
        </w:tc>
        <w:tc>
          <w:tcPr>
            <w:tcW w:w="2387" w:type="dxa"/>
            <w:vAlign w:val="center"/>
          </w:tcPr>
          <w:p w14:paraId="2C6382F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南谯区敬梓西路151号</w:t>
            </w:r>
          </w:p>
        </w:tc>
        <w:tc>
          <w:tcPr>
            <w:tcW w:w="1549" w:type="dxa"/>
            <w:vAlign w:val="center"/>
          </w:tcPr>
          <w:p w14:paraId="053D7FD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1A21483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500</w:t>
            </w:r>
          </w:p>
        </w:tc>
        <w:tc>
          <w:tcPr>
            <w:tcW w:w="1324" w:type="dxa"/>
            <w:vAlign w:val="center"/>
          </w:tcPr>
          <w:p w14:paraId="6072430D">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5ED5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485EC1E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26</w:t>
            </w:r>
          </w:p>
        </w:tc>
        <w:tc>
          <w:tcPr>
            <w:tcW w:w="2540" w:type="dxa"/>
            <w:vAlign w:val="center"/>
          </w:tcPr>
          <w:p w14:paraId="102B16CE">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滁州充电来安路停车场超充电动汽车充电站</w:t>
            </w:r>
          </w:p>
        </w:tc>
        <w:tc>
          <w:tcPr>
            <w:tcW w:w="2387" w:type="dxa"/>
            <w:vAlign w:val="center"/>
          </w:tcPr>
          <w:p w14:paraId="394B747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来安路地面停车场</w:t>
            </w:r>
          </w:p>
        </w:tc>
        <w:tc>
          <w:tcPr>
            <w:tcW w:w="1549" w:type="dxa"/>
            <w:vAlign w:val="center"/>
          </w:tcPr>
          <w:p w14:paraId="71B0E467">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箱变1座</w:t>
            </w:r>
          </w:p>
        </w:tc>
        <w:tc>
          <w:tcPr>
            <w:tcW w:w="1069" w:type="dxa"/>
            <w:vAlign w:val="center"/>
          </w:tcPr>
          <w:p w14:paraId="315EE702">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800</w:t>
            </w:r>
          </w:p>
        </w:tc>
        <w:tc>
          <w:tcPr>
            <w:tcW w:w="1324" w:type="dxa"/>
            <w:vAlign w:val="center"/>
          </w:tcPr>
          <w:p w14:paraId="54348BFB">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2DAC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EBA2CF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27</w:t>
            </w:r>
          </w:p>
        </w:tc>
        <w:tc>
          <w:tcPr>
            <w:tcW w:w="2540" w:type="dxa"/>
            <w:vAlign w:val="center"/>
          </w:tcPr>
          <w:p w14:paraId="1591231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鑫矿野光伏升压变</w:t>
            </w:r>
          </w:p>
        </w:tc>
        <w:tc>
          <w:tcPr>
            <w:tcW w:w="2387" w:type="dxa"/>
            <w:vAlign w:val="center"/>
          </w:tcPr>
          <w:p w14:paraId="08F7290C">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南谯区段岗路69号</w:t>
            </w:r>
          </w:p>
        </w:tc>
        <w:tc>
          <w:tcPr>
            <w:tcW w:w="1549" w:type="dxa"/>
            <w:vAlign w:val="center"/>
          </w:tcPr>
          <w:p w14:paraId="53C406F6">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一二次仓1座，箱变2座，SVG 1座</w:t>
            </w:r>
          </w:p>
        </w:tc>
        <w:tc>
          <w:tcPr>
            <w:tcW w:w="1069" w:type="dxa"/>
            <w:vAlign w:val="center"/>
          </w:tcPr>
          <w:p w14:paraId="17C30D43">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2850</w:t>
            </w:r>
          </w:p>
        </w:tc>
        <w:tc>
          <w:tcPr>
            <w:tcW w:w="1324" w:type="dxa"/>
            <w:vAlign w:val="center"/>
          </w:tcPr>
          <w:p w14:paraId="6049179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1603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2A8F440">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28</w:t>
            </w:r>
          </w:p>
        </w:tc>
        <w:tc>
          <w:tcPr>
            <w:tcW w:w="2540" w:type="dxa"/>
            <w:vAlign w:val="center"/>
          </w:tcPr>
          <w:p w14:paraId="0B5A6949">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2026年拟新建项目</w:t>
            </w:r>
          </w:p>
        </w:tc>
        <w:tc>
          <w:tcPr>
            <w:tcW w:w="2387" w:type="dxa"/>
            <w:vAlign w:val="center"/>
          </w:tcPr>
          <w:p w14:paraId="52661CBB">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w:t>
            </w:r>
          </w:p>
        </w:tc>
        <w:tc>
          <w:tcPr>
            <w:tcW w:w="1549" w:type="dxa"/>
            <w:vAlign w:val="center"/>
          </w:tcPr>
          <w:p w14:paraId="06DB06B1">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w:t>
            </w:r>
          </w:p>
        </w:tc>
        <w:tc>
          <w:tcPr>
            <w:tcW w:w="1069" w:type="dxa"/>
            <w:vAlign w:val="center"/>
          </w:tcPr>
          <w:p w14:paraId="59C6C76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8000</w:t>
            </w:r>
          </w:p>
        </w:tc>
        <w:tc>
          <w:tcPr>
            <w:tcW w:w="1324" w:type="dxa"/>
            <w:vAlign w:val="center"/>
          </w:tcPr>
          <w:p w14:paraId="01C851B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r w14:paraId="4CDF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1" w:type="dxa"/>
            <w:gridSpan w:val="4"/>
            <w:vAlign w:val="center"/>
          </w:tcPr>
          <w:p w14:paraId="7AD4B2DF">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合计</w:t>
            </w:r>
          </w:p>
        </w:tc>
        <w:tc>
          <w:tcPr>
            <w:tcW w:w="1069" w:type="dxa"/>
            <w:vAlign w:val="center"/>
          </w:tcPr>
          <w:p w14:paraId="3B88FC0A">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jc w:val="center"/>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w:t>
            </w:r>
            <w:r>
              <w:rPr>
                <w:rFonts w:hint="eastAsia" w:ascii="宋体" w:hAnsi="宋体" w:cs="宋体"/>
                <w:b w:val="0"/>
                <w:bCs/>
                <w:color w:val="auto"/>
                <w:szCs w:val="21"/>
                <w:highlight w:val="none"/>
                <w:lang w:val="en-US" w:eastAsia="zh-CN"/>
              </w:rPr>
              <w:t>999</w:t>
            </w:r>
            <w:r>
              <w:rPr>
                <w:rFonts w:hint="eastAsia" w:ascii="宋体" w:hAnsi="宋体" w:eastAsia="宋体" w:cs="宋体"/>
                <w:b w:val="0"/>
                <w:bCs/>
                <w:color w:val="auto"/>
                <w:szCs w:val="21"/>
                <w:highlight w:val="none"/>
                <w:lang w:val="en-US" w:eastAsia="zh-CN"/>
              </w:rPr>
              <w:t>0</w:t>
            </w:r>
          </w:p>
        </w:tc>
        <w:tc>
          <w:tcPr>
            <w:tcW w:w="1324" w:type="dxa"/>
            <w:vAlign w:val="center"/>
          </w:tcPr>
          <w:p w14:paraId="3CB18E78">
            <w:pPr>
              <w:keepNext w:val="0"/>
              <w:keepLines w:val="0"/>
              <w:pageBreakBefore w:val="0"/>
              <w:suppressLineNumbers w:val="0"/>
              <w:kinsoku/>
              <w:wordWrap/>
              <w:overflowPunct/>
              <w:topLinePunct w:val="0"/>
              <w:bidi w:val="0"/>
              <w:snapToGrid/>
              <w:spacing w:before="0" w:beforeAutospacing="0" w:after="0" w:afterAutospacing="0" w:line="420" w:lineRule="exact"/>
              <w:ind w:left="0" w:leftChars="0" w:right="0" w:rightChars="0" w:firstLine="420" w:firstLineChars="200"/>
              <w:jc w:val="center"/>
              <w:rPr>
                <w:rFonts w:hint="eastAsia" w:ascii="宋体" w:hAnsi="宋体" w:eastAsia="宋体" w:cs="宋体"/>
                <w:b w:val="0"/>
                <w:bCs/>
                <w:color w:val="auto"/>
                <w:szCs w:val="21"/>
                <w:highlight w:val="none"/>
                <w:lang w:val="en-US" w:eastAsia="zh-CN"/>
              </w:rPr>
            </w:pPr>
          </w:p>
        </w:tc>
      </w:tr>
    </w:tbl>
    <w:p w14:paraId="6B5D546B">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eastAsia"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八、特别说明</w:t>
      </w:r>
    </w:p>
    <w:p w14:paraId="02941554">
      <w:pPr>
        <w:shd w:val="clear"/>
        <w:kinsoku/>
        <w:overflowPunct/>
        <w:bidi w:val="0"/>
        <w:snapToGrid w:val="0"/>
        <w:spacing w:line="500" w:lineRule="exact"/>
        <w:ind w:left="0" w:leftChars="0" w:right="0" w:rightChars="0" w:firstLine="420" w:firstLineChars="200"/>
        <w:jc w:val="left"/>
        <w:rPr>
          <w:rFonts w:hint="eastAsia" w:ascii="宋体"/>
          <w:b/>
          <w:bCs/>
          <w:color w:val="auto"/>
          <w:sz w:val="36"/>
          <w:szCs w:val="52"/>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责任划分：因</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lang w:val="en-US" w:eastAsia="zh-CN"/>
        </w:rPr>
        <w:t>单位未及时处理故障问题</w:t>
      </w:r>
      <w:r>
        <w:rPr>
          <w:rFonts w:hint="eastAsia" w:ascii="宋体" w:hAnsi="宋体" w:cs="宋体"/>
          <w:color w:val="auto"/>
          <w:szCs w:val="21"/>
          <w:highlight w:val="none"/>
          <w:lang w:val="en-US" w:eastAsia="zh-CN"/>
        </w:rPr>
        <w:t>或操作不当</w:t>
      </w:r>
      <w:r>
        <w:rPr>
          <w:rFonts w:hint="eastAsia" w:ascii="宋体" w:hAnsi="宋体" w:eastAsia="宋体" w:cs="宋体"/>
          <w:color w:val="auto"/>
          <w:szCs w:val="21"/>
          <w:highlight w:val="none"/>
          <w:lang w:val="en-US" w:eastAsia="zh-CN"/>
        </w:rPr>
        <w:t>导致事故的，由中标单位承担全部安全责任及经济损失</w:t>
      </w:r>
      <w:r>
        <w:rPr>
          <w:rFonts w:hint="eastAsia" w:ascii="宋体" w:hAnsi="宋体" w:cs="宋体"/>
          <w:color w:val="auto"/>
          <w:szCs w:val="21"/>
          <w:highlight w:val="none"/>
          <w:lang w:val="en-US" w:eastAsia="zh-CN"/>
        </w:rPr>
        <w:t>。</w:t>
      </w:r>
    </w:p>
    <w:p w14:paraId="7FBA362E">
      <w:pPr>
        <w:pStyle w:val="14"/>
        <w:keepNext w:val="0"/>
        <w:keepLines w:val="0"/>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480" w:lineRule="exact"/>
        <w:ind w:left="0" w:leftChars="0" w:right="0" w:rightChars="0"/>
        <w:textAlignment w:val="auto"/>
        <w:rPr>
          <w:rFonts w:hint="default" w:ascii="Times New Roman" w:hAnsi="宋体" w:eastAsia="宋体" w:cs="Times New Roman"/>
          <w:b/>
          <w:bCs/>
          <w:color w:val="auto"/>
          <w:kern w:val="2"/>
          <w:sz w:val="28"/>
          <w:szCs w:val="28"/>
          <w:highlight w:val="none"/>
          <w:lang w:val="en-US" w:eastAsia="zh-CN" w:bidi="ar-SA"/>
        </w:rPr>
      </w:pPr>
      <w:r>
        <w:rPr>
          <w:rFonts w:hint="eastAsia" w:ascii="Times New Roman" w:hAnsi="宋体" w:eastAsia="宋体" w:cs="Times New Roman"/>
          <w:b/>
          <w:bCs/>
          <w:color w:val="auto"/>
          <w:kern w:val="2"/>
          <w:sz w:val="28"/>
          <w:szCs w:val="28"/>
          <w:highlight w:val="none"/>
          <w:lang w:val="en-US" w:eastAsia="zh-CN" w:bidi="ar-SA"/>
        </w:rPr>
        <w:t>九、具体要求</w:t>
      </w:r>
    </w:p>
    <w:p w14:paraId="52EBBE9D">
      <w:pPr>
        <w:kinsoku/>
        <w:overflowPunct/>
        <w:bidi w:val="0"/>
        <w:spacing w:line="360" w:lineRule="auto"/>
        <w:ind w:left="0" w:leftChars="0" w:right="0" w:rightChars="0" w:firstLine="435"/>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提供“</w:t>
      </w:r>
      <w:r>
        <w:rPr>
          <w:rFonts w:hint="eastAsia" w:ascii="宋体" w:hAnsi="宋体" w:eastAsia="宋体" w:cs="Times New Roman"/>
          <w:b/>
          <w:bCs/>
          <w:color w:val="auto"/>
          <w:sz w:val="21"/>
          <w:szCs w:val="21"/>
          <w:highlight w:val="none"/>
          <w:lang w:val="en-US" w:eastAsia="zh-CN"/>
        </w:rPr>
        <w:t>季度巡检+预防性试验+故障应急响应</w:t>
      </w:r>
      <w:r>
        <w:rPr>
          <w:rFonts w:hint="eastAsia" w:ascii="宋体" w:hAnsi="宋体" w:eastAsia="宋体" w:cs="Times New Roman"/>
          <w:color w:val="auto"/>
          <w:sz w:val="21"/>
          <w:szCs w:val="21"/>
          <w:highlight w:val="none"/>
          <w:lang w:val="en-US" w:eastAsia="zh-CN"/>
        </w:rPr>
        <w:t>”全流程服务，具体内容如下：</w:t>
      </w:r>
    </w:p>
    <w:p w14:paraId="78721895">
      <w:pPr>
        <w:kinsoku/>
        <w:overflowPunct/>
        <w:bidi w:val="0"/>
        <w:spacing w:line="360" w:lineRule="auto"/>
        <w:ind w:left="0" w:leftChars="0" w:right="0" w:rightChars="0" w:firstLine="435"/>
        <w:rPr>
          <w:rFonts w:hint="eastAsia" w:ascii="宋体" w:hAnsi="宋体" w:eastAsia="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1、</w:t>
      </w:r>
      <w:r>
        <w:rPr>
          <w:rFonts w:hint="eastAsia" w:ascii="宋体" w:hAnsi="宋体" w:eastAsia="宋体" w:cs="Times New Roman"/>
          <w:b/>
          <w:bCs/>
          <w:color w:val="auto"/>
          <w:sz w:val="21"/>
          <w:szCs w:val="21"/>
          <w:highlight w:val="none"/>
          <w:lang w:val="en-US" w:eastAsia="zh-CN"/>
        </w:rPr>
        <w:t>季度巡检服务</w:t>
      </w:r>
    </w:p>
    <w:p w14:paraId="6C397C60">
      <w:pPr>
        <w:kinsoku/>
        <w:overflowPunct/>
        <w:bidi w:val="0"/>
        <w:spacing w:line="360" w:lineRule="auto"/>
        <w:ind w:left="0" w:leftChars="0" w:right="0" w:rightChars="0" w:firstLine="435"/>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按照《箱式变电站（箱变）运行检查与维护规范》执行，每季度开展1次全面巡检，</w:t>
      </w:r>
      <w:r>
        <w:rPr>
          <w:rFonts w:hint="default" w:ascii="宋体" w:hAnsi="宋体" w:eastAsia="宋体" w:cs="Times New Roman"/>
          <w:color w:val="auto"/>
          <w:sz w:val="21"/>
          <w:szCs w:val="21"/>
          <w:highlight w:val="none"/>
          <w:lang w:val="en-US" w:eastAsia="zh-CN"/>
        </w:rPr>
        <w:t>单次服务中，若仅涉及人工、普通工具及低值耗材，且总费用在人民币</w:t>
      </w:r>
      <w:r>
        <w:rPr>
          <w:rFonts w:hint="eastAsia" w:ascii="宋体" w:hAnsi="宋体" w:eastAsia="宋体" w:cs="Times New Roman"/>
          <w:color w:val="auto"/>
          <w:sz w:val="21"/>
          <w:szCs w:val="21"/>
          <w:highlight w:val="none"/>
          <w:lang w:val="en-US" w:eastAsia="zh-CN"/>
        </w:rPr>
        <w:t>2</w:t>
      </w:r>
      <w:r>
        <w:rPr>
          <w:rFonts w:hint="default" w:ascii="宋体" w:hAnsi="宋体" w:eastAsia="宋体" w:cs="Times New Roman"/>
          <w:color w:val="auto"/>
          <w:sz w:val="21"/>
          <w:szCs w:val="21"/>
          <w:highlight w:val="none"/>
          <w:lang w:val="en-US" w:eastAsia="zh-CN"/>
        </w:rPr>
        <w:t>000元（含）以下，由</w:t>
      </w:r>
      <w:r>
        <w:rPr>
          <w:rFonts w:hint="eastAsia" w:ascii="宋体" w:hAnsi="宋体" w:eastAsia="宋体" w:cs="Times New Roman"/>
          <w:color w:val="auto"/>
          <w:sz w:val="21"/>
          <w:szCs w:val="21"/>
          <w:highlight w:val="none"/>
          <w:lang w:val="en-US" w:eastAsia="zh-CN"/>
        </w:rPr>
        <w:t>乙方</w:t>
      </w:r>
      <w:r>
        <w:rPr>
          <w:rFonts w:hint="default" w:ascii="宋体" w:hAnsi="宋体" w:eastAsia="宋体" w:cs="Times New Roman"/>
          <w:color w:val="auto"/>
          <w:sz w:val="21"/>
          <w:szCs w:val="21"/>
          <w:highlight w:val="none"/>
          <w:lang w:val="en-US" w:eastAsia="zh-CN"/>
        </w:rPr>
        <w:t>承担。</w:t>
      </w:r>
      <w:r>
        <w:rPr>
          <w:rFonts w:hint="eastAsia" w:ascii="宋体" w:hAnsi="宋体" w:eastAsia="宋体" w:cs="Times New Roman"/>
          <w:color w:val="auto"/>
          <w:sz w:val="21"/>
          <w:szCs w:val="21"/>
          <w:highlight w:val="none"/>
          <w:lang w:val="en-US" w:eastAsia="zh-CN"/>
        </w:rPr>
        <w:t>超出人民币 2000元，设备更换的，主要材料及设备由</w:t>
      </w:r>
      <w:r>
        <w:rPr>
          <w:rFonts w:hint="eastAsia" w:ascii="宋体"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提供。本项目所有人工服务费用含在综合报价中。</w:t>
      </w:r>
    </w:p>
    <w:p w14:paraId="43DAB38B">
      <w:pPr>
        <w:kinsoku/>
        <w:overflowPunct/>
        <w:bidi w:val="0"/>
        <w:spacing w:line="360" w:lineRule="auto"/>
        <w:ind w:left="0" w:leftChars="0" w:right="0" w:rightChars="0" w:firstLine="435"/>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内容包括但不限于：</w:t>
      </w:r>
      <w:r>
        <w:rPr>
          <w:rFonts w:hint="eastAsia" w:ascii="宋体" w:hAnsi="宋体" w:cs="Times New Roman"/>
          <w:color w:val="auto"/>
          <w:sz w:val="21"/>
          <w:szCs w:val="21"/>
          <w:highlight w:val="none"/>
          <w:lang w:val="en-US" w:eastAsia="zh-CN"/>
        </w:rPr>
        <w:t>（后期可根据项目实际需要情况进行增加完善）</w:t>
      </w:r>
    </w:p>
    <w:p w14:paraId="4CBE7279">
      <w:pPr>
        <w:kinsoku/>
        <w:overflowPunct/>
        <w:bidi w:val="0"/>
        <w:spacing w:line="360" w:lineRule="auto"/>
        <w:ind w:left="0" w:leftChars="0" w:right="0" w:rightChars="0"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常规维护</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745"/>
        <w:gridCol w:w="4391"/>
        <w:gridCol w:w="1377"/>
      </w:tblGrid>
      <w:tr w14:paraId="42D2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07AD7CCF">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检查项目</w:t>
            </w:r>
          </w:p>
        </w:tc>
        <w:tc>
          <w:tcPr>
            <w:tcW w:w="1745" w:type="dxa"/>
            <w:vAlign w:val="center"/>
          </w:tcPr>
          <w:p w14:paraId="318066CE">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检查方法</w:t>
            </w:r>
          </w:p>
        </w:tc>
        <w:tc>
          <w:tcPr>
            <w:tcW w:w="4391" w:type="dxa"/>
            <w:vAlign w:val="center"/>
          </w:tcPr>
          <w:p w14:paraId="6DA6967B">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标准</w:t>
            </w:r>
          </w:p>
        </w:tc>
        <w:tc>
          <w:tcPr>
            <w:tcW w:w="1377" w:type="dxa"/>
            <w:vAlign w:val="center"/>
          </w:tcPr>
          <w:p w14:paraId="7CD1EB37">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检查频次</w:t>
            </w:r>
          </w:p>
        </w:tc>
      </w:tr>
      <w:tr w14:paraId="236D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758" w:type="dxa"/>
            <w:vAlign w:val="center"/>
          </w:tcPr>
          <w:p w14:paraId="3C4843A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箱体外形</w:t>
            </w:r>
          </w:p>
        </w:tc>
        <w:tc>
          <w:tcPr>
            <w:tcW w:w="1745" w:type="dxa"/>
            <w:vAlign w:val="center"/>
          </w:tcPr>
          <w:p w14:paraId="79980B9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目测</w:t>
            </w:r>
          </w:p>
        </w:tc>
        <w:tc>
          <w:tcPr>
            <w:tcW w:w="4391" w:type="dxa"/>
            <w:vAlign w:val="center"/>
          </w:tcPr>
          <w:p w14:paraId="4942BC0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箱变/环网柜外观：柜体无锈蚀变形、密封良好、门锁完好，基础无沉降开裂</w:t>
            </w:r>
          </w:p>
        </w:tc>
        <w:tc>
          <w:tcPr>
            <w:tcW w:w="1377" w:type="dxa"/>
            <w:vAlign w:val="center"/>
          </w:tcPr>
          <w:p w14:paraId="0965154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165B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758" w:type="dxa"/>
            <w:vAlign w:val="center"/>
          </w:tcPr>
          <w:p w14:paraId="5125C6D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清洁除尘</w:t>
            </w:r>
          </w:p>
        </w:tc>
        <w:tc>
          <w:tcPr>
            <w:tcW w:w="1745" w:type="dxa"/>
            <w:vAlign w:val="center"/>
          </w:tcPr>
          <w:p w14:paraId="42C41AB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目测</w:t>
            </w:r>
          </w:p>
        </w:tc>
        <w:tc>
          <w:tcPr>
            <w:tcW w:w="4391" w:type="dxa"/>
            <w:vAlign w:val="center"/>
          </w:tcPr>
          <w:p w14:paraId="75DFFCB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高压舱、低压舱柜体表面灰尘擦拭，变压器舱吸尘器除尘</w:t>
            </w:r>
          </w:p>
        </w:tc>
        <w:tc>
          <w:tcPr>
            <w:tcW w:w="1377" w:type="dxa"/>
            <w:vAlign w:val="center"/>
          </w:tcPr>
          <w:p w14:paraId="3F4A809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半年度/次</w:t>
            </w:r>
          </w:p>
        </w:tc>
      </w:tr>
      <w:tr w14:paraId="69DC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1372704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润滑与紧固</w:t>
            </w:r>
          </w:p>
        </w:tc>
        <w:tc>
          <w:tcPr>
            <w:tcW w:w="1745" w:type="dxa"/>
            <w:vAlign w:val="center"/>
          </w:tcPr>
          <w:p w14:paraId="3D63FBD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目测</w:t>
            </w:r>
          </w:p>
        </w:tc>
        <w:tc>
          <w:tcPr>
            <w:tcW w:w="4391" w:type="dxa"/>
            <w:vAlign w:val="center"/>
          </w:tcPr>
          <w:p w14:paraId="61F5533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对开关操作机构涂抹通用锂基润滑脂；复紧所有端子排螺栓</w:t>
            </w:r>
          </w:p>
        </w:tc>
        <w:tc>
          <w:tcPr>
            <w:tcW w:w="1377" w:type="dxa"/>
            <w:vAlign w:val="center"/>
          </w:tcPr>
          <w:p w14:paraId="32701F9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半年度/次</w:t>
            </w:r>
          </w:p>
        </w:tc>
      </w:tr>
      <w:tr w14:paraId="436C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3BAC33D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b w:val="0"/>
                <w:bCs/>
                <w:i w:val="0"/>
                <w:color w:val="auto"/>
                <w:kern w:val="0"/>
                <w:sz w:val="21"/>
                <w:szCs w:val="21"/>
                <w:highlight w:val="none"/>
                <w:u w:val="none"/>
                <w:lang w:val="en-US" w:eastAsia="zh-CN" w:bidi="ar"/>
              </w:rPr>
              <w:t>电站周围杂草清除</w:t>
            </w:r>
          </w:p>
        </w:tc>
        <w:tc>
          <w:tcPr>
            <w:tcW w:w="1745" w:type="dxa"/>
            <w:vAlign w:val="center"/>
          </w:tcPr>
          <w:p w14:paraId="3B95764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目测</w:t>
            </w:r>
          </w:p>
        </w:tc>
        <w:tc>
          <w:tcPr>
            <w:tcW w:w="4391" w:type="dxa"/>
            <w:vAlign w:val="center"/>
          </w:tcPr>
          <w:p w14:paraId="2AA2D7B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杂草清除</w:t>
            </w:r>
          </w:p>
        </w:tc>
        <w:tc>
          <w:tcPr>
            <w:tcW w:w="1377" w:type="dxa"/>
            <w:vAlign w:val="center"/>
          </w:tcPr>
          <w:p w14:paraId="6ADF82F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bl>
    <w:p w14:paraId="6EEF4283">
      <w:pPr>
        <w:kinsoku/>
        <w:overflowPunct/>
        <w:bidi w:val="0"/>
        <w:spacing w:line="360" w:lineRule="auto"/>
        <w:ind w:left="0" w:leftChars="0" w:right="0" w:rightChars="0"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变压器本体检查</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2414"/>
        <w:gridCol w:w="3940"/>
        <w:gridCol w:w="1337"/>
      </w:tblGrid>
      <w:tr w14:paraId="77FE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550610A0">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检查项目</w:t>
            </w:r>
          </w:p>
        </w:tc>
        <w:tc>
          <w:tcPr>
            <w:tcW w:w="2414" w:type="dxa"/>
            <w:vAlign w:val="center"/>
          </w:tcPr>
          <w:p w14:paraId="02644766">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检查方法</w:t>
            </w:r>
          </w:p>
        </w:tc>
        <w:tc>
          <w:tcPr>
            <w:tcW w:w="3940" w:type="dxa"/>
            <w:vAlign w:val="center"/>
          </w:tcPr>
          <w:p w14:paraId="06274804">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标准</w:t>
            </w:r>
          </w:p>
        </w:tc>
        <w:tc>
          <w:tcPr>
            <w:tcW w:w="1337" w:type="dxa"/>
            <w:vAlign w:val="center"/>
          </w:tcPr>
          <w:p w14:paraId="76477937">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检查频次</w:t>
            </w:r>
          </w:p>
        </w:tc>
      </w:tr>
      <w:tr w14:paraId="2B51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60FB1F6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外观与渗漏</w:t>
            </w:r>
          </w:p>
        </w:tc>
        <w:tc>
          <w:tcPr>
            <w:tcW w:w="2414" w:type="dxa"/>
            <w:vAlign w:val="center"/>
          </w:tcPr>
          <w:p w14:paraId="208CC3E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目视检查、红外测温</w:t>
            </w:r>
          </w:p>
        </w:tc>
        <w:tc>
          <w:tcPr>
            <w:tcW w:w="3940" w:type="dxa"/>
            <w:vAlign w:val="center"/>
          </w:tcPr>
          <w:p w14:paraId="1608CF5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无变形、锈蚀；油位正常（油枕上下限之间）；无渗漏油、放电痕迹</w:t>
            </w:r>
          </w:p>
        </w:tc>
        <w:tc>
          <w:tcPr>
            <w:tcW w:w="1337" w:type="dxa"/>
            <w:vAlign w:val="center"/>
          </w:tcPr>
          <w:p w14:paraId="03783D5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6836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154AAF3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温度与振动</w:t>
            </w:r>
          </w:p>
        </w:tc>
        <w:tc>
          <w:tcPr>
            <w:tcW w:w="2414" w:type="dxa"/>
            <w:vAlign w:val="center"/>
          </w:tcPr>
          <w:p w14:paraId="447FEEA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红外测温仪、振动仪</w:t>
            </w:r>
          </w:p>
        </w:tc>
        <w:tc>
          <w:tcPr>
            <w:tcW w:w="3940" w:type="dxa"/>
            <w:vAlign w:val="center"/>
          </w:tcPr>
          <w:p w14:paraId="76D6963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顶层油温≤85℃；振动值≤4.5mm/s</w:t>
            </w:r>
          </w:p>
        </w:tc>
        <w:tc>
          <w:tcPr>
            <w:tcW w:w="1337" w:type="dxa"/>
            <w:vAlign w:val="center"/>
          </w:tcPr>
          <w:p w14:paraId="4654592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21A0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55B79F6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套管与散热装置</w:t>
            </w:r>
          </w:p>
        </w:tc>
        <w:tc>
          <w:tcPr>
            <w:tcW w:w="2414" w:type="dxa"/>
            <w:vAlign w:val="center"/>
          </w:tcPr>
          <w:p w14:paraId="5F00C4A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目视、红外测温</w:t>
            </w:r>
          </w:p>
        </w:tc>
        <w:tc>
          <w:tcPr>
            <w:tcW w:w="3940" w:type="dxa"/>
            <w:vAlign w:val="center"/>
          </w:tcPr>
          <w:p w14:paraId="1983327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套管无裂纹；散热风扇运行正常，无堵塞；避雷器无破损、放电痕迹；</w:t>
            </w:r>
          </w:p>
        </w:tc>
        <w:tc>
          <w:tcPr>
            <w:tcW w:w="1337" w:type="dxa"/>
            <w:vAlign w:val="center"/>
          </w:tcPr>
          <w:p w14:paraId="2EE4AC2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549F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6265FFF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安全附件</w:t>
            </w:r>
          </w:p>
        </w:tc>
        <w:tc>
          <w:tcPr>
            <w:tcW w:w="2414" w:type="dxa"/>
            <w:vAlign w:val="center"/>
          </w:tcPr>
          <w:p w14:paraId="3444176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目视</w:t>
            </w:r>
          </w:p>
        </w:tc>
        <w:tc>
          <w:tcPr>
            <w:tcW w:w="3940" w:type="dxa"/>
            <w:vAlign w:val="center"/>
          </w:tcPr>
          <w:p w14:paraId="791809B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压力释放无喷油痕迹，瓦斯继电器无气体积聚，铭牌参数清晰完整</w:t>
            </w:r>
          </w:p>
        </w:tc>
        <w:tc>
          <w:tcPr>
            <w:tcW w:w="1337" w:type="dxa"/>
            <w:vAlign w:val="center"/>
          </w:tcPr>
          <w:p w14:paraId="0D3683E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bl>
    <w:p w14:paraId="22B0853C">
      <w:pPr>
        <w:kinsoku/>
        <w:overflowPunct/>
        <w:bidi w:val="0"/>
        <w:spacing w:line="360" w:lineRule="auto"/>
        <w:ind w:left="0" w:leftChars="0" w:right="0" w:rightChars="0"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高压侧设备巡检（10kV/35kV）</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2267"/>
        <w:gridCol w:w="3813"/>
        <w:gridCol w:w="1492"/>
      </w:tblGrid>
      <w:tr w14:paraId="51CC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4F724685">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检查项目</w:t>
            </w:r>
          </w:p>
        </w:tc>
        <w:tc>
          <w:tcPr>
            <w:tcW w:w="2267" w:type="dxa"/>
            <w:vAlign w:val="center"/>
          </w:tcPr>
          <w:p w14:paraId="3741D9C7">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检查方法</w:t>
            </w:r>
          </w:p>
        </w:tc>
        <w:tc>
          <w:tcPr>
            <w:tcW w:w="3813" w:type="dxa"/>
            <w:vAlign w:val="center"/>
          </w:tcPr>
          <w:p w14:paraId="476B435F">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标准</w:t>
            </w:r>
          </w:p>
        </w:tc>
        <w:tc>
          <w:tcPr>
            <w:tcW w:w="1492" w:type="dxa"/>
            <w:vAlign w:val="center"/>
          </w:tcPr>
          <w:p w14:paraId="587C5716">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检查频次</w:t>
            </w:r>
          </w:p>
        </w:tc>
      </w:tr>
      <w:tr w14:paraId="4D6A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354C23E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rPr>
              <w:t>高压负荷开关</w:t>
            </w:r>
            <w:r>
              <w:rPr>
                <w:rFonts w:hint="eastAsia" w:ascii="宋体" w:hAnsi="宋体" w:eastAsia="宋体" w:cs="宋体"/>
                <w:color w:val="auto"/>
                <w:sz w:val="21"/>
                <w:szCs w:val="21"/>
                <w:highlight w:val="none"/>
                <w:vertAlign w:val="baseline"/>
                <w:lang w:val="en-US" w:eastAsia="zh-CN"/>
              </w:rPr>
              <w:t>/断路器</w:t>
            </w:r>
          </w:p>
        </w:tc>
        <w:tc>
          <w:tcPr>
            <w:tcW w:w="2267" w:type="dxa"/>
            <w:vAlign w:val="center"/>
          </w:tcPr>
          <w:p w14:paraId="0430F45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操作机构测试、目视检查</w:t>
            </w:r>
          </w:p>
        </w:tc>
        <w:tc>
          <w:tcPr>
            <w:tcW w:w="3813" w:type="dxa"/>
            <w:vAlign w:val="center"/>
          </w:tcPr>
          <w:p w14:paraId="70A1695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分合指示正确；触头无烧蚀；操作灵活无卡涩；气压表显示在正常范围</w:t>
            </w:r>
          </w:p>
        </w:tc>
        <w:tc>
          <w:tcPr>
            <w:tcW w:w="1492" w:type="dxa"/>
            <w:vAlign w:val="center"/>
          </w:tcPr>
          <w:p w14:paraId="3C5A906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5A3D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6F762D6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避雷器</w:t>
            </w:r>
          </w:p>
        </w:tc>
        <w:tc>
          <w:tcPr>
            <w:tcW w:w="2267" w:type="dxa"/>
            <w:vAlign w:val="center"/>
          </w:tcPr>
          <w:p w14:paraId="20AB671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泄漏电流测试仪</w:t>
            </w:r>
          </w:p>
        </w:tc>
        <w:tc>
          <w:tcPr>
            <w:tcW w:w="3813" w:type="dxa"/>
            <w:vAlign w:val="center"/>
          </w:tcPr>
          <w:p w14:paraId="11511A1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泄漏电流≤50μA；接地电阻≤4Ω</w:t>
            </w:r>
          </w:p>
        </w:tc>
        <w:tc>
          <w:tcPr>
            <w:tcW w:w="1492" w:type="dxa"/>
            <w:vAlign w:val="center"/>
          </w:tcPr>
          <w:p w14:paraId="094CCD9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30C1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65F26DC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高压电缆</w:t>
            </w:r>
          </w:p>
        </w:tc>
        <w:tc>
          <w:tcPr>
            <w:tcW w:w="2267" w:type="dxa"/>
            <w:vAlign w:val="center"/>
          </w:tcPr>
          <w:p w14:paraId="44363C4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红外测温、外观检查</w:t>
            </w:r>
          </w:p>
        </w:tc>
        <w:tc>
          <w:tcPr>
            <w:tcW w:w="3813" w:type="dxa"/>
            <w:vAlign w:val="center"/>
          </w:tcPr>
          <w:p w14:paraId="5EAD646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表皮无破损；接头温度≤70℃</w:t>
            </w:r>
          </w:p>
        </w:tc>
        <w:tc>
          <w:tcPr>
            <w:tcW w:w="1492" w:type="dxa"/>
            <w:vAlign w:val="center"/>
          </w:tcPr>
          <w:p w14:paraId="5F798FE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bl>
    <w:p w14:paraId="79ECF558">
      <w:pPr>
        <w:kinsoku/>
        <w:overflowPunct/>
        <w:bidi w:val="0"/>
        <w:spacing w:line="360" w:lineRule="auto"/>
        <w:ind w:left="0" w:leftChars="0" w:right="0" w:rightChars="0"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低压侧设备巡检（0.4kV）</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2108"/>
        <w:gridCol w:w="3958"/>
        <w:gridCol w:w="1437"/>
      </w:tblGrid>
      <w:tr w14:paraId="7117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7A7A592A">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检查项目</w:t>
            </w:r>
          </w:p>
        </w:tc>
        <w:tc>
          <w:tcPr>
            <w:tcW w:w="2108" w:type="dxa"/>
            <w:vAlign w:val="center"/>
          </w:tcPr>
          <w:p w14:paraId="14F4DE3B">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检查方法</w:t>
            </w:r>
          </w:p>
        </w:tc>
        <w:tc>
          <w:tcPr>
            <w:tcW w:w="3958" w:type="dxa"/>
            <w:vAlign w:val="center"/>
          </w:tcPr>
          <w:p w14:paraId="0F13C50B">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标准</w:t>
            </w:r>
          </w:p>
        </w:tc>
        <w:tc>
          <w:tcPr>
            <w:tcW w:w="1437" w:type="dxa"/>
            <w:vAlign w:val="center"/>
          </w:tcPr>
          <w:p w14:paraId="1AB9D13C">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检查频次</w:t>
            </w:r>
          </w:p>
        </w:tc>
      </w:tr>
      <w:tr w14:paraId="0F48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08B0934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低压断路器</w:t>
            </w:r>
          </w:p>
        </w:tc>
        <w:tc>
          <w:tcPr>
            <w:tcW w:w="2108" w:type="dxa"/>
            <w:vAlign w:val="center"/>
          </w:tcPr>
          <w:p w14:paraId="20D3B82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触头温度测试、机械特性测试</w:t>
            </w:r>
          </w:p>
        </w:tc>
        <w:tc>
          <w:tcPr>
            <w:tcW w:w="3958" w:type="dxa"/>
            <w:vAlign w:val="center"/>
          </w:tcPr>
          <w:p w14:paraId="7CF1B26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触头温度≤70℃；分合闸时间符合厂家参数</w:t>
            </w:r>
          </w:p>
        </w:tc>
        <w:tc>
          <w:tcPr>
            <w:tcW w:w="1437" w:type="dxa"/>
            <w:vAlign w:val="center"/>
          </w:tcPr>
          <w:p w14:paraId="312069D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711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7215182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母线排与电缆</w:t>
            </w:r>
          </w:p>
        </w:tc>
        <w:tc>
          <w:tcPr>
            <w:tcW w:w="2108" w:type="dxa"/>
            <w:vAlign w:val="center"/>
          </w:tcPr>
          <w:p w14:paraId="3153B58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红外测温、力矩扳手检查</w:t>
            </w:r>
          </w:p>
        </w:tc>
        <w:tc>
          <w:tcPr>
            <w:tcW w:w="3958" w:type="dxa"/>
            <w:vAlign w:val="center"/>
          </w:tcPr>
          <w:p w14:paraId="7758081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母线温度≤70℃；螺栓紧固力矩符合标准</w:t>
            </w:r>
          </w:p>
        </w:tc>
        <w:tc>
          <w:tcPr>
            <w:tcW w:w="1437" w:type="dxa"/>
            <w:vAlign w:val="center"/>
          </w:tcPr>
          <w:p w14:paraId="2ED0CE4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618B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1D81C94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电容器补偿装置</w:t>
            </w:r>
          </w:p>
        </w:tc>
        <w:tc>
          <w:tcPr>
            <w:tcW w:w="2108" w:type="dxa"/>
            <w:vAlign w:val="center"/>
          </w:tcPr>
          <w:p w14:paraId="3904948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红外测温、外观检查</w:t>
            </w:r>
          </w:p>
        </w:tc>
        <w:tc>
          <w:tcPr>
            <w:tcW w:w="3958" w:type="dxa"/>
            <w:vAlign w:val="center"/>
          </w:tcPr>
          <w:p w14:paraId="565A810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电容值偏差≤±5%；无鼓包、渗油</w:t>
            </w:r>
          </w:p>
        </w:tc>
        <w:tc>
          <w:tcPr>
            <w:tcW w:w="1437" w:type="dxa"/>
            <w:vAlign w:val="center"/>
          </w:tcPr>
          <w:p w14:paraId="4F9FF37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bl>
    <w:p w14:paraId="35C767FC">
      <w:pPr>
        <w:kinsoku/>
        <w:overflowPunct/>
        <w:bidi w:val="0"/>
        <w:spacing w:line="360" w:lineRule="auto"/>
        <w:ind w:left="0" w:leftChars="0" w:right="0" w:rightChars="0"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一二次设备巡检</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2108"/>
        <w:gridCol w:w="3971"/>
        <w:gridCol w:w="1411"/>
      </w:tblGrid>
      <w:tr w14:paraId="4770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64AC1E2A">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检查项目</w:t>
            </w:r>
          </w:p>
        </w:tc>
        <w:tc>
          <w:tcPr>
            <w:tcW w:w="2108" w:type="dxa"/>
            <w:vAlign w:val="center"/>
          </w:tcPr>
          <w:p w14:paraId="0298DD11">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检查方法</w:t>
            </w:r>
          </w:p>
        </w:tc>
        <w:tc>
          <w:tcPr>
            <w:tcW w:w="3971" w:type="dxa"/>
            <w:vAlign w:val="center"/>
          </w:tcPr>
          <w:p w14:paraId="666E69F5">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标准</w:t>
            </w:r>
          </w:p>
        </w:tc>
        <w:tc>
          <w:tcPr>
            <w:tcW w:w="1411" w:type="dxa"/>
            <w:vAlign w:val="center"/>
          </w:tcPr>
          <w:p w14:paraId="08726942">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检查频次</w:t>
            </w:r>
          </w:p>
        </w:tc>
      </w:tr>
      <w:tr w14:paraId="122F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41C8903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二次回路接线</w:t>
            </w:r>
          </w:p>
        </w:tc>
        <w:tc>
          <w:tcPr>
            <w:tcW w:w="2108" w:type="dxa"/>
            <w:vAlign w:val="center"/>
          </w:tcPr>
          <w:p w14:paraId="490E42A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导通测试、端子排检查</w:t>
            </w:r>
          </w:p>
        </w:tc>
        <w:tc>
          <w:tcPr>
            <w:tcW w:w="3971" w:type="dxa"/>
            <w:vAlign w:val="center"/>
          </w:tcPr>
          <w:p w14:paraId="5DC0A3D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无松动、氧化；标识清晰</w:t>
            </w:r>
          </w:p>
        </w:tc>
        <w:tc>
          <w:tcPr>
            <w:tcW w:w="1411" w:type="dxa"/>
            <w:vAlign w:val="center"/>
          </w:tcPr>
          <w:p w14:paraId="5BB0CC2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40F6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60684E0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继电保护装置</w:t>
            </w:r>
          </w:p>
        </w:tc>
        <w:tc>
          <w:tcPr>
            <w:tcW w:w="2108" w:type="dxa"/>
            <w:vAlign w:val="center"/>
          </w:tcPr>
          <w:p w14:paraId="2847CDC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定值核对、功能测试</w:t>
            </w:r>
          </w:p>
        </w:tc>
        <w:tc>
          <w:tcPr>
            <w:tcW w:w="3971" w:type="dxa"/>
            <w:vAlign w:val="center"/>
          </w:tcPr>
          <w:p w14:paraId="5D5EDA9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定值与调度一致；保护动作逻辑正确</w:t>
            </w:r>
          </w:p>
        </w:tc>
        <w:tc>
          <w:tcPr>
            <w:tcW w:w="1411" w:type="dxa"/>
            <w:vAlign w:val="center"/>
          </w:tcPr>
          <w:p w14:paraId="0EDB3EE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r w14:paraId="24CE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069DE52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监控系统</w:t>
            </w:r>
          </w:p>
        </w:tc>
        <w:tc>
          <w:tcPr>
            <w:tcW w:w="2108" w:type="dxa"/>
            <w:vAlign w:val="center"/>
          </w:tcPr>
          <w:p w14:paraId="5C28244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数据对比、通信测试</w:t>
            </w:r>
          </w:p>
        </w:tc>
        <w:tc>
          <w:tcPr>
            <w:tcW w:w="3971" w:type="dxa"/>
            <w:vAlign w:val="center"/>
          </w:tcPr>
          <w:p w14:paraId="3027968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电压/电流数据误差≤1%；通信无中断</w:t>
            </w:r>
          </w:p>
        </w:tc>
        <w:tc>
          <w:tcPr>
            <w:tcW w:w="1411" w:type="dxa"/>
            <w:vAlign w:val="center"/>
          </w:tcPr>
          <w:p w14:paraId="76EA882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季度/次</w:t>
            </w:r>
          </w:p>
        </w:tc>
      </w:tr>
    </w:tbl>
    <w:p w14:paraId="38F6799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kinsoku/>
        <w:overflowPunct/>
        <w:bidi w:val="0"/>
        <w:spacing w:before="0" w:beforeAutospacing="0" w:after="0" w:afterAutospacing="0" w:line="360" w:lineRule="auto"/>
        <w:ind w:left="0" w:leftChars="0" w:right="0" w:rightChars="0" w:firstLine="435"/>
        <w:rPr>
          <w:rFonts w:ascii="宋体" w:hAnsi="宋体"/>
          <w:color w:val="auto"/>
          <w:sz w:val="21"/>
          <w:szCs w:val="21"/>
          <w:highlight w:val="none"/>
        </w:rPr>
      </w:pPr>
      <w:r>
        <w:rPr>
          <w:rFonts w:hint="default" w:ascii="宋体" w:hAnsi="宋体" w:cs="Times New Roman"/>
          <w:b w:val="0"/>
          <w:bCs w:val="0"/>
          <w:color w:val="auto"/>
          <w:sz w:val="21"/>
          <w:szCs w:val="21"/>
          <w:highlight w:val="none"/>
          <w:lang w:val="en-US" w:eastAsia="zh-CN"/>
        </w:rPr>
        <w:t>注：</w:t>
      </w:r>
      <w:r>
        <w:rPr>
          <w:rFonts w:ascii="宋体" w:hAnsi="宋体" w:eastAsia="宋体" w:cs="Times New Roman"/>
          <w:i w:val="0"/>
          <w:iCs w:val="0"/>
          <w:caps w:val="0"/>
          <w:color w:val="auto"/>
          <w:spacing w:val="0"/>
          <w:sz w:val="21"/>
          <w:szCs w:val="21"/>
          <w:highlight w:val="none"/>
          <w:shd w:val="clear"/>
        </w:rPr>
        <w:t>以上标准需满足国家、行业发布的现行规范及技术规程。</w:t>
      </w:r>
    </w:p>
    <w:p w14:paraId="0DD857D9">
      <w:pPr>
        <w:kinsoku/>
        <w:overflowPunct/>
        <w:bidi w:val="0"/>
        <w:spacing w:line="360" w:lineRule="auto"/>
        <w:ind w:left="0" w:leftChars="0" w:right="0" w:rightChars="0"/>
        <w:rPr>
          <w:rFonts w:hint="eastAsia" w:ascii="宋体" w:hAnsi="宋体" w:eastAsia="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2、</w:t>
      </w:r>
      <w:r>
        <w:rPr>
          <w:rFonts w:hint="eastAsia" w:ascii="宋体" w:hAnsi="宋体" w:eastAsia="宋体" w:cs="Times New Roman"/>
          <w:b/>
          <w:bCs/>
          <w:color w:val="auto"/>
          <w:sz w:val="21"/>
          <w:szCs w:val="21"/>
          <w:highlight w:val="none"/>
          <w:lang w:val="en-US" w:eastAsia="zh-CN"/>
        </w:rPr>
        <w:t>预防性试验服务</w:t>
      </w:r>
    </w:p>
    <w:p w14:paraId="0762B6BC">
      <w:pPr>
        <w:kinsoku/>
        <w:overflowPunct/>
        <w:bidi w:val="0"/>
        <w:spacing w:line="360" w:lineRule="auto"/>
        <w:ind w:left="0" w:leftChars="0" w:right="0" w:rightChars="0" w:firstLine="435"/>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按照《箱式变电站（箱变）运行检查与维护规范》执行，每年开展1次预防性试验，</w:t>
      </w:r>
      <w:r>
        <w:rPr>
          <w:rFonts w:hint="default" w:ascii="宋体" w:hAnsi="宋体" w:eastAsia="宋体" w:cs="Times New Roman"/>
          <w:color w:val="auto"/>
          <w:sz w:val="21"/>
          <w:szCs w:val="21"/>
          <w:highlight w:val="none"/>
          <w:lang w:val="en-US" w:eastAsia="zh-CN"/>
        </w:rPr>
        <w:t>服务中，若仅涉及人工、普通工具及低值耗材，且总费用在人民币</w:t>
      </w:r>
      <w:r>
        <w:rPr>
          <w:rFonts w:hint="eastAsia" w:ascii="宋体" w:hAnsi="宋体" w:eastAsia="宋体" w:cs="Times New Roman"/>
          <w:color w:val="auto"/>
          <w:sz w:val="21"/>
          <w:szCs w:val="21"/>
          <w:highlight w:val="none"/>
          <w:lang w:val="en-US" w:eastAsia="zh-CN"/>
        </w:rPr>
        <w:t>2</w:t>
      </w:r>
      <w:r>
        <w:rPr>
          <w:rFonts w:hint="default" w:ascii="宋体" w:hAnsi="宋体" w:eastAsia="宋体" w:cs="Times New Roman"/>
          <w:color w:val="auto"/>
          <w:sz w:val="21"/>
          <w:szCs w:val="21"/>
          <w:highlight w:val="none"/>
          <w:lang w:val="en-US" w:eastAsia="zh-CN"/>
        </w:rPr>
        <w:t>000元（含）以下，由</w:t>
      </w:r>
      <w:r>
        <w:rPr>
          <w:rFonts w:hint="eastAsia" w:ascii="宋体" w:hAnsi="宋体" w:cs="Times New Roman"/>
          <w:color w:val="auto"/>
          <w:sz w:val="21"/>
          <w:szCs w:val="21"/>
          <w:highlight w:val="none"/>
          <w:lang w:val="en-US" w:eastAsia="zh-CN"/>
        </w:rPr>
        <w:t>中标单位</w:t>
      </w:r>
      <w:r>
        <w:rPr>
          <w:rFonts w:hint="default" w:ascii="宋体" w:hAnsi="宋体" w:eastAsia="宋体" w:cs="Times New Roman"/>
          <w:color w:val="auto"/>
          <w:sz w:val="21"/>
          <w:szCs w:val="21"/>
          <w:highlight w:val="none"/>
          <w:lang w:val="en-US" w:eastAsia="zh-CN"/>
        </w:rPr>
        <w:t>承担。</w:t>
      </w:r>
      <w:r>
        <w:rPr>
          <w:rFonts w:hint="eastAsia" w:ascii="宋体" w:hAnsi="宋体" w:eastAsia="宋体" w:cs="Times New Roman"/>
          <w:color w:val="auto"/>
          <w:sz w:val="21"/>
          <w:szCs w:val="21"/>
          <w:highlight w:val="none"/>
          <w:lang w:val="en-US" w:eastAsia="zh-CN"/>
        </w:rPr>
        <w:t>超出人民币 2000元，设备更换的，主要材料及设备由</w:t>
      </w:r>
      <w:r>
        <w:rPr>
          <w:rFonts w:hint="eastAsia" w:ascii="宋体"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提供。本项目所有人工服务费用含在综合报价中。</w:t>
      </w:r>
    </w:p>
    <w:p w14:paraId="3DCD5DDD">
      <w:pPr>
        <w:kinsoku/>
        <w:overflowPunct/>
        <w:bidi w:val="0"/>
        <w:spacing w:line="360" w:lineRule="auto"/>
        <w:ind w:left="0" w:leftChars="0" w:right="0" w:rightChars="0" w:firstLine="435"/>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内容包括但不限于：</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504"/>
        <w:gridCol w:w="1908"/>
        <w:gridCol w:w="2204"/>
        <w:gridCol w:w="1909"/>
      </w:tblGrid>
      <w:tr w14:paraId="214D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240ADB37">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实验</w:t>
            </w:r>
            <w:r>
              <w:rPr>
                <w:rFonts w:hint="eastAsia" w:ascii="宋体" w:hAnsi="宋体" w:eastAsia="宋体" w:cs="宋体"/>
                <w:color w:val="auto"/>
                <w:sz w:val="21"/>
                <w:szCs w:val="21"/>
                <w:highlight w:val="none"/>
                <w:vertAlign w:val="baseline"/>
              </w:rPr>
              <w:t>类别</w:t>
            </w:r>
          </w:p>
        </w:tc>
        <w:tc>
          <w:tcPr>
            <w:tcW w:w="1504" w:type="dxa"/>
            <w:vAlign w:val="center"/>
          </w:tcPr>
          <w:p w14:paraId="1B8BE443">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试验项目</w:t>
            </w:r>
          </w:p>
        </w:tc>
        <w:tc>
          <w:tcPr>
            <w:tcW w:w="1908" w:type="dxa"/>
            <w:vAlign w:val="center"/>
          </w:tcPr>
          <w:p w14:paraId="3DAAE193">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试验方法</w:t>
            </w:r>
          </w:p>
        </w:tc>
        <w:tc>
          <w:tcPr>
            <w:tcW w:w="2204" w:type="dxa"/>
            <w:vAlign w:val="center"/>
          </w:tcPr>
          <w:p w14:paraId="5ADE9B67">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标准要求</w:t>
            </w:r>
          </w:p>
        </w:tc>
        <w:tc>
          <w:tcPr>
            <w:tcW w:w="1909" w:type="dxa"/>
            <w:vAlign w:val="center"/>
          </w:tcPr>
          <w:p w14:paraId="720F30D9">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检查频次</w:t>
            </w:r>
          </w:p>
        </w:tc>
      </w:tr>
      <w:tr w14:paraId="5BBC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restart"/>
            <w:vAlign w:val="center"/>
          </w:tcPr>
          <w:p w14:paraId="66C702B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变压器</w:t>
            </w:r>
          </w:p>
        </w:tc>
        <w:tc>
          <w:tcPr>
            <w:tcW w:w="1504" w:type="dxa"/>
            <w:vAlign w:val="center"/>
          </w:tcPr>
          <w:p w14:paraId="3379260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绕组绝缘电阻</w:t>
            </w:r>
          </w:p>
        </w:tc>
        <w:tc>
          <w:tcPr>
            <w:tcW w:w="1908" w:type="dxa"/>
            <w:vAlign w:val="center"/>
          </w:tcPr>
          <w:p w14:paraId="01C5642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2500V兆欧表测量</w:t>
            </w:r>
          </w:p>
        </w:tc>
        <w:tc>
          <w:tcPr>
            <w:tcW w:w="2204" w:type="dxa"/>
            <w:vAlign w:val="center"/>
          </w:tcPr>
          <w:p w14:paraId="352DCFB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高压-低压≥300MΩ</w:t>
            </w:r>
          </w:p>
        </w:tc>
        <w:tc>
          <w:tcPr>
            <w:tcW w:w="1909" w:type="dxa"/>
            <w:vMerge w:val="restart"/>
            <w:vAlign w:val="center"/>
          </w:tcPr>
          <w:p w14:paraId="33FE109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年度/次</w:t>
            </w:r>
          </w:p>
        </w:tc>
      </w:tr>
      <w:tr w14:paraId="2248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continue"/>
            <w:vAlign w:val="center"/>
          </w:tcPr>
          <w:p w14:paraId="74B7AB1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p>
        </w:tc>
        <w:tc>
          <w:tcPr>
            <w:tcW w:w="1504" w:type="dxa"/>
            <w:vAlign w:val="center"/>
          </w:tcPr>
          <w:p w14:paraId="103BAF8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绕组直流电阻</w:t>
            </w:r>
          </w:p>
        </w:tc>
        <w:tc>
          <w:tcPr>
            <w:tcW w:w="1908" w:type="dxa"/>
            <w:vAlign w:val="center"/>
          </w:tcPr>
          <w:p w14:paraId="4A69D6A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直流电阻测试仪</w:t>
            </w:r>
          </w:p>
        </w:tc>
        <w:tc>
          <w:tcPr>
            <w:tcW w:w="2204" w:type="dxa"/>
            <w:vAlign w:val="center"/>
          </w:tcPr>
          <w:p w14:paraId="41DEAFA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直流电阻测试仪 相间偏差≤2%</w:t>
            </w:r>
          </w:p>
        </w:tc>
        <w:tc>
          <w:tcPr>
            <w:tcW w:w="1909" w:type="dxa"/>
            <w:vMerge w:val="continue"/>
            <w:vAlign w:val="center"/>
          </w:tcPr>
          <w:p w14:paraId="1A45651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p>
        </w:tc>
      </w:tr>
      <w:tr w14:paraId="5D29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continue"/>
            <w:vAlign w:val="center"/>
          </w:tcPr>
          <w:p w14:paraId="3E9CDFA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p>
        </w:tc>
        <w:tc>
          <w:tcPr>
            <w:tcW w:w="1504" w:type="dxa"/>
            <w:vAlign w:val="center"/>
          </w:tcPr>
          <w:p w14:paraId="305419D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变比测试</w:t>
            </w:r>
          </w:p>
        </w:tc>
        <w:tc>
          <w:tcPr>
            <w:tcW w:w="1908" w:type="dxa"/>
            <w:vAlign w:val="center"/>
          </w:tcPr>
          <w:p w14:paraId="7E51FD8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变比组别测试仪</w:t>
            </w:r>
          </w:p>
        </w:tc>
        <w:tc>
          <w:tcPr>
            <w:tcW w:w="2204" w:type="dxa"/>
            <w:vAlign w:val="center"/>
          </w:tcPr>
          <w:p w14:paraId="50F8671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误差≤±0.5%</w:t>
            </w:r>
          </w:p>
        </w:tc>
        <w:tc>
          <w:tcPr>
            <w:tcW w:w="1909" w:type="dxa"/>
            <w:vMerge w:val="continue"/>
            <w:vAlign w:val="center"/>
          </w:tcPr>
          <w:p w14:paraId="730A748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p>
        </w:tc>
      </w:tr>
      <w:tr w14:paraId="40CC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206CFE6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高压设备</w:t>
            </w:r>
          </w:p>
        </w:tc>
        <w:tc>
          <w:tcPr>
            <w:tcW w:w="1504" w:type="dxa"/>
            <w:vAlign w:val="center"/>
          </w:tcPr>
          <w:p w14:paraId="2A829DB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避雷器直流参考电压试验</w:t>
            </w:r>
          </w:p>
        </w:tc>
        <w:tc>
          <w:tcPr>
            <w:tcW w:w="1908" w:type="dxa"/>
            <w:vAlign w:val="center"/>
          </w:tcPr>
          <w:p w14:paraId="7D2D138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直流高压发生器</w:t>
            </w:r>
          </w:p>
        </w:tc>
        <w:tc>
          <w:tcPr>
            <w:tcW w:w="2204" w:type="dxa"/>
            <w:vAlign w:val="center"/>
          </w:tcPr>
          <w:p w14:paraId="5840768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U1mA≥1.15倍额定电压</w:t>
            </w:r>
          </w:p>
        </w:tc>
        <w:tc>
          <w:tcPr>
            <w:tcW w:w="1909" w:type="dxa"/>
            <w:vAlign w:val="center"/>
          </w:tcPr>
          <w:p w14:paraId="0379DC4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年度/次</w:t>
            </w:r>
          </w:p>
        </w:tc>
      </w:tr>
      <w:tr w14:paraId="5284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628B2DC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低压设备</w:t>
            </w:r>
          </w:p>
        </w:tc>
        <w:tc>
          <w:tcPr>
            <w:tcW w:w="1504" w:type="dxa"/>
            <w:vAlign w:val="center"/>
          </w:tcPr>
          <w:p w14:paraId="00AF84C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电容器容量测试</w:t>
            </w:r>
          </w:p>
        </w:tc>
        <w:tc>
          <w:tcPr>
            <w:tcW w:w="1908" w:type="dxa"/>
            <w:vAlign w:val="center"/>
          </w:tcPr>
          <w:p w14:paraId="13D9F23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电容表</w:t>
            </w:r>
          </w:p>
        </w:tc>
        <w:tc>
          <w:tcPr>
            <w:tcW w:w="2204" w:type="dxa"/>
            <w:vAlign w:val="center"/>
          </w:tcPr>
          <w:p w14:paraId="14F10BA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偏差≤±5%</w:t>
            </w:r>
          </w:p>
        </w:tc>
        <w:tc>
          <w:tcPr>
            <w:tcW w:w="1909" w:type="dxa"/>
            <w:vAlign w:val="center"/>
          </w:tcPr>
          <w:p w14:paraId="442C168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年度/次</w:t>
            </w:r>
          </w:p>
        </w:tc>
      </w:tr>
      <w:tr w14:paraId="0867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0C80540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高压电缆</w:t>
            </w:r>
          </w:p>
        </w:tc>
        <w:tc>
          <w:tcPr>
            <w:tcW w:w="1504" w:type="dxa"/>
            <w:vAlign w:val="center"/>
          </w:tcPr>
          <w:p w14:paraId="5AE8DBE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绝缘电阻检查</w:t>
            </w:r>
          </w:p>
        </w:tc>
        <w:tc>
          <w:tcPr>
            <w:tcW w:w="1908" w:type="dxa"/>
            <w:vAlign w:val="center"/>
          </w:tcPr>
          <w:p w14:paraId="286648F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2500V兆欧表测量</w:t>
            </w:r>
          </w:p>
        </w:tc>
        <w:tc>
          <w:tcPr>
            <w:tcW w:w="2204" w:type="dxa"/>
            <w:vAlign w:val="center"/>
          </w:tcPr>
          <w:p w14:paraId="2FD3CA1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绝缘电阻≥100MΩ</w:t>
            </w:r>
          </w:p>
        </w:tc>
        <w:tc>
          <w:tcPr>
            <w:tcW w:w="1909" w:type="dxa"/>
            <w:vAlign w:val="center"/>
          </w:tcPr>
          <w:p w14:paraId="2352FFF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年度/次</w:t>
            </w:r>
          </w:p>
        </w:tc>
      </w:tr>
      <w:tr w14:paraId="4B30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4E0EDA7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低压电缆</w:t>
            </w:r>
          </w:p>
        </w:tc>
        <w:tc>
          <w:tcPr>
            <w:tcW w:w="1504" w:type="dxa"/>
            <w:vAlign w:val="center"/>
          </w:tcPr>
          <w:p w14:paraId="37F1461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绝缘电阻检查</w:t>
            </w:r>
          </w:p>
        </w:tc>
        <w:tc>
          <w:tcPr>
            <w:tcW w:w="1908" w:type="dxa"/>
            <w:vAlign w:val="center"/>
          </w:tcPr>
          <w:p w14:paraId="3A5C408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500V 兆欧表测量</w:t>
            </w:r>
          </w:p>
        </w:tc>
        <w:tc>
          <w:tcPr>
            <w:tcW w:w="2204" w:type="dxa"/>
            <w:vAlign w:val="center"/>
          </w:tcPr>
          <w:p w14:paraId="25D015C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绝缘电阻≥0.5MΩ</w:t>
            </w:r>
          </w:p>
        </w:tc>
        <w:tc>
          <w:tcPr>
            <w:tcW w:w="1909" w:type="dxa"/>
            <w:vAlign w:val="center"/>
          </w:tcPr>
          <w:p w14:paraId="738CB0F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年度/次</w:t>
            </w:r>
          </w:p>
        </w:tc>
      </w:tr>
      <w:tr w14:paraId="3EFA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2D9C326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接地电阻</w:t>
            </w:r>
          </w:p>
        </w:tc>
        <w:tc>
          <w:tcPr>
            <w:tcW w:w="1504" w:type="dxa"/>
            <w:vAlign w:val="center"/>
          </w:tcPr>
          <w:p w14:paraId="17E3DF2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箱变接地电阻</w:t>
            </w:r>
          </w:p>
        </w:tc>
        <w:tc>
          <w:tcPr>
            <w:tcW w:w="1908" w:type="dxa"/>
            <w:vAlign w:val="center"/>
          </w:tcPr>
          <w:p w14:paraId="5F4DA41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接地电阻测试仪</w:t>
            </w:r>
          </w:p>
        </w:tc>
        <w:tc>
          <w:tcPr>
            <w:tcW w:w="2204" w:type="dxa"/>
            <w:vAlign w:val="center"/>
          </w:tcPr>
          <w:p w14:paraId="473D1B8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接地电阻≤4Ω</w:t>
            </w:r>
          </w:p>
        </w:tc>
        <w:tc>
          <w:tcPr>
            <w:tcW w:w="1909" w:type="dxa"/>
            <w:vAlign w:val="center"/>
          </w:tcPr>
          <w:p w14:paraId="4548989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年度/次</w:t>
            </w:r>
          </w:p>
        </w:tc>
      </w:tr>
    </w:tbl>
    <w:p w14:paraId="718FDDAA">
      <w:pPr>
        <w:widowControl/>
        <w:numPr>
          <w:ilvl w:val="0"/>
          <w:numId w:val="0"/>
        </w:numPr>
        <w:pBdr>
          <w:top w:val="none" w:color="auto" w:sz="0" w:space="0"/>
          <w:left w:val="none" w:color="auto" w:sz="0" w:space="0"/>
          <w:bottom w:val="none" w:color="auto" w:sz="0" w:space="0"/>
          <w:right w:val="none" w:color="auto" w:sz="0" w:space="0"/>
        </w:pBdr>
        <w:kinsoku/>
        <w:overflowPunct/>
        <w:bidi w:val="0"/>
        <w:spacing w:line="360" w:lineRule="auto"/>
        <w:ind w:left="0" w:leftChars="0" w:right="0" w:rightChars="0" w:firstLine="435"/>
        <w:rPr>
          <w:rFonts w:hint="eastAsia" w:ascii="宋体" w:hAnsi="宋体" w:cs="Times New Roman"/>
          <w:b/>
          <w:bCs/>
          <w:color w:val="auto"/>
          <w:sz w:val="21"/>
          <w:szCs w:val="21"/>
          <w:highlight w:val="none"/>
          <w:lang w:val="en-US" w:eastAsia="zh-CN"/>
        </w:rPr>
      </w:pPr>
      <w:r>
        <w:rPr>
          <w:rFonts w:hint="default" w:ascii="宋体" w:hAnsi="宋体" w:cs="Times New Roman"/>
          <w:b w:val="0"/>
          <w:bCs w:val="0"/>
          <w:color w:val="auto"/>
          <w:sz w:val="21"/>
          <w:szCs w:val="21"/>
          <w:highlight w:val="none"/>
          <w:lang w:val="en-US" w:eastAsia="zh-CN"/>
        </w:rPr>
        <w:t>注：</w:t>
      </w:r>
      <w:r>
        <w:rPr>
          <w:rFonts w:ascii="宋体" w:hAnsi="宋体" w:eastAsia="宋体" w:cs="Times New Roman"/>
          <w:i w:val="0"/>
          <w:iCs w:val="0"/>
          <w:caps w:val="0"/>
          <w:color w:val="auto"/>
          <w:spacing w:val="0"/>
          <w:sz w:val="21"/>
          <w:szCs w:val="21"/>
          <w:highlight w:val="none"/>
          <w:shd w:val="clear"/>
        </w:rPr>
        <w:t>以上标准需满足国家、行业发布的现行规范及技术规程。</w:t>
      </w:r>
    </w:p>
    <w:p w14:paraId="167C9881">
      <w:pPr>
        <w:kinsoku/>
        <w:overflowPunct/>
        <w:bidi w:val="0"/>
        <w:spacing w:line="360" w:lineRule="auto"/>
        <w:ind w:left="0" w:leftChars="0" w:right="0" w:rightChars="0" w:firstLine="435"/>
        <w:rPr>
          <w:rFonts w:hint="eastAsia" w:ascii="宋体" w:hAnsi="宋体" w:eastAsia="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3、</w:t>
      </w:r>
      <w:r>
        <w:rPr>
          <w:rFonts w:hint="eastAsia" w:ascii="宋体" w:hAnsi="宋体" w:eastAsia="宋体" w:cs="Times New Roman"/>
          <w:b/>
          <w:bCs/>
          <w:color w:val="auto"/>
          <w:sz w:val="21"/>
          <w:szCs w:val="21"/>
          <w:highlight w:val="none"/>
          <w:lang w:val="en-US" w:eastAsia="zh-CN"/>
        </w:rPr>
        <w:t>故障应急响应</w:t>
      </w:r>
    </w:p>
    <w:p w14:paraId="14CDC273">
      <w:pPr>
        <w:kinsoku/>
        <w:overflowPunct/>
        <w:bidi w:val="0"/>
        <w:spacing w:line="360" w:lineRule="auto"/>
        <w:ind w:left="0" w:leftChars="0" w:right="0" w:rightChars="0" w:firstLine="435"/>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巡检或运行中发现故障，</w:t>
      </w:r>
      <w:r>
        <w:rPr>
          <w:rFonts w:hint="eastAsia" w:ascii="宋体" w:hAnsi="宋体" w:cs="Times New Roman"/>
          <w:color w:val="auto"/>
          <w:sz w:val="21"/>
          <w:szCs w:val="21"/>
          <w:highlight w:val="none"/>
          <w:lang w:val="en-US" w:eastAsia="zh-CN"/>
        </w:rPr>
        <w:t>中标单位</w:t>
      </w:r>
      <w:r>
        <w:rPr>
          <w:rFonts w:hint="eastAsia" w:ascii="宋体" w:hAnsi="宋体" w:eastAsia="宋体" w:cs="Times New Roman"/>
          <w:color w:val="auto"/>
          <w:sz w:val="21"/>
          <w:szCs w:val="21"/>
          <w:highlight w:val="none"/>
          <w:lang w:val="en-US" w:eastAsia="zh-CN"/>
        </w:rPr>
        <w:t>在接到</w:t>
      </w:r>
      <w:r>
        <w:rPr>
          <w:rFonts w:hint="eastAsia" w:ascii="宋体"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通知后，市区范围内</w:t>
      </w: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小时、郊区范围内</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小时内到达现场，8小时内完成一般故障修复；重大故障需出具书面解决方案，并同步启动应急保障措施。</w:t>
      </w:r>
      <w:r>
        <w:rPr>
          <w:rFonts w:hint="default" w:ascii="宋体" w:hAnsi="宋体" w:eastAsia="宋体" w:cs="Times New Roman"/>
          <w:color w:val="auto"/>
          <w:sz w:val="21"/>
          <w:szCs w:val="21"/>
          <w:highlight w:val="none"/>
          <w:lang w:val="en-US" w:eastAsia="zh-CN"/>
        </w:rPr>
        <w:t>单次服务中，若仅涉及人工、普通工具及低值耗材，且总费用在人民币</w:t>
      </w:r>
      <w:r>
        <w:rPr>
          <w:rFonts w:hint="eastAsia" w:ascii="宋体" w:hAnsi="宋体" w:eastAsia="宋体" w:cs="Times New Roman"/>
          <w:color w:val="auto"/>
          <w:sz w:val="21"/>
          <w:szCs w:val="21"/>
          <w:highlight w:val="none"/>
          <w:lang w:val="en-US" w:eastAsia="zh-CN"/>
        </w:rPr>
        <w:t>2</w:t>
      </w:r>
      <w:r>
        <w:rPr>
          <w:rFonts w:hint="default" w:ascii="宋体" w:hAnsi="宋体" w:eastAsia="宋体" w:cs="Times New Roman"/>
          <w:color w:val="auto"/>
          <w:sz w:val="21"/>
          <w:szCs w:val="21"/>
          <w:highlight w:val="none"/>
          <w:lang w:val="en-US" w:eastAsia="zh-CN"/>
        </w:rPr>
        <w:t>000元（含）以下，由</w:t>
      </w:r>
      <w:r>
        <w:rPr>
          <w:rFonts w:hint="eastAsia" w:ascii="宋体" w:hAnsi="宋体" w:cs="Times New Roman"/>
          <w:color w:val="auto"/>
          <w:sz w:val="21"/>
          <w:szCs w:val="21"/>
          <w:highlight w:val="none"/>
          <w:lang w:val="en-US" w:eastAsia="zh-CN"/>
        </w:rPr>
        <w:t>中标单位</w:t>
      </w:r>
      <w:r>
        <w:rPr>
          <w:rFonts w:hint="default" w:ascii="宋体" w:hAnsi="宋体" w:eastAsia="宋体" w:cs="Times New Roman"/>
          <w:color w:val="auto"/>
          <w:sz w:val="21"/>
          <w:szCs w:val="21"/>
          <w:highlight w:val="none"/>
          <w:lang w:val="en-US" w:eastAsia="zh-CN"/>
        </w:rPr>
        <w:t>承担。</w:t>
      </w:r>
      <w:r>
        <w:rPr>
          <w:rFonts w:hint="eastAsia" w:ascii="宋体" w:hAnsi="宋体" w:eastAsia="宋体" w:cs="Times New Roman"/>
          <w:color w:val="auto"/>
          <w:sz w:val="21"/>
          <w:szCs w:val="21"/>
          <w:highlight w:val="none"/>
          <w:lang w:val="en-US" w:eastAsia="zh-CN"/>
        </w:rPr>
        <w:t>超出人民币 2000元，设备更换的，主要材料及设备由</w:t>
      </w:r>
      <w:r>
        <w:rPr>
          <w:rFonts w:hint="eastAsia" w:ascii="宋体"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提供。本项目所有人工服务费用含在综合报价中。</w:t>
      </w:r>
    </w:p>
    <w:p w14:paraId="4F36B792">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3DACE2B4">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2CB567E9">
      <w:pPr>
        <w:pStyle w:val="52"/>
        <w:shd w:val="clear"/>
        <w:kinsoku/>
        <w:overflowPunct/>
        <w:bidi w:val="0"/>
        <w:ind w:left="0" w:leftChars="0" w:right="0" w:rightChars="0"/>
        <w:rPr>
          <w:rFonts w:hint="eastAsia" w:ascii="宋体"/>
          <w:b/>
          <w:bCs/>
          <w:color w:val="auto"/>
          <w:sz w:val="36"/>
          <w:szCs w:val="52"/>
          <w:highlight w:val="none"/>
        </w:rPr>
      </w:pPr>
    </w:p>
    <w:p w14:paraId="0DFEE5D4">
      <w:pPr>
        <w:shd w:val="clear"/>
        <w:kinsoku/>
        <w:overflowPunct/>
        <w:bidi w:val="0"/>
        <w:spacing w:line="440" w:lineRule="exact"/>
        <w:ind w:left="0" w:leftChars="0" w:right="0" w:rightChars="0"/>
        <w:jc w:val="both"/>
        <w:rPr>
          <w:rFonts w:hint="eastAsia" w:ascii="宋体"/>
          <w:b/>
          <w:bCs/>
          <w:color w:val="auto"/>
          <w:sz w:val="36"/>
          <w:szCs w:val="52"/>
          <w:highlight w:val="none"/>
        </w:rPr>
      </w:pPr>
    </w:p>
    <w:p w14:paraId="1FE5D9BB">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5EC515BA">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0E6D63D1">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4EFC8277">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1EAFB67A">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6C728B45">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7C4012A9">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4F397427">
      <w:pPr>
        <w:shd w:val="clear"/>
        <w:kinsoku/>
        <w:overflowPunct/>
        <w:bidi w:val="0"/>
        <w:spacing w:line="440" w:lineRule="exact"/>
        <w:ind w:left="0" w:leftChars="0" w:right="0" w:rightChars="0" w:firstLine="542" w:firstLineChars="150"/>
        <w:jc w:val="center"/>
        <w:rPr>
          <w:rFonts w:hint="eastAsia" w:ascii="宋体"/>
          <w:b/>
          <w:bCs/>
          <w:color w:val="auto"/>
          <w:sz w:val="36"/>
          <w:szCs w:val="52"/>
          <w:highlight w:val="none"/>
        </w:rPr>
      </w:pPr>
    </w:p>
    <w:p w14:paraId="184A22A7">
      <w:pPr>
        <w:shd w:val="clear"/>
        <w:kinsoku/>
        <w:overflowPunct/>
        <w:bidi w:val="0"/>
        <w:spacing w:line="440" w:lineRule="exact"/>
        <w:ind w:left="0" w:leftChars="0" w:right="0" w:rightChars="0"/>
        <w:jc w:val="center"/>
        <w:rPr>
          <w:rFonts w:hint="eastAsia" w:ascii="宋体"/>
          <w:b/>
          <w:bCs/>
          <w:color w:val="auto"/>
          <w:sz w:val="36"/>
          <w:szCs w:val="52"/>
          <w:highlight w:val="none"/>
        </w:rPr>
      </w:pPr>
    </w:p>
    <w:p w14:paraId="2CCA7D53">
      <w:pPr>
        <w:shd w:val="clear"/>
        <w:kinsoku/>
        <w:overflowPunct/>
        <w:bidi w:val="0"/>
        <w:spacing w:line="440" w:lineRule="exact"/>
        <w:ind w:left="0" w:leftChars="0" w:right="0" w:rightChars="0"/>
        <w:jc w:val="center"/>
        <w:rPr>
          <w:rFonts w:ascii="宋体"/>
          <w:color w:val="auto"/>
          <w:szCs w:val="32"/>
          <w:highlight w:val="none"/>
        </w:rPr>
      </w:pPr>
      <w:r>
        <w:rPr>
          <w:rFonts w:hint="eastAsia" w:ascii="宋体"/>
          <w:b/>
          <w:bCs/>
          <w:color w:val="auto"/>
          <w:sz w:val="36"/>
          <w:szCs w:val="52"/>
          <w:highlight w:val="none"/>
        </w:rPr>
        <w:t>第五章  合同条款及格式</w:t>
      </w:r>
      <w:bookmarkEnd w:id="91"/>
      <w:bookmarkEnd w:id="92"/>
    </w:p>
    <w:p w14:paraId="40C261D3">
      <w:pPr>
        <w:pStyle w:val="34"/>
        <w:shd w:val="clear"/>
        <w:kinsoku/>
        <w:overflowPunct/>
        <w:bidi w:val="0"/>
        <w:ind w:left="0" w:leftChars="0" w:right="0" w:rightChars="0" w:firstLine="883"/>
        <w:rPr>
          <w:rFonts w:ascii="黑体" w:hAnsi="黑体" w:eastAsia="黑体" w:cs="黑体"/>
          <w:b/>
          <w:color w:val="auto"/>
          <w:sz w:val="44"/>
          <w:szCs w:val="44"/>
          <w:highlight w:val="none"/>
          <w:lang w:eastAsia="zh-CN" w:bidi="ar"/>
        </w:rPr>
      </w:pPr>
      <w:bookmarkStart w:id="94" w:name="_Toc449028948"/>
    </w:p>
    <w:p w14:paraId="0FFD5229">
      <w:pPr>
        <w:shd w:val="clear"/>
        <w:kinsoku/>
        <w:overflowPunct/>
        <w:bidi w:val="0"/>
        <w:spacing w:line="500" w:lineRule="exact"/>
        <w:ind w:left="0" w:leftChars="0" w:right="0" w:rightChars="0"/>
        <w:rPr>
          <w:rFonts w:hint="eastAsia" w:ascii="黑体" w:hAnsi="黑体" w:eastAsia="黑体" w:cs="黑体"/>
          <w:b/>
          <w:color w:val="auto"/>
          <w:sz w:val="32"/>
          <w:szCs w:val="32"/>
          <w:highlight w:val="none"/>
          <w:lang w:bidi="ar"/>
        </w:rPr>
      </w:pPr>
    </w:p>
    <w:p w14:paraId="3A1C3CFB">
      <w:pPr>
        <w:kinsoku/>
        <w:overflowPunct/>
        <w:bidi w:val="0"/>
        <w:spacing w:line="360" w:lineRule="auto"/>
        <w:ind w:left="0" w:leftChars="0" w:right="0" w:rightChars="0"/>
        <w:jc w:val="center"/>
        <w:outlineLvl w:val="1"/>
        <w:rPr>
          <w:rFonts w:ascii="宋体" w:hAnsi="宋体" w:eastAsia="宋体"/>
          <w:b/>
          <w:color w:val="auto"/>
          <w:sz w:val="24"/>
          <w:highlight w:val="none"/>
        </w:rPr>
      </w:pPr>
      <w:bookmarkStart w:id="95" w:name="_Toc2449"/>
      <w:r>
        <w:rPr>
          <w:rFonts w:hint="eastAsia" w:ascii="宋体" w:hAnsi="宋体" w:eastAsia="宋体"/>
          <w:b/>
          <w:color w:val="auto"/>
          <w:sz w:val="24"/>
          <w:highlight w:val="none"/>
        </w:rPr>
        <w:t>第一部分 合同书</w:t>
      </w:r>
      <w:bookmarkEnd w:id="95"/>
    </w:p>
    <w:p w14:paraId="3BADD646">
      <w:pPr>
        <w:kinsoku/>
        <w:overflowPunct/>
        <w:bidi w:val="0"/>
        <w:spacing w:line="480" w:lineRule="auto"/>
        <w:ind w:left="0" w:leftChars="0" w:right="0" w:rightChars="0"/>
        <w:jc w:val="center"/>
        <w:rPr>
          <w:rFonts w:ascii="宋体" w:hAnsi="宋体" w:eastAsia="宋体" w:cs="Times New Roman"/>
          <w:b/>
          <w:color w:val="auto"/>
          <w:sz w:val="24"/>
          <w:szCs w:val="24"/>
          <w:highlight w:val="none"/>
        </w:rPr>
      </w:pPr>
    </w:p>
    <w:p w14:paraId="73F7D367">
      <w:pPr>
        <w:kinsoku/>
        <w:overflowPunct/>
        <w:bidi w:val="0"/>
        <w:spacing w:line="480" w:lineRule="auto"/>
        <w:ind w:left="0" w:leftChars="0" w:right="0" w:rightChars="0"/>
        <w:jc w:val="center"/>
        <w:rPr>
          <w:rFonts w:ascii="宋体" w:hAnsi="宋体" w:eastAsia="宋体" w:cs="Times New Roman"/>
          <w:b/>
          <w:color w:val="auto"/>
          <w:sz w:val="24"/>
          <w:szCs w:val="24"/>
          <w:highlight w:val="none"/>
        </w:rPr>
      </w:pPr>
    </w:p>
    <w:p w14:paraId="6C676677">
      <w:pPr>
        <w:pStyle w:val="14"/>
        <w:kinsoku/>
        <w:overflowPunct/>
        <w:bidi w:val="0"/>
        <w:ind w:left="0" w:leftChars="0" w:right="0" w:rightChars="0"/>
        <w:rPr>
          <w:color w:val="auto"/>
          <w:highlight w:val="none"/>
        </w:rPr>
      </w:pPr>
    </w:p>
    <w:p w14:paraId="73EAE0F1">
      <w:pPr>
        <w:pStyle w:val="14"/>
        <w:kinsoku/>
        <w:overflowPunct/>
        <w:bidi w:val="0"/>
        <w:ind w:left="0" w:leftChars="0" w:right="0" w:rightChars="0"/>
        <w:rPr>
          <w:color w:val="auto"/>
          <w:highlight w:val="none"/>
        </w:rPr>
      </w:pPr>
    </w:p>
    <w:p w14:paraId="7ADC0720">
      <w:pPr>
        <w:keepNext w:val="0"/>
        <w:keepLines w:val="0"/>
        <w:pageBreakBefore w:val="0"/>
        <w:widowControl w:val="0"/>
        <w:kinsoku/>
        <w:wordWrap/>
        <w:overflowPunct/>
        <w:topLinePunct w:val="0"/>
        <w:autoSpaceDE/>
        <w:autoSpaceDN/>
        <w:bidi w:val="0"/>
        <w:adjustRightInd/>
        <w:snapToGrid/>
        <w:spacing w:before="120" w:line="480" w:lineRule="auto"/>
        <w:ind w:left="0" w:leftChars="0" w:right="0" w:rightChars="0" w:firstLine="480" w:firstLineChars="200"/>
        <w:textAlignment w:val="auto"/>
        <w:rPr>
          <w:rFonts w:hint="default" w:ascii="宋体" w:hAnsi="宋体" w:eastAsia="宋体" w:cs="Times New Roman"/>
          <w:color w:val="auto"/>
          <w:sz w:val="24"/>
          <w:szCs w:val="24"/>
          <w:highlight w:val="none"/>
          <w:u w:val="single"/>
          <w:lang w:val="en-US"/>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p>
    <w:p w14:paraId="6D12A28D">
      <w:pPr>
        <w:keepNext w:val="0"/>
        <w:keepLines w:val="0"/>
        <w:pageBreakBefore w:val="0"/>
        <w:widowControl w:val="0"/>
        <w:kinsoku/>
        <w:wordWrap/>
        <w:overflowPunct/>
        <w:topLinePunct w:val="0"/>
        <w:autoSpaceDE/>
        <w:autoSpaceDN/>
        <w:bidi w:val="0"/>
        <w:adjustRightInd/>
        <w:snapToGrid/>
        <w:spacing w:before="120" w:line="480" w:lineRule="auto"/>
        <w:ind w:left="0" w:leftChars="0" w:right="0" w:rightChars="0"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0BC0491A">
      <w:pPr>
        <w:keepNext w:val="0"/>
        <w:keepLines w:val="0"/>
        <w:pageBreakBefore w:val="0"/>
        <w:widowControl w:val="0"/>
        <w:kinsoku/>
        <w:wordWrap/>
        <w:overflowPunct/>
        <w:topLinePunct w:val="0"/>
        <w:autoSpaceDE/>
        <w:autoSpaceDN/>
        <w:bidi w:val="0"/>
        <w:adjustRightInd/>
        <w:snapToGrid/>
        <w:spacing w:before="120" w:line="480" w:lineRule="auto"/>
        <w:ind w:left="0" w:leftChars="0" w:right="0" w:rightChars="0" w:firstLine="480" w:firstLineChars="200"/>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甲方（</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人）：</w:t>
      </w:r>
      <w:r>
        <w:rPr>
          <w:rFonts w:hint="eastAsia" w:ascii="宋体" w:hAnsi="宋体" w:eastAsia="宋体" w:cs="Times New Roman"/>
          <w:color w:val="auto"/>
          <w:sz w:val="24"/>
          <w:szCs w:val="24"/>
          <w:highlight w:val="none"/>
          <w:u w:val="single"/>
          <w:lang w:val="en-US" w:eastAsia="zh-CN"/>
        </w:rPr>
        <w:t xml:space="preserve">                             </w:t>
      </w:r>
    </w:p>
    <w:p w14:paraId="142BFF76">
      <w:pPr>
        <w:keepNext w:val="0"/>
        <w:keepLines w:val="0"/>
        <w:pageBreakBefore w:val="0"/>
        <w:widowControl w:val="0"/>
        <w:kinsoku/>
        <w:wordWrap/>
        <w:overflowPunct/>
        <w:topLinePunct w:val="0"/>
        <w:autoSpaceDE/>
        <w:autoSpaceDN/>
        <w:bidi w:val="0"/>
        <w:adjustRightInd/>
        <w:snapToGrid/>
        <w:spacing w:before="120" w:line="480" w:lineRule="auto"/>
        <w:ind w:left="0" w:leftChars="0" w:right="0" w:rightChars="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61F5D02E">
      <w:pPr>
        <w:keepNext w:val="0"/>
        <w:keepLines w:val="0"/>
        <w:pageBreakBefore w:val="0"/>
        <w:widowControl w:val="0"/>
        <w:kinsoku/>
        <w:wordWrap/>
        <w:overflowPunct/>
        <w:topLinePunct w:val="0"/>
        <w:autoSpaceDE/>
        <w:autoSpaceDN/>
        <w:bidi w:val="0"/>
        <w:adjustRightInd/>
        <w:snapToGrid/>
        <w:spacing w:before="120" w:line="480" w:lineRule="auto"/>
        <w:ind w:left="0" w:leftChars="0" w:right="0" w:rightChars="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p>
    <w:p w14:paraId="57A8EB41">
      <w:pPr>
        <w:keepNext w:val="0"/>
        <w:keepLines w:val="0"/>
        <w:pageBreakBefore w:val="0"/>
        <w:widowControl w:val="0"/>
        <w:kinsoku/>
        <w:wordWrap/>
        <w:overflowPunct/>
        <w:topLinePunct w:val="0"/>
        <w:autoSpaceDE/>
        <w:autoSpaceDN/>
        <w:bidi w:val="0"/>
        <w:adjustRightInd/>
        <w:snapToGrid/>
        <w:spacing w:before="120" w:line="480" w:lineRule="auto"/>
        <w:ind w:left="0" w:leftChars="0" w:right="0" w:rightChars="0"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4E3C8141">
      <w:pPr>
        <w:widowControl/>
        <w:kinsoku/>
        <w:overflowPunct/>
        <w:bidi w:val="0"/>
        <w:ind w:left="0" w:leftChars="0" w:right="0" w:rightChars="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12116ABD">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bookmarkStart w:id="96" w:name="_Toc21423"/>
      <w:bookmarkStart w:id="97" w:name="_Toc27250"/>
      <w:bookmarkStart w:id="98" w:name="_Toc19554"/>
      <w:r>
        <w:rPr>
          <w:rFonts w:hint="eastAsia" w:ascii="宋体" w:hAnsi="宋体" w:eastAsia="宋体" w:cs="Times New Roman"/>
          <w:color w:val="auto"/>
          <w:sz w:val="24"/>
          <w:szCs w:val="24"/>
          <w:highlight w:val="none"/>
          <w:lang w:val="en-US" w:eastAsia="zh-CN"/>
        </w:rPr>
        <w:t>鉴于甲方</w:t>
      </w:r>
      <w:r>
        <w:rPr>
          <w:rFonts w:hint="eastAsia" w:ascii="宋体" w:hAnsi="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（招标人）拥有高压环网柜及高压箱变设备需专业巡检维护、预防性试验及故障应急处理服务保障安全运行；乙方</w:t>
      </w:r>
      <w:r>
        <w:rPr>
          <w:rFonts w:hint="eastAsia" w:ascii="宋体" w:hAnsi="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（中标人）具备相应资质、技术团队及服务能力。依据《中华人民共和国民法典》及电力行业相关法规，甲乙双方本着平等自愿、公平诚信的原则，经协商一致，签订本合同，以资共同遵守。</w:t>
      </w:r>
    </w:p>
    <w:p w14:paraId="244DA2EE">
      <w:pPr>
        <w:kinsoku/>
        <w:overflowPunct/>
        <w:bidi w:val="0"/>
        <w:spacing w:line="360" w:lineRule="auto"/>
        <w:ind w:left="0" w:leftChars="0" w:right="0" w:rightChars="0" w:firstLine="437"/>
        <w:outlineLvl w:val="2"/>
        <w:rPr>
          <w:rFonts w:ascii="宋体" w:hAnsi="宋体" w:eastAsia="宋体" w:cs="Times New Roman"/>
          <w:b/>
          <w:bCs/>
          <w:color w:val="auto"/>
          <w:sz w:val="24"/>
          <w:szCs w:val="24"/>
          <w:highlight w:val="none"/>
          <w:lang w:val="zh-CN"/>
        </w:rPr>
      </w:pPr>
      <w:bookmarkStart w:id="99" w:name="_Toc3029"/>
      <w:bookmarkStart w:id="100" w:name="_Toc24059"/>
      <w:bookmarkStart w:id="101" w:name="_Toc2232"/>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99"/>
      <w:bookmarkEnd w:id="100"/>
      <w:bookmarkEnd w:id="101"/>
    </w:p>
    <w:p w14:paraId="1144BE7F">
      <w:pPr>
        <w:kinsoku/>
        <w:overflowPunct/>
        <w:bidi w:val="0"/>
        <w:spacing w:line="360" w:lineRule="auto"/>
        <w:ind w:left="0" w:leftChars="0" w:right="0" w:rightChars="0"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lang w:val="zh-CN"/>
        </w:rPr>
        <w:t>文件确定的事项前提下，组成本合同的多个文件的优先适用顺序如下：</w:t>
      </w:r>
    </w:p>
    <w:p w14:paraId="5C1CC8DB">
      <w:pPr>
        <w:kinsoku/>
        <w:overflowPunct/>
        <w:bidi w:val="0"/>
        <w:spacing w:line="360" w:lineRule="auto"/>
        <w:ind w:left="0" w:leftChars="0" w:right="0" w:rightChars="0"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0AFACD63">
      <w:pPr>
        <w:kinsoku/>
        <w:overflowPunct/>
        <w:bidi w:val="0"/>
        <w:spacing w:line="360" w:lineRule="auto"/>
        <w:ind w:left="0" w:leftChars="0" w:right="0" w:rightChars="0"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7D642498">
      <w:pPr>
        <w:kinsoku/>
        <w:overflowPunct/>
        <w:bidi w:val="0"/>
        <w:spacing w:line="360" w:lineRule="auto"/>
        <w:ind w:left="0" w:leftChars="0" w:right="0" w:rightChars="0"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04F85892">
      <w:pPr>
        <w:kinsoku/>
        <w:overflowPunct/>
        <w:bidi w:val="0"/>
        <w:spacing w:line="360" w:lineRule="auto"/>
        <w:ind w:left="0" w:leftChars="0" w:right="0" w:rightChars="0"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29D78FEF">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zh-CN"/>
        </w:rPr>
        <w:t>1.1.5其他相关采购文件。</w:t>
      </w:r>
    </w:p>
    <w:p w14:paraId="219F211F">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1.2服务标的与范围</w:t>
      </w:r>
    </w:p>
    <w:p w14:paraId="68F04975">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1.2.1 服务对象</w:t>
      </w:r>
    </w:p>
    <w:p w14:paraId="11D777A9">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甲方所有的位于滁州区域内的“滁州充电”汽车充电场站及光伏高压并网升压电站具体设备清单详见本招标文件《服务设备明细清单》，清单内容包括场站名称、场站地址、场站规模等关键信息。</w:t>
      </w:r>
    </w:p>
    <w:p w14:paraId="3057FD56">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1.2.2 服务内容</w:t>
      </w:r>
    </w:p>
    <w:p w14:paraId="21D929E8">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乙方为上述设备提供“</w:t>
      </w:r>
      <w:r>
        <w:rPr>
          <w:rFonts w:hint="eastAsia" w:ascii="宋体" w:hAnsi="宋体" w:eastAsia="宋体" w:cs="Times New Roman"/>
          <w:b/>
          <w:bCs/>
          <w:color w:val="auto"/>
          <w:sz w:val="24"/>
          <w:szCs w:val="24"/>
          <w:highlight w:val="none"/>
          <w:lang w:val="en-US" w:eastAsia="zh-CN"/>
        </w:rPr>
        <w:t>季度巡检+预防性试验+故障应急响应</w:t>
      </w:r>
      <w:r>
        <w:rPr>
          <w:rFonts w:hint="eastAsia" w:ascii="宋体" w:hAnsi="宋体" w:eastAsia="宋体" w:cs="Times New Roman"/>
          <w:color w:val="auto"/>
          <w:sz w:val="24"/>
          <w:szCs w:val="24"/>
          <w:highlight w:val="none"/>
          <w:lang w:val="en-US" w:eastAsia="zh-CN"/>
        </w:rPr>
        <w:t>”全流程服务，具体内容如下：</w:t>
      </w:r>
    </w:p>
    <w:p w14:paraId="521462F3">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1.2.2.1季度巡检服务</w:t>
      </w:r>
    </w:p>
    <w:p w14:paraId="1F05A88A">
      <w:pPr>
        <w:kinsoku/>
        <w:overflowPunct/>
        <w:bidi w:val="0"/>
        <w:spacing w:line="360" w:lineRule="auto"/>
        <w:ind w:left="0" w:leftChars="0" w:right="0" w:rightChars="0" w:firstLine="435"/>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按照《箱式变电站（箱变）运行检查与维护规范》执行，每季度开展1次全面巡检，单次服务中，若仅涉及人工、普通工具及低值耗材，且总费用在人民币2000元（含）以下，由乙方承担。超出人民币2000元，设备更换的，主要材料及设备由甲方提供。本项目所有人工服务费用含在综合报价中。</w:t>
      </w:r>
    </w:p>
    <w:p w14:paraId="7C09718E">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内容包括但不限于：</w:t>
      </w:r>
    </w:p>
    <w:p w14:paraId="633180DA">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p>
    <w:p w14:paraId="7D9A511C">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p>
    <w:p w14:paraId="3A867331">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p>
    <w:p w14:paraId="0E29A5FC">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常规维护</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745"/>
        <w:gridCol w:w="4391"/>
        <w:gridCol w:w="1377"/>
      </w:tblGrid>
      <w:tr w14:paraId="7C7C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8" w:type="dxa"/>
            <w:vAlign w:val="center"/>
          </w:tcPr>
          <w:p w14:paraId="425A77B4">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检查项目</w:t>
            </w:r>
          </w:p>
        </w:tc>
        <w:tc>
          <w:tcPr>
            <w:tcW w:w="1745" w:type="dxa"/>
            <w:vAlign w:val="center"/>
          </w:tcPr>
          <w:p w14:paraId="07FFA581">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检查方法</w:t>
            </w:r>
          </w:p>
        </w:tc>
        <w:tc>
          <w:tcPr>
            <w:tcW w:w="4391" w:type="dxa"/>
            <w:vAlign w:val="center"/>
          </w:tcPr>
          <w:p w14:paraId="3A785005">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标准</w:t>
            </w:r>
          </w:p>
        </w:tc>
        <w:tc>
          <w:tcPr>
            <w:tcW w:w="1377" w:type="dxa"/>
            <w:vAlign w:val="center"/>
          </w:tcPr>
          <w:p w14:paraId="2FF88AF4">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检查频次</w:t>
            </w:r>
          </w:p>
        </w:tc>
      </w:tr>
      <w:tr w14:paraId="1AD8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758" w:type="dxa"/>
            <w:vAlign w:val="center"/>
          </w:tcPr>
          <w:p w14:paraId="3532E89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箱体外形</w:t>
            </w:r>
          </w:p>
        </w:tc>
        <w:tc>
          <w:tcPr>
            <w:tcW w:w="1745" w:type="dxa"/>
            <w:vAlign w:val="center"/>
          </w:tcPr>
          <w:p w14:paraId="1F6F8E1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目测</w:t>
            </w:r>
          </w:p>
        </w:tc>
        <w:tc>
          <w:tcPr>
            <w:tcW w:w="4391" w:type="dxa"/>
            <w:vAlign w:val="center"/>
          </w:tcPr>
          <w:p w14:paraId="4560332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箱变/环网柜外观：柜体无锈蚀变形、密封良好、门锁完好，基础无沉降开裂</w:t>
            </w:r>
          </w:p>
        </w:tc>
        <w:tc>
          <w:tcPr>
            <w:tcW w:w="1377" w:type="dxa"/>
            <w:vAlign w:val="center"/>
          </w:tcPr>
          <w:p w14:paraId="74CCED3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5A18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758" w:type="dxa"/>
            <w:vAlign w:val="center"/>
          </w:tcPr>
          <w:p w14:paraId="249ACC4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清洁除尘</w:t>
            </w:r>
          </w:p>
        </w:tc>
        <w:tc>
          <w:tcPr>
            <w:tcW w:w="1745" w:type="dxa"/>
            <w:vAlign w:val="center"/>
          </w:tcPr>
          <w:p w14:paraId="5BE40A8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目测</w:t>
            </w:r>
          </w:p>
        </w:tc>
        <w:tc>
          <w:tcPr>
            <w:tcW w:w="4391" w:type="dxa"/>
            <w:vAlign w:val="center"/>
          </w:tcPr>
          <w:p w14:paraId="0A88E86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高压舱、低压舱柜体表面灰尘擦拭，变压器舱吸尘器除尘</w:t>
            </w:r>
          </w:p>
        </w:tc>
        <w:tc>
          <w:tcPr>
            <w:tcW w:w="1377" w:type="dxa"/>
            <w:vAlign w:val="center"/>
          </w:tcPr>
          <w:p w14:paraId="1C87B88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半年度/次</w:t>
            </w:r>
          </w:p>
        </w:tc>
      </w:tr>
      <w:tr w14:paraId="5CA1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08608E3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润滑与紧固</w:t>
            </w:r>
          </w:p>
        </w:tc>
        <w:tc>
          <w:tcPr>
            <w:tcW w:w="1745" w:type="dxa"/>
            <w:vAlign w:val="center"/>
          </w:tcPr>
          <w:p w14:paraId="405DD52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目测</w:t>
            </w:r>
          </w:p>
        </w:tc>
        <w:tc>
          <w:tcPr>
            <w:tcW w:w="4391" w:type="dxa"/>
            <w:vAlign w:val="center"/>
          </w:tcPr>
          <w:p w14:paraId="514AD36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对开关操作机构涂抹通用锂基润滑脂；复紧所有端子排螺栓</w:t>
            </w:r>
          </w:p>
        </w:tc>
        <w:tc>
          <w:tcPr>
            <w:tcW w:w="1377" w:type="dxa"/>
            <w:vAlign w:val="center"/>
          </w:tcPr>
          <w:p w14:paraId="7DA0030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半年度/次</w:t>
            </w:r>
          </w:p>
        </w:tc>
      </w:tr>
      <w:tr w14:paraId="6766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vAlign w:val="center"/>
          </w:tcPr>
          <w:p w14:paraId="1EF5909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b w:val="0"/>
                <w:bCs/>
                <w:i w:val="0"/>
                <w:color w:val="auto"/>
                <w:kern w:val="0"/>
                <w:sz w:val="24"/>
                <w:szCs w:val="24"/>
                <w:highlight w:val="none"/>
                <w:u w:val="none"/>
                <w:lang w:val="en-US" w:eastAsia="zh-CN" w:bidi="ar"/>
              </w:rPr>
              <w:t>电站周围杂草清除</w:t>
            </w:r>
          </w:p>
        </w:tc>
        <w:tc>
          <w:tcPr>
            <w:tcW w:w="1745" w:type="dxa"/>
            <w:vAlign w:val="center"/>
          </w:tcPr>
          <w:p w14:paraId="38621CA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目测</w:t>
            </w:r>
          </w:p>
        </w:tc>
        <w:tc>
          <w:tcPr>
            <w:tcW w:w="4391" w:type="dxa"/>
            <w:vAlign w:val="center"/>
          </w:tcPr>
          <w:p w14:paraId="69CA9AC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杂草清除</w:t>
            </w:r>
          </w:p>
        </w:tc>
        <w:tc>
          <w:tcPr>
            <w:tcW w:w="1377" w:type="dxa"/>
            <w:vAlign w:val="center"/>
          </w:tcPr>
          <w:p w14:paraId="4F7B72B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bl>
    <w:p w14:paraId="2ED9D8AB">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变压器本体检查</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2414"/>
        <w:gridCol w:w="3940"/>
        <w:gridCol w:w="1337"/>
      </w:tblGrid>
      <w:tr w14:paraId="0A36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727E43D5">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检查项目</w:t>
            </w:r>
          </w:p>
        </w:tc>
        <w:tc>
          <w:tcPr>
            <w:tcW w:w="2414" w:type="dxa"/>
            <w:vAlign w:val="center"/>
          </w:tcPr>
          <w:p w14:paraId="141747DC">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检查方法</w:t>
            </w:r>
          </w:p>
        </w:tc>
        <w:tc>
          <w:tcPr>
            <w:tcW w:w="3940" w:type="dxa"/>
            <w:vAlign w:val="center"/>
          </w:tcPr>
          <w:p w14:paraId="7F246711">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标准</w:t>
            </w:r>
          </w:p>
        </w:tc>
        <w:tc>
          <w:tcPr>
            <w:tcW w:w="1337" w:type="dxa"/>
            <w:vAlign w:val="center"/>
          </w:tcPr>
          <w:p w14:paraId="14753D2D">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检查频次</w:t>
            </w:r>
          </w:p>
        </w:tc>
      </w:tr>
      <w:tr w14:paraId="6D16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287B0DD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外观与渗漏</w:t>
            </w:r>
          </w:p>
        </w:tc>
        <w:tc>
          <w:tcPr>
            <w:tcW w:w="2414" w:type="dxa"/>
            <w:vAlign w:val="center"/>
          </w:tcPr>
          <w:p w14:paraId="3D97715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目视检查、红外测温</w:t>
            </w:r>
          </w:p>
        </w:tc>
        <w:tc>
          <w:tcPr>
            <w:tcW w:w="3940" w:type="dxa"/>
            <w:vAlign w:val="center"/>
          </w:tcPr>
          <w:p w14:paraId="13366B0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无变形、锈蚀；油位正常（油枕上下限之间）；无渗漏油、放电痕迹</w:t>
            </w:r>
          </w:p>
        </w:tc>
        <w:tc>
          <w:tcPr>
            <w:tcW w:w="1337" w:type="dxa"/>
            <w:vAlign w:val="center"/>
          </w:tcPr>
          <w:p w14:paraId="0F477C7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423A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16E177C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温度与振动</w:t>
            </w:r>
          </w:p>
        </w:tc>
        <w:tc>
          <w:tcPr>
            <w:tcW w:w="2414" w:type="dxa"/>
            <w:vAlign w:val="center"/>
          </w:tcPr>
          <w:p w14:paraId="5FB426D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红外测温仪、振动仪</w:t>
            </w:r>
          </w:p>
        </w:tc>
        <w:tc>
          <w:tcPr>
            <w:tcW w:w="3940" w:type="dxa"/>
            <w:vAlign w:val="center"/>
          </w:tcPr>
          <w:p w14:paraId="24707F9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顶层油温≤85℃；振动值≤4.5mm/s</w:t>
            </w:r>
          </w:p>
        </w:tc>
        <w:tc>
          <w:tcPr>
            <w:tcW w:w="1337" w:type="dxa"/>
            <w:vAlign w:val="center"/>
          </w:tcPr>
          <w:p w14:paraId="7641BFB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7620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5EE5BAE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套管与散热装置</w:t>
            </w:r>
          </w:p>
        </w:tc>
        <w:tc>
          <w:tcPr>
            <w:tcW w:w="2414" w:type="dxa"/>
            <w:vAlign w:val="center"/>
          </w:tcPr>
          <w:p w14:paraId="444B79E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目视、红外测温</w:t>
            </w:r>
          </w:p>
        </w:tc>
        <w:tc>
          <w:tcPr>
            <w:tcW w:w="3940" w:type="dxa"/>
            <w:vAlign w:val="center"/>
          </w:tcPr>
          <w:p w14:paraId="0D6221E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套管无裂纹；散热风扇运行正常，无堵塞；避雷器无破损、放电痕迹；</w:t>
            </w:r>
          </w:p>
        </w:tc>
        <w:tc>
          <w:tcPr>
            <w:tcW w:w="1337" w:type="dxa"/>
            <w:vAlign w:val="center"/>
          </w:tcPr>
          <w:p w14:paraId="0F0A771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20E5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0B7BEB5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安全附件</w:t>
            </w:r>
          </w:p>
        </w:tc>
        <w:tc>
          <w:tcPr>
            <w:tcW w:w="2414" w:type="dxa"/>
            <w:vAlign w:val="center"/>
          </w:tcPr>
          <w:p w14:paraId="629FFB4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目视</w:t>
            </w:r>
          </w:p>
        </w:tc>
        <w:tc>
          <w:tcPr>
            <w:tcW w:w="3940" w:type="dxa"/>
            <w:vAlign w:val="center"/>
          </w:tcPr>
          <w:p w14:paraId="5666DF4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压力释放无喷油痕迹，瓦斯继电器无气体积聚，铭牌参数清晰完整</w:t>
            </w:r>
          </w:p>
        </w:tc>
        <w:tc>
          <w:tcPr>
            <w:tcW w:w="1337" w:type="dxa"/>
            <w:vAlign w:val="center"/>
          </w:tcPr>
          <w:p w14:paraId="2599720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bl>
    <w:p w14:paraId="5D61301C">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高压侧设备巡检（10kV/35kV）</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2267"/>
        <w:gridCol w:w="3813"/>
        <w:gridCol w:w="1492"/>
      </w:tblGrid>
      <w:tr w14:paraId="1375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28DB7A70">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检查项目</w:t>
            </w:r>
          </w:p>
        </w:tc>
        <w:tc>
          <w:tcPr>
            <w:tcW w:w="2267" w:type="dxa"/>
            <w:vAlign w:val="center"/>
          </w:tcPr>
          <w:p w14:paraId="11E6C400">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检查方法</w:t>
            </w:r>
          </w:p>
        </w:tc>
        <w:tc>
          <w:tcPr>
            <w:tcW w:w="3813" w:type="dxa"/>
            <w:vAlign w:val="center"/>
          </w:tcPr>
          <w:p w14:paraId="751B2C5E">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标准</w:t>
            </w:r>
          </w:p>
        </w:tc>
        <w:tc>
          <w:tcPr>
            <w:tcW w:w="1492" w:type="dxa"/>
            <w:vAlign w:val="center"/>
          </w:tcPr>
          <w:p w14:paraId="65AB8AE5">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检查频次</w:t>
            </w:r>
          </w:p>
        </w:tc>
      </w:tr>
      <w:tr w14:paraId="33CF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37C641B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rPr>
              <w:t>高压负荷开关</w:t>
            </w:r>
            <w:r>
              <w:rPr>
                <w:rFonts w:hint="eastAsia" w:ascii="宋体" w:hAnsi="宋体" w:eastAsia="宋体" w:cs="宋体"/>
                <w:color w:val="auto"/>
                <w:sz w:val="24"/>
                <w:szCs w:val="24"/>
                <w:highlight w:val="none"/>
                <w:vertAlign w:val="baseline"/>
                <w:lang w:val="en-US" w:eastAsia="zh-CN"/>
              </w:rPr>
              <w:t>/断路器</w:t>
            </w:r>
          </w:p>
        </w:tc>
        <w:tc>
          <w:tcPr>
            <w:tcW w:w="2267" w:type="dxa"/>
            <w:vAlign w:val="center"/>
          </w:tcPr>
          <w:p w14:paraId="600E597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操作机构测试、目视检查</w:t>
            </w:r>
          </w:p>
        </w:tc>
        <w:tc>
          <w:tcPr>
            <w:tcW w:w="3813" w:type="dxa"/>
            <w:vAlign w:val="center"/>
          </w:tcPr>
          <w:p w14:paraId="2B5334E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分合指示正确；触头无烧蚀；操作灵活无卡涩；气压表显示在正常范围</w:t>
            </w:r>
          </w:p>
        </w:tc>
        <w:tc>
          <w:tcPr>
            <w:tcW w:w="1492" w:type="dxa"/>
            <w:vAlign w:val="center"/>
          </w:tcPr>
          <w:p w14:paraId="01E4F33E">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37A6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5111265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避雷器</w:t>
            </w:r>
          </w:p>
        </w:tc>
        <w:tc>
          <w:tcPr>
            <w:tcW w:w="2267" w:type="dxa"/>
            <w:vAlign w:val="center"/>
          </w:tcPr>
          <w:p w14:paraId="07AA73B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泄漏电流测试仪</w:t>
            </w:r>
          </w:p>
        </w:tc>
        <w:tc>
          <w:tcPr>
            <w:tcW w:w="3813" w:type="dxa"/>
            <w:vAlign w:val="center"/>
          </w:tcPr>
          <w:p w14:paraId="5F14B3C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泄漏电流≤50μA；接地电阻≤4Ω</w:t>
            </w:r>
          </w:p>
        </w:tc>
        <w:tc>
          <w:tcPr>
            <w:tcW w:w="1492" w:type="dxa"/>
            <w:vAlign w:val="center"/>
          </w:tcPr>
          <w:p w14:paraId="4F6A314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498A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27C639A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高压电缆</w:t>
            </w:r>
          </w:p>
        </w:tc>
        <w:tc>
          <w:tcPr>
            <w:tcW w:w="2267" w:type="dxa"/>
            <w:vAlign w:val="center"/>
          </w:tcPr>
          <w:p w14:paraId="2DE5AF0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红外测温、外观检查</w:t>
            </w:r>
          </w:p>
        </w:tc>
        <w:tc>
          <w:tcPr>
            <w:tcW w:w="3813" w:type="dxa"/>
            <w:vAlign w:val="center"/>
          </w:tcPr>
          <w:p w14:paraId="4B75E86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表皮无破损；接头温度≤70℃</w:t>
            </w:r>
          </w:p>
        </w:tc>
        <w:tc>
          <w:tcPr>
            <w:tcW w:w="1492" w:type="dxa"/>
            <w:vAlign w:val="center"/>
          </w:tcPr>
          <w:p w14:paraId="259D52B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bl>
    <w:p w14:paraId="2257D716">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低压侧设备巡检（0.4kV）</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2108"/>
        <w:gridCol w:w="3958"/>
        <w:gridCol w:w="1437"/>
      </w:tblGrid>
      <w:tr w14:paraId="067B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107FF5BE">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检查项目</w:t>
            </w:r>
          </w:p>
        </w:tc>
        <w:tc>
          <w:tcPr>
            <w:tcW w:w="2108" w:type="dxa"/>
            <w:vAlign w:val="center"/>
          </w:tcPr>
          <w:p w14:paraId="173409DA">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检查方法</w:t>
            </w:r>
          </w:p>
        </w:tc>
        <w:tc>
          <w:tcPr>
            <w:tcW w:w="3958" w:type="dxa"/>
            <w:vAlign w:val="center"/>
          </w:tcPr>
          <w:p w14:paraId="57677688">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标准</w:t>
            </w:r>
          </w:p>
        </w:tc>
        <w:tc>
          <w:tcPr>
            <w:tcW w:w="1437" w:type="dxa"/>
            <w:vAlign w:val="center"/>
          </w:tcPr>
          <w:p w14:paraId="3DA3D59C">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检查频次</w:t>
            </w:r>
          </w:p>
        </w:tc>
      </w:tr>
      <w:tr w14:paraId="1FB9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739A3FE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低压断路器</w:t>
            </w:r>
          </w:p>
        </w:tc>
        <w:tc>
          <w:tcPr>
            <w:tcW w:w="2108" w:type="dxa"/>
            <w:vAlign w:val="center"/>
          </w:tcPr>
          <w:p w14:paraId="1678ABC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触头温度测试、机械特性测试</w:t>
            </w:r>
          </w:p>
        </w:tc>
        <w:tc>
          <w:tcPr>
            <w:tcW w:w="3958" w:type="dxa"/>
            <w:vAlign w:val="center"/>
          </w:tcPr>
          <w:p w14:paraId="265DC7E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触头温度≤70℃；分合闸时间符合厂家参数</w:t>
            </w:r>
          </w:p>
        </w:tc>
        <w:tc>
          <w:tcPr>
            <w:tcW w:w="1437" w:type="dxa"/>
            <w:vAlign w:val="center"/>
          </w:tcPr>
          <w:p w14:paraId="46E964F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30F5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6CAB673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母线排与电缆</w:t>
            </w:r>
          </w:p>
        </w:tc>
        <w:tc>
          <w:tcPr>
            <w:tcW w:w="2108" w:type="dxa"/>
            <w:vAlign w:val="center"/>
          </w:tcPr>
          <w:p w14:paraId="1180932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红外测温、力矩扳手检查</w:t>
            </w:r>
          </w:p>
        </w:tc>
        <w:tc>
          <w:tcPr>
            <w:tcW w:w="3958" w:type="dxa"/>
            <w:vAlign w:val="center"/>
          </w:tcPr>
          <w:p w14:paraId="50E579C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母线温度≤70℃；螺栓紧固力矩符合标准</w:t>
            </w:r>
          </w:p>
        </w:tc>
        <w:tc>
          <w:tcPr>
            <w:tcW w:w="1437" w:type="dxa"/>
            <w:vAlign w:val="center"/>
          </w:tcPr>
          <w:p w14:paraId="6664E71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4572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29CDF84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电容器补偿装置</w:t>
            </w:r>
          </w:p>
        </w:tc>
        <w:tc>
          <w:tcPr>
            <w:tcW w:w="2108" w:type="dxa"/>
            <w:vAlign w:val="center"/>
          </w:tcPr>
          <w:p w14:paraId="1BE8485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红外测温、外观检查</w:t>
            </w:r>
          </w:p>
        </w:tc>
        <w:tc>
          <w:tcPr>
            <w:tcW w:w="3958" w:type="dxa"/>
            <w:vAlign w:val="center"/>
          </w:tcPr>
          <w:p w14:paraId="4DD6B1F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电容值偏差≤±5%；无鼓包、渗油</w:t>
            </w:r>
          </w:p>
        </w:tc>
        <w:tc>
          <w:tcPr>
            <w:tcW w:w="1437" w:type="dxa"/>
            <w:vAlign w:val="center"/>
          </w:tcPr>
          <w:p w14:paraId="3092844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bl>
    <w:p w14:paraId="7ECBBD3A">
      <w:pPr>
        <w:kinsoku/>
        <w:overflowPunct/>
        <w:bidi w:val="0"/>
        <w:spacing w:line="360" w:lineRule="auto"/>
        <w:ind w:left="0" w:leftChars="0" w:right="0" w:rightChars="0"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一二次设备巡检</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2108"/>
        <w:gridCol w:w="3971"/>
        <w:gridCol w:w="1411"/>
      </w:tblGrid>
      <w:tr w14:paraId="77D4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774DA150">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检查项目</w:t>
            </w:r>
          </w:p>
        </w:tc>
        <w:tc>
          <w:tcPr>
            <w:tcW w:w="2108" w:type="dxa"/>
            <w:vAlign w:val="center"/>
          </w:tcPr>
          <w:p w14:paraId="3A8C58D3">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检查方法</w:t>
            </w:r>
          </w:p>
        </w:tc>
        <w:tc>
          <w:tcPr>
            <w:tcW w:w="3971" w:type="dxa"/>
            <w:vAlign w:val="center"/>
          </w:tcPr>
          <w:p w14:paraId="5F0B5158">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标准</w:t>
            </w:r>
          </w:p>
        </w:tc>
        <w:tc>
          <w:tcPr>
            <w:tcW w:w="1411" w:type="dxa"/>
            <w:vAlign w:val="center"/>
          </w:tcPr>
          <w:p w14:paraId="73F17B02">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检查频次</w:t>
            </w:r>
          </w:p>
        </w:tc>
      </w:tr>
      <w:tr w14:paraId="2E3F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3B09F3F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二次回路接线</w:t>
            </w:r>
          </w:p>
        </w:tc>
        <w:tc>
          <w:tcPr>
            <w:tcW w:w="2108" w:type="dxa"/>
            <w:vAlign w:val="center"/>
          </w:tcPr>
          <w:p w14:paraId="78D4CB8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导通测试、端子排检查</w:t>
            </w:r>
          </w:p>
        </w:tc>
        <w:tc>
          <w:tcPr>
            <w:tcW w:w="3971" w:type="dxa"/>
            <w:vAlign w:val="center"/>
          </w:tcPr>
          <w:p w14:paraId="5F4FBC1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无松动、氧化；标识清晰</w:t>
            </w:r>
          </w:p>
        </w:tc>
        <w:tc>
          <w:tcPr>
            <w:tcW w:w="1411" w:type="dxa"/>
            <w:vAlign w:val="center"/>
          </w:tcPr>
          <w:p w14:paraId="7490562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6C70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22A7234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继电保护装置</w:t>
            </w:r>
          </w:p>
        </w:tc>
        <w:tc>
          <w:tcPr>
            <w:tcW w:w="2108" w:type="dxa"/>
            <w:vAlign w:val="center"/>
          </w:tcPr>
          <w:p w14:paraId="048DD7D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定值核对、功能测试</w:t>
            </w:r>
          </w:p>
        </w:tc>
        <w:tc>
          <w:tcPr>
            <w:tcW w:w="3971" w:type="dxa"/>
            <w:vAlign w:val="center"/>
          </w:tcPr>
          <w:p w14:paraId="657E301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定值与调度一致；保护动作逻辑正确</w:t>
            </w:r>
          </w:p>
        </w:tc>
        <w:tc>
          <w:tcPr>
            <w:tcW w:w="1411" w:type="dxa"/>
            <w:vAlign w:val="center"/>
          </w:tcPr>
          <w:p w14:paraId="2388FB2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r w14:paraId="6386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4EE3FBB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监控系统</w:t>
            </w:r>
          </w:p>
        </w:tc>
        <w:tc>
          <w:tcPr>
            <w:tcW w:w="2108" w:type="dxa"/>
            <w:vAlign w:val="center"/>
          </w:tcPr>
          <w:p w14:paraId="1B84A57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数据对比、通信测试</w:t>
            </w:r>
          </w:p>
        </w:tc>
        <w:tc>
          <w:tcPr>
            <w:tcW w:w="3971" w:type="dxa"/>
            <w:vAlign w:val="center"/>
          </w:tcPr>
          <w:p w14:paraId="09CCD0A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电压/电流数据误差≤1%；通信无中断</w:t>
            </w:r>
          </w:p>
        </w:tc>
        <w:tc>
          <w:tcPr>
            <w:tcW w:w="1411" w:type="dxa"/>
            <w:vAlign w:val="center"/>
          </w:tcPr>
          <w:p w14:paraId="00EF192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季度/次</w:t>
            </w:r>
          </w:p>
        </w:tc>
      </w:tr>
    </w:tbl>
    <w:p w14:paraId="1F80E367">
      <w:pPr>
        <w:widowControl/>
        <w:numPr>
          <w:ilvl w:val="0"/>
          <w:numId w:val="0"/>
        </w:numPr>
        <w:pBdr>
          <w:top w:val="none" w:color="auto" w:sz="0" w:space="0"/>
          <w:left w:val="none" w:color="auto" w:sz="0" w:space="0"/>
          <w:bottom w:val="none" w:color="auto" w:sz="0" w:space="0"/>
          <w:right w:val="none" w:color="auto" w:sz="0" w:space="0"/>
        </w:pBd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default" w:ascii="宋体" w:hAnsi="宋体" w:cs="Times New Roman"/>
          <w:b w:val="0"/>
          <w:bCs w:val="0"/>
          <w:color w:val="auto"/>
          <w:sz w:val="24"/>
          <w:szCs w:val="24"/>
          <w:highlight w:val="none"/>
          <w:lang w:val="en-US" w:eastAsia="zh-CN"/>
        </w:rPr>
        <w:t>注：</w:t>
      </w:r>
      <w:r>
        <w:rPr>
          <w:rFonts w:ascii="宋体" w:hAnsi="宋体" w:eastAsia="宋体" w:cs="Times New Roman"/>
          <w:i w:val="0"/>
          <w:iCs w:val="0"/>
          <w:caps w:val="0"/>
          <w:color w:val="auto"/>
          <w:spacing w:val="0"/>
          <w:sz w:val="24"/>
          <w:szCs w:val="24"/>
          <w:highlight w:val="none"/>
          <w:shd w:val="clear"/>
        </w:rPr>
        <w:t>以上标准需满足国家、行业发布的现行规范及技术规程。</w:t>
      </w:r>
    </w:p>
    <w:p w14:paraId="4B435058">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1.2.2.2预防性试验服务</w:t>
      </w:r>
    </w:p>
    <w:p w14:paraId="1154DE87">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按照《箱式变电站（箱变）运行检查与维护规范》执行，每年开展1次预防性试验，</w:t>
      </w:r>
      <w:r>
        <w:rPr>
          <w:rFonts w:hint="default" w:ascii="宋体" w:hAnsi="宋体" w:eastAsia="宋体" w:cs="Times New Roman"/>
          <w:color w:val="auto"/>
          <w:sz w:val="24"/>
          <w:szCs w:val="24"/>
          <w:highlight w:val="none"/>
          <w:lang w:val="en-US" w:eastAsia="zh-CN"/>
        </w:rPr>
        <w:t>服务中，若仅涉及人工、普通工具及低值耗材，且总费用在人民币</w:t>
      </w:r>
      <w:r>
        <w:rPr>
          <w:rFonts w:hint="eastAsia" w:ascii="宋体" w:hAnsi="宋体" w:eastAsia="宋体" w:cs="Times New Roman"/>
          <w:color w:val="auto"/>
          <w:sz w:val="24"/>
          <w:szCs w:val="24"/>
          <w:highlight w:val="none"/>
          <w:lang w:val="en-US" w:eastAsia="zh-CN"/>
        </w:rPr>
        <w:t>2</w:t>
      </w:r>
      <w:r>
        <w:rPr>
          <w:rFonts w:hint="default" w:ascii="宋体" w:hAnsi="宋体" w:eastAsia="宋体" w:cs="Times New Roman"/>
          <w:color w:val="auto"/>
          <w:sz w:val="24"/>
          <w:szCs w:val="24"/>
          <w:highlight w:val="none"/>
          <w:lang w:val="en-US" w:eastAsia="zh-CN"/>
        </w:rPr>
        <w:t>000元（含）以下，由</w:t>
      </w:r>
      <w:r>
        <w:rPr>
          <w:rFonts w:hint="eastAsia" w:ascii="宋体" w:hAnsi="宋体" w:eastAsia="宋体" w:cs="Times New Roman"/>
          <w:color w:val="auto"/>
          <w:sz w:val="24"/>
          <w:szCs w:val="24"/>
          <w:highlight w:val="none"/>
          <w:lang w:val="en-US" w:eastAsia="zh-CN"/>
        </w:rPr>
        <w:t>乙方</w:t>
      </w:r>
      <w:r>
        <w:rPr>
          <w:rFonts w:hint="default" w:ascii="宋体" w:hAnsi="宋体" w:eastAsia="宋体" w:cs="Times New Roman"/>
          <w:color w:val="auto"/>
          <w:sz w:val="24"/>
          <w:szCs w:val="24"/>
          <w:highlight w:val="none"/>
          <w:lang w:val="en-US" w:eastAsia="zh-CN"/>
        </w:rPr>
        <w:t>承担。</w:t>
      </w:r>
      <w:r>
        <w:rPr>
          <w:rFonts w:hint="eastAsia" w:ascii="宋体" w:hAnsi="宋体" w:eastAsia="宋体" w:cs="Times New Roman"/>
          <w:color w:val="auto"/>
          <w:sz w:val="24"/>
          <w:szCs w:val="24"/>
          <w:highlight w:val="none"/>
          <w:lang w:val="en-US" w:eastAsia="zh-CN"/>
        </w:rPr>
        <w:t>超出人民币2000元，设备更换的，主要材料及设备由甲方提供。本项目所有人工服务费用含在综合报价中。</w:t>
      </w:r>
    </w:p>
    <w:p w14:paraId="1AF0A5C7">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内容包括但不限于：</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504"/>
        <w:gridCol w:w="1908"/>
        <w:gridCol w:w="2204"/>
        <w:gridCol w:w="1909"/>
      </w:tblGrid>
      <w:tr w14:paraId="3B1E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2" w:type="dxa"/>
            <w:vAlign w:val="center"/>
          </w:tcPr>
          <w:p w14:paraId="3ED7EE1D">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实验</w:t>
            </w:r>
            <w:r>
              <w:rPr>
                <w:rFonts w:hint="eastAsia" w:ascii="宋体" w:hAnsi="宋体" w:eastAsia="宋体" w:cs="宋体"/>
                <w:color w:val="auto"/>
                <w:sz w:val="24"/>
                <w:szCs w:val="24"/>
                <w:highlight w:val="none"/>
                <w:vertAlign w:val="baseline"/>
              </w:rPr>
              <w:t>类别</w:t>
            </w:r>
          </w:p>
        </w:tc>
        <w:tc>
          <w:tcPr>
            <w:tcW w:w="1504" w:type="dxa"/>
            <w:vAlign w:val="center"/>
          </w:tcPr>
          <w:p w14:paraId="03B8A8A7">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试验项目</w:t>
            </w:r>
          </w:p>
        </w:tc>
        <w:tc>
          <w:tcPr>
            <w:tcW w:w="1908" w:type="dxa"/>
            <w:vAlign w:val="center"/>
          </w:tcPr>
          <w:p w14:paraId="5022EA5D">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试验方法</w:t>
            </w:r>
          </w:p>
        </w:tc>
        <w:tc>
          <w:tcPr>
            <w:tcW w:w="2204" w:type="dxa"/>
            <w:vAlign w:val="center"/>
          </w:tcPr>
          <w:p w14:paraId="6A08FE3C">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标准要求</w:t>
            </w:r>
          </w:p>
        </w:tc>
        <w:tc>
          <w:tcPr>
            <w:tcW w:w="1909" w:type="dxa"/>
            <w:vAlign w:val="center"/>
          </w:tcPr>
          <w:p w14:paraId="31833E49">
            <w:pPr>
              <w:keepNext w:val="0"/>
              <w:keepLines w:val="0"/>
              <w:suppressLineNumbers w:val="0"/>
              <w:kinsoku/>
              <w:overflowPunct/>
              <w:bidi w:val="0"/>
              <w:spacing w:before="0" w:beforeAutospacing="0" w:after="0" w:afterAutospacing="0"/>
              <w:ind w:left="0" w:leftChars="0" w:right="0" w:rightChars="0"/>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检查频次</w:t>
            </w:r>
          </w:p>
        </w:tc>
      </w:tr>
      <w:tr w14:paraId="750B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restart"/>
            <w:vAlign w:val="center"/>
          </w:tcPr>
          <w:p w14:paraId="59F953B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变压器</w:t>
            </w:r>
          </w:p>
        </w:tc>
        <w:tc>
          <w:tcPr>
            <w:tcW w:w="1504" w:type="dxa"/>
            <w:vAlign w:val="center"/>
          </w:tcPr>
          <w:p w14:paraId="6E1CDFF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绕组绝缘电阻</w:t>
            </w:r>
          </w:p>
        </w:tc>
        <w:tc>
          <w:tcPr>
            <w:tcW w:w="1908" w:type="dxa"/>
            <w:vAlign w:val="center"/>
          </w:tcPr>
          <w:p w14:paraId="69E35CC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2500V兆欧表测量</w:t>
            </w:r>
          </w:p>
        </w:tc>
        <w:tc>
          <w:tcPr>
            <w:tcW w:w="2204" w:type="dxa"/>
            <w:vAlign w:val="center"/>
          </w:tcPr>
          <w:p w14:paraId="76FE101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高压-低压≥300MΩ</w:t>
            </w:r>
          </w:p>
        </w:tc>
        <w:tc>
          <w:tcPr>
            <w:tcW w:w="1909" w:type="dxa"/>
            <w:vMerge w:val="restart"/>
            <w:vAlign w:val="center"/>
          </w:tcPr>
          <w:p w14:paraId="17BC586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年度/次</w:t>
            </w:r>
          </w:p>
        </w:tc>
      </w:tr>
      <w:tr w14:paraId="3874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continue"/>
            <w:vAlign w:val="center"/>
          </w:tcPr>
          <w:p w14:paraId="1369EC5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p>
        </w:tc>
        <w:tc>
          <w:tcPr>
            <w:tcW w:w="1504" w:type="dxa"/>
            <w:vAlign w:val="center"/>
          </w:tcPr>
          <w:p w14:paraId="3163775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绕组直流电阻</w:t>
            </w:r>
          </w:p>
        </w:tc>
        <w:tc>
          <w:tcPr>
            <w:tcW w:w="1908" w:type="dxa"/>
            <w:vAlign w:val="center"/>
          </w:tcPr>
          <w:p w14:paraId="68490DC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直流电阻测试仪</w:t>
            </w:r>
          </w:p>
        </w:tc>
        <w:tc>
          <w:tcPr>
            <w:tcW w:w="2204" w:type="dxa"/>
            <w:vAlign w:val="center"/>
          </w:tcPr>
          <w:p w14:paraId="2C6A233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直流电阻测试仪 相间偏差≤2%</w:t>
            </w:r>
          </w:p>
        </w:tc>
        <w:tc>
          <w:tcPr>
            <w:tcW w:w="1909" w:type="dxa"/>
            <w:vMerge w:val="continue"/>
            <w:vAlign w:val="center"/>
          </w:tcPr>
          <w:p w14:paraId="49AEFE8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p>
        </w:tc>
      </w:tr>
      <w:tr w14:paraId="4243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Merge w:val="continue"/>
            <w:vAlign w:val="center"/>
          </w:tcPr>
          <w:p w14:paraId="2CDC577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p>
        </w:tc>
        <w:tc>
          <w:tcPr>
            <w:tcW w:w="1504" w:type="dxa"/>
            <w:vAlign w:val="center"/>
          </w:tcPr>
          <w:p w14:paraId="501B0B3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变比测试</w:t>
            </w:r>
          </w:p>
        </w:tc>
        <w:tc>
          <w:tcPr>
            <w:tcW w:w="1908" w:type="dxa"/>
            <w:vAlign w:val="center"/>
          </w:tcPr>
          <w:p w14:paraId="64A317F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变比组别测试仪</w:t>
            </w:r>
          </w:p>
        </w:tc>
        <w:tc>
          <w:tcPr>
            <w:tcW w:w="2204" w:type="dxa"/>
            <w:vAlign w:val="center"/>
          </w:tcPr>
          <w:p w14:paraId="3D27AEE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误差≤±0.5%</w:t>
            </w:r>
          </w:p>
        </w:tc>
        <w:tc>
          <w:tcPr>
            <w:tcW w:w="1909" w:type="dxa"/>
            <w:vMerge w:val="continue"/>
            <w:vAlign w:val="center"/>
          </w:tcPr>
          <w:p w14:paraId="126D8719">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p>
        </w:tc>
      </w:tr>
      <w:tr w14:paraId="4354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067D1E4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高压设备</w:t>
            </w:r>
          </w:p>
        </w:tc>
        <w:tc>
          <w:tcPr>
            <w:tcW w:w="1504" w:type="dxa"/>
            <w:vAlign w:val="center"/>
          </w:tcPr>
          <w:p w14:paraId="747E834B">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避雷器直流参考电压试验</w:t>
            </w:r>
          </w:p>
        </w:tc>
        <w:tc>
          <w:tcPr>
            <w:tcW w:w="1908" w:type="dxa"/>
            <w:vAlign w:val="center"/>
          </w:tcPr>
          <w:p w14:paraId="6C4B2B4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直流高压发生器</w:t>
            </w:r>
          </w:p>
        </w:tc>
        <w:tc>
          <w:tcPr>
            <w:tcW w:w="2204" w:type="dxa"/>
            <w:vAlign w:val="center"/>
          </w:tcPr>
          <w:p w14:paraId="3608E88F">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U1mA≥1.15倍额定电压</w:t>
            </w:r>
          </w:p>
        </w:tc>
        <w:tc>
          <w:tcPr>
            <w:tcW w:w="1909" w:type="dxa"/>
            <w:vAlign w:val="center"/>
          </w:tcPr>
          <w:p w14:paraId="04422225">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年度/次</w:t>
            </w:r>
          </w:p>
        </w:tc>
      </w:tr>
      <w:tr w14:paraId="38F2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4E81629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低压设备</w:t>
            </w:r>
          </w:p>
        </w:tc>
        <w:tc>
          <w:tcPr>
            <w:tcW w:w="1504" w:type="dxa"/>
            <w:vAlign w:val="center"/>
          </w:tcPr>
          <w:p w14:paraId="710D7EA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电容器容量测试</w:t>
            </w:r>
          </w:p>
        </w:tc>
        <w:tc>
          <w:tcPr>
            <w:tcW w:w="1908" w:type="dxa"/>
            <w:vAlign w:val="center"/>
          </w:tcPr>
          <w:p w14:paraId="7578B8B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电容表</w:t>
            </w:r>
          </w:p>
        </w:tc>
        <w:tc>
          <w:tcPr>
            <w:tcW w:w="2204" w:type="dxa"/>
            <w:vAlign w:val="center"/>
          </w:tcPr>
          <w:p w14:paraId="438BDAF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偏差≤±5%</w:t>
            </w:r>
          </w:p>
        </w:tc>
        <w:tc>
          <w:tcPr>
            <w:tcW w:w="1909" w:type="dxa"/>
            <w:vAlign w:val="center"/>
          </w:tcPr>
          <w:p w14:paraId="1ED0DA7A">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年度/次</w:t>
            </w:r>
          </w:p>
        </w:tc>
      </w:tr>
      <w:tr w14:paraId="7FFB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6B5DEE6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高压电缆</w:t>
            </w:r>
          </w:p>
        </w:tc>
        <w:tc>
          <w:tcPr>
            <w:tcW w:w="1504" w:type="dxa"/>
            <w:vAlign w:val="center"/>
          </w:tcPr>
          <w:p w14:paraId="7B7E6472">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绝缘电阻检查</w:t>
            </w:r>
          </w:p>
        </w:tc>
        <w:tc>
          <w:tcPr>
            <w:tcW w:w="1908" w:type="dxa"/>
            <w:vAlign w:val="center"/>
          </w:tcPr>
          <w:p w14:paraId="02E8BA4C">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2500V兆欧表测量</w:t>
            </w:r>
          </w:p>
        </w:tc>
        <w:tc>
          <w:tcPr>
            <w:tcW w:w="2204" w:type="dxa"/>
            <w:vAlign w:val="center"/>
          </w:tcPr>
          <w:p w14:paraId="32AD051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绝缘电阻≥100MΩ</w:t>
            </w:r>
          </w:p>
        </w:tc>
        <w:tc>
          <w:tcPr>
            <w:tcW w:w="1909" w:type="dxa"/>
            <w:vAlign w:val="center"/>
          </w:tcPr>
          <w:p w14:paraId="092504B4">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年度/次</w:t>
            </w:r>
          </w:p>
        </w:tc>
      </w:tr>
      <w:tr w14:paraId="6FA5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3ECD1D8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低压电缆</w:t>
            </w:r>
          </w:p>
        </w:tc>
        <w:tc>
          <w:tcPr>
            <w:tcW w:w="1504" w:type="dxa"/>
            <w:vAlign w:val="center"/>
          </w:tcPr>
          <w:p w14:paraId="48ED1B63">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绝缘电阻检查</w:t>
            </w:r>
          </w:p>
        </w:tc>
        <w:tc>
          <w:tcPr>
            <w:tcW w:w="1908" w:type="dxa"/>
            <w:vAlign w:val="center"/>
          </w:tcPr>
          <w:p w14:paraId="53517070">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500V 兆欧表测量</w:t>
            </w:r>
          </w:p>
        </w:tc>
        <w:tc>
          <w:tcPr>
            <w:tcW w:w="2204" w:type="dxa"/>
            <w:vAlign w:val="center"/>
          </w:tcPr>
          <w:p w14:paraId="3CA0E8B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绝缘电阻≥0.5MΩ</w:t>
            </w:r>
          </w:p>
        </w:tc>
        <w:tc>
          <w:tcPr>
            <w:tcW w:w="1909" w:type="dxa"/>
            <w:vAlign w:val="center"/>
          </w:tcPr>
          <w:p w14:paraId="316750ED">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年度/次</w:t>
            </w:r>
          </w:p>
        </w:tc>
      </w:tr>
      <w:tr w14:paraId="17C2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14:paraId="48C59B66">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接地电阻</w:t>
            </w:r>
          </w:p>
        </w:tc>
        <w:tc>
          <w:tcPr>
            <w:tcW w:w="1504" w:type="dxa"/>
            <w:vAlign w:val="center"/>
          </w:tcPr>
          <w:p w14:paraId="3D4DC0F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箱变接地电阻</w:t>
            </w:r>
          </w:p>
        </w:tc>
        <w:tc>
          <w:tcPr>
            <w:tcW w:w="1908" w:type="dxa"/>
            <w:vAlign w:val="center"/>
          </w:tcPr>
          <w:p w14:paraId="668F03C1">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接地电阻测试仪</w:t>
            </w:r>
          </w:p>
        </w:tc>
        <w:tc>
          <w:tcPr>
            <w:tcW w:w="2204" w:type="dxa"/>
            <w:vAlign w:val="center"/>
          </w:tcPr>
          <w:p w14:paraId="543D3527">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接地电阻≤4Ω</w:t>
            </w:r>
          </w:p>
        </w:tc>
        <w:tc>
          <w:tcPr>
            <w:tcW w:w="1909" w:type="dxa"/>
            <w:vAlign w:val="center"/>
          </w:tcPr>
          <w:p w14:paraId="1DAFE808">
            <w:pPr>
              <w:keepNext w:val="0"/>
              <w:keepLines w:val="0"/>
              <w:suppressLineNumbers w:val="0"/>
              <w:kinsoku/>
              <w:overflowPunct/>
              <w:bidi w:val="0"/>
              <w:spacing w:before="0" w:beforeAutospacing="0" w:after="0" w:afterAutospacing="0"/>
              <w:ind w:left="0" w:leftChars="0" w:right="0" w:rightChars="0"/>
              <w:jc w:val="both"/>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年度/次</w:t>
            </w:r>
          </w:p>
        </w:tc>
      </w:tr>
    </w:tbl>
    <w:p w14:paraId="37EECF30">
      <w:pPr>
        <w:widowControl/>
        <w:numPr>
          <w:ilvl w:val="0"/>
          <w:numId w:val="0"/>
        </w:numPr>
        <w:pBdr>
          <w:top w:val="none" w:color="auto" w:sz="0" w:space="0"/>
          <w:left w:val="none" w:color="auto" w:sz="0" w:space="0"/>
          <w:bottom w:val="none" w:color="auto" w:sz="0" w:space="0"/>
          <w:right w:val="none" w:color="auto" w:sz="0" w:space="0"/>
        </w:pBd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default" w:ascii="宋体" w:hAnsi="宋体" w:cs="Times New Roman"/>
          <w:b w:val="0"/>
          <w:bCs w:val="0"/>
          <w:color w:val="auto"/>
          <w:sz w:val="24"/>
          <w:szCs w:val="24"/>
          <w:highlight w:val="none"/>
          <w:lang w:val="en-US" w:eastAsia="zh-CN"/>
        </w:rPr>
        <w:t>注：</w:t>
      </w:r>
      <w:r>
        <w:rPr>
          <w:rFonts w:ascii="宋体" w:hAnsi="宋体" w:eastAsia="宋体" w:cs="Times New Roman"/>
          <w:i w:val="0"/>
          <w:iCs w:val="0"/>
          <w:caps w:val="0"/>
          <w:color w:val="auto"/>
          <w:spacing w:val="0"/>
          <w:sz w:val="24"/>
          <w:szCs w:val="24"/>
          <w:highlight w:val="none"/>
          <w:shd w:val="clear"/>
        </w:rPr>
        <w:t>以上标准需满足国家、行业发布的现行规范及技术规程。</w:t>
      </w:r>
    </w:p>
    <w:p w14:paraId="30C5A546">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1.2.2.3故障应急响应</w:t>
      </w:r>
    </w:p>
    <w:p w14:paraId="37CD3B12">
      <w:pPr>
        <w:kinsoku/>
        <w:overflowPunct/>
        <w:bidi w:val="0"/>
        <w:spacing w:line="360" w:lineRule="auto"/>
        <w:ind w:left="0" w:leftChars="0" w:right="0" w:rightChars="0" w:firstLine="435"/>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巡检或运行中发现故障，乙方在接到甲方通知后，市区范围内</w:t>
      </w: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小时、郊区范围内</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小时内到达现场，8小时内完成一般故障修复；重大故障需出具书面解决方案，并同步启动应急保障措施。</w:t>
      </w:r>
      <w:r>
        <w:rPr>
          <w:rFonts w:hint="default" w:ascii="宋体" w:hAnsi="宋体" w:eastAsia="宋体" w:cs="Times New Roman"/>
          <w:color w:val="auto"/>
          <w:sz w:val="24"/>
          <w:szCs w:val="24"/>
          <w:highlight w:val="none"/>
          <w:lang w:val="en-US" w:eastAsia="zh-CN"/>
        </w:rPr>
        <w:t>单次服务中，若仅涉及人工、普通工具及低值耗材，且总费用在人民币</w:t>
      </w:r>
      <w:r>
        <w:rPr>
          <w:rFonts w:hint="eastAsia" w:ascii="宋体" w:hAnsi="宋体" w:eastAsia="宋体" w:cs="Times New Roman"/>
          <w:color w:val="auto"/>
          <w:sz w:val="24"/>
          <w:szCs w:val="24"/>
          <w:highlight w:val="none"/>
          <w:lang w:val="en-US" w:eastAsia="zh-CN"/>
        </w:rPr>
        <w:t>2</w:t>
      </w:r>
      <w:r>
        <w:rPr>
          <w:rFonts w:hint="default" w:ascii="宋体" w:hAnsi="宋体" w:eastAsia="宋体" w:cs="Times New Roman"/>
          <w:color w:val="auto"/>
          <w:sz w:val="24"/>
          <w:szCs w:val="24"/>
          <w:highlight w:val="none"/>
          <w:lang w:val="en-US" w:eastAsia="zh-CN"/>
        </w:rPr>
        <w:t>000元（含）以下，由</w:t>
      </w:r>
      <w:r>
        <w:rPr>
          <w:rFonts w:hint="eastAsia" w:ascii="宋体" w:hAnsi="宋体" w:eastAsia="宋体" w:cs="Times New Roman"/>
          <w:color w:val="auto"/>
          <w:sz w:val="24"/>
          <w:szCs w:val="24"/>
          <w:highlight w:val="none"/>
          <w:lang w:val="en-US" w:eastAsia="zh-CN"/>
        </w:rPr>
        <w:t>乙方</w:t>
      </w:r>
      <w:r>
        <w:rPr>
          <w:rFonts w:hint="default" w:ascii="宋体" w:hAnsi="宋体" w:eastAsia="宋体" w:cs="Times New Roman"/>
          <w:color w:val="auto"/>
          <w:sz w:val="24"/>
          <w:szCs w:val="24"/>
          <w:highlight w:val="none"/>
          <w:lang w:val="en-US" w:eastAsia="zh-CN"/>
        </w:rPr>
        <w:t>承担。</w:t>
      </w:r>
      <w:r>
        <w:rPr>
          <w:rFonts w:hint="eastAsia" w:ascii="宋体" w:hAnsi="宋体" w:eastAsia="宋体" w:cs="Times New Roman"/>
          <w:color w:val="auto"/>
          <w:sz w:val="24"/>
          <w:szCs w:val="24"/>
          <w:highlight w:val="none"/>
          <w:lang w:val="en-US" w:eastAsia="zh-CN"/>
        </w:rPr>
        <w:t>超出人民币2000元，设备更换的，主要材料及设备由甲方提供。本项目所有人工服务费用含在综合报价中。</w:t>
      </w:r>
    </w:p>
    <w:p w14:paraId="6D33FB92">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1.2.2.4报告提交</w:t>
      </w:r>
    </w:p>
    <w:p w14:paraId="04162B38">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每次巡检后10个工作日内提交《巡检</w:t>
      </w:r>
      <w:r>
        <w:rPr>
          <w:rFonts w:hint="eastAsia" w:ascii="宋体" w:hAnsi="宋体" w:cs="Times New Roman"/>
          <w:color w:val="auto"/>
          <w:sz w:val="24"/>
          <w:szCs w:val="24"/>
          <w:highlight w:val="none"/>
          <w:lang w:val="en-US" w:eastAsia="zh-CN"/>
        </w:rPr>
        <w:t>维护</w:t>
      </w:r>
      <w:r>
        <w:rPr>
          <w:rFonts w:hint="eastAsia" w:ascii="宋体" w:hAnsi="宋体" w:eastAsia="宋体" w:cs="Times New Roman"/>
          <w:color w:val="auto"/>
          <w:sz w:val="24"/>
          <w:szCs w:val="24"/>
          <w:highlight w:val="none"/>
          <w:lang w:val="en-US" w:eastAsia="zh-CN"/>
        </w:rPr>
        <w:t>报告》，预防性试验完成后15个工作日内提交《预防性试验报告》、《年度巡检</w:t>
      </w:r>
      <w:r>
        <w:rPr>
          <w:rFonts w:hint="eastAsia" w:ascii="宋体" w:hAnsi="宋体" w:cs="Times New Roman"/>
          <w:color w:val="auto"/>
          <w:sz w:val="24"/>
          <w:szCs w:val="24"/>
          <w:highlight w:val="none"/>
          <w:lang w:val="en-US" w:eastAsia="zh-CN"/>
        </w:rPr>
        <w:t>维护</w:t>
      </w:r>
      <w:r>
        <w:rPr>
          <w:rFonts w:hint="eastAsia" w:ascii="宋体" w:hAnsi="宋体" w:eastAsia="宋体" w:cs="Times New Roman"/>
          <w:color w:val="auto"/>
          <w:sz w:val="24"/>
          <w:szCs w:val="24"/>
          <w:highlight w:val="none"/>
          <w:lang w:val="en-US" w:eastAsia="zh-CN"/>
        </w:rPr>
        <w:t>报告》，内容需包含设备运行状况、隐患分析、维护建议及检测数据，报告需乙方盖章确认并交于甲方留存。</w:t>
      </w:r>
    </w:p>
    <w:p w14:paraId="42BF2222">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1.3服务期限</w:t>
      </w:r>
    </w:p>
    <w:p w14:paraId="20D0AD36">
      <w:pPr>
        <w:widowControl/>
        <w:kinsoku/>
        <w:overflowPunct/>
        <w:autoSpaceDE w:val="0"/>
        <w:bidi w:val="0"/>
        <w:spacing w:line="480" w:lineRule="exact"/>
        <w:ind w:left="0" w:leftChars="0" w:right="0" w:righ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本合同服务期限自[</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年</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月</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日]起至[</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年</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月</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日]止，有效期1年。</w:t>
      </w:r>
    </w:p>
    <w:p w14:paraId="73D461F4">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1.4服务费用及支付方式</w:t>
      </w:r>
    </w:p>
    <w:p w14:paraId="0B2C7155">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1.4.1 服务费用</w:t>
      </w:r>
    </w:p>
    <w:p w14:paraId="0E8F3183">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本合同项下年度服务总费用为人民币</w:t>
      </w:r>
      <w:r>
        <w:rPr>
          <w:rFonts w:hint="eastAsia" w:ascii="宋体" w:hAnsi="宋体" w:cs="Times New Roman"/>
          <w:color w:val="auto"/>
          <w:sz w:val="24"/>
          <w:szCs w:val="24"/>
          <w:highlight w:val="none"/>
          <w:lang w:val="en-US" w:eastAsia="zh-CN"/>
        </w:rPr>
        <w:t>（含税）大写：</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元（</w:t>
      </w:r>
      <w:r>
        <w:rPr>
          <w:rFonts w:hint="eastAsia" w:ascii="宋体" w:hAnsi="宋体" w:cs="Times New Roman"/>
          <w:color w:val="auto"/>
          <w:sz w:val="24"/>
          <w:szCs w:val="24"/>
          <w:highlight w:val="none"/>
          <w:lang w:val="en-US" w:eastAsia="zh-CN"/>
        </w:rPr>
        <w:t>小</w:t>
      </w:r>
      <w:r>
        <w:rPr>
          <w:rFonts w:hint="eastAsia" w:ascii="宋体" w:hAnsi="宋体" w:eastAsia="宋体" w:cs="Times New Roman"/>
          <w:color w:val="auto"/>
          <w:sz w:val="24"/>
          <w:szCs w:val="24"/>
          <w:highlight w:val="none"/>
          <w:lang w:val="en-US" w:eastAsia="zh-CN"/>
        </w:rPr>
        <w:t>写</w:t>
      </w:r>
      <w:r>
        <w:rPr>
          <w:rFonts w:hint="eastAsia" w:ascii="宋体" w:hAnsi="宋体" w:cs="Times New Roman"/>
          <w:color w:val="auto"/>
          <w:sz w:val="24"/>
          <w:szCs w:val="24"/>
          <w:highlight w:val="none"/>
          <w:lang w:val="en-US" w:eastAsia="zh-CN"/>
        </w:rPr>
        <w:t>（含税）</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合同中标单价</w:t>
      </w:r>
      <w:r>
        <w:rPr>
          <w:rFonts w:hint="eastAsia" w:ascii="宋体" w:hAnsi="宋体" w:eastAsia="宋体" w:cs="Times New Roman"/>
          <w:color w:val="auto"/>
          <w:sz w:val="24"/>
          <w:szCs w:val="24"/>
          <w:highlight w:val="none"/>
          <w:lang w:val="en-US" w:eastAsia="zh-CN"/>
        </w:rPr>
        <w:t>人民币</w:t>
      </w:r>
      <w:r>
        <w:rPr>
          <w:rFonts w:hint="eastAsia" w:ascii="宋体" w:hAnsi="宋体" w:eastAsia="宋体" w:cs="Times New Roman"/>
          <w:b w:val="0"/>
          <w:bCs w:val="0"/>
          <w:color w:val="auto"/>
          <w:sz w:val="24"/>
          <w:szCs w:val="24"/>
          <w:highlight w:val="none"/>
          <w:lang w:val="en-US" w:eastAsia="zh-CN"/>
        </w:rPr>
        <w:t>（含税）</w:t>
      </w:r>
      <w:r>
        <w:rPr>
          <w:rFonts w:hint="eastAsia" w:ascii="宋体" w:hAnsi="宋体" w:eastAsia="宋体" w:cs="Times New Roman"/>
          <w:color w:val="auto"/>
          <w:sz w:val="24"/>
          <w:szCs w:val="24"/>
          <w:highlight w:val="none"/>
          <w:lang w:val="en-US" w:eastAsia="zh-CN"/>
        </w:rPr>
        <w:t>大写</w:t>
      </w:r>
      <w:r>
        <w:rPr>
          <w:rFonts w:hint="eastAsia" w:ascii="宋体" w:hAnsi="宋体" w:cs="Times New Roman"/>
          <w:b w:val="0"/>
          <w:bCs w:val="0"/>
          <w:color w:val="auto"/>
          <w:sz w:val="24"/>
          <w:szCs w:val="24"/>
          <w:highlight w:val="none"/>
          <w:u w:val="single"/>
          <w:lang w:val="en-US" w:eastAsia="zh-CN"/>
        </w:rPr>
        <w:t xml:space="preserve">       </w:t>
      </w:r>
      <w:r>
        <w:rPr>
          <w:rFonts w:hint="eastAsia" w:ascii="宋体" w:hAnsi="宋体" w:eastAsia="宋体" w:cs="Times New Roman"/>
          <w:b w:val="0"/>
          <w:bCs w:val="0"/>
          <w:color w:val="auto"/>
          <w:sz w:val="24"/>
          <w:szCs w:val="24"/>
          <w:highlight w:val="none"/>
          <w:lang w:val="en-US" w:eastAsia="zh-CN"/>
        </w:rPr>
        <w:t>元/千伏安/年</w:t>
      </w:r>
      <w:r>
        <w:rPr>
          <w:rFonts w:hint="eastAsia" w:ascii="宋体" w:hAnsi="宋体" w:cs="Times New Roman"/>
          <w:color w:val="auto"/>
          <w:sz w:val="24"/>
          <w:szCs w:val="24"/>
          <w:highlight w:val="none"/>
          <w:lang w:val="en-US" w:eastAsia="zh-CN"/>
        </w:rPr>
        <w:t>，（小写（含税）</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b w:val="0"/>
          <w:bCs w:val="0"/>
          <w:color w:val="auto"/>
          <w:sz w:val="24"/>
          <w:szCs w:val="24"/>
          <w:highlight w:val="none"/>
          <w:lang w:val="en-US" w:eastAsia="zh-CN"/>
        </w:rPr>
        <w:t>元/千伏安/年</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，此为固定总价，包含人工、设备、检测、耗材、税费等全部费用，除甲方要求增加服务内容外，甲方无需支付其他费用。</w:t>
      </w:r>
    </w:p>
    <w:p w14:paraId="7C106CF8">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1.4.2支付方式</w:t>
      </w:r>
    </w:p>
    <w:p w14:paraId="323766C3">
      <w:pPr>
        <w:kinsoku/>
        <w:overflowPunct/>
        <w:bidi w:val="0"/>
        <w:spacing w:line="360" w:lineRule="auto"/>
        <w:ind w:left="0" w:leftChars="0" w:right="0" w:rightChars="0" w:firstLine="435"/>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季度款：按巡检维护场站数量及变压器的总容量确定总结算费用，以总结算费用除以巡检维护次数（共四次，不含预防性试验）按季度付款，每次巡检维护结束后，10个工作日内提交书面《季度巡检维护报告》，甲方向乙方支付对应场站总结算费用的20%；（如新增项目因合同时效性未能达到四次巡检维护，按单个场站总结算费用除以四次巡检维护计算每季度款结算金额，按实际巡检维护次数据实付款）</w:t>
      </w:r>
    </w:p>
    <w:p w14:paraId="6F4B6A42">
      <w:pPr>
        <w:kinsoku/>
        <w:overflowPunct/>
        <w:bidi w:val="0"/>
        <w:spacing w:line="360" w:lineRule="auto"/>
        <w:ind w:left="0" w:leftChars="0" w:right="0" w:rightChars="0" w:firstLine="435"/>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尾款：年度服务期满，乙方完成全部服务并提交《预防性试验报告》、《年度巡检维护报告》经甲方验收合格后15个工作日内，甲方向乙方支付剩余20%费用。</w:t>
      </w:r>
    </w:p>
    <w:p w14:paraId="7CBF998E">
      <w:pPr>
        <w:kinsoku/>
        <w:overflowPunct/>
        <w:bidi w:val="0"/>
        <w:spacing w:line="360" w:lineRule="auto"/>
        <w:ind w:left="0" w:leftChars="0" w:right="0" w:rightChars="0" w:firstLine="435"/>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乙方每次申请付款前，需向甲方提供合法有效的增值税专用发票，甲方收到发票后按上述约定付款</w:t>
      </w:r>
      <w:r>
        <w:rPr>
          <w:rFonts w:hint="eastAsia" w:ascii="宋体" w:hAnsi="宋体" w:eastAsia="宋体" w:cs="Times New Roman"/>
          <w:b w:val="0"/>
          <w:bCs w:val="0"/>
          <w:color w:val="auto"/>
          <w:sz w:val="24"/>
          <w:szCs w:val="24"/>
          <w:highlight w:val="none"/>
        </w:rPr>
        <w:t>。</w:t>
      </w:r>
    </w:p>
    <w:p w14:paraId="1A964602">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乙方收款账户信息如下：</w:t>
      </w:r>
    </w:p>
    <w:p w14:paraId="25EEAB9B">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账户名称：</w:t>
      </w:r>
      <w:r>
        <w:rPr>
          <w:rFonts w:hint="eastAsia" w:ascii="宋体" w:hAnsi="宋体" w:eastAsia="宋体" w:cs="Times New Roman"/>
          <w:color w:val="auto"/>
          <w:sz w:val="24"/>
          <w:szCs w:val="24"/>
          <w:highlight w:val="none"/>
          <w:u w:val="none"/>
          <w:lang w:val="en-US" w:eastAsia="zh-CN"/>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 xml:space="preserve"> </w:t>
      </w:r>
    </w:p>
    <w:p w14:paraId="2DE893DA">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开户银行：</w:t>
      </w:r>
      <w:r>
        <w:rPr>
          <w:rFonts w:hint="eastAsia" w:ascii="宋体" w:hAnsi="宋体" w:eastAsia="宋体" w:cs="Times New Roman"/>
          <w:color w:val="auto"/>
          <w:sz w:val="24"/>
          <w:szCs w:val="24"/>
          <w:highlight w:val="none"/>
          <w:u w:val="none"/>
          <w:lang w:val="en-US" w:eastAsia="zh-CN"/>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 xml:space="preserve">   </w:t>
      </w:r>
    </w:p>
    <w:p w14:paraId="186EE8CF">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银行账号：</w:t>
      </w:r>
      <w:r>
        <w:rPr>
          <w:rFonts w:hint="eastAsia" w:ascii="宋体" w:hAnsi="宋体" w:eastAsia="宋体" w:cs="Times New Roman"/>
          <w:color w:val="auto"/>
          <w:sz w:val="24"/>
          <w:szCs w:val="24"/>
          <w:highlight w:val="none"/>
          <w:u w:val="none"/>
          <w:lang w:val="en-US" w:eastAsia="zh-CN"/>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 xml:space="preserve">   </w:t>
      </w:r>
    </w:p>
    <w:p w14:paraId="3C8A4CDC">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bookmarkStart w:id="102" w:name="OLE_LINK2"/>
      <w:r>
        <w:rPr>
          <w:rFonts w:hint="eastAsia" w:ascii="宋体" w:hAnsi="宋体" w:eastAsia="宋体" w:cs="Times New Roman"/>
          <w:b/>
          <w:bCs/>
          <w:color w:val="auto"/>
          <w:sz w:val="24"/>
          <w:szCs w:val="24"/>
          <w:highlight w:val="none"/>
          <w:lang w:val="en-US" w:eastAsia="zh-CN"/>
        </w:rPr>
        <w:t>1.5双方权利与义务</w:t>
      </w:r>
    </w:p>
    <w:p w14:paraId="075A3C8E">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1.5.1 甲方权利义务</w:t>
      </w:r>
    </w:p>
    <w:p w14:paraId="4D7C9EC8">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权利：对乙方服务质量、人员资质进行监督，提出整改要求；服务不达标时，有权暂缓付款或追究违约责任；对乙方作业过程中的安全操作进行全程监督，发现违章作业有权立即叫停并要求整改，同时记录相关情况作为履约评价依据。</w:t>
      </w:r>
    </w:p>
    <w:p w14:paraId="5E333D19">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义务：向乙方提供设备出厂资料、运行记录、设备潜在安全风险点说明等相关文件；为乙方作业提供场地通行、停电协调、安全警示设置等必要协助，提前24小时通知相关场站配合工作并清空作业区域无关人员；按合同约定支付服务费用；定期组织双方安全沟通会议，及时传达最新安全管理规定及现场安全注意事项。</w:t>
      </w:r>
    </w:p>
    <w:p w14:paraId="38164D7D">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1.5.2乙方权利义务</w:t>
      </w:r>
      <w:bookmarkEnd w:id="102"/>
    </w:p>
    <w:p w14:paraId="617F8450">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权利：按合同约定收取服务费用；发现设备重大隐患时，有权要求甲方及时整改并书面告知风险后果，甲方拒不配合导致损失的，乙方不承担责任；作业过程中因甲方原因（如未及时停电、无关人员闯入作业区）导致安全风险的，有权暂停作业并要求甲方消除风险。</w:t>
      </w:r>
    </w:p>
    <w:p w14:paraId="416070CE">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义务：严格遵守国家电力安全法规，指派具备特种作业资格且经</w:t>
      </w:r>
      <w:r>
        <w:rPr>
          <w:rFonts w:hint="eastAsia" w:ascii="宋体" w:hAnsi="宋体" w:cs="Times New Roman"/>
          <w:color w:val="auto"/>
          <w:sz w:val="24"/>
          <w:szCs w:val="24"/>
          <w:highlight w:val="none"/>
          <w:lang w:val="en-US" w:eastAsia="zh-CN"/>
        </w:rPr>
        <w:t>已</w:t>
      </w:r>
      <w:r>
        <w:rPr>
          <w:rFonts w:hint="eastAsia" w:ascii="宋体" w:hAnsi="宋体" w:eastAsia="宋体" w:cs="Times New Roman"/>
          <w:color w:val="auto"/>
          <w:sz w:val="24"/>
          <w:szCs w:val="24"/>
          <w:highlight w:val="none"/>
          <w:lang w:val="en-US" w:eastAsia="zh-CN"/>
        </w:rPr>
        <w:t>方安全培训合格的人员开展服务，</w:t>
      </w:r>
      <w:r>
        <w:rPr>
          <w:rFonts w:hint="eastAsia" w:ascii="宋体" w:hAnsi="宋体" w:cs="Times New Roman"/>
          <w:color w:val="auto"/>
          <w:sz w:val="24"/>
          <w:szCs w:val="24"/>
          <w:highlight w:val="none"/>
          <w:lang w:val="en-US" w:eastAsia="zh-CN"/>
        </w:rPr>
        <w:t>为作业人员购买相应保险（服务期间乙方人员的人身安全由乙方承担），</w:t>
      </w:r>
      <w:r>
        <w:rPr>
          <w:rFonts w:hint="eastAsia" w:ascii="宋体" w:hAnsi="宋体" w:eastAsia="宋体" w:cs="Times New Roman"/>
          <w:color w:val="auto"/>
          <w:sz w:val="24"/>
          <w:szCs w:val="24"/>
          <w:highlight w:val="none"/>
          <w:lang w:val="en-US" w:eastAsia="zh-CN"/>
        </w:rPr>
        <w:t>作业前向甲方提交人员资质证明及作业安全方案；作业时必须佩戴齐全安全防护装备，设置规范安全警示标识，配备应急救援器材并明确现场应急负责人；作业前对设备及周边环境进行安全风险辨识，发现新的安全隐患立即告知甲方；作业过程中发生安全事故，需第一时间启动应急处置预案，1小时内书面通知甲方事故情况，配合甲方及相关部门调查处理，并承担事故造成的全部人身伤亡、财产损失及行政处罚责任；禁止擅自变更作业范围或违规操作，未经甲方书面同意不得将服务涉及的安全责任转移给第三方。</w:t>
      </w:r>
    </w:p>
    <w:p w14:paraId="5CACE78B">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1.6验收标准与方式</w:t>
      </w:r>
    </w:p>
    <w:p w14:paraId="71C2A465">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1.6.1 验收依据：本合同约定的服务内容、DL/T409-2023《电力安全工作规程电力线路部分》、GB50150-2016《电气装置安装工程电气设备交接试验标准》、GB26860-2011《电力安全工作规程发电厂和变电站电气部分》、GB26859-2011《电力安全工作规程电力线路部分》、GB/T29319-2024《光伏发电系统接入配电网技术规定》及行业通行标准。</w:t>
      </w:r>
    </w:p>
    <w:p w14:paraId="711C131E">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1.6.2 季度验收：甲方对乙方每次巡检维护记录进行签字确认，对不合格项提出书面整改意见，乙方需在5个工作日内完成整改并复核。</w:t>
      </w:r>
    </w:p>
    <w:p w14:paraId="60869FA0">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1.6.3年度验收：甲方组织相关部门对《预防性试验报告》及《年度巡检</w:t>
      </w:r>
      <w:r>
        <w:rPr>
          <w:rFonts w:hint="eastAsia" w:ascii="宋体" w:hAnsi="宋体" w:cs="Times New Roman"/>
          <w:color w:val="auto"/>
          <w:sz w:val="24"/>
          <w:szCs w:val="24"/>
          <w:highlight w:val="none"/>
          <w:lang w:val="en-US" w:eastAsia="zh-CN"/>
        </w:rPr>
        <w:t>维护</w:t>
      </w:r>
      <w:r>
        <w:rPr>
          <w:rFonts w:hint="eastAsia" w:ascii="宋体" w:hAnsi="宋体" w:eastAsia="宋体" w:cs="Times New Roman"/>
          <w:color w:val="auto"/>
          <w:sz w:val="24"/>
          <w:szCs w:val="24"/>
          <w:highlight w:val="none"/>
          <w:lang w:val="en-US" w:eastAsia="zh-CN"/>
        </w:rPr>
        <w:t>报告》设备运行状况进行验收，验收合格出具《验收确认书》；若存在问题，乙方需在10个工作日内完成整改并重新验收。</w:t>
      </w:r>
    </w:p>
    <w:p w14:paraId="24032B6B">
      <w:pPr>
        <w:kinsoku/>
        <w:overflowPunct/>
        <w:bidi w:val="0"/>
        <w:spacing w:line="360" w:lineRule="auto"/>
        <w:ind w:left="0" w:leftChars="0" w:right="0" w:rightChars="0" w:firstLine="437"/>
        <w:outlineLvl w:val="2"/>
        <w:rPr>
          <w:rFonts w:hint="eastAsia" w:ascii="宋体" w:hAnsi="宋体" w:eastAsia="宋体" w:cs="宋体"/>
          <w:color w:val="auto"/>
          <w:sz w:val="21"/>
          <w:szCs w:val="21"/>
          <w:highlight w:val="none"/>
          <w:lang w:val="en-US" w:eastAsia="zh-CN"/>
        </w:rPr>
      </w:pPr>
      <w:r>
        <w:rPr>
          <w:rFonts w:hint="eastAsia" w:ascii="宋体" w:hAnsi="宋体" w:eastAsia="宋体" w:cs="Times New Roman"/>
          <w:b/>
          <w:bCs/>
          <w:color w:val="auto"/>
          <w:sz w:val="24"/>
          <w:szCs w:val="24"/>
          <w:highlight w:val="none"/>
          <w:lang w:val="en-US" w:eastAsia="zh-CN"/>
        </w:rPr>
        <w:t>1.7违约责任</w:t>
      </w:r>
    </w:p>
    <w:p w14:paraId="7FB9A272">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1.7.1 甲方违约</w:t>
      </w:r>
    </w:p>
    <w:p w14:paraId="58C85AB0">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甲方逾期支付服务费用的，每逾期一日，按未支付金额的0.05%向乙方支付违约金；逾期超过30日的，乙方有权暂停服务，由此造成的损失由甲方承担。</w:t>
      </w:r>
    </w:p>
    <w:p w14:paraId="1E7C56CF">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1.7.2乙方违约</w:t>
      </w:r>
    </w:p>
    <w:p w14:paraId="78E4FBC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35" w:firstLineChars="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1.7.2.1</w:t>
      </w:r>
      <w:r>
        <w:rPr>
          <w:rFonts w:hint="eastAsia" w:ascii="宋体" w:hAnsi="宋体" w:eastAsia="宋体" w:cs="Times New Roman"/>
          <w:color w:val="auto"/>
          <w:sz w:val="24"/>
          <w:szCs w:val="24"/>
          <w:highlight w:val="none"/>
        </w:rPr>
        <w:t>乙方未按要求按时提交《巡检</w:t>
      </w:r>
      <w:r>
        <w:rPr>
          <w:rFonts w:hint="eastAsia" w:ascii="宋体" w:hAnsi="宋体" w:eastAsia="宋体" w:cs="Times New Roman"/>
          <w:color w:val="auto"/>
          <w:sz w:val="24"/>
          <w:szCs w:val="24"/>
          <w:highlight w:val="none"/>
          <w:lang w:val="en-US" w:eastAsia="zh-CN"/>
        </w:rPr>
        <w:t>维护</w:t>
      </w:r>
      <w:r>
        <w:rPr>
          <w:rFonts w:hint="eastAsia" w:ascii="宋体" w:hAnsi="宋体" w:eastAsia="宋体" w:cs="Times New Roman"/>
          <w:color w:val="auto"/>
          <w:sz w:val="24"/>
          <w:szCs w:val="24"/>
          <w:highlight w:val="none"/>
        </w:rPr>
        <w:t>报告》或《年度预防性试验报告》的，每延迟一日，支付违约金人民币</w:t>
      </w:r>
      <w:r>
        <w:rPr>
          <w:rFonts w:hint="eastAsia" w:ascii="宋体" w:hAnsi="宋体" w:eastAsia="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rPr>
        <w:t>00元。</w:t>
      </w:r>
    </w:p>
    <w:p w14:paraId="7CF67267">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1.7.2.</w:t>
      </w:r>
      <w:r>
        <w:rPr>
          <w:rFonts w:hint="eastAsia" w:ascii="宋体" w:hAnsi="宋体" w:cs="Times New Roman"/>
          <w:color w:val="auto"/>
          <w:sz w:val="24"/>
          <w:szCs w:val="24"/>
          <w:highlight w:val="none"/>
          <w:lang w:val="en-US" w:eastAsia="zh-CN"/>
        </w:rPr>
        <w:t>2单次</w:t>
      </w:r>
      <w:r>
        <w:rPr>
          <w:rFonts w:hint="eastAsia" w:ascii="宋体" w:hAnsi="宋体" w:eastAsia="宋体" w:cs="Times New Roman"/>
          <w:color w:val="auto"/>
          <w:sz w:val="24"/>
          <w:szCs w:val="24"/>
          <w:highlight w:val="none"/>
          <w:lang w:val="en-US" w:eastAsia="zh-CN"/>
        </w:rPr>
        <w:t>服务质量不达标且逾期未整改的，甲方有权扣除对应</w:t>
      </w:r>
      <w:r>
        <w:rPr>
          <w:rFonts w:hint="eastAsia" w:ascii="宋体" w:hAnsi="宋体" w:cs="Times New Roman"/>
          <w:color w:val="auto"/>
          <w:sz w:val="24"/>
          <w:szCs w:val="24"/>
          <w:highlight w:val="none"/>
          <w:lang w:val="en-US" w:eastAsia="zh-CN"/>
        </w:rPr>
        <w:t>单次</w:t>
      </w:r>
      <w:r>
        <w:rPr>
          <w:rFonts w:hint="eastAsia" w:ascii="宋体" w:hAnsi="宋体" w:eastAsia="宋体" w:cs="Times New Roman"/>
          <w:color w:val="auto"/>
          <w:sz w:val="24"/>
          <w:szCs w:val="24"/>
          <w:highlight w:val="none"/>
          <w:lang w:val="en-US" w:eastAsia="zh-CN"/>
        </w:rPr>
        <w:t>服务费用的20%-50%；情节严重的，甲方有权解除合同，乙方返还已收费用并按总费用的20%支付违约金</w:t>
      </w:r>
      <w:r>
        <w:rPr>
          <w:rFonts w:hint="eastAsia" w:ascii="宋体" w:hAnsi="宋体" w:cs="Times New Roman"/>
          <w:color w:val="auto"/>
          <w:sz w:val="24"/>
          <w:szCs w:val="24"/>
          <w:highlight w:val="none"/>
          <w:lang w:val="en-US" w:eastAsia="zh-CN"/>
        </w:rPr>
        <w:t>。</w:t>
      </w:r>
    </w:p>
    <w:p w14:paraId="1FC3559C">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1.7.2.</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乙方擅自转包服务或泄露甲方秘密的，甲方有权解除合同，乙方按总费用的30%支付违约金并赔偿损失。</w:t>
      </w:r>
    </w:p>
    <w:p w14:paraId="2628D4FB">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1.7.3</w:t>
      </w:r>
      <w:r>
        <w:rPr>
          <w:rFonts w:hint="eastAsia" w:ascii="宋体" w:hAnsi="宋体" w:eastAsia="宋体" w:cs="Times New Roman"/>
          <w:color w:val="auto"/>
          <w:sz w:val="24"/>
          <w:szCs w:val="24"/>
          <w:highlight w:val="none"/>
        </w:rPr>
        <w:t>专项违约责任</w:t>
      </w:r>
    </w:p>
    <w:p w14:paraId="6100657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35" w:firstLineChars="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3.1</w:t>
      </w:r>
      <w:r>
        <w:rPr>
          <w:rFonts w:hint="eastAsia" w:ascii="宋体" w:hAnsi="宋体" w:eastAsia="宋体" w:cs="Times New Roman"/>
          <w:color w:val="auto"/>
          <w:sz w:val="24"/>
          <w:szCs w:val="24"/>
          <w:highlight w:val="none"/>
        </w:rPr>
        <w:t xml:space="preserve"> 应急抢修响应违约：乙方未在接到甲方故障通知后</w:t>
      </w:r>
      <w:r>
        <w:rPr>
          <w:rFonts w:hint="eastAsia" w:ascii="宋体" w:hAnsi="宋体" w:eastAsia="宋体" w:cs="Times New Roman"/>
          <w:color w:val="auto"/>
          <w:sz w:val="24"/>
          <w:szCs w:val="24"/>
          <w:highlight w:val="none"/>
          <w:lang w:val="en-US" w:eastAsia="zh-CN"/>
        </w:rPr>
        <w:t>市区范围内</w:t>
      </w: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小时、郊区范围内</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小时内到达现场，8小时内完成一般故障修复；</w:t>
      </w:r>
      <w:r>
        <w:rPr>
          <w:rFonts w:hint="eastAsia" w:ascii="宋体" w:hAnsi="宋体" w:eastAsia="宋体" w:cs="Times New Roman"/>
          <w:color w:val="auto"/>
          <w:sz w:val="24"/>
          <w:szCs w:val="24"/>
          <w:highlight w:val="none"/>
        </w:rPr>
        <w:t>每发生一次，支付违约金人民币2000元；无故未抵达现场的，每发生一次，支付违约金人民币5000元</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因乙方原因导致故障未及时修复造成甲方损失的，乙方承担全部赔偿责任。</w:t>
      </w:r>
    </w:p>
    <w:p w14:paraId="475D77E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35" w:firstLineChars="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3.2</w:t>
      </w:r>
      <w:r>
        <w:rPr>
          <w:rFonts w:hint="eastAsia" w:ascii="宋体" w:hAnsi="宋体" w:eastAsia="宋体" w:cs="Times New Roman"/>
          <w:color w:val="auto"/>
          <w:sz w:val="24"/>
          <w:szCs w:val="24"/>
          <w:highlight w:val="none"/>
        </w:rPr>
        <w:t xml:space="preserve"> 故障修复超时违约：高压线路（设备）故障，无正当理由超过24小时未修复的，每延迟一日，支付违约金人民币3000元，直至故障修复完毕。</w:t>
      </w:r>
    </w:p>
    <w:p w14:paraId="16478EF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7.4</w:t>
      </w:r>
      <w:r>
        <w:rPr>
          <w:rFonts w:hint="eastAsia" w:ascii="宋体" w:hAnsi="宋体" w:eastAsia="宋体" w:cs="Times New Roman"/>
          <w:color w:val="auto"/>
          <w:sz w:val="24"/>
          <w:szCs w:val="24"/>
          <w:highlight w:val="none"/>
        </w:rPr>
        <w:t xml:space="preserve"> 人员与设备配备违约：</w:t>
      </w:r>
    </w:p>
    <w:p w14:paraId="3502B50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1.7.4.1</w:t>
      </w:r>
      <w:r>
        <w:rPr>
          <w:rFonts w:hint="eastAsia" w:ascii="宋体" w:hAnsi="宋体" w:eastAsia="宋体" w:cs="Times New Roman"/>
          <w:color w:val="auto"/>
          <w:sz w:val="24"/>
          <w:szCs w:val="24"/>
          <w:highlight w:val="none"/>
        </w:rPr>
        <w:t>乙方擅自更换未经甲方书面认可的项目负责人或关键维护人员的，每</w:t>
      </w:r>
      <w:r>
        <w:rPr>
          <w:rFonts w:hint="eastAsia" w:ascii="宋体" w:hAnsi="宋体" w:cs="Times New Roman"/>
          <w:color w:val="auto"/>
          <w:sz w:val="24"/>
          <w:szCs w:val="24"/>
          <w:highlight w:val="none"/>
          <w:lang w:val="en-US" w:eastAsia="zh-CN"/>
        </w:rPr>
        <w:t>发生一次，</w:t>
      </w:r>
      <w:r>
        <w:rPr>
          <w:rFonts w:hint="eastAsia" w:ascii="宋体" w:hAnsi="宋体" w:eastAsia="宋体" w:cs="Times New Roman"/>
          <w:color w:val="auto"/>
          <w:sz w:val="24"/>
          <w:szCs w:val="24"/>
          <w:highlight w:val="none"/>
        </w:rPr>
        <w:t>支付违约金人民币5000元。</w:t>
      </w:r>
    </w:p>
    <w:p w14:paraId="221F822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1.7.4.2</w:t>
      </w:r>
      <w:r>
        <w:rPr>
          <w:rFonts w:hint="eastAsia" w:ascii="宋体" w:hAnsi="宋体" w:eastAsia="宋体" w:cs="Times New Roman"/>
          <w:color w:val="auto"/>
          <w:sz w:val="24"/>
          <w:szCs w:val="24"/>
          <w:highlight w:val="none"/>
        </w:rPr>
        <w:t>乙方配备的维护人员数量或资质不满足招标文件要求的，每缺一人或每有一人不符合要求，支付违约金人民币5000元，并应立即整改。</w:t>
      </w:r>
    </w:p>
    <w:p w14:paraId="01BFCC0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1.7.4.3</w:t>
      </w:r>
      <w:r>
        <w:rPr>
          <w:rFonts w:hint="eastAsia" w:ascii="宋体" w:hAnsi="宋体" w:eastAsia="宋体" w:cs="Times New Roman"/>
          <w:color w:val="auto"/>
          <w:sz w:val="24"/>
          <w:szCs w:val="24"/>
          <w:highlight w:val="none"/>
        </w:rPr>
        <w:t>乙方未按承诺配备专用巡查车辆的，支付违约金人民币10000元，并应立即配备。</w:t>
      </w:r>
    </w:p>
    <w:p w14:paraId="5015074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 xml:space="preserve"> 服务质量问题违约：因乙方维护不当、巡检不力，直接导致设备停运、充电站中断服务或发生安全生产事件的，每次支付违约金人民币10000元至50000元，具体金额由甲方根据事件严重程度确定。同时，乙方应承担由此给甲方造成的全部经济损失。</w:t>
      </w:r>
    </w:p>
    <w:p w14:paraId="24D2B9D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 xml:space="preserve"> 责任累加：本条约定的违约金与合同1.</w:t>
      </w:r>
      <w:r>
        <w:rPr>
          <w:rFonts w:hint="eastAsia" w:ascii="宋体" w:hAnsi="宋体" w:eastAsia="宋体" w:cs="Times New Roman"/>
          <w:color w:val="auto"/>
          <w:sz w:val="24"/>
          <w:szCs w:val="24"/>
          <w:highlight w:val="none"/>
          <w:lang w:val="en-US" w:eastAsia="zh-CN"/>
        </w:rPr>
        <w:t>7.2</w:t>
      </w:r>
      <w:r>
        <w:rPr>
          <w:rFonts w:hint="eastAsia" w:ascii="宋体" w:hAnsi="宋体" w:eastAsia="宋体" w:cs="Times New Roman"/>
          <w:color w:val="auto"/>
          <w:sz w:val="24"/>
          <w:szCs w:val="24"/>
          <w:highlight w:val="none"/>
        </w:rPr>
        <w:t>条约定的违约金可以累加适用。乙方承担的违约金总额不以合同总价为上限，特别是当其违约行为给甲方造成的损失超过合同总价时，乙方仍应予以赔偿。</w:t>
      </w:r>
    </w:p>
    <w:p w14:paraId="50F03381">
      <w:pPr>
        <w:kinsoku/>
        <w:overflowPunct/>
        <w:bidi w:val="0"/>
        <w:spacing w:line="360" w:lineRule="auto"/>
        <w:ind w:left="0" w:leftChars="0" w:right="0" w:rightChars="0" w:firstLine="437"/>
        <w:outlineLvl w:val="2"/>
        <w:rPr>
          <w:rFonts w:hint="default" w:ascii="宋体" w:hAnsi="宋体" w:eastAsia="宋体" w:cs="宋体"/>
          <w:color w:val="auto"/>
          <w:sz w:val="21"/>
          <w:szCs w:val="21"/>
          <w:highlight w:val="none"/>
          <w:lang w:val="en-US" w:eastAsia="zh-CN"/>
        </w:rPr>
      </w:pPr>
      <w:bookmarkStart w:id="103" w:name="_Toc27995"/>
      <w:bookmarkStart w:id="104" w:name="_Toc354153677"/>
      <w:bookmarkStart w:id="105" w:name="_Toc351022842"/>
      <w:bookmarkStart w:id="106" w:name="_Toc306876533"/>
      <w:bookmarkStart w:id="107" w:name="_Toc309136422"/>
      <w:bookmarkStart w:id="108" w:name="_Toc509245054"/>
      <w:bookmarkStart w:id="109" w:name="_Toc309383984"/>
      <w:bookmarkStart w:id="110" w:name="_Toc353555608"/>
      <w:bookmarkStart w:id="111" w:name="_Toc312229976"/>
      <w:bookmarkStart w:id="112" w:name="_Toc306625577"/>
      <w:bookmarkStart w:id="113" w:name="_Toc3562121"/>
      <w:r>
        <w:rPr>
          <w:rFonts w:hint="eastAsia" w:ascii="宋体" w:hAnsi="宋体" w:eastAsia="宋体" w:cs="Times New Roman"/>
          <w:b/>
          <w:bCs/>
          <w:color w:val="auto"/>
          <w:sz w:val="24"/>
          <w:szCs w:val="24"/>
          <w:highlight w:val="none"/>
          <w:lang w:val="en-US" w:eastAsia="zh-CN"/>
        </w:rPr>
        <w:t>1.8转包和分包</w:t>
      </w:r>
    </w:p>
    <w:bookmarkEnd w:id="103"/>
    <w:bookmarkEnd w:id="104"/>
    <w:bookmarkEnd w:id="105"/>
    <w:bookmarkEnd w:id="106"/>
    <w:bookmarkEnd w:id="107"/>
    <w:bookmarkEnd w:id="108"/>
    <w:bookmarkEnd w:id="109"/>
    <w:bookmarkEnd w:id="110"/>
    <w:bookmarkEnd w:id="111"/>
    <w:bookmarkEnd w:id="112"/>
    <w:bookmarkEnd w:id="113"/>
    <w:p w14:paraId="3F0F0FBE">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中标</w:t>
      </w:r>
      <w:r>
        <w:rPr>
          <w:rFonts w:hint="eastAsia" w:ascii="宋体" w:hAnsi="宋体" w:eastAsia="宋体" w:cs="Times New Roman"/>
          <w:b w:val="0"/>
          <w:bCs w:val="0"/>
          <w:color w:val="auto"/>
          <w:sz w:val="24"/>
          <w:szCs w:val="24"/>
          <w:highlight w:val="none"/>
        </w:rPr>
        <w:t>人不得转让合同和分包项目，若违反本规定，业主有权终止本合同。</w:t>
      </w:r>
    </w:p>
    <w:p w14:paraId="6759506F">
      <w:pPr>
        <w:kinsoku/>
        <w:overflowPunct/>
        <w:bidi w:val="0"/>
        <w:spacing w:line="360" w:lineRule="auto"/>
        <w:ind w:left="0" w:leftChars="0" w:right="0" w:rightChars="0" w:firstLine="437"/>
        <w:jc w:val="left"/>
        <w:outlineLvl w:val="2"/>
        <w:rPr>
          <w:rFonts w:hint="eastAsia" w:ascii="宋体" w:hAnsi="宋体" w:eastAsia="宋体" w:cs="Times New Roman"/>
          <w:b/>
          <w:bCs/>
          <w:color w:val="auto"/>
          <w:sz w:val="24"/>
          <w:szCs w:val="24"/>
          <w:highlight w:val="none"/>
        </w:rPr>
      </w:pPr>
      <w:bookmarkStart w:id="114" w:name="_Toc1640"/>
      <w:bookmarkStart w:id="115" w:name="_Toc306876534"/>
      <w:bookmarkStart w:id="116" w:name="_Toc351022843"/>
      <w:bookmarkStart w:id="117" w:name="_Toc3562122"/>
      <w:bookmarkStart w:id="118" w:name="_Toc509245055"/>
      <w:bookmarkStart w:id="119" w:name="_Toc309383985"/>
      <w:bookmarkStart w:id="120" w:name="_Toc312229977"/>
      <w:bookmarkStart w:id="121" w:name="_Toc353555609"/>
      <w:bookmarkStart w:id="122" w:name="_Toc306625578"/>
      <w:bookmarkStart w:id="123" w:name="_Toc309136423"/>
      <w:bookmarkStart w:id="124" w:name="_Toc354153678"/>
      <w:r>
        <w:rPr>
          <w:rFonts w:hint="eastAsia" w:ascii="宋体" w:hAnsi="宋体" w:eastAsia="宋体" w:cs="Times New Roman"/>
          <w:b/>
          <w:bCs/>
          <w:color w:val="auto"/>
          <w:sz w:val="24"/>
          <w:szCs w:val="24"/>
          <w:highlight w:val="none"/>
          <w:lang w:val="en-US" w:eastAsia="zh-CN"/>
        </w:rPr>
        <w:t>1.9</w:t>
      </w:r>
      <w:r>
        <w:rPr>
          <w:rFonts w:hint="eastAsia" w:ascii="宋体" w:hAnsi="宋体" w:eastAsia="宋体" w:cs="Times New Roman"/>
          <w:b/>
          <w:bCs/>
          <w:color w:val="auto"/>
          <w:sz w:val="24"/>
          <w:szCs w:val="24"/>
          <w:highlight w:val="none"/>
        </w:rPr>
        <w:t>风险</w:t>
      </w:r>
      <w:bookmarkEnd w:id="114"/>
      <w:bookmarkEnd w:id="115"/>
      <w:bookmarkEnd w:id="116"/>
      <w:bookmarkEnd w:id="117"/>
      <w:bookmarkEnd w:id="118"/>
      <w:bookmarkEnd w:id="119"/>
      <w:bookmarkEnd w:id="120"/>
      <w:bookmarkEnd w:id="121"/>
      <w:bookmarkEnd w:id="122"/>
      <w:bookmarkEnd w:id="123"/>
      <w:bookmarkEnd w:id="124"/>
    </w:p>
    <w:p w14:paraId="1A176D23">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自</w:t>
      </w:r>
      <w:r>
        <w:rPr>
          <w:rFonts w:hint="eastAsia" w:ascii="宋体" w:hAnsi="宋体" w:eastAsia="宋体" w:cs="Times New Roman"/>
          <w:b w:val="0"/>
          <w:bCs w:val="0"/>
          <w:color w:val="auto"/>
          <w:sz w:val="24"/>
          <w:szCs w:val="24"/>
          <w:highlight w:val="none"/>
          <w:lang w:val="en-US" w:eastAsia="zh-CN"/>
        </w:rPr>
        <w:t>合同开始</w:t>
      </w:r>
      <w:r>
        <w:rPr>
          <w:rFonts w:hint="eastAsia" w:ascii="宋体" w:hAnsi="宋体" w:eastAsia="宋体" w:cs="Times New Roman"/>
          <w:b w:val="0"/>
          <w:bCs w:val="0"/>
          <w:color w:val="auto"/>
          <w:sz w:val="24"/>
          <w:szCs w:val="24"/>
          <w:highlight w:val="none"/>
        </w:rPr>
        <w:t>之日起直到</w:t>
      </w:r>
      <w:r>
        <w:rPr>
          <w:rFonts w:hint="eastAsia" w:ascii="宋体" w:hAnsi="宋体" w:eastAsia="宋体" w:cs="Times New Roman"/>
          <w:b w:val="0"/>
          <w:bCs w:val="0"/>
          <w:color w:val="auto"/>
          <w:sz w:val="24"/>
          <w:szCs w:val="24"/>
          <w:highlight w:val="none"/>
          <w:lang w:val="en-US" w:eastAsia="zh-CN"/>
        </w:rPr>
        <w:t>合同</w:t>
      </w:r>
      <w:r>
        <w:rPr>
          <w:rFonts w:hint="eastAsia" w:ascii="宋体" w:hAnsi="宋体" w:eastAsia="宋体" w:cs="Times New Roman"/>
          <w:b w:val="0"/>
          <w:bCs w:val="0"/>
          <w:color w:val="auto"/>
          <w:sz w:val="24"/>
          <w:szCs w:val="24"/>
          <w:highlight w:val="none"/>
        </w:rPr>
        <w:t>截止之日止，</w:t>
      </w:r>
      <w:r>
        <w:rPr>
          <w:rFonts w:hint="eastAsia" w:ascii="宋体" w:hAnsi="宋体" w:eastAsia="宋体" w:cs="Times New Roman"/>
          <w:b w:val="0"/>
          <w:bCs w:val="0"/>
          <w:color w:val="auto"/>
          <w:sz w:val="24"/>
          <w:szCs w:val="24"/>
          <w:highlight w:val="none"/>
          <w:lang w:val="en-US" w:eastAsia="zh-CN"/>
        </w:rPr>
        <w:t>中标</w:t>
      </w:r>
      <w:r>
        <w:rPr>
          <w:rFonts w:hint="eastAsia" w:ascii="宋体" w:hAnsi="宋体" w:eastAsia="宋体" w:cs="Times New Roman"/>
          <w:b w:val="0"/>
          <w:bCs w:val="0"/>
          <w:color w:val="auto"/>
          <w:sz w:val="24"/>
          <w:szCs w:val="24"/>
          <w:highlight w:val="none"/>
        </w:rPr>
        <w:t>人人员伤亡以及对财产（包括工程本身、设备、材料和施工机械等）的损失或损坏，均由</w:t>
      </w:r>
      <w:r>
        <w:rPr>
          <w:rFonts w:hint="eastAsia" w:ascii="宋体" w:hAnsi="宋体" w:eastAsia="宋体" w:cs="Times New Roman"/>
          <w:b w:val="0"/>
          <w:bCs w:val="0"/>
          <w:color w:val="auto"/>
          <w:sz w:val="24"/>
          <w:szCs w:val="24"/>
          <w:highlight w:val="none"/>
          <w:lang w:val="en-US" w:eastAsia="zh-CN"/>
        </w:rPr>
        <w:t>中标</w:t>
      </w:r>
      <w:r>
        <w:rPr>
          <w:rFonts w:hint="eastAsia" w:ascii="宋体" w:hAnsi="宋体" w:eastAsia="宋体" w:cs="Times New Roman"/>
          <w:b w:val="0"/>
          <w:bCs w:val="0"/>
          <w:color w:val="auto"/>
          <w:sz w:val="24"/>
          <w:szCs w:val="24"/>
          <w:highlight w:val="none"/>
        </w:rPr>
        <w:t>人承担风险，</w:t>
      </w:r>
      <w:r>
        <w:rPr>
          <w:rFonts w:hint="eastAsia" w:ascii="宋体" w:hAnsi="宋体" w:eastAsia="宋体" w:cs="Times New Roman"/>
          <w:b w:val="0"/>
          <w:bCs w:val="0"/>
          <w:color w:val="auto"/>
          <w:sz w:val="24"/>
          <w:szCs w:val="24"/>
          <w:highlight w:val="none"/>
          <w:lang w:val="en-US" w:eastAsia="zh-CN"/>
        </w:rPr>
        <w:t>招标人</w:t>
      </w:r>
      <w:r>
        <w:rPr>
          <w:rFonts w:hint="eastAsia" w:ascii="宋体" w:hAnsi="宋体" w:eastAsia="宋体" w:cs="Times New Roman"/>
          <w:b w:val="0"/>
          <w:bCs w:val="0"/>
          <w:color w:val="auto"/>
          <w:sz w:val="24"/>
          <w:szCs w:val="24"/>
          <w:highlight w:val="none"/>
        </w:rPr>
        <w:t>不再另行计量支付。</w:t>
      </w:r>
    </w:p>
    <w:p w14:paraId="4A16DEF1">
      <w:pPr>
        <w:kinsoku/>
        <w:overflowPunct/>
        <w:bidi w:val="0"/>
        <w:spacing w:line="360" w:lineRule="auto"/>
        <w:ind w:left="0" w:leftChars="0" w:right="0" w:rightChars="0" w:firstLine="437"/>
        <w:jc w:val="left"/>
        <w:outlineLvl w:val="2"/>
        <w:rPr>
          <w:rFonts w:hint="eastAsia" w:ascii="宋体" w:hAnsi="宋体" w:eastAsia="宋体" w:cs="Times New Roman"/>
          <w:b/>
          <w:bCs/>
          <w:color w:val="auto"/>
          <w:sz w:val="24"/>
          <w:szCs w:val="24"/>
          <w:highlight w:val="none"/>
        </w:rPr>
      </w:pPr>
      <w:bookmarkStart w:id="125" w:name="_Toc312229978"/>
      <w:bookmarkStart w:id="126" w:name="_Toc353555610"/>
      <w:bookmarkStart w:id="127" w:name="_Toc1391"/>
      <w:bookmarkStart w:id="128" w:name="_Toc309383986"/>
      <w:bookmarkStart w:id="129" w:name="_Toc351022844"/>
      <w:bookmarkStart w:id="130" w:name="_Toc509245056"/>
      <w:bookmarkStart w:id="131" w:name="_Toc309136424"/>
      <w:bookmarkStart w:id="132" w:name="_Toc354153679"/>
      <w:bookmarkStart w:id="133" w:name="_Toc306625579"/>
      <w:bookmarkStart w:id="134" w:name="_Toc3562123"/>
      <w:bookmarkStart w:id="135" w:name="_Toc306876535"/>
      <w:r>
        <w:rPr>
          <w:rFonts w:hint="eastAsia" w:ascii="宋体" w:hAnsi="宋体" w:eastAsia="宋体" w:cs="Times New Roman"/>
          <w:b/>
          <w:bCs/>
          <w:color w:val="auto"/>
          <w:sz w:val="24"/>
          <w:szCs w:val="24"/>
          <w:highlight w:val="none"/>
          <w:lang w:val="en-US" w:eastAsia="zh-CN"/>
        </w:rPr>
        <w:t>1.10</w:t>
      </w:r>
      <w:r>
        <w:rPr>
          <w:rFonts w:hint="eastAsia" w:ascii="宋体" w:hAnsi="宋体" w:eastAsia="宋体" w:cs="Times New Roman"/>
          <w:b/>
          <w:bCs/>
          <w:color w:val="auto"/>
          <w:sz w:val="24"/>
          <w:szCs w:val="24"/>
          <w:highlight w:val="none"/>
        </w:rPr>
        <w:t>税费</w:t>
      </w:r>
      <w:bookmarkEnd w:id="125"/>
      <w:bookmarkEnd w:id="126"/>
      <w:bookmarkEnd w:id="127"/>
      <w:bookmarkEnd w:id="128"/>
      <w:bookmarkEnd w:id="129"/>
      <w:bookmarkEnd w:id="130"/>
      <w:bookmarkEnd w:id="131"/>
      <w:bookmarkEnd w:id="132"/>
      <w:bookmarkEnd w:id="133"/>
      <w:bookmarkEnd w:id="134"/>
      <w:bookmarkEnd w:id="135"/>
    </w:p>
    <w:p w14:paraId="59ACE10F">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国家根据现行税法对</w:t>
      </w:r>
      <w:r>
        <w:rPr>
          <w:rFonts w:hint="eastAsia" w:ascii="宋体" w:hAnsi="宋体" w:eastAsia="宋体" w:cs="Times New Roman"/>
          <w:b w:val="0"/>
          <w:bCs w:val="0"/>
          <w:color w:val="auto"/>
          <w:sz w:val="24"/>
          <w:szCs w:val="24"/>
          <w:highlight w:val="none"/>
          <w:lang w:val="en-US" w:eastAsia="zh-CN"/>
        </w:rPr>
        <w:t>中标</w:t>
      </w:r>
      <w:r>
        <w:rPr>
          <w:rFonts w:hint="eastAsia" w:ascii="宋体" w:hAnsi="宋体" w:eastAsia="宋体" w:cs="Times New Roman"/>
          <w:b w:val="0"/>
          <w:bCs w:val="0"/>
          <w:color w:val="auto"/>
          <w:sz w:val="24"/>
          <w:szCs w:val="24"/>
          <w:highlight w:val="none"/>
        </w:rPr>
        <w:t>人需执行合同的一切税费由承包人负担。</w:t>
      </w:r>
    </w:p>
    <w:p w14:paraId="180F21C0">
      <w:pPr>
        <w:kinsoku/>
        <w:overflowPunct/>
        <w:bidi w:val="0"/>
        <w:spacing w:line="360" w:lineRule="auto"/>
        <w:ind w:left="0" w:leftChars="0" w:right="0" w:rightChars="0" w:firstLine="437"/>
        <w:jc w:val="left"/>
        <w:outlineLvl w:val="2"/>
        <w:rPr>
          <w:rFonts w:hint="eastAsia" w:ascii="宋体" w:hAnsi="宋体" w:eastAsia="宋体" w:cs="Times New Roman"/>
          <w:b/>
          <w:bCs/>
          <w:color w:val="auto"/>
          <w:sz w:val="24"/>
          <w:szCs w:val="24"/>
          <w:highlight w:val="none"/>
        </w:rPr>
      </w:pPr>
      <w:bookmarkStart w:id="136" w:name="_Toc309383987"/>
      <w:bookmarkStart w:id="137" w:name="_Toc351022845"/>
      <w:bookmarkStart w:id="138" w:name="_Toc312229979"/>
      <w:bookmarkStart w:id="139" w:name="_Toc16325"/>
      <w:bookmarkStart w:id="140" w:name="_Toc353555611"/>
      <w:bookmarkStart w:id="141" w:name="_Toc306625580"/>
      <w:bookmarkStart w:id="142" w:name="_Toc309136425"/>
      <w:bookmarkStart w:id="143" w:name="_Toc509245057"/>
      <w:bookmarkStart w:id="144" w:name="_Toc354153680"/>
      <w:bookmarkStart w:id="145" w:name="_Toc306876536"/>
      <w:bookmarkStart w:id="146" w:name="_Toc3562124"/>
      <w:r>
        <w:rPr>
          <w:rFonts w:hint="eastAsia" w:ascii="宋体" w:hAnsi="宋体" w:eastAsia="宋体" w:cs="Times New Roman"/>
          <w:b/>
          <w:bCs/>
          <w:color w:val="auto"/>
          <w:sz w:val="24"/>
          <w:szCs w:val="24"/>
          <w:highlight w:val="none"/>
          <w:lang w:val="en-US" w:eastAsia="zh-CN"/>
        </w:rPr>
        <w:t>1.11</w:t>
      </w:r>
      <w:r>
        <w:rPr>
          <w:rFonts w:hint="eastAsia" w:ascii="宋体" w:hAnsi="宋体" w:eastAsia="宋体" w:cs="Times New Roman"/>
          <w:b/>
          <w:bCs/>
          <w:color w:val="auto"/>
          <w:sz w:val="24"/>
          <w:szCs w:val="24"/>
          <w:highlight w:val="none"/>
        </w:rPr>
        <w:t>不可抗力</w:t>
      </w:r>
      <w:bookmarkEnd w:id="136"/>
      <w:bookmarkEnd w:id="137"/>
      <w:bookmarkEnd w:id="138"/>
      <w:bookmarkEnd w:id="139"/>
      <w:bookmarkEnd w:id="140"/>
      <w:bookmarkEnd w:id="141"/>
      <w:bookmarkEnd w:id="142"/>
      <w:bookmarkEnd w:id="143"/>
      <w:bookmarkEnd w:id="144"/>
      <w:bookmarkEnd w:id="145"/>
      <w:bookmarkEnd w:id="146"/>
    </w:p>
    <w:p w14:paraId="51491291">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1.11.1</w:t>
      </w:r>
      <w:r>
        <w:rPr>
          <w:rFonts w:hint="eastAsia" w:ascii="宋体" w:hAnsi="宋体" w:eastAsia="宋体" w:cs="Times New Roman"/>
          <w:b w:val="0"/>
          <w:bCs w:val="0"/>
          <w:color w:val="auto"/>
          <w:sz w:val="24"/>
          <w:szCs w:val="24"/>
          <w:highlight w:val="none"/>
        </w:rPr>
        <w:t>如在合同履行期间受到不可抗力的影响导致不能按合同履行的，</w:t>
      </w:r>
      <w:r>
        <w:rPr>
          <w:rFonts w:hint="eastAsia" w:ascii="宋体" w:hAnsi="宋体" w:cs="Times New Roman"/>
          <w:b w:val="0"/>
          <w:bCs w:val="0"/>
          <w:color w:val="auto"/>
          <w:sz w:val="24"/>
          <w:szCs w:val="24"/>
          <w:highlight w:val="none"/>
          <w:lang w:val="en-US" w:eastAsia="zh-CN"/>
        </w:rPr>
        <w:t>中标</w:t>
      </w:r>
      <w:r>
        <w:rPr>
          <w:rFonts w:hint="eastAsia" w:ascii="宋体" w:hAnsi="宋体" w:eastAsia="宋体" w:cs="Times New Roman"/>
          <w:b w:val="0"/>
          <w:bCs w:val="0"/>
          <w:color w:val="auto"/>
          <w:sz w:val="24"/>
          <w:szCs w:val="24"/>
          <w:highlight w:val="none"/>
        </w:rPr>
        <w:t>人和</w:t>
      </w:r>
      <w:r>
        <w:rPr>
          <w:rFonts w:hint="eastAsia" w:ascii="宋体" w:hAnsi="宋体" w:cs="Times New Roman"/>
          <w:b w:val="0"/>
          <w:bCs w:val="0"/>
          <w:color w:val="auto"/>
          <w:sz w:val="24"/>
          <w:szCs w:val="24"/>
          <w:highlight w:val="none"/>
          <w:lang w:val="en-US" w:eastAsia="zh-CN"/>
        </w:rPr>
        <w:t>招标人</w:t>
      </w:r>
      <w:r>
        <w:rPr>
          <w:rFonts w:hint="eastAsia" w:ascii="宋体" w:hAnsi="宋体" w:eastAsia="宋体" w:cs="Times New Roman"/>
          <w:b w:val="0"/>
          <w:bCs w:val="0"/>
          <w:color w:val="auto"/>
          <w:sz w:val="24"/>
          <w:szCs w:val="24"/>
          <w:highlight w:val="none"/>
        </w:rPr>
        <w:t>均不须承担责任。不可抗力是指双方不能预见，不能避免并不能克服的客观情况。由于乙方雇用的人员的罢工、怠工、骚乱或事故不属不可抗力。</w:t>
      </w:r>
    </w:p>
    <w:p w14:paraId="60224DBD">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1.11.2</w:t>
      </w:r>
      <w:r>
        <w:rPr>
          <w:rFonts w:hint="eastAsia" w:ascii="宋体" w:hAnsi="宋体" w:eastAsia="宋体" w:cs="Times New Roman"/>
          <w:b w:val="0"/>
          <w:bCs w:val="0"/>
          <w:color w:val="auto"/>
          <w:sz w:val="24"/>
          <w:szCs w:val="24"/>
          <w:highlight w:val="none"/>
        </w:rPr>
        <w:t>通知：若任何时间发生不可抗力，受不可抗力影响的一方应尽快将该等事件通知另外一方，并提供相关的权威机构出具的有效的证明文件，证明该等事件确曾发生。受不可抗力影响的一方须对如何减低此不可抗力事件的影响提出建议，连同通知一并递交另外一方。</w:t>
      </w:r>
    </w:p>
    <w:p w14:paraId="7CEE552B">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1.11.3</w:t>
      </w:r>
      <w:r>
        <w:rPr>
          <w:rFonts w:hint="eastAsia" w:ascii="宋体" w:hAnsi="宋体" w:eastAsia="宋体" w:cs="Times New Roman"/>
          <w:b w:val="0"/>
          <w:bCs w:val="0"/>
          <w:color w:val="auto"/>
          <w:sz w:val="24"/>
          <w:szCs w:val="24"/>
          <w:highlight w:val="none"/>
        </w:rPr>
        <w:t>乙方及业主应就该等事件进行友好协商，以促使项目尽快恢复正常营运，并减少任何因而产生的开支。</w:t>
      </w:r>
    </w:p>
    <w:p w14:paraId="1CFF26DA">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1.11.4</w:t>
      </w:r>
      <w:r>
        <w:rPr>
          <w:rFonts w:hint="eastAsia" w:ascii="宋体" w:hAnsi="宋体" w:eastAsia="宋体" w:cs="Times New Roman"/>
          <w:b w:val="0"/>
          <w:bCs w:val="0"/>
          <w:color w:val="auto"/>
          <w:sz w:val="24"/>
          <w:szCs w:val="24"/>
          <w:highlight w:val="none"/>
        </w:rPr>
        <w:t>乙方须尽最大努力克服该等事件的影响，并及时采取有效的措施减少该等事件造成的损失进一步扩大。</w:t>
      </w:r>
    </w:p>
    <w:p w14:paraId="5904127E">
      <w:pPr>
        <w:kinsoku/>
        <w:overflowPunct/>
        <w:bidi w:val="0"/>
        <w:spacing w:line="360" w:lineRule="auto"/>
        <w:ind w:left="0" w:leftChars="0" w:right="0" w:rightChars="0" w:firstLine="437" w:firstLineChars="0"/>
        <w:jc w:val="left"/>
        <w:outlineLvl w:val="2"/>
        <w:rPr>
          <w:rFonts w:hint="eastAsia" w:ascii="宋体" w:hAnsi="宋体" w:eastAsia="宋体" w:cs="Times New Roman"/>
          <w:b/>
          <w:bCs/>
          <w:color w:val="auto"/>
          <w:sz w:val="24"/>
          <w:szCs w:val="24"/>
          <w:highlight w:val="none"/>
        </w:rPr>
      </w:pPr>
      <w:bookmarkStart w:id="147" w:name="_Toc509245058"/>
      <w:bookmarkStart w:id="148" w:name="_Toc26804"/>
      <w:bookmarkStart w:id="149" w:name="_Toc306876537"/>
      <w:bookmarkStart w:id="150" w:name="_Toc309136426"/>
      <w:bookmarkStart w:id="151" w:name="_Toc351022846"/>
      <w:bookmarkStart w:id="152" w:name="_Toc312229980"/>
      <w:bookmarkStart w:id="153" w:name="_Toc306625581"/>
      <w:bookmarkStart w:id="154" w:name="_Toc354153681"/>
      <w:bookmarkStart w:id="155" w:name="_Toc309383988"/>
      <w:bookmarkStart w:id="156" w:name="_Toc3562125"/>
      <w:bookmarkStart w:id="157" w:name="_Toc353555612"/>
      <w:r>
        <w:rPr>
          <w:rFonts w:hint="eastAsia" w:ascii="宋体" w:hAnsi="宋体" w:eastAsia="宋体" w:cs="Times New Roman"/>
          <w:b/>
          <w:bCs/>
          <w:color w:val="auto"/>
          <w:sz w:val="24"/>
          <w:szCs w:val="24"/>
          <w:highlight w:val="none"/>
          <w:lang w:val="en-US" w:eastAsia="zh-CN"/>
        </w:rPr>
        <w:t>1.12</w:t>
      </w:r>
      <w:r>
        <w:rPr>
          <w:rFonts w:hint="eastAsia" w:ascii="宋体" w:hAnsi="宋体" w:eastAsia="宋体" w:cs="Times New Roman"/>
          <w:b/>
          <w:bCs/>
          <w:color w:val="auto"/>
          <w:sz w:val="24"/>
          <w:szCs w:val="24"/>
          <w:highlight w:val="none"/>
        </w:rPr>
        <w:t>合同生效及终止</w:t>
      </w:r>
      <w:bookmarkEnd w:id="147"/>
      <w:bookmarkEnd w:id="148"/>
      <w:bookmarkEnd w:id="149"/>
      <w:bookmarkEnd w:id="150"/>
      <w:bookmarkEnd w:id="151"/>
      <w:bookmarkEnd w:id="152"/>
      <w:bookmarkEnd w:id="153"/>
      <w:bookmarkEnd w:id="154"/>
      <w:bookmarkEnd w:id="155"/>
      <w:bookmarkEnd w:id="156"/>
      <w:bookmarkEnd w:id="157"/>
    </w:p>
    <w:p w14:paraId="12536DAC">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1.12.1</w:t>
      </w:r>
      <w:r>
        <w:rPr>
          <w:rFonts w:hint="eastAsia" w:ascii="宋体" w:hAnsi="宋体" w:eastAsia="宋体" w:cs="Times New Roman"/>
          <w:b w:val="0"/>
          <w:bCs w:val="0"/>
          <w:color w:val="auto"/>
          <w:sz w:val="24"/>
          <w:szCs w:val="24"/>
          <w:highlight w:val="none"/>
        </w:rPr>
        <w:t>本合同在双方签字后成立，并在乙方提交履约保证金给</w:t>
      </w:r>
      <w:r>
        <w:rPr>
          <w:rFonts w:hint="eastAsia" w:ascii="宋体" w:hAnsi="宋体" w:cs="Times New Roman"/>
          <w:b w:val="0"/>
          <w:bCs w:val="0"/>
          <w:color w:val="auto"/>
          <w:sz w:val="24"/>
          <w:szCs w:val="24"/>
          <w:highlight w:val="none"/>
          <w:lang w:val="en-US" w:eastAsia="zh-CN"/>
        </w:rPr>
        <w:t>招标人</w:t>
      </w:r>
      <w:r>
        <w:rPr>
          <w:rFonts w:hint="eastAsia" w:ascii="宋体" w:hAnsi="宋体" w:eastAsia="宋体" w:cs="Times New Roman"/>
          <w:b w:val="0"/>
          <w:bCs w:val="0"/>
          <w:color w:val="auto"/>
          <w:sz w:val="24"/>
          <w:szCs w:val="24"/>
          <w:highlight w:val="none"/>
        </w:rPr>
        <w:t>，并经</w:t>
      </w:r>
      <w:r>
        <w:rPr>
          <w:rFonts w:hint="eastAsia" w:ascii="宋体" w:hAnsi="宋体" w:cs="Times New Roman"/>
          <w:b w:val="0"/>
          <w:bCs w:val="0"/>
          <w:color w:val="auto"/>
          <w:sz w:val="24"/>
          <w:szCs w:val="24"/>
          <w:highlight w:val="none"/>
          <w:lang w:val="en-US" w:eastAsia="zh-CN"/>
        </w:rPr>
        <w:t>招标人</w:t>
      </w:r>
      <w:r>
        <w:rPr>
          <w:rFonts w:hint="eastAsia" w:ascii="宋体" w:hAnsi="宋体" w:eastAsia="宋体" w:cs="Times New Roman"/>
          <w:b w:val="0"/>
          <w:bCs w:val="0"/>
          <w:color w:val="auto"/>
          <w:sz w:val="24"/>
          <w:szCs w:val="24"/>
          <w:highlight w:val="none"/>
        </w:rPr>
        <w:t>确认后生效。</w:t>
      </w:r>
    </w:p>
    <w:p w14:paraId="1CD1E9FD">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lang w:val="en-US" w:eastAsia="zh-CN"/>
        </w:rPr>
        <w:t>1.12.2</w:t>
      </w:r>
      <w:r>
        <w:rPr>
          <w:rFonts w:hint="eastAsia" w:ascii="宋体" w:hAnsi="宋体" w:eastAsia="宋体" w:cs="Times New Roman"/>
          <w:b w:val="0"/>
          <w:bCs w:val="0"/>
          <w:color w:val="auto"/>
          <w:sz w:val="24"/>
          <w:szCs w:val="24"/>
          <w:highlight w:val="none"/>
        </w:rPr>
        <w:t>本合同因下列情况终止：</w:t>
      </w:r>
    </w:p>
    <w:p w14:paraId="4CFD01B4">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合同期满；</w:t>
      </w:r>
    </w:p>
    <w:p w14:paraId="21A20E24">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乙方出现资不抵债或无力履行合同或进入破产程序的情况，甲方有权通知乙方提前终止本合同。</w:t>
      </w:r>
    </w:p>
    <w:p w14:paraId="182E5036">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合同期间乙方无故并蓄意放弃</w:t>
      </w:r>
      <w:r>
        <w:rPr>
          <w:rFonts w:hint="eastAsia" w:ascii="宋体" w:hAnsi="宋体" w:cs="Times New Roman"/>
          <w:b w:val="0"/>
          <w:bCs w:val="0"/>
          <w:color w:val="auto"/>
          <w:sz w:val="24"/>
          <w:szCs w:val="24"/>
          <w:highlight w:val="none"/>
          <w:lang w:val="en-US" w:eastAsia="zh-CN"/>
        </w:rPr>
        <w:t>巡检维护</w:t>
      </w:r>
      <w:r>
        <w:rPr>
          <w:rFonts w:hint="eastAsia" w:ascii="宋体" w:hAnsi="宋体" w:eastAsia="宋体" w:cs="Times New Roman"/>
          <w:b w:val="0"/>
          <w:bCs w:val="0"/>
          <w:color w:val="auto"/>
          <w:sz w:val="24"/>
          <w:szCs w:val="24"/>
          <w:highlight w:val="none"/>
        </w:rPr>
        <w:t>服务的义务，甲方有权通知乙方提前终止本合同。</w:t>
      </w:r>
    </w:p>
    <w:p w14:paraId="0C5DEA9A">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乙方出现违约情况，经甲方发出书面警告或限期改正通知后十四天内没有采取有效的补救措施，或者采取的补救措施不能消除该违约情况，甲方有权通知乙方提前终止本合同。</w:t>
      </w:r>
    </w:p>
    <w:p w14:paraId="2708981D">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如果由中标人违约或疏忽行为所导致停工，未能进行正常的</w:t>
      </w:r>
      <w:r>
        <w:rPr>
          <w:rFonts w:hint="eastAsia" w:ascii="宋体" w:hAnsi="宋体" w:cs="Times New Roman"/>
          <w:b w:val="0"/>
          <w:bCs w:val="0"/>
          <w:color w:val="auto"/>
          <w:sz w:val="24"/>
          <w:szCs w:val="24"/>
          <w:highlight w:val="none"/>
          <w:lang w:val="en-US" w:eastAsia="zh-CN"/>
        </w:rPr>
        <w:t>巡检维护</w:t>
      </w:r>
      <w:r>
        <w:rPr>
          <w:rFonts w:hint="eastAsia" w:ascii="宋体" w:hAnsi="宋体" w:eastAsia="宋体" w:cs="Times New Roman"/>
          <w:b w:val="0"/>
          <w:bCs w:val="0"/>
          <w:color w:val="auto"/>
          <w:sz w:val="24"/>
          <w:szCs w:val="24"/>
          <w:highlight w:val="none"/>
        </w:rPr>
        <w:t>服务工作，造成停工时间持续超过一个月，业主有权终止本合同。</w:t>
      </w:r>
    </w:p>
    <w:p w14:paraId="28056603">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业主与乙方协议一致提前终止；</w:t>
      </w:r>
    </w:p>
    <w:p w14:paraId="42373758">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乙方因违法经营被吊销《公司法人营业执照》，而乙方因此提起诉讼，最终未能决定予以撤销吊销决定的；</w:t>
      </w:r>
    </w:p>
    <w:p w14:paraId="687E86E4">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在合同期间，因发生不可抗力或者其他非乙方可以控制的事件，致使乙方无法继续经营时，乙方可以在不可抗力或不可控制事件发生后60天内与业主进行协商，经业主同意可提前终止。</w:t>
      </w:r>
    </w:p>
    <w:p w14:paraId="530A3A71">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本合同规定的提前终止的情况发生。</w:t>
      </w:r>
    </w:p>
    <w:p w14:paraId="605B4CC7">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cs="Times New Roman"/>
          <w:b w:val="0"/>
          <w:bCs w:val="0"/>
          <w:color w:val="auto"/>
          <w:sz w:val="24"/>
          <w:szCs w:val="24"/>
          <w:highlight w:val="none"/>
          <w:lang w:eastAsia="zh-CN"/>
        </w:rPr>
        <w:t>（</w:t>
      </w:r>
      <w:r>
        <w:rPr>
          <w:rFonts w:hint="eastAsia" w:ascii="宋体" w:hAnsi="宋体" w:cs="Times New Roman"/>
          <w:b w:val="0"/>
          <w:bCs w:val="0"/>
          <w:color w:val="auto"/>
          <w:sz w:val="24"/>
          <w:szCs w:val="24"/>
          <w:highlight w:val="none"/>
          <w:lang w:val="en-US" w:eastAsia="zh-CN"/>
        </w:rPr>
        <w:t>1</w:t>
      </w:r>
      <w:r>
        <w:rPr>
          <w:rFonts w:hint="eastAsia" w:ascii="宋体" w:hAnsi="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rPr>
        <w:t>终止通知：提前终止时，一方应向另一方发出终止通知，说明终止合同的原因，如果因一方违约提前终止的，应说明违约的事件。</w:t>
      </w:r>
    </w:p>
    <w:p w14:paraId="226A06EF">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cs="Times New Roman"/>
          <w:b w:val="0"/>
          <w:bCs w:val="0"/>
          <w:color w:val="auto"/>
          <w:sz w:val="24"/>
          <w:szCs w:val="24"/>
          <w:highlight w:val="none"/>
          <w:lang w:eastAsia="zh-CN"/>
        </w:rPr>
        <w:t>（</w:t>
      </w:r>
      <w:r>
        <w:rPr>
          <w:rFonts w:hint="eastAsia" w:ascii="宋体" w:hAnsi="宋体" w:cs="Times New Roman"/>
          <w:b w:val="0"/>
          <w:bCs w:val="0"/>
          <w:color w:val="auto"/>
          <w:sz w:val="24"/>
          <w:szCs w:val="24"/>
          <w:highlight w:val="none"/>
          <w:lang w:val="en-US" w:eastAsia="zh-CN"/>
        </w:rPr>
        <w:t>2</w:t>
      </w:r>
      <w:r>
        <w:rPr>
          <w:rFonts w:hint="eastAsia" w:ascii="宋体" w:hAnsi="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rPr>
        <w:t>终止后果：本合同终止时乙方应自终止通知注明的日期开始向</w:t>
      </w:r>
      <w:r>
        <w:rPr>
          <w:rFonts w:hint="eastAsia" w:ascii="宋体" w:hAnsi="宋体" w:cs="Times New Roman"/>
          <w:b w:val="0"/>
          <w:bCs w:val="0"/>
          <w:color w:val="auto"/>
          <w:sz w:val="24"/>
          <w:szCs w:val="24"/>
          <w:highlight w:val="none"/>
          <w:lang w:val="en-US" w:eastAsia="zh-CN"/>
        </w:rPr>
        <w:t>招标人</w:t>
      </w:r>
      <w:r>
        <w:rPr>
          <w:rFonts w:hint="eastAsia" w:ascii="宋体" w:hAnsi="宋体" w:eastAsia="宋体" w:cs="Times New Roman"/>
          <w:b w:val="0"/>
          <w:bCs w:val="0"/>
          <w:color w:val="auto"/>
          <w:sz w:val="24"/>
          <w:szCs w:val="24"/>
          <w:highlight w:val="none"/>
        </w:rPr>
        <w:t>办理移交手续。</w:t>
      </w:r>
    </w:p>
    <w:p w14:paraId="0F085977">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cs="Times New Roman"/>
          <w:b w:val="0"/>
          <w:bCs w:val="0"/>
          <w:color w:val="auto"/>
          <w:sz w:val="24"/>
          <w:szCs w:val="24"/>
          <w:highlight w:val="none"/>
          <w:lang w:eastAsia="zh-CN"/>
        </w:rPr>
        <w:t>（</w:t>
      </w:r>
      <w:r>
        <w:rPr>
          <w:rFonts w:hint="eastAsia" w:ascii="宋体" w:hAnsi="宋体" w:cs="Times New Roman"/>
          <w:b w:val="0"/>
          <w:bCs w:val="0"/>
          <w:color w:val="auto"/>
          <w:sz w:val="24"/>
          <w:szCs w:val="24"/>
          <w:highlight w:val="none"/>
          <w:lang w:val="en-US" w:eastAsia="zh-CN"/>
        </w:rPr>
        <w:t>3</w:t>
      </w:r>
      <w:r>
        <w:rPr>
          <w:rFonts w:hint="eastAsia" w:ascii="宋体" w:hAnsi="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rPr>
        <w:t>本合同关于违约索赔和争议解决的条款，不因合同的终止而失去效力。</w:t>
      </w:r>
    </w:p>
    <w:p w14:paraId="35A99172">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cs="Times New Roman"/>
          <w:b w:val="0"/>
          <w:bCs w:val="0"/>
          <w:color w:val="auto"/>
          <w:sz w:val="24"/>
          <w:szCs w:val="24"/>
          <w:highlight w:val="none"/>
          <w:lang w:eastAsia="zh-CN"/>
        </w:rPr>
        <w:t>（</w:t>
      </w:r>
      <w:r>
        <w:rPr>
          <w:rFonts w:hint="eastAsia" w:ascii="宋体" w:hAnsi="宋体" w:cs="Times New Roman"/>
          <w:b w:val="0"/>
          <w:bCs w:val="0"/>
          <w:color w:val="auto"/>
          <w:sz w:val="24"/>
          <w:szCs w:val="24"/>
          <w:highlight w:val="none"/>
          <w:lang w:val="en-US" w:eastAsia="zh-CN"/>
        </w:rPr>
        <w:t>4</w:t>
      </w:r>
      <w:r>
        <w:rPr>
          <w:rFonts w:hint="eastAsia" w:ascii="宋体" w:hAnsi="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rPr>
        <w:t>义务不可免除：从本合同终止至乙方办理完移交手续并且质保期届满时止，乙方基于本合同项下的义务和责任不可免除。业主也应继续向乙方支付欠付的款项。因乙方违约造成本合同终止的，乙方应承担违约责任。</w:t>
      </w:r>
    </w:p>
    <w:p w14:paraId="330A2B21">
      <w:pPr>
        <w:kinsoku/>
        <w:overflowPunct/>
        <w:bidi w:val="0"/>
        <w:spacing w:line="360" w:lineRule="auto"/>
        <w:ind w:left="0" w:leftChars="0" w:right="0" w:rightChars="0" w:firstLine="437" w:firstLineChars="0"/>
        <w:jc w:val="left"/>
        <w:outlineLvl w:val="2"/>
        <w:rPr>
          <w:rFonts w:hint="eastAsia" w:ascii="宋体" w:hAnsi="宋体" w:eastAsia="宋体" w:cs="Times New Roman"/>
          <w:b/>
          <w:bCs/>
          <w:color w:val="auto"/>
          <w:sz w:val="24"/>
          <w:szCs w:val="24"/>
          <w:highlight w:val="none"/>
        </w:rPr>
      </w:pPr>
      <w:bookmarkStart w:id="158" w:name="_Toc353555614"/>
      <w:bookmarkStart w:id="159" w:name="_Toc3562126"/>
      <w:bookmarkStart w:id="160" w:name="_Toc306876539"/>
      <w:bookmarkStart w:id="161" w:name="_Toc509245059"/>
      <w:bookmarkStart w:id="162" w:name="_Toc351022848"/>
      <w:bookmarkStart w:id="163" w:name="_Toc306625583"/>
      <w:bookmarkStart w:id="164" w:name="_Toc312229982"/>
      <w:bookmarkStart w:id="165" w:name="_Toc309383990"/>
      <w:bookmarkStart w:id="166" w:name="_Toc354153683"/>
      <w:bookmarkStart w:id="167" w:name="_Toc309136428"/>
      <w:bookmarkStart w:id="168" w:name="_Toc11137"/>
      <w:r>
        <w:rPr>
          <w:rFonts w:hint="eastAsia" w:ascii="宋体" w:hAnsi="宋体" w:eastAsia="宋体" w:cs="Times New Roman"/>
          <w:b/>
          <w:bCs/>
          <w:color w:val="auto"/>
          <w:sz w:val="24"/>
          <w:szCs w:val="24"/>
          <w:highlight w:val="none"/>
          <w:lang w:val="en-US" w:eastAsia="zh-CN"/>
        </w:rPr>
        <w:t>1.13</w:t>
      </w:r>
      <w:r>
        <w:rPr>
          <w:rFonts w:hint="eastAsia" w:ascii="宋体" w:hAnsi="宋体" w:eastAsia="宋体" w:cs="Times New Roman"/>
          <w:b/>
          <w:bCs/>
          <w:color w:val="auto"/>
          <w:sz w:val="24"/>
          <w:szCs w:val="24"/>
          <w:highlight w:val="none"/>
        </w:rPr>
        <w:t>合同的变更</w:t>
      </w:r>
      <w:bookmarkEnd w:id="158"/>
      <w:bookmarkEnd w:id="159"/>
      <w:bookmarkEnd w:id="160"/>
      <w:bookmarkEnd w:id="161"/>
      <w:bookmarkEnd w:id="162"/>
      <w:bookmarkEnd w:id="163"/>
      <w:bookmarkEnd w:id="164"/>
      <w:bookmarkEnd w:id="165"/>
      <w:bookmarkEnd w:id="166"/>
      <w:bookmarkEnd w:id="167"/>
      <w:bookmarkEnd w:id="168"/>
    </w:p>
    <w:p w14:paraId="74676FF5">
      <w:pPr>
        <w:widowControl/>
        <w:numPr>
          <w:ilvl w:val="0"/>
          <w:numId w:val="0"/>
        </w:numPr>
        <w:kinsoku/>
        <w:overflowPunct/>
        <w:bidi w:val="0"/>
        <w:spacing w:line="360" w:lineRule="auto"/>
        <w:ind w:left="0" w:leftChars="0" w:right="0" w:rightChars="0" w:firstLine="435" w:firstLineChars="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本合同可由双方协商随时作出补充或修改，双方就有关补充或修改内容须达成书面协议并由双方签署方具法律效力。任何修改和补充的内容或协议均构成本合同的一部分。</w:t>
      </w:r>
    </w:p>
    <w:p w14:paraId="5C2807CC">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w:t>
      </w:r>
      <w:r>
        <w:rPr>
          <w:rFonts w:hint="eastAsia" w:ascii="宋体" w:hAnsi="宋体" w:cs="Times New Roman"/>
          <w:b/>
          <w:bCs/>
          <w:color w:val="auto"/>
          <w:sz w:val="24"/>
          <w:szCs w:val="24"/>
          <w:highlight w:val="none"/>
          <w:lang w:val="en-US" w:eastAsia="zh-CN"/>
        </w:rPr>
        <w:t>14</w:t>
      </w:r>
      <w:r>
        <w:rPr>
          <w:rFonts w:hint="eastAsia" w:ascii="宋体" w:hAnsi="宋体" w:eastAsia="宋体" w:cs="Times New Roman"/>
          <w:b/>
          <w:bCs/>
          <w:color w:val="auto"/>
          <w:sz w:val="24"/>
          <w:szCs w:val="24"/>
          <w:highlight w:val="none"/>
          <w:lang w:val="en-US" w:eastAsia="zh-CN"/>
        </w:rPr>
        <w:t>争议解决</w:t>
      </w:r>
    </w:p>
    <w:p w14:paraId="634998DE">
      <w:pPr>
        <w:kinsoku/>
        <w:overflowPunct/>
        <w:bidi w:val="0"/>
        <w:spacing w:line="360" w:lineRule="auto"/>
        <w:ind w:left="0" w:leftChars="0" w:right="0" w:rightChars="0"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种方式解决：</w:t>
      </w:r>
    </w:p>
    <w:p w14:paraId="792CB55D">
      <w:pPr>
        <w:kinsoku/>
        <w:overflowPunct/>
        <w:bidi w:val="0"/>
        <w:spacing w:line="360" w:lineRule="auto"/>
        <w:ind w:left="0" w:leftChars="0" w:right="0" w:rightChars="0"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14</w:t>
      </w:r>
      <w:r>
        <w:rPr>
          <w:rFonts w:hint="eastAsia" w:ascii="宋体" w:hAnsi="宋体" w:eastAsia="宋体" w:cs="Times New Roman"/>
          <w:color w:val="auto"/>
          <w:sz w:val="24"/>
          <w:szCs w:val="24"/>
          <w:highlight w:val="none"/>
        </w:rPr>
        <w:t>.1将争议提交</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滁州</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仲裁委员会依申请仲裁时其现行有效的仲裁规则裁决；</w:t>
      </w:r>
    </w:p>
    <w:p w14:paraId="37C0828D">
      <w:pPr>
        <w:kinsoku/>
        <w:overflowPunct/>
        <w:bidi w:val="0"/>
        <w:spacing w:line="360" w:lineRule="auto"/>
        <w:ind w:left="0" w:leftChars="0" w:right="0" w:rightChars="0"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14</w:t>
      </w:r>
      <w:r>
        <w:rPr>
          <w:rFonts w:hint="eastAsia" w:ascii="宋体" w:hAnsi="宋体" w:eastAsia="宋体" w:cs="Times New Roman"/>
          <w:color w:val="auto"/>
          <w:sz w:val="24"/>
          <w:szCs w:val="24"/>
          <w:highlight w:val="none"/>
        </w:rPr>
        <w:t>.2向</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甲方（招标人）所在地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人民法院起诉。</w:t>
      </w:r>
    </w:p>
    <w:p w14:paraId="6124BE86">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w:t>
      </w:r>
      <w:r>
        <w:rPr>
          <w:rFonts w:hint="eastAsia" w:ascii="宋体" w:hAnsi="宋体" w:cs="Times New Roman"/>
          <w:b/>
          <w:bCs/>
          <w:color w:val="auto"/>
          <w:sz w:val="24"/>
          <w:szCs w:val="24"/>
          <w:highlight w:val="none"/>
          <w:lang w:val="en-US" w:eastAsia="zh-CN"/>
        </w:rPr>
        <w:t>15</w:t>
      </w:r>
      <w:r>
        <w:rPr>
          <w:rFonts w:hint="eastAsia" w:ascii="宋体" w:hAnsi="宋体" w:eastAsia="宋体" w:cs="Times New Roman"/>
          <w:b/>
          <w:bCs/>
          <w:color w:val="auto"/>
          <w:sz w:val="24"/>
          <w:szCs w:val="24"/>
          <w:highlight w:val="none"/>
          <w:lang w:val="en-US" w:eastAsia="zh-CN"/>
        </w:rPr>
        <w:t>合同签订地点</w:t>
      </w:r>
    </w:p>
    <w:p w14:paraId="291C8A6F">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本合同在安徽省</w:t>
      </w:r>
      <w:r>
        <w:rPr>
          <w:rFonts w:hint="eastAsia" w:ascii="宋体" w:hAnsi="宋体" w:eastAsia="宋体" w:cs="Times New Roman"/>
          <w:color w:val="auto"/>
          <w:sz w:val="24"/>
          <w:szCs w:val="24"/>
          <w:highlight w:val="none"/>
          <w:u w:val="single"/>
          <w:lang w:val="en-US" w:eastAsia="zh-CN"/>
        </w:rPr>
        <w:t xml:space="preserve">  滁州市  </w:t>
      </w:r>
      <w:r>
        <w:rPr>
          <w:rFonts w:hint="eastAsia" w:ascii="宋体" w:hAnsi="宋体" w:eastAsia="宋体" w:cs="Times New Roman"/>
          <w:color w:val="auto"/>
          <w:sz w:val="24"/>
          <w:szCs w:val="24"/>
          <w:highlight w:val="none"/>
          <w:lang w:val="en-US" w:eastAsia="zh-CN"/>
        </w:rPr>
        <w:t>签订。</w:t>
      </w:r>
    </w:p>
    <w:p w14:paraId="5D900B9A">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lang w:val="en-US" w:eastAsia="zh-CN"/>
        </w:rPr>
        <w:t>1</w:t>
      </w:r>
      <w:r>
        <w:rPr>
          <w:rFonts w:hint="eastAsia" w:ascii="宋体" w:hAnsi="宋体" w:eastAsia="宋体" w:cs="Times New Roman"/>
          <w:b/>
          <w:bCs/>
          <w:color w:val="auto"/>
          <w:sz w:val="24"/>
          <w:szCs w:val="24"/>
          <w:highlight w:val="none"/>
          <w:lang w:val="en-US"/>
        </w:rPr>
        <w:t>.</w:t>
      </w:r>
      <w:r>
        <w:rPr>
          <w:rFonts w:hint="eastAsia" w:ascii="宋体" w:hAnsi="宋体" w:eastAsia="宋体" w:cs="Times New Roman"/>
          <w:b/>
          <w:bCs/>
          <w:color w:val="auto"/>
          <w:sz w:val="24"/>
          <w:szCs w:val="24"/>
          <w:highlight w:val="none"/>
          <w:lang w:val="en-US" w:eastAsia="zh-CN"/>
        </w:rPr>
        <w:t>1</w:t>
      </w:r>
      <w:r>
        <w:rPr>
          <w:rFonts w:hint="eastAsia" w:ascii="宋体" w:hAnsi="宋体" w:cs="Times New Roman"/>
          <w:b/>
          <w:bCs/>
          <w:color w:val="auto"/>
          <w:sz w:val="24"/>
          <w:szCs w:val="24"/>
          <w:highlight w:val="none"/>
          <w:lang w:val="en-US" w:eastAsia="zh-CN"/>
        </w:rPr>
        <w:t>6</w:t>
      </w:r>
      <w:r>
        <w:rPr>
          <w:rFonts w:hint="eastAsia" w:ascii="宋体" w:hAnsi="宋体" w:eastAsia="宋体" w:cs="Times New Roman"/>
          <w:b/>
          <w:bCs/>
          <w:color w:val="auto"/>
          <w:sz w:val="24"/>
          <w:szCs w:val="24"/>
          <w:highlight w:val="none"/>
          <w:lang w:val="en-US"/>
        </w:rPr>
        <w:t xml:space="preserve"> 履约保证金</w:t>
      </w:r>
    </w:p>
    <w:p w14:paraId="6AC09D71">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.1采购文件要求乙方提交履约保证金的，乙方应按</w:t>
      </w:r>
      <w:r>
        <w:rPr>
          <w:rFonts w:hint="eastAsia" w:ascii="宋体" w:hAnsi="宋体" w:eastAsia="宋体" w:cs="Times New Roman"/>
          <w:b w:val="0"/>
          <w:i w:val="0"/>
          <w:color w:val="auto"/>
          <w:sz w:val="24"/>
          <w:szCs w:val="24"/>
          <w:highlight w:val="none"/>
          <w:u w:val="none"/>
        </w:rPr>
        <w:t>合同</w:t>
      </w:r>
      <w:r>
        <w:rPr>
          <w:rFonts w:hint="eastAsia" w:ascii="宋体" w:hAnsi="宋体" w:eastAsia="宋体" w:cs="Times New Roman"/>
          <w:color w:val="auto"/>
          <w:sz w:val="24"/>
          <w:szCs w:val="24"/>
          <w:highlight w:val="none"/>
        </w:rPr>
        <w:t>约定的方式，以支票、汇票、本票或者金融机构、担保机构出具的保函等非现金形式提交；</w:t>
      </w:r>
    </w:p>
    <w:p w14:paraId="389A9450">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.2履约保证金在</w:t>
      </w:r>
      <w:r>
        <w:rPr>
          <w:rFonts w:hint="eastAsia" w:ascii="宋体" w:hAnsi="宋体" w:eastAsia="宋体" w:cs="Times New Roman"/>
          <w:b w:val="0"/>
          <w:i w:val="0"/>
          <w:color w:val="auto"/>
          <w:sz w:val="24"/>
          <w:szCs w:val="24"/>
          <w:highlight w:val="none"/>
          <w:u w:val="none"/>
        </w:rPr>
        <w:t>合同</w:t>
      </w:r>
      <w:r>
        <w:rPr>
          <w:rFonts w:hint="eastAsia" w:ascii="宋体" w:hAnsi="宋体" w:eastAsia="宋体" w:cs="Times New Roman"/>
          <w:color w:val="auto"/>
          <w:sz w:val="24"/>
          <w:szCs w:val="24"/>
          <w:highlight w:val="none"/>
        </w:rPr>
        <w:t>约定期间内不予退还或者应完全有效，前述约定期间届满之日起</w:t>
      </w:r>
      <w:r>
        <w:rPr>
          <w:rFonts w:hint="eastAsia" w:ascii="宋体" w:hAnsi="宋体" w:eastAsia="宋体" w:cs="Times New Roman"/>
          <w:color w:val="auto"/>
          <w:sz w:val="24"/>
          <w:szCs w:val="24"/>
          <w:highlight w:val="none"/>
          <w:u w:val="none"/>
          <w:lang w:val="en-US" w:eastAsia="zh-CN"/>
        </w:rPr>
        <w:t>5</w:t>
      </w:r>
      <w:r>
        <w:rPr>
          <w:rFonts w:hint="eastAsia" w:ascii="宋体" w:hAnsi="宋体" w:eastAsia="宋体" w:cs="Times New Roman"/>
          <w:color w:val="auto"/>
          <w:sz w:val="24"/>
          <w:szCs w:val="24"/>
          <w:highlight w:val="none"/>
        </w:rPr>
        <w:t>个工作日内，甲方应将履约保证金退还乙方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rPr>
        <w:t>逾期退还履约保证金</w:t>
      </w:r>
      <w:r>
        <w:rPr>
          <w:rFonts w:hint="eastAsia" w:ascii="宋体" w:hAnsi="宋体" w:eastAsia="宋体" w:cs="Times New Roman"/>
          <w:color w:val="auto"/>
          <w:sz w:val="24"/>
          <w:szCs w:val="24"/>
          <w:highlight w:val="none"/>
          <w:lang w:val="en-US" w:eastAsia="zh-CN"/>
        </w:rPr>
        <w:t>应承担违约责任。</w:t>
      </w:r>
    </w:p>
    <w:p w14:paraId="7BADFEBA">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1B7693C">
      <w:pPr>
        <w:kinsoku/>
        <w:overflowPunct/>
        <w:bidi w:val="0"/>
        <w:spacing w:line="360" w:lineRule="auto"/>
        <w:ind w:left="0" w:leftChars="0" w:right="0" w:rightChars="0" w:firstLine="437"/>
        <w:outlineLvl w:val="2"/>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1.1</w:t>
      </w:r>
      <w:r>
        <w:rPr>
          <w:rFonts w:hint="eastAsia" w:ascii="宋体" w:hAnsi="宋体" w:cs="Times New Roman"/>
          <w:b/>
          <w:bCs/>
          <w:color w:val="auto"/>
          <w:sz w:val="24"/>
          <w:szCs w:val="24"/>
          <w:highlight w:val="none"/>
          <w:lang w:val="en-US" w:eastAsia="zh-CN"/>
        </w:rPr>
        <w:t>7</w:t>
      </w:r>
      <w:r>
        <w:rPr>
          <w:rFonts w:hint="eastAsia" w:ascii="宋体" w:hAnsi="宋体" w:eastAsia="宋体" w:cs="Times New Roman"/>
          <w:b/>
          <w:bCs/>
          <w:color w:val="auto"/>
          <w:sz w:val="24"/>
          <w:szCs w:val="24"/>
          <w:highlight w:val="none"/>
          <w:lang w:val="en-US" w:eastAsia="zh-CN"/>
        </w:rPr>
        <w:t>其他条款</w:t>
      </w:r>
    </w:p>
    <w:p w14:paraId="18B173A7">
      <w:pPr>
        <w:kinsoku/>
        <w:overflowPunct/>
        <w:bidi w:val="0"/>
        <w:spacing w:line="360" w:lineRule="auto"/>
        <w:ind w:left="0" w:leftChars="0" w:right="0" w:rightChars="0" w:firstLine="435"/>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本合同自双方签字盖章之日起生效，一式四份，甲乙双方各执两份，具有同等法律效力。</w:t>
      </w:r>
    </w:p>
    <w:bookmarkEnd w:id="96"/>
    <w:bookmarkEnd w:id="97"/>
    <w:bookmarkEnd w:id="98"/>
    <w:p w14:paraId="6B014523">
      <w:pPr>
        <w:kinsoku/>
        <w:overflowPunct/>
        <w:autoSpaceDE w:val="0"/>
        <w:autoSpaceDN w:val="0"/>
        <w:bidi w:val="0"/>
        <w:adjustRightInd w:val="0"/>
        <w:spacing w:line="560" w:lineRule="exact"/>
        <w:ind w:left="0" w:leftChars="0" w:right="0" w:rightChars="0"/>
        <w:rPr>
          <w:rFonts w:ascii="宋体" w:hAnsi="宋体" w:eastAsia="宋体" w:cs="Times New Roman"/>
          <w:color w:val="auto"/>
          <w:sz w:val="24"/>
          <w:szCs w:val="24"/>
          <w:highlight w:val="none"/>
          <w:lang w:val="zh-CN"/>
        </w:rPr>
      </w:pPr>
    </w:p>
    <w:p w14:paraId="6152A151">
      <w:pPr>
        <w:kinsoku/>
        <w:overflowPunct/>
        <w:autoSpaceDE w:val="0"/>
        <w:autoSpaceDN w:val="0"/>
        <w:bidi w:val="0"/>
        <w:adjustRightInd w:val="0"/>
        <w:spacing w:line="560" w:lineRule="exact"/>
        <w:ind w:left="0" w:leftChars="0" w:right="0" w:rightChars="0"/>
        <w:rPr>
          <w:rFonts w:ascii="宋体" w:hAnsi="宋体" w:eastAsia="宋体" w:cs="Times New Roman"/>
          <w:color w:val="auto"/>
          <w:sz w:val="24"/>
          <w:szCs w:val="24"/>
          <w:highlight w:val="none"/>
          <w:lang w:val="zh-CN"/>
        </w:rPr>
      </w:pPr>
    </w:p>
    <w:p w14:paraId="2A8CF61D">
      <w:pPr>
        <w:kinsoku/>
        <w:overflowPunct/>
        <w:autoSpaceDE w:val="0"/>
        <w:autoSpaceDN w:val="0"/>
        <w:bidi w:val="0"/>
        <w:adjustRightInd w:val="0"/>
        <w:spacing w:line="560" w:lineRule="exact"/>
        <w:ind w:left="0" w:leftChars="0" w:right="0" w:rightChars="0"/>
        <w:rPr>
          <w:rFonts w:ascii="宋体" w:hAnsi="宋体" w:eastAsia="宋体" w:cs="Times New Roman"/>
          <w:color w:val="auto"/>
          <w:sz w:val="24"/>
          <w:szCs w:val="24"/>
          <w:highlight w:val="none"/>
          <w:lang w:val="zh-CN"/>
        </w:rPr>
      </w:pPr>
    </w:p>
    <w:p w14:paraId="75D8F870">
      <w:pPr>
        <w:kinsoku/>
        <w:overflowPunct/>
        <w:autoSpaceDE w:val="0"/>
        <w:autoSpaceDN w:val="0"/>
        <w:bidi w:val="0"/>
        <w:adjustRightInd w:val="0"/>
        <w:spacing w:line="560" w:lineRule="exact"/>
        <w:ind w:left="0" w:leftChars="0" w:right="0" w:rightChars="0"/>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4E582E50">
      <w:pPr>
        <w:kinsoku/>
        <w:overflowPunct/>
        <w:autoSpaceDE w:val="0"/>
        <w:autoSpaceDN w:val="0"/>
        <w:bidi w:val="0"/>
        <w:adjustRightInd w:val="0"/>
        <w:spacing w:line="560" w:lineRule="exact"/>
        <w:ind w:left="0" w:leftChars="0" w:right="0" w:rightChars="0"/>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46252299">
      <w:pPr>
        <w:kinsoku/>
        <w:overflowPunct/>
        <w:autoSpaceDE w:val="0"/>
        <w:autoSpaceDN w:val="0"/>
        <w:bidi w:val="0"/>
        <w:adjustRightInd w:val="0"/>
        <w:spacing w:line="560" w:lineRule="exact"/>
        <w:ind w:left="0" w:leftChars="0" w:right="0" w:rightChars="0"/>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3E4983AC">
      <w:pPr>
        <w:widowControl/>
        <w:kinsoku/>
        <w:overflowPunct/>
        <w:bidi w:val="0"/>
        <w:spacing w:line="560" w:lineRule="exact"/>
        <w:ind w:left="0" w:leftChars="0" w:right="0" w:rightChars="0"/>
        <w:jc w:val="left"/>
        <w:rPr>
          <w:rFonts w:ascii="宋体" w:hAnsi="宋体" w:eastAsia="宋体" w:cs="Times New Roman"/>
          <w:bCs/>
          <w:color w:val="auto"/>
          <w:sz w:val="24"/>
          <w:szCs w:val="24"/>
          <w:highlight w:val="none"/>
        </w:rPr>
      </w:pPr>
      <w:bookmarkStart w:id="169"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05C48942">
      <w:pPr>
        <w:kinsoku/>
        <w:overflowPunct/>
        <w:bidi w:val="0"/>
        <w:spacing w:line="560" w:lineRule="exact"/>
        <w:ind w:left="0" w:leftChars="0" w:right="0" w:rightChars="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bookmarkStart w:id="170" w:name="_Hlk110099149"/>
      <w:r>
        <w:rPr>
          <w:rFonts w:hint="eastAsia" w:ascii="宋体" w:hAnsi="宋体" w:eastAsia="宋体"/>
          <w:color w:val="auto"/>
          <w:sz w:val="24"/>
          <w:szCs w:val="24"/>
          <w:highlight w:val="none"/>
          <w:u w:val="single"/>
        </w:rPr>
        <w:t xml:space="preserve">     </w:t>
      </w:r>
    </w:p>
    <w:bookmarkEnd w:id="169"/>
    <w:bookmarkEnd w:id="170"/>
    <w:p w14:paraId="5FA914CA">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Times New Roman" w:eastAsia="宋体" w:cs="Times New Roman"/>
          <w:b/>
          <w:bCs w:val="0"/>
          <w:color w:val="auto"/>
          <w:kern w:val="2"/>
          <w:sz w:val="32"/>
          <w:szCs w:val="32"/>
          <w:highlight w:val="none"/>
          <w:lang w:val="en-US" w:eastAsia="zh-CN" w:bidi="ar-SA"/>
        </w:rPr>
      </w:pPr>
      <w:r>
        <w:rPr>
          <w:rFonts w:ascii="宋体" w:hAnsi="宋体" w:eastAsia="宋体" w:cs="Times New Roman"/>
          <w:color w:val="auto"/>
          <w:sz w:val="24"/>
          <w:szCs w:val="24"/>
          <w:highlight w:val="none"/>
        </w:rPr>
        <w:br w:type="page"/>
      </w:r>
    </w:p>
    <w:p w14:paraId="3DFA671C">
      <w:pPr>
        <w:shd w:val="clear"/>
        <w:kinsoku/>
        <w:overflowPunct/>
        <w:bidi w:val="0"/>
        <w:ind w:left="0" w:leftChars="0" w:right="0" w:rightChars="0"/>
        <w:rPr>
          <w:color w:val="auto"/>
          <w:highlight w:val="none"/>
        </w:rPr>
      </w:pPr>
    </w:p>
    <w:p w14:paraId="457DE694">
      <w:pPr>
        <w:pStyle w:val="2"/>
        <w:shd w:val="clear"/>
        <w:kinsoku/>
        <w:overflowPunct/>
        <w:bidi w:val="0"/>
        <w:ind w:left="0" w:leftChars="0" w:right="0" w:rightChars="0"/>
        <w:rPr>
          <w:color w:val="auto"/>
          <w:highlight w:val="none"/>
        </w:rPr>
      </w:pPr>
      <w:bookmarkStart w:id="171" w:name="_Toc8628"/>
      <w:r>
        <w:rPr>
          <w:rFonts w:hint="eastAsia"/>
          <w:color w:val="auto"/>
          <w:highlight w:val="none"/>
        </w:rPr>
        <w:t>第六章  投标文件格式</w:t>
      </w:r>
      <w:bookmarkEnd w:id="94"/>
      <w:bookmarkEnd w:id="171"/>
    </w:p>
    <w:p w14:paraId="39818888">
      <w:pPr>
        <w:shd w:val="clear"/>
        <w:kinsoku/>
        <w:overflowPunct/>
        <w:bidi w:val="0"/>
        <w:ind w:left="0" w:leftChars="0" w:right="0" w:rightChars="0"/>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2D44B8D0">
      <w:pPr>
        <w:shd w:val="clear"/>
        <w:kinsoku/>
        <w:overflowPunct/>
        <w:bidi w:val="0"/>
        <w:ind w:left="0" w:leftChars="0" w:right="0" w:rightChars="0"/>
        <w:jc w:val="center"/>
        <w:rPr>
          <w:rFonts w:eastAsia="黑体"/>
          <w:color w:val="auto"/>
          <w:sz w:val="20"/>
          <w:highlight w:val="none"/>
        </w:rPr>
      </w:pPr>
    </w:p>
    <w:p w14:paraId="16758330">
      <w:pPr>
        <w:shd w:val="clear"/>
        <w:kinsoku/>
        <w:overflowPunct/>
        <w:bidi w:val="0"/>
        <w:ind w:left="0" w:leftChars="0" w:right="0" w:rightChars="0"/>
        <w:rPr>
          <w:rFonts w:eastAsia="黑体"/>
          <w:color w:val="auto"/>
          <w:sz w:val="20"/>
          <w:highlight w:val="none"/>
        </w:rPr>
      </w:pPr>
    </w:p>
    <w:p w14:paraId="3838E293">
      <w:pPr>
        <w:shd w:val="clear"/>
        <w:kinsoku/>
        <w:overflowPunct/>
        <w:bidi w:val="0"/>
        <w:ind w:left="0" w:leftChars="0" w:right="0" w:rightChars="0"/>
        <w:jc w:val="center"/>
        <w:rPr>
          <w:rFonts w:ascii="宋体"/>
          <w:b/>
          <w:color w:val="auto"/>
          <w:sz w:val="44"/>
          <w:szCs w:val="44"/>
          <w:highlight w:val="none"/>
        </w:rPr>
      </w:pPr>
      <w:bookmarkStart w:id="172" w:name="_Toc449028949"/>
      <w:bookmarkStart w:id="173" w:name="_Toc350698753"/>
      <w:r>
        <w:rPr>
          <w:rFonts w:hint="eastAsia" w:ascii="宋体"/>
          <w:b/>
          <w:color w:val="auto"/>
          <w:sz w:val="44"/>
          <w:szCs w:val="44"/>
          <w:highlight w:val="none"/>
        </w:rPr>
        <w:t>资信证明文件</w:t>
      </w:r>
      <w:bookmarkEnd w:id="172"/>
      <w:bookmarkEnd w:id="173"/>
    </w:p>
    <w:p w14:paraId="52106849">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rPr>
        <w:t>（投标文件一）</w:t>
      </w:r>
    </w:p>
    <w:p w14:paraId="0C7077DB">
      <w:pPr>
        <w:shd w:val="clear"/>
        <w:kinsoku/>
        <w:overflowPunct/>
        <w:bidi w:val="0"/>
        <w:ind w:left="0" w:leftChars="0" w:right="0" w:rightChars="0"/>
        <w:jc w:val="center"/>
        <w:rPr>
          <w:rFonts w:eastAsia="黑体"/>
          <w:color w:val="auto"/>
          <w:sz w:val="44"/>
          <w:szCs w:val="44"/>
          <w:highlight w:val="none"/>
        </w:rPr>
      </w:pPr>
    </w:p>
    <w:p w14:paraId="354E1FB8">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CEDA6D3">
      <w:pPr>
        <w:shd w:val="clear"/>
        <w:kinsoku/>
        <w:overflowPunct/>
        <w:bidi w:val="0"/>
        <w:ind w:left="0" w:leftChars="0" w:right="0" w:rightChars="0"/>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F4017B9">
      <w:pPr>
        <w:shd w:val="clear"/>
        <w:kinsoku/>
        <w:overflowPunct/>
        <w:bidi w:val="0"/>
        <w:ind w:left="0" w:leftChars="0" w:right="0" w:rightChars="0"/>
        <w:rPr>
          <w:rFonts w:ascii="宋体"/>
          <w:color w:val="auto"/>
          <w:sz w:val="28"/>
          <w:szCs w:val="28"/>
          <w:highlight w:val="none"/>
        </w:rPr>
      </w:pPr>
    </w:p>
    <w:p w14:paraId="236710E5">
      <w:pPr>
        <w:shd w:val="clear"/>
        <w:kinsoku/>
        <w:overflowPunct/>
        <w:bidi w:val="0"/>
        <w:ind w:left="0" w:leftChars="0" w:right="0" w:rightChars="0"/>
        <w:rPr>
          <w:rFonts w:ascii="宋体"/>
          <w:color w:val="auto"/>
          <w:sz w:val="28"/>
          <w:szCs w:val="28"/>
          <w:highlight w:val="none"/>
        </w:rPr>
      </w:pPr>
    </w:p>
    <w:p w14:paraId="3FF73A11">
      <w:pPr>
        <w:shd w:val="clear"/>
        <w:kinsoku/>
        <w:overflowPunct/>
        <w:bidi w:val="0"/>
        <w:ind w:left="0" w:leftChars="0" w:right="0" w:rightChars="0"/>
        <w:rPr>
          <w:rFonts w:ascii="宋体"/>
          <w:color w:val="auto"/>
          <w:sz w:val="28"/>
          <w:szCs w:val="28"/>
          <w:highlight w:val="none"/>
        </w:rPr>
      </w:pPr>
    </w:p>
    <w:p w14:paraId="18D99A30">
      <w:pPr>
        <w:shd w:val="clear"/>
        <w:kinsoku/>
        <w:overflowPunct/>
        <w:bidi w:val="0"/>
        <w:ind w:left="0" w:leftChars="0" w:right="0" w:rightChars="0"/>
        <w:rPr>
          <w:rFonts w:ascii="宋体"/>
          <w:color w:val="auto"/>
          <w:sz w:val="28"/>
          <w:szCs w:val="28"/>
          <w:highlight w:val="none"/>
        </w:rPr>
      </w:pPr>
    </w:p>
    <w:p w14:paraId="4255A2F0">
      <w:pPr>
        <w:shd w:val="clear"/>
        <w:kinsoku/>
        <w:overflowPunct/>
        <w:bidi w:val="0"/>
        <w:ind w:left="0" w:leftChars="0" w:right="0" w:rightChars="0"/>
        <w:rPr>
          <w:rFonts w:ascii="宋体"/>
          <w:color w:val="auto"/>
          <w:sz w:val="28"/>
          <w:szCs w:val="28"/>
          <w:highlight w:val="none"/>
        </w:rPr>
      </w:pPr>
    </w:p>
    <w:p w14:paraId="5423F851">
      <w:pPr>
        <w:shd w:val="clear"/>
        <w:kinsoku/>
        <w:overflowPunct/>
        <w:bidi w:val="0"/>
        <w:ind w:left="0" w:leftChars="0" w:right="0" w:rightChars="0"/>
        <w:rPr>
          <w:rFonts w:ascii="宋体"/>
          <w:color w:val="auto"/>
          <w:sz w:val="28"/>
          <w:szCs w:val="28"/>
          <w:highlight w:val="none"/>
        </w:rPr>
      </w:pPr>
    </w:p>
    <w:p w14:paraId="666E7538">
      <w:pPr>
        <w:shd w:val="clear"/>
        <w:kinsoku/>
        <w:overflowPunct/>
        <w:bidi w:val="0"/>
        <w:ind w:left="0" w:leftChars="0" w:right="0" w:rightChars="0"/>
        <w:rPr>
          <w:rFonts w:ascii="宋体"/>
          <w:color w:val="auto"/>
          <w:sz w:val="28"/>
          <w:szCs w:val="28"/>
          <w:highlight w:val="none"/>
        </w:rPr>
      </w:pPr>
    </w:p>
    <w:p w14:paraId="17D5CAB8">
      <w:pPr>
        <w:shd w:val="clear"/>
        <w:kinsoku/>
        <w:overflowPunct/>
        <w:bidi w:val="0"/>
        <w:ind w:left="0" w:leftChars="0" w:right="0" w:rightChars="0"/>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7FA08363">
      <w:pPr>
        <w:shd w:val="clear"/>
        <w:kinsoku/>
        <w:overflowPunct/>
        <w:bidi w:val="0"/>
        <w:ind w:left="0" w:leftChars="0" w:right="0" w:rightChars="0"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B89275E">
      <w:pPr>
        <w:shd w:val="clear"/>
        <w:kinsoku/>
        <w:overflowPunct/>
        <w:bidi w:val="0"/>
        <w:ind w:left="0" w:leftChars="0" w:right="0" w:rightChars="0"/>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940778D">
      <w:pPr>
        <w:shd w:val="clear"/>
        <w:kinsoku/>
        <w:overflowPunct/>
        <w:bidi w:val="0"/>
        <w:spacing w:line="720" w:lineRule="auto"/>
        <w:ind w:left="0" w:leftChars="0" w:right="0" w:rightChars="0"/>
        <w:jc w:val="center"/>
        <w:rPr>
          <w:rFonts w:ascii="宋体"/>
          <w:b/>
          <w:color w:val="auto"/>
          <w:sz w:val="36"/>
          <w:szCs w:val="36"/>
          <w:highlight w:val="none"/>
        </w:rPr>
      </w:pPr>
    </w:p>
    <w:p w14:paraId="4406A234">
      <w:pPr>
        <w:shd w:val="clear"/>
        <w:kinsoku/>
        <w:overflowPunct/>
        <w:bidi w:val="0"/>
        <w:spacing w:line="400" w:lineRule="exact"/>
        <w:ind w:left="0" w:leftChars="0" w:right="0" w:rightChars="0" w:firstLine="4130" w:firstLineChars="935"/>
        <w:rPr>
          <w:b/>
          <w:color w:val="auto"/>
          <w:sz w:val="44"/>
          <w:szCs w:val="44"/>
          <w:highlight w:val="none"/>
        </w:rPr>
      </w:pPr>
    </w:p>
    <w:p w14:paraId="6891E8D5">
      <w:pPr>
        <w:pStyle w:val="33"/>
        <w:shd w:val="clear"/>
        <w:kinsoku/>
        <w:overflowPunct/>
        <w:bidi w:val="0"/>
        <w:ind w:left="0" w:leftChars="0" w:right="0" w:rightChars="0" w:firstLine="210"/>
        <w:rPr>
          <w:color w:val="auto"/>
          <w:highlight w:val="none"/>
        </w:rPr>
      </w:pPr>
    </w:p>
    <w:p w14:paraId="5401311B">
      <w:pPr>
        <w:shd w:val="clear"/>
        <w:kinsoku/>
        <w:overflowPunct/>
        <w:bidi w:val="0"/>
        <w:ind w:left="0" w:leftChars="0" w:right="0" w:rightChars="0"/>
        <w:jc w:val="center"/>
        <w:rPr>
          <w:b/>
          <w:color w:val="auto"/>
          <w:sz w:val="44"/>
          <w:szCs w:val="44"/>
          <w:highlight w:val="none"/>
        </w:rPr>
      </w:pPr>
      <w:r>
        <w:rPr>
          <w:rFonts w:hint="eastAsia"/>
          <w:b/>
          <w:color w:val="auto"/>
          <w:sz w:val="36"/>
          <w:szCs w:val="36"/>
          <w:highlight w:val="none"/>
        </w:rPr>
        <w:t>目   录</w:t>
      </w:r>
    </w:p>
    <w:p w14:paraId="7E5535E2">
      <w:pPr>
        <w:shd w:val="clear"/>
        <w:kinsoku/>
        <w:overflowPunct/>
        <w:bidi w:val="0"/>
        <w:spacing w:line="400" w:lineRule="exact"/>
        <w:ind w:left="0" w:leftChars="0" w:right="0" w:rightChars="0" w:firstLine="562" w:firstLineChars="200"/>
        <w:rPr>
          <w:b/>
          <w:color w:val="auto"/>
          <w:sz w:val="28"/>
          <w:szCs w:val="28"/>
          <w:highlight w:val="none"/>
        </w:rPr>
      </w:pPr>
    </w:p>
    <w:p w14:paraId="389C46A5">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49BF682E">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（2）投标人有效的营业执照、税务登记证、组织机构代码证（或三合一证书）；</w:t>
      </w:r>
    </w:p>
    <w:p w14:paraId="7FF33117">
      <w:pPr>
        <w:shd w:val="clear"/>
        <w:kinsoku/>
        <w:overflowPunct/>
        <w:bidi w:val="0"/>
        <w:spacing w:line="440" w:lineRule="exact"/>
        <w:ind w:left="0" w:leftChars="0" w:right="0" w:rightChars="0"/>
        <w:jc w:val="left"/>
        <w:rPr>
          <w:rFonts w:ascii="宋体" w:hAnsi="宋体" w:eastAsia="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企业资质证书</w:t>
      </w:r>
      <w:r>
        <w:rPr>
          <w:rFonts w:hint="eastAsia" w:ascii="宋体" w:hAnsi="宋体" w:cs="宋体"/>
          <w:bCs/>
          <w:color w:val="auto"/>
          <w:szCs w:val="21"/>
          <w:highlight w:val="none"/>
        </w:rPr>
        <w:t>；</w:t>
      </w:r>
    </w:p>
    <w:p w14:paraId="40F1F673">
      <w:pPr>
        <w:shd w:val="clear"/>
        <w:kinsoku/>
        <w:overflowPunct/>
        <w:bidi w:val="0"/>
        <w:spacing w:line="440" w:lineRule="exact"/>
        <w:ind w:left="0" w:leftChars="0" w:right="0" w:rightChars="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（4）企业安全生产许可证；</w:t>
      </w:r>
    </w:p>
    <w:p w14:paraId="58372440">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eastAsia="宋体" w:cs="宋体"/>
          <w:bCs/>
          <w:color w:val="auto"/>
          <w:szCs w:val="21"/>
          <w:highlight w:val="none"/>
        </w:rPr>
        <w:t>（5）</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51117EE1">
      <w:pPr>
        <w:shd w:val="clear"/>
        <w:kinsoku/>
        <w:overflowPunct/>
        <w:bidi w:val="0"/>
        <w:spacing w:line="440" w:lineRule="exact"/>
        <w:ind w:left="0" w:leftChars="0" w:right="0" w:rightChars="0"/>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）服务承诺：是否响应招标文件要求的书面说明和服务承诺书（格式见附件）</w:t>
      </w:r>
    </w:p>
    <w:p w14:paraId="11B2E1DF">
      <w:pPr>
        <w:shd w:val="clear"/>
        <w:kinsoku/>
        <w:overflowPunct/>
        <w:bidi w:val="0"/>
        <w:spacing w:line="440" w:lineRule="exact"/>
        <w:ind w:left="0" w:leftChars="0" w:right="0" w:rightChars="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服务内容及技术要求</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要求的人员相关证明材料；</w:t>
      </w:r>
    </w:p>
    <w:p w14:paraId="308E6E81">
      <w:pPr>
        <w:shd w:val="clear"/>
        <w:kinsoku/>
        <w:overflowPunct/>
        <w:bidi w:val="0"/>
        <w:spacing w:line="440" w:lineRule="exact"/>
        <w:ind w:left="0" w:leftChars="0" w:right="0" w:rightChars="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招标文件中要求的资信标评审及其他支持资料</w:t>
      </w:r>
      <w:r>
        <w:rPr>
          <w:rFonts w:hint="eastAsia" w:ascii="宋体" w:hAnsi="宋体" w:cs="宋体"/>
          <w:bCs/>
          <w:color w:val="auto"/>
          <w:szCs w:val="21"/>
          <w:highlight w:val="none"/>
          <w:lang w:eastAsia="zh-CN"/>
        </w:rPr>
        <w:t>。</w:t>
      </w:r>
    </w:p>
    <w:p w14:paraId="75460FFE">
      <w:pPr>
        <w:shd w:val="clear"/>
        <w:kinsoku/>
        <w:overflowPunct/>
        <w:bidi w:val="0"/>
        <w:spacing w:line="400" w:lineRule="exact"/>
        <w:ind w:left="0" w:leftChars="0" w:right="0" w:rightChars="0" w:firstLine="562" w:firstLineChars="200"/>
        <w:rPr>
          <w:b/>
          <w:color w:val="auto"/>
          <w:sz w:val="28"/>
          <w:szCs w:val="28"/>
          <w:highlight w:val="none"/>
        </w:rPr>
      </w:pPr>
    </w:p>
    <w:p w14:paraId="3D91E656">
      <w:pPr>
        <w:shd w:val="clear"/>
        <w:kinsoku/>
        <w:overflowPunct/>
        <w:bidi w:val="0"/>
        <w:spacing w:line="400" w:lineRule="exact"/>
        <w:ind w:left="0" w:leftChars="0" w:right="0" w:rightChars="0" w:firstLine="562" w:firstLineChars="200"/>
        <w:rPr>
          <w:b/>
          <w:color w:val="auto"/>
          <w:sz w:val="28"/>
          <w:szCs w:val="28"/>
          <w:highlight w:val="none"/>
        </w:rPr>
      </w:pPr>
    </w:p>
    <w:p w14:paraId="47C42AD0">
      <w:pPr>
        <w:shd w:val="clear"/>
        <w:kinsoku/>
        <w:overflowPunct/>
        <w:bidi w:val="0"/>
        <w:spacing w:line="400" w:lineRule="exact"/>
        <w:ind w:left="0" w:leftChars="0" w:right="0" w:rightChars="0" w:firstLine="562" w:firstLineChars="200"/>
        <w:rPr>
          <w:b/>
          <w:color w:val="auto"/>
          <w:sz w:val="28"/>
          <w:szCs w:val="28"/>
          <w:highlight w:val="none"/>
        </w:rPr>
      </w:pPr>
    </w:p>
    <w:p w14:paraId="647CE73E">
      <w:pPr>
        <w:shd w:val="clear"/>
        <w:kinsoku/>
        <w:overflowPunct/>
        <w:bidi w:val="0"/>
        <w:spacing w:line="400" w:lineRule="exact"/>
        <w:ind w:left="0" w:leftChars="0" w:right="0" w:rightChars="0" w:firstLine="562" w:firstLineChars="200"/>
        <w:rPr>
          <w:b/>
          <w:color w:val="auto"/>
          <w:sz w:val="28"/>
          <w:szCs w:val="28"/>
          <w:highlight w:val="none"/>
        </w:rPr>
      </w:pPr>
    </w:p>
    <w:p w14:paraId="49B9508F">
      <w:pPr>
        <w:shd w:val="clear"/>
        <w:kinsoku/>
        <w:overflowPunct/>
        <w:bidi w:val="0"/>
        <w:spacing w:line="400" w:lineRule="exact"/>
        <w:ind w:left="0" w:leftChars="0" w:right="0" w:rightChars="0"/>
        <w:rPr>
          <w:b/>
          <w:color w:val="auto"/>
          <w:sz w:val="28"/>
          <w:szCs w:val="28"/>
          <w:highlight w:val="none"/>
        </w:rPr>
        <w:sectPr>
          <w:headerReference r:id="rId5" w:type="default"/>
          <w:footerReference r:id="rId6" w:type="default"/>
          <w:pgSz w:w="11906" w:h="16838"/>
          <w:pgMar w:top="1440" w:right="1247" w:bottom="1417" w:left="1247" w:header="851" w:footer="992" w:gutter="0"/>
          <w:pgNumType w:fmt="numberInDash"/>
          <w:cols w:space="0" w:num="1"/>
          <w:rtlGutter w:val="0"/>
          <w:docGrid w:type="lines" w:linePitch="312" w:charSpace="0"/>
        </w:sectPr>
      </w:pPr>
    </w:p>
    <w:p w14:paraId="477269B5">
      <w:pPr>
        <w:shd w:val="clear"/>
        <w:kinsoku/>
        <w:overflowPunct/>
        <w:bidi w:val="0"/>
        <w:spacing w:line="360" w:lineRule="auto"/>
        <w:ind w:left="0" w:leftChars="0" w:right="0" w:rightChars="0"/>
        <w:rPr>
          <w:b/>
          <w:color w:val="auto"/>
          <w:sz w:val="28"/>
          <w:szCs w:val="28"/>
          <w:highlight w:val="none"/>
        </w:rPr>
      </w:pPr>
      <w:r>
        <w:rPr>
          <w:rFonts w:hint="eastAsia"/>
          <w:b/>
          <w:color w:val="auto"/>
          <w:sz w:val="28"/>
          <w:szCs w:val="28"/>
          <w:highlight w:val="none"/>
        </w:rPr>
        <w:t>附件1</w:t>
      </w:r>
    </w:p>
    <w:p w14:paraId="5448B5F4">
      <w:pPr>
        <w:shd w:val="clear"/>
        <w:kinsoku/>
        <w:overflowPunct/>
        <w:bidi w:val="0"/>
        <w:spacing w:line="360" w:lineRule="auto"/>
        <w:ind w:left="0" w:leftChars="0" w:right="0" w:rightChars="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1FB80223">
      <w:pPr>
        <w:pStyle w:val="104"/>
        <w:shd w:val="clear"/>
        <w:kinsoku/>
        <w:overflowPunct/>
        <w:bidi w:val="0"/>
        <w:spacing w:beforeLines="100" w:afterLines="100" w:line="480" w:lineRule="exact"/>
        <w:ind w:left="0" w:leftChars="0" w:right="0" w:rightChars="0"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037406A0">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0AB3BFBD">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5C446A5B">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7A85906">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04F2981">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FA1A029">
      <w:pPr>
        <w:shd w:val="clear"/>
        <w:kinsoku/>
        <w:overflowPunct/>
        <w:bidi w:val="0"/>
        <w:spacing w:line="480" w:lineRule="exact"/>
        <w:ind w:left="0" w:leftChars="0" w:right="0" w:rightChars="0"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2AE61EBD">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E5C6F13">
      <w:pPr>
        <w:shd w:val="clear"/>
        <w:kinsoku/>
        <w:overflowPunct/>
        <w:bidi w:val="0"/>
        <w:spacing w:line="480" w:lineRule="exact"/>
        <w:ind w:left="0" w:leftChars="0" w:right="0" w:rightChars="0" w:firstLine="960" w:firstLineChars="400"/>
        <w:rPr>
          <w:rFonts w:ascii="宋体"/>
          <w:color w:val="auto"/>
          <w:sz w:val="24"/>
          <w:highlight w:val="none"/>
        </w:rPr>
      </w:pPr>
      <w:r>
        <w:rPr>
          <w:rFonts w:hint="eastAsia" w:ascii="宋体"/>
          <w:color w:val="auto"/>
          <w:sz w:val="24"/>
          <w:highlight w:val="none"/>
        </w:rPr>
        <w:t>特此证明。</w:t>
      </w:r>
    </w:p>
    <w:p w14:paraId="7B01580B">
      <w:pPr>
        <w:shd w:val="clear"/>
        <w:kinsoku/>
        <w:overflowPunct/>
        <w:bidi w:val="0"/>
        <w:spacing w:line="360" w:lineRule="auto"/>
        <w:ind w:left="0" w:leftChars="0" w:right="0" w:rightChars="0"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2E70931">
      <w:pPr>
        <w:shd w:val="clear"/>
        <w:kinsoku/>
        <w:wordWrap w:val="0"/>
        <w:overflowPunct/>
        <w:bidi w:val="0"/>
        <w:spacing w:line="360" w:lineRule="auto"/>
        <w:ind w:left="0" w:leftChars="0" w:right="0" w:rightChars="0"/>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3181964D">
      <w:pPr>
        <w:shd w:val="clear"/>
        <w:kinsoku/>
        <w:overflowPunct/>
        <w:bidi w:val="0"/>
        <w:spacing w:beforeLines="100" w:afterLines="100" w:line="480" w:lineRule="exact"/>
        <w:ind w:left="0" w:leftChars="0" w:right="0" w:rightChars="0" w:firstLine="3654" w:firstLineChars="1305"/>
        <w:rPr>
          <w:rFonts w:ascii="宋体"/>
          <w:color w:val="auto"/>
          <w:sz w:val="28"/>
          <w:szCs w:val="28"/>
          <w:highlight w:val="none"/>
        </w:rPr>
      </w:pPr>
      <w:r>
        <w:rPr>
          <w:rFonts w:hint="eastAsia" w:ascii="宋体"/>
          <w:color w:val="auto"/>
          <w:sz w:val="28"/>
          <w:szCs w:val="28"/>
          <w:highlight w:val="none"/>
        </w:rPr>
        <w:t>2.授权委托书</w:t>
      </w:r>
    </w:p>
    <w:p w14:paraId="75B95580">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6882F59D">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 xml:space="preserve">委托期限：                                </w:t>
      </w:r>
    </w:p>
    <w:p w14:paraId="15CBF56B">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代理人无转委托权。</w:t>
      </w:r>
    </w:p>
    <w:p w14:paraId="1FDFF012">
      <w:pPr>
        <w:shd w:val="clear"/>
        <w:kinsoku/>
        <w:overflowPunct/>
        <w:bidi w:val="0"/>
        <w:spacing w:line="480" w:lineRule="exact"/>
        <w:ind w:left="0" w:leftChars="0" w:right="0" w:rightChars="0"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23890DC">
      <w:pPr>
        <w:shd w:val="clear"/>
        <w:kinsoku/>
        <w:overflowPunct/>
        <w:bidi w:val="0"/>
        <w:spacing w:line="480" w:lineRule="exact"/>
        <w:ind w:left="0" w:leftChars="0" w:right="0" w:rightChars="0"/>
        <w:rPr>
          <w:rFonts w:ascii="宋体"/>
          <w:color w:val="auto"/>
          <w:sz w:val="24"/>
          <w:highlight w:val="none"/>
        </w:rPr>
      </w:pPr>
      <w:r>
        <w:rPr>
          <w:rFonts w:hint="eastAsia" w:ascii="宋体"/>
          <w:color w:val="auto"/>
          <w:sz w:val="24"/>
          <w:highlight w:val="none"/>
        </w:rPr>
        <w:t xml:space="preserve">                                     投标人：             （盖单位章）</w:t>
      </w:r>
    </w:p>
    <w:p w14:paraId="01F26E13">
      <w:pPr>
        <w:shd w:val="clear"/>
        <w:kinsoku/>
        <w:overflowPunct/>
        <w:bidi w:val="0"/>
        <w:spacing w:line="480" w:lineRule="exact"/>
        <w:ind w:left="0" w:leftChars="0" w:right="0" w:rightChars="0"/>
        <w:jc w:val="right"/>
        <w:rPr>
          <w:rFonts w:ascii="宋体"/>
          <w:color w:val="auto"/>
          <w:sz w:val="24"/>
          <w:highlight w:val="none"/>
        </w:rPr>
      </w:pPr>
      <w:r>
        <w:rPr>
          <w:rFonts w:hint="eastAsia" w:ascii="宋体"/>
          <w:color w:val="auto"/>
          <w:sz w:val="24"/>
          <w:highlight w:val="none"/>
        </w:rPr>
        <w:t>法定代表人（身份证号码）：             （签章）</w:t>
      </w:r>
    </w:p>
    <w:p w14:paraId="330D4FEF">
      <w:pPr>
        <w:shd w:val="clear"/>
        <w:kinsoku/>
        <w:overflowPunct/>
        <w:bidi w:val="0"/>
        <w:spacing w:line="480" w:lineRule="exact"/>
        <w:ind w:left="0" w:leftChars="0" w:right="0" w:rightChars="0" w:firstLine="2820" w:firstLineChars="1175"/>
        <w:rPr>
          <w:rFonts w:ascii="宋体"/>
          <w:color w:val="auto"/>
          <w:sz w:val="24"/>
          <w:highlight w:val="none"/>
        </w:rPr>
      </w:pPr>
      <w:r>
        <w:rPr>
          <w:rFonts w:hint="eastAsia" w:ascii="宋体"/>
          <w:color w:val="auto"/>
          <w:sz w:val="24"/>
          <w:highlight w:val="none"/>
        </w:rPr>
        <w:t xml:space="preserve">              年    月    日</w:t>
      </w:r>
    </w:p>
    <w:p w14:paraId="6D0A51DD">
      <w:pPr>
        <w:shd w:val="clear"/>
        <w:kinsoku/>
        <w:overflowPunct/>
        <w:bidi w:val="0"/>
        <w:spacing w:line="360" w:lineRule="exact"/>
        <w:ind w:left="0" w:leftChars="0" w:right="0" w:rightChars="0" w:firstLine="413" w:firstLineChars="147"/>
        <w:rPr>
          <w:b/>
          <w:color w:val="auto"/>
          <w:sz w:val="28"/>
          <w:szCs w:val="28"/>
          <w:highlight w:val="none"/>
          <w:u w:val="single"/>
        </w:rPr>
      </w:pPr>
    </w:p>
    <w:p w14:paraId="1D992496">
      <w:pPr>
        <w:shd w:val="clear"/>
        <w:kinsoku/>
        <w:overflowPunct/>
        <w:bidi w:val="0"/>
        <w:spacing w:line="360" w:lineRule="exact"/>
        <w:ind w:left="0" w:leftChars="0" w:right="0" w:rightChars="0" w:firstLine="413" w:firstLineChars="147"/>
        <w:rPr>
          <w:b/>
          <w:color w:val="auto"/>
          <w:sz w:val="28"/>
          <w:szCs w:val="28"/>
          <w:highlight w:val="none"/>
          <w:u w:val="single"/>
        </w:rPr>
      </w:pPr>
    </w:p>
    <w:p w14:paraId="5E278B24">
      <w:pPr>
        <w:shd w:val="clear"/>
        <w:kinsoku/>
        <w:overflowPunct/>
        <w:bidi w:val="0"/>
        <w:spacing w:line="360" w:lineRule="exact"/>
        <w:ind w:left="0" w:leftChars="0" w:right="0" w:rightChars="0"/>
        <w:rPr>
          <w:rFonts w:ascii="宋体"/>
          <w:b/>
          <w:color w:val="auto"/>
          <w:sz w:val="30"/>
          <w:szCs w:val="30"/>
          <w:highlight w:val="none"/>
        </w:rPr>
      </w:pPr>
      <w:r>
        <w:rPr>
          <w:rFonts w:hint="eastAsia" w:ascii="宋体"/>
          <w:b/>
          <w:color w:val="auto"/>
          <w:sz w:val="30"/>
          <w:szCs w:val="30"/>
          <w:highlight w:val="none"/>
        </w:rPr>
        <w:t>附件2</w:t>
      </w:r>
    </w:p>
    <w:p w14:paraId="1F1590F2">
      <w:pPr>
        <w:shd w:val="clear"/>
        <w:kinsoku/>
        <w:overflowPunct/>
        <w:bidi w:val="0"/>
        <w:spacing w:line="360" w:lineRule="exact"/>
        <w:ind w:left="0" w:leftChars="0" w:right="0" w:rightChars="0" w:firstLine="413" w:firstLineChars="147"/>
        <w:jc w:val="center"/>
        <w:rPr>
          <w:b/>
          <w:color w:val="auto"/>
          <w:sz w:val="28"/>
          <w:szCs w:val="28"/>
          <w:highlight w:val="none"/>
        </w:rPr>
      </w:pPr>
      <w:bookmarkStart w:id="174" w:name="_Toc449028950"/>
      <w:bookmarkStart w:id="175" w:name="_Toc440443268"/>
      <w:r>
        <w:rPr>
          <w:rFonts w:hint="eastAsia"/>
          <w:b/>
          <w:color w:val="auto"/>
          <w:sz w:val="28"/>
          <w:szCs w:val="28"/>
          <w:highlight w:val="none"/>
        </w:rPr>
        <w:t>（2）诚信投标承诺书</w:t>
      </w:r>
    </w:p>
    <w:p w14:paraId="0C3B14F2">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784E3E3E">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537BB5E">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15B24D97">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4B49FBB">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22E617DA">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796B52F">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176" w:name="OLE_LINK133"/>
      <w:bookmarkStart w:id="177"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76"/>
      <w:bookmarkEnd w:id="177"/>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p>
    <w:p w14:paraId="0C38330C">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3C88A8AF">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14336911">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110B1A4A">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041843C6">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8032262">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32A734BA">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0484093A">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50AB8593">
      <w:pPr>
        <w:keepNext w:val="0"/>
        <w:keepLines w:val="0"/>
        <w:pageBreakBefore w:val="0"/>
        <w:widowControl w:val="0"/>
        <w:shd w:val="clear"/>
        <w:kinsoku/>
        <w:wordWrap/>
        <w:overflowPunct/>
        <w:topLinePunct w:val="0"/>
        <w:autoSpaceDE/>
        <w:autoSpaceDN/>
        <w:bidi w:val="0"/>
        <w:adjustRightInd/>
        <w:snapToGrid/>
        <w:spacing w:line="300" w:lineRule="exact"/>
        <w:ind w:left="0" w:leftChars="0"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14E0C288">
      <w:pPr>
        <w:shd w:val="clear"/>
        <w:kinsoku/>
        <w:overflowPunct/>
        <w:bidi w:val="0"/>
        <w:ind w:left="0" w:leftChars="0" w:right="0" w:rightChars="0"/>
        <w:rPr>
          <w:rFonts w:ascii="宋体" w:hAnsi="宋体"/>
          <w:color w:val="auto"/>
          <w:szCs w:val="21"/>
          <w:highlight w:val="none"/>
        </w:rPr>
      </w:pPr>
    </w:p>
    <w:p w14:paraId="26A6FBD6">
      <w:pPr>
        <w:shd w:val="clear"/>
        <w:kinsoku/>
        <w:overflowPunct/>
        <w:bidi w:val="0"/>
        <w:ind w:left="0" w:leftChars="0" w:right="0" w:rightChars="0"/>
        <w:rPr>
          <w:rFonts w:ascii="宋体" w:hAnsi="宋体"/>
          <w:color w:val="auto"/>
          <w:szCs w:val="21"/>
          <w:highlight w:val="none"/>
        </w:rPr>
      </w:pPr>
    </w:p>
    <w:p w14:paraId="6C4DD6A6">
      <w:pPr>
        <w:shd w:val="clear"/>
        <w:kinsoku/>
        <w:overflowPunct/>
        <w:bidi w:val="0"/>
        <w:spacing w:line="280" w:lineRule="exact"/>
        <w:ind w:right="0" w:rightChars="0"/>
        <w:jc w:val="center"/>
        <w:rPr>
          <w:b/>
          <w:color w:val="auto"/>
          <w:sz w:val="28"/>
          <w:szCs w:val="28"/>
          <w:highlight w:val="none"/>
        </w:rPr>
      </w:pPr>
      <w:r>
        <w:rPr>
          <w:rFonts w:hint="eastAsia"/>
          <w:b/>
          <w:color w:val="auto"/>
          <w:sz w:val="28"/>
          <w:szCs w:val="28"/>
          <w:highlight w:val="none"/>
        </w:rPr>
        <w:t>或（2）公共信用信息报告（无违法违规证明版或核查版））</w:t>
      </w:r>
    </w:p>
    <w:p w14:paraId="202BB602">
      <w:pPr>
        <w:keepNext w:val="0"/>
        <w:keepLines w:val="0"/>
        <w:pageBreakBefore w:val="0"/>
        <w:widowControl w:val="0"/>
        <w:shd w:val="clear"/>
        <w:kinsoku/>
        <w:wordWrap w:val="0"/>
        <w:overflowPunct/>
        <w:topLinePunct w:val="0"/>
        <w:autoSpaceDE/>
        <w:autoSpaceDN/>
        <w:bidi w:val="0"/>
        <w:adjustRightInd/>
        <w:snapToGrid/>
        <w:ind w:left="0" w:leftChars="0" w:right="0" w:rightChars="0"/>
        <w:textAlignment w:val="auto"/>
        <w:rPr>
          <w:rFonts w:hint="eastAsia" w:ascii="宋体" w:hAnsi="宋体"/>
          <w:color w:val="auto"/>
          <w:szCs w:val="21"/>
          <w:highlight w:val="none"/>
        </w:rPr>
      </w:pPr>
    </w:p>
    <w:p w14:paraId="7D4174F5">
      <w:pPr>
        <w:keepNext w:val="0"/>
        <w:keepLines w:val="0"/>
        <w:pageBreakBefore w:val="0"/>
        <w:widowControl w:val="0"/>
        <w:shd w:val="clear"/>
        <w:kinsoku/>
        <w:wordWrap w:val="0"/>
        <w:overflowPunct/>
        <w:topLinePunct w:val="0"/>
        <w:autoSpaceDE/>
        <w:autoSpaceDN/>
        <w:bidi w:val="0"/>
        <w:adjustRightInd/>
        <w:snapToGrid/>
        <w:ind w:left="0" w:leftChars="0" w:right="0" w:rightChars="0"/>
        <w:textAlignment w:val="auto"/>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697A6E54">
      <w:pPr>
        <w:shd w:val="clear"/>
        <w:kinsoku/>
        <w:overflowPunct/>
        <w:bidi w:val="0"/>
        <w:spacing w:line="360" w:lineRule="auto"/>
        <w:ind w:left="0" w:leftChars="0" w:right="0" w:rightChars="0"/>
        <w:rPr>
          <w:b/>
          <w:color w:val="auto"/>
          <w:sz w:val="28"/>
          <w:szCs w:val="28"/>
          <w:highlight w:val="none"/>
        </w:rPr>
      </w:pPr>
      <w:r>
        <w:rPr>
          <w:rFonts w:hint="eastAsia" w:ascii="宋体" w:hAnsi="宋体"/>
          <w:b/>
          <w:color w:val="auto"/>
          <w:sz w:val="24"/>
          <w:highlight w:val="none"/>
        </w:rPr>
        <w:t>附件3</w:t>
      </w:r>
    </w:p>
    <w:p w14:paraId="185E7333">
      <w:pPr>
        <w:shd w:val="clear"/>
        <w:kinsoku/>
        <w:overflowPunct/>
        <w:bidi w:val="0"/>
        <w:spacing w:line="400" w:lineRule="exact"/>
        <w:ind w:left="0" w:leftChars="0" w:right="0" w:rightChars="0" w:firstLine="562" w:firstLineChars="200"/>
        <w:rPr>
          <w:b/>
          <w:color w:val="auto"/>
          <w:sz w:val="28"/>
          <w:szCs w:val="28"/>
          <w:highlight w:val="none"/>
        </w:rPr>
      </w:pPr>
    </w:p>
    <w:p w14:paraId="313FD099">
      <w:pPr>
        <w:shd w:val="clear"/>
        <w:kinsoku/>
        <w:overflowPunct/>
        <w:bidi w:val="0"/>
        <w:ind w:left="0" w:leftChars="0" w:right="0" w:rightChars="0"/>
        <w:jc w:val="center"/>
        <w:rPr>
          <w:rFonts w:ascii="宋体"/>
          <w:b/>
          <w:color w:val="auto"/>
          <w:sz w:val="30"/>
          <w:szCs w:val="30"/>
          <w:highlight w:val="none"/>
        </w:rPr>
      </w:pPr>
      <w:r>
        <w:rPr>
          <w:rFonts w:hint="eastAsia" w:ascii="宋体"/>
          <w:b/>
          <w:color w:val="auto"/>
          <w:sz w:val="30"/>
          <w:szCs w:val="30"/>
          <w:highlight w:val="none"/>
        </w:rPr>
        <w:t>服务承诺书</w:t>
      </w:r>
    </w:p>
    <w:p w14:paraId="0A28FA71">
      <w:pPr>
        <w:shd w:val="clear"/>
        <w:kinsoku/>
        <w:overflowPunct/>
        <w:bidi w:val="0"/>
        <w:ind w:left="0" w:leftChars="0" w:right="0" w:rightChars="0" w:firstLine="480" w:firstLineChars="200"/>
        <w:rPr>
          <w:rFonts w:ascii="宋体"/>
          <w:color w:val="auto"/>
          <w:sz w:val="24"/>
          <w:highlight w:val="none"/>
        </w:rPr>
      </w:pPr>
    </w:p>
    <w:p w14:paraId="7F660E54">
      <w:pPr>
        <w:shd w:val="clear"/>
        <w:kinsoku/>
        <w:overflowPunct/>
        <w:bidi w:val="0"/>
        <w:ind w:left="0" w:leftChars="0" w:right="0" w:rightChars="0"/>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0113F672">
      <w:pPr>
        <w:shd w:val="clear"/>
        <w:kinsoku/>
        <w:overflowPunct/>
        <w:bidi w:val="0"/>
        <w:spacing w:line="800" w:lineRule="exact"/>
        <w:ind w:left="0" w:leftChars="0" w:right="0" w:rightChars="0"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9C9732A">
      <w:pPr>
        <w:shd w:val="clear"/>
        <w:kinsoku/>
        <w:overflowPunct/>
        <w:bidi w:val="0"/>
        <w:spacing w:line="800" w:lineRule="exact"/>
        <w:ind w:left="0" w:leftChars="0" w:right="0" w:rightChars="0" w:firstLine="480" w:firstLineChars="200"/>
        <w:rPr>
          <w:rFonts w:ascii="宋体"/>
          <w:color w:val="auto"/>
          <w:sz w:val="24"/>
          <w:highlight w:val="none"/>
        </w:rPr>
      </w:pPr>
      <w:r>
        <w:rPr>
          <w:rFonts w:hint="eastAsia" w:ascii="宋体"/>
          <w:color w:val="auto"/>
          <w:sz w:val="24"/>
          <w:highlight w:val="none"/>
        </w:rPr>
        <w:t>特此声明。</w:t>
      </w:r>
    </w:p>
    <w:p w14:paraId="1611C006">
      <w:pPr>
        <w:shd w:val="clear"/>
        <w:kinsoku/>
        <w:overflowPunct/>
        <w:bidi w:val="0"/>
        <w:spacing w:line="600" w:lineRule="exact"/>
        <w:ind w:left="0" w:leftChars="0" w:right="0" w:rightChars="0"/>
        <w:rPr>
          <w:rFonts w:ascii="宋体"/>
          <w:color w:val="auto"/>
          <w:sz w:val="24"/>
          <w:highlight w:val="none"/>
        </w:rPr>
      </w:pPr>
      <w:r>
        <w:rPr>
          <w:rFonts w:hint="eastAsia" w:ascii="宋体"/>
          <w:color w:val="auto"/>
          <w:sz w:val="24"/>
          <w:highlight w:val="none"/>
        </w:rPr>
        <w:t> </w:t>
      </w:r>
    </w:p>
    <w:p w14:paraId="753C0F3B">
      <w:pPr>
        <w:shd w:val="clear"/>
        <w:kinsoku/>
        <w:overflowPunct/>
        <w:bidi w:val="0"/>
        <w:spacing w:line="480" w:lineRule="auto"/>
        <w:ind w:left="0" w:leftChars="0" w:right="0" w:rightChars="0" w:firstLine="480" w:firstLineChars="200"/>
        <w:jc w:val="right"/>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036C338C">
      <w:pPr>
        <w:shd w:val="clear"/>
        <w:kinsoku/>
        <w:overflowPunct/>
        <w:bidi w:val="0"/>
        <w:spacing w:line="480" w:lineRule="auto"/>
        <w:ind w:left="0" w:leftChars="0" w:right="0" w:rightChars="0"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3FE99769">
      <w:pPr>
        <w:shd w:val="clear"/>
        <w:kinsoku/>
        <w:overflowPunct/>
        <w:bidi w:val="0"/>
        <w:spacing w:line="480" w:lineRule="auto"/>
        <w:ind w:left="0" w:leftChars="0" w:right="0" w:rightChars="0"/>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53F303B8">
      <w:pPr>
        <w:pStyle w:val="34"/>
        <w:shd w:val="clear"/>
        <w:kinsoku/>
        <w:overflowPunct/>
        <w:bidi w:val="0"/>
        <w:ind w:left="0" w:leftChars="0" w:right="0" w:rightChars="0" w:firstLine="400"/>
        <w:rPr>
          <w:color w:val="auto"/>
          <w:highlight w:val="none"/>
        </w:rPr>
      </w:pPr>
    </w:p>
    <w:bookmarkEnd w:id="174"/>
    <w:bookmarkEnd w:id="175"/>
    <w:p w14:paraId="4662246A">
      <w:pPr>
        <w:shd w:val="clear"/>
        <w:kinsoku/>
        <w:wordWrap w:val="0"/>
        <w:overflowPunct/>
        <w:bidi w:val="0"/>
        <w:spacing w:before="100" w:beforeAutospacing="1" w:after="100" w:afterAutospacing="1"/>
        <w:ind w:left="0" w:leftChars="0" w:right="0" w:rightChars="0"/>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09B014BE">
      <w:pPr>
        <w:shd w:val="clear"/>
        <w:kinsoku/>
        <w:overflowPunct/>
        <w:bidi w:val="0"/>
        <w:ind w:left="0" w:leftChars="0" w:right="0" w:rightChars="0"/>
        <w:jc w:val="center"/>
        <w:rPr>
          <w:rFonts w:ascii="宋体"/>
          <w:b/>
          <w:color w:val="auto"/>
          <w:sz w:val="44"/>
          <w:szCs w:val="44"/>
          <w:highlight w:val="none"/>
        </w:rPr>
      </w:pPr>
      <w:bookmarkStart w:id="178" w:name="_Toc387149626"/>
      <w:bookmarkStart w:id="179" w:name="_Toc449028953"/>
    </w:p>
    <w:p w14:paraId="184C39B7">
      <w:pPr>
        <w:shd w:val="clear"/>
        <w:kinsoku/>
        <w:overflowPunct/>
        <w:bidi w:val="0"/>
        <w:ind w:left="0" w:leftChars="0" w:right="0" w:rightChars="0"/>
        <w:jc w:val="center"/>
        <w:rPr>
          <w:rFonts w:ascii="宋体"/>
          <w:b/>
          <w:color w:val="auto"/>
          <w:sz w:val="44"/>
          <w:szCs w:val="44"/>
          <w:highlight w:val="none"/>
        </w:rPr>
      </w:pPr>
      <w:r>
        <w:rPr>
          <w:rFonts w:hint="eastAsia" w:ascii="宋体"/>
          <w:b/>
          <w:color w:val="auto"/>
          <w:sz w:val="44"/>
          <w:szCs w:val="44"/>
          <w:highlight w:val="none"/>
        </w:rPr>
        <w:t>技术标</w:t>
      </w:r>
      <w:bookmarkEnd w:id="178"/>
      <w:bookmarkEnd w:id="179"/>
    </w:p>
    <w:p w14:paraId="794EF0E5">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rPr>
        <w:t>（投标文件二）</w:t>
      </w:r>
    </w:p>
    <w:p w14:paraId="2EEB0E33">
      <w:pPr>
        <w:shd w:val="clear"/>
        <w:kinsoku/>
        <w:overflowPunct/>
        <w:bidi w:val="0"/>
        <w:ind w:left="0" w:leftChars="0" w:right="0" w:rightChars="0"/>
        <w:jc w:val="center"/>
        <w:rPr>
          <w:rFonts w:eastAsia="黑体"/>
          <w:color w:val="auto"/>
          <w:sz w:val="44"/>
          <w:szCs w:val="44"/>
          <w:highlight w:val="none"/>
        </w:rPr>
      </w:pPr>
    </w:p>
    <w:p w14:paraId="4CF087D7">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2FD1090">
      <w:pPr>
        <w:shd w:val="clear"/>
        <w:kinsoku/>
        <w:overflowPunct/>
        <w:bidi w:val="0"/>
        <w:ind w:left="0" w:leftChars="0" w:right="0" w:rightChars="0"/>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0A8E3F5">
      <w:pPr>
        <w:shd w:val="clear"/>
        <w:kinsoku/>
        <w:overflowPunct/>
        <w:bidi w:val="0"/>
        <w:ind w:left="0" w:leftChars="0" w:right="0" w:rightChars="0"/>
        <w:rPr>
          <w:rFonts w:ascii="宋体"/>
          <w:color w:val="auto"/>
          <w:sz w:val="28"/>
          <w:szCs w:val="28"/>
          <w:highlight w:val="none"/>
        </w:rPr>
      </w:pPr>
    </w:p>
    <w:p w14:paraId="3520D157">
      <w:pPr>
        <w:shd w:val="clear"/>
        <w:kinsoku/>
        <w:overflowPunct/>
        <w:bidi w:val="0"/>
        <w:ind w:left="0" w:leftChars="0" w:right="0" w:rightChars="0"/>
        <w:rPr>
          <w:rFonts w:ascii="宋体"/>
          <w:color w:val="auto"/>
          <w:sz w:val="28"/>
          <w:szCs w:val="28"/>
          <w:highlight w:val="none"/>
        </w:rPr>
      </w:pPr>
    </w:p>
    <w:p w14:paraId="39180A69">
      <w:pPr>
        <w:shd w:val="clear"/>
        <w:kinsoku/>
        <w:overflowPunct/>
        <w:bidi w:val="0"/>
        <w:spacing w:line="700" w:lineRule="exact"/>
        <w:ind w:left="0" w:leftChars="0" w:right="0" w:rightChars="0"/>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w:t>
      </w:r>
      <w:r>
        <w:rPr>
          <w:rFonts w:hint="eastAsia" w:ascii="宋体" w:hAnsi="宋体" w:cs="宋体"/>
          <w:b/>
          <w:bCs/>
          <w:color w:val="auto"/>
          <w:sz w:val="24"/>
          <w:highlight w:val="none"/>
          <w:lang w:val="en-US" w:eastAsia="zh-CN"/>
        </w:rPr>
        <w:t>对应</w:t>
      </w:r>
      <w:r>
        <w:rPr>
          <w:rFonts w:hint="eastAsia" w:ascii="宋体" w:hAnsi="宋体" w:cs="宋体"/>
          <w:b/>
          <w:bCs/>
          <w:color w:val="auto"/>
          <w:sz w:val="24"/>
          <w:highlight w:val="none"/>
        </w:rPr>
        <w:t>评分点作零分处理。】</w:t>
      </w:r>
    </w:p>
    <w:p w14:paraId="341618CB">
      <w:pPr>
        <w:pStyle w:val="34"/>
        <w:shd w:val="clear"/>
        <w:kinsoku/>
        <w:overflowPunct/>
        <w:bidi w:val="0"/>
        <w:ind w:left="0" w:leftChars="0" w:right="0" w:rightChars="0" w:firstLine="560"/>
        <w:rPr>
          <w:rFonts w:ascii="宋体"/>
          <w:color w:val="auto"/>
          <w:sz w:val="28"/>
          <w:szCs w:val="28"/>
          <w:highlight w:val="none"/>
        </w:rPr>
      </w:pPr>
      <w:r>
        <w:rPr>
          <w:rFonts w:hint="eastAsia" w:ascii="宋体"/>
          <w:color w:val="auto"/>
          <w:sz w:val="28"/>
          <w:szCs w:val="28"/>
          <w:highlight w:val="none"/>
        </w:rPr>
        <w:br w:type="page"/>
      </w:r>
    </w:p>
    <w:p w14:paraId="167758B7">
      <w:pPr>
        <w:shd w:val="clear"/>
        <w:kinsoku/>
        <w:overflowPunct/>
        <w:bidi w:val="0"/>
        <w:ind w:left="0" w:leftChars="0" w:right="0" w:rightChars="0"/>
        <w:rPr>
          <w:rFonts w:ascii="宋体"/>
          <w:color w:val="auto"/>
          <w:sz w:val="28"/>
          <w:szCs w:val="28"/>
          <w:highlight w:val="none"/>
        </w:rPr>
      </w:pPr>
    </w:p>
    <w:p w14:paraId="59310380">
      <w:pPr>
        <w:pStyle w:val="34"/>
        <w:shd w:val="clear"/>
        <w:kinsoku/>
        <w:overflowPunct/>
        <w:bidi w:val="0"/>
        <w:ind w:left="0" w:leftChars="0" w:right="0" w:rightChars="0" w:firstLine="400"/>
        <w:rPr>
          <w:color w:val="auto"/>
          <w:highlight w:val="none"/>
        </w:rPr>
      </w:pPr>
    </w:p>
    <w:p w14:paraId="6BA21F6A">
      <w:pPr>
        <w:shd w:val="clear"/>
        <w:kinsoku/>
        <w:overflowPunct/>
        <w:bidi w:val="0"/>
        <w:spacing w:line="400" w:lineRule="exact"/>
        <w:ind w:left="0" w:leftChars="0" w:right="0" w:rightChars="0"/>
        <w:rPr>
          <w:b/>
          <w:color w:val="auto"/>
          <w:sz w:val="36"/>
          <w:szCs w:val="36"/>
          <w:highlight w:val="none"/>
        </w:rPr>
      </w:pPr>
    </w:p>
    <w:p w14:paraId="3D2AAF70">
      <w:pPr>
        <w:shd w:val="clear"/>
        <w:kinsoku/>
        <w:overflowPunct/>
        <w:bidi w:val="0"/>
        <w:spacing w:line="400" w:lineRule="exact"/>
        <w:ind w:left="0" w:leftChars="0" w:right="0" w:rightChars="0"/>
        <w:jc w:val="center"/>
        <w:rPr>
          <w:rFonts w:hint="eastAsia"/>
          <w:b/>
          <w:color w:val="auto"/>
          <w:sz w:val="36"/>
          <w:szCs w:val="36"/>
          <w:highlight w:val="none"/>
        </w:rPr>
      </w:pPr>
      <w:r>
        <w:rPr>
          <w:rFonts w:hint="eastAsia"/>
          <w:b/>
          <w:color w:val="auto"/>
          <w:sz w:val="36"/>
          <w:szCs w:val="36"/>
          <w:highlight w:val="none"/>
        </w:rPr>
        <w:t>目   录</w:t>
      </w:r>
    </w:p>
    <w:p w14:paraId="3A1BD600">
      <w:pPr>
        <w:shd w:val="clear"/>
        <w:kinsoku/>
        <w:overflowPunct/>
        <w:bidi w:val="0"/>
        <w:spacing w:line="400" w:lineRule="exact"/>
        <w:ind w:left="0" w:leftChars="0" w:right="0" w:rightChars="0"/>
        <w:jc w:val="center"/>
        <w:rPr>
          <w:rFonts w:hint="eastAsia"/>
          <w:b/>
          <w:color w:val="auto"/>
          <w:sz w:val="36"/>
          <w:szCs w:val="36"/>
          <w:highlight w:val="none"/>
        </w:rPr>
      </w:pPr>
    </w:p>
    <w:p w14:paraId="5EB40EC6">
      <w:pPr>
        <w:numPr>
          <w:ilvl w:val="0"/>
          <w:numId w:val="0"/>
        </w:numPr>
        <w:shd w:val="clear"/>
        <w:kinsoku/>
        <w:overflowPunct/>
        <w:bidi w:val="0"/>
        <w:spacing w:line="440" w:lineRule="exact"/>
        <w:ind w:left="0" w:leftChars="0" w:right="0" w:rightChars="0"/>
        <w:jc w:val="left"/>
        <w:rPr>
          <w:rFonts w:hint="eastAsia" w:ascii="宋体" w:hAnsi="宋体" w:cs="宋体"/>
          <w:b/>
          <w:bCs/>
          <w:color w:val="auto"/>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cs="宋体"/>
          <w:b/>
          <w:bCs/>
          <w:color w:val="auto"/>
          <w:szCs w:val="21"/>
          <w:highlight w:val="none"/>
          <w:lang w:val="en-US" w:eastAsia="zh-CN"/>
        </w:rPr>
        <w:t>维护实施方案（格式自拟）；</w:t>
      </w:r>
    </w:p>
    <w:p w14:paraId="483682E9">
      <w:pPr>
        <w:widowControl w:val="0"/>
        <w:numPr>
          <w:ilvl w:val="0"/>
          <w:numId w:val="0"/>
        </w:numPr>
        <w:shd w:val="clear"/>
        <w:kinsoku/>
        <w:overflowPunct/>
        <w:bidi w:val="0"/>
        <w:spacing w:line="440" w:lineRule="exact"/>
        <w:ind w:left="0" w:leftChars="0" w:right="0" w:rightChars="0"/>
        <w:jc w:val="left"/>
        <w:rPr>
          <w:rFonts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cs="宋体"/>
          <w:b/>
          <w:bCs/>
          <w:color w:val="auto"/>
          <w:kern w:val="0"/>
          <w:szCs w:val="21"/>
          <w:highlight w:val="none"/>
        </w:rPr>
        <w:t>维护日志与记录</w:t>
      </w:r>
      <w:r>
        <w:rPr>
          <w:rFonts w:hint="eastAsia" w:ascii="宋体" w:hAnsi="宋体" w:cs="宋体"/>
          <w:b/>
          <w:bCs/>
          <w:color w:val="auto"/>
          <w:szCs w:val="21"/>
          <w:highlight w:val="none"/>
          <w:lang w:val="en-US" w:eastAsia="zh-CN"/>
        </w:rPr>
        <w:t>（格式自拟）；</w:t>
      </w:r>
    </w:p>
    <w:p w14:paraId="4559D3D9">
      <w:pPr>
        <w:widowControl w:val="0"/>
        <w:numPr>
          <w:ilvl w:val="0"/>
          <w:numId w:val="0"/>
        </w:numPr>
        <w:shd w:val="clear"/>
        <w:kinsoku/>
        <w:overflowPunct/>
        <w:bidi w:val="0"/>
        <w:spacing w:line="440" w:lineRule="exact"/>
        <w:ind w:left="0" w:leftChars="0" w:right="0" w:rightChars="0"/>
        <w:jc w:val="left"/>
        <w:rPr>
          <w:rFonts w:hint="eastAsia" w:ascii="宋体" w:hAnsi="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（3）</w:t>
      </w:r>
      <w:r>
        <w:rPr>
          <w:rFonts w:hint="eastAsia" w:ascii="宋体" w:hAnsi="宋体" w:eastAsia="宋体" w:cs="宋体"/>
          <w:b/>
          <w:bCs/>
          <w:color w:val="auto"/>
          <w:kern w:val="0"/>
          <w:szCs w:val="21"/>
          <w:highlight w:val="none"/>
        </w:rPr>
        <w:t>特殊情况恢复方案</w:t>
      </w:r>
      <w:r>
        <w:rPr>
          <w:rFonts w:hint="eastAsia" w:ascii="宋体" w:hAnsi="宋体" w:cs="宋体"/>
          <w:b/>
          <w:bCs/>
          <w:color w:val="auto"/>
          <w:szCs w:val="21"/>
          <w:highlight w:val="none"/>
          <w:lang w:val="en-US" w:eastAsia="zh-CN"/>
        </w:rPr>
        <w:t>（格式自拟）；</w:t>
      </w:r>
    </w:p>
    <w:p w14:paraId="7980E5E8">
      <w:pPr>
        <w:widowControl w:val="0"/>
        <w:numPr>
          <w:ilvl w:val="0"/>
          <w:numId w:val="0"/>
        </w:numPr>
        <w:shd w:val="clear"/>
        <w:kinsoku/>
        <w:overflowPunct/>
        <w:bidi w:val="0"/>
        <w:spacing w:line="440" w:lineRule="exact"/>
        <w:ind w:left="0" w:leftChars="0" w:right="0" w:rightChars="0"/>
        <w:jc w:val="left"/>
        <w:rPr>
          <w:rFonts w:hint="eastAsia" w:ascii="宋体" w:hAnsi="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（4）</w:t>
      </w:r>
      <w:r>
        <w:rPr>
          <w:rFonts w:hint="eastAsia" w:ascii="宋体" w:hAnsi="宋体" w:eastAsia="宋体" w:cs="宋体"/>
          <w:b/>
          <w:bCs/>
          <w:color w:val="auto"/>
          <w:kern w:val="0"/>
          <w:szCs w:val="21"/>
          <w:highlight w:val="none"/>
          <w:lang w:val="en-US" w:eastAsia="zh-CN"/>
        </w:rPr>
        <w:t>安全文明作业方案</w:t>
      </w:r>
      <w:r>
        <w:rPr>
          <w:rFonts w:hint="eastAsia" w:ascii="宋体" w:hAnsi="宋体" w:cs="宋体"/>
          <w:b/>
          <w:bCs/>
          <w:color w:val="auto"/>
          <w:szCs w:val="21"/>
          <w:highlight w:val="none"/>
          <w:lang w:val="en-US" w:eastAsia="zh-CN"/>
        </w:rPr>
        <w:t>（格式自拟）；</w:t>
      </w:r>
    </w:p>
    <w:p w14:paraId="04803681">
      <w:pPr>
        <w:widowControl w:val="0"/>
        <w:numPr>
          <w:ilvl w:val="0"/>
          <w:numId w:val="0"/>
        </w:numPr>
        <w:shd w:val="clear"/>
        <w:kinsoku/>
        <w:overflowPunct/>
        <w:bidi w:val="0"/>
        <w:spacing w:line="440" w:lineRule="exact"/>
        <w:ind w:left="0" w:leftChars="0" w:right="0" w:right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2"/>
          <w:sz w:val="21"/>
          <w:szCs w:val="21"/>
          <w:highlight w:val="none"/>
          <w:lang w:val="en-US" w:eastAsia="zh-CN" w:bidi="ar-SA"/>
        </w:rPr>
        <w:t>（5）</w:t>
      </w:r>
      <w:r>
        <w:rPr>
          <w:rFonts w:hint="eastAsia" w:ascii="宋体" w:hAnsi="宋体" w:eastAsia="宋体" w:cs="宋体"/>
          <w:b/>
          <w:bCs/>
          <w:color w:val="auto"/>
          <w:kern w:val="0"/>
          <w:szCs w:val="21"/>
          <w:highlight w:val="none"/>
          <w:lang w:val="en-US" w:eastAsia="zh-CN"/>
        </w:rPr>
        <w:t>人员管理和培训方案</w:t>
      </w:r>
      <w:r>
        <w:rPr>
          <w:rFonts w:hint="eastAsia" w:ascii="宋体" w:hAnsi="宋体" w:cs="宋体"/>
          <w:b/>
          <w:bCs/>
          <w:color w:val="auto"/>
          <w:szCs w:val="21"/>
          <w:highlight w:val="none"/>
          <w:lang w:val="en-US" w:eastAsia="zh-CN"/>
        </w:rPr>
        <w:t>（格式自拟）；</w:t>
      </w:r>
    </w:p>
    <w:p w14:paraId="365A9901">
      <w:pPr>
        <w:shd w:val="clear"/>
        <w:kinsoku/>
        <w:overflowPunct/>
        <w:bidi w:val="0"/>
        <w:adjustRightInd w:val="0"/>
        <w:snapToGrid w:val="0"/>
        <w:spacing w:line="560" w:lineRule="exact"/>
        <w:ind w:left="0" w:leftChars="0" w:right="0" w:rightChars="0"/>
        <w:rPr>
          <w:rFonts w:ascii="宋体" w:hAnsi="宋体"/>
          <w:b/>
          <w:bCs/>
          <w:color w:val="auto"/>
          <w:sz w:val="24"/>
          <w:highlight w:val="none"/>
        </w:rPr>
      </w:pPr>
    </w:p>
    <w:p w14:paraId="34E0FEB6">
      <w:pPr>
        <w:shd w:val="clear"/>
        <w:kinsoku/>
        <w:overflowPunct/>
        <w:bidi w:val="0"/>
        <w:adjustRightInd w:val="0"/>
        <w:snapToGrid w:val="0"/>
        <w:spacing w:line="560" w:lineRule="exact"/>
        <w:ind w:left="0" w:leftChars="0" w:right="0" w:rightChars="0"/>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7C8D4F78">
      <w:pPr>
        <w:pStyle w:val="14"/>
        <w:shd w:val="clear"/>
        <w:kinsoku/>
        <w:overflowPunct/>
        <w:bidi w:val="0"/>
        <w:ind w:left="0" w:leftChars="0" w:right="0" w:rightChars="0"/>
        <w:rPr>
          <w:color w:val="auto"/>
          <w:highlight w:val="none"/>
        </w:rPr>
      </w:pPr>
    </w:p>
    <w:p w14:paraId="4F5221CC">
      <w:pPr>
        <w:shd w:val="clear"/>
        <w:kinsoku/>
        <w:overflowPunct/>
        <w:bidi w:val="0"/>
        <w:spacing w:line="400" w:lineRule="exact"/>
        <w:ind w:left="0" w:leftChars="0" w:right="0" w:rightChars="0" w:firstLine="562" w:firstLineChars="200"/>
        <w:rPr>
          <w:b/>
          <w:color w:val="auto"/>
          <w:sz w:val="28"/>
          <w:szCs w:val="28"/>
          <w:highlight w:val="none"/>
        </w:rPr>
      </w:pPr>
    </w:p>
    <w:p w14:paraId="063167E8">
      <w:pPr>
        <w:shd w:val="clear"/>
        <w:kinsoku/>
        <w:overflowPunct/>
        <w:bidi w:val="0"/>
        <w:spacing w:line="400" w:lineRule="exact"/>
        <w:ind w:left="0" w:leftChars="0" w:right="0" w:rightChars="0" w:firstLine="562" w:firstLineChars="200"/>
        <w:rPr>
          <w:b/>
          <w:color w:val="auto"/>
          <w:sz w:val="28"/>
          <w:szCs w:val="28"/>
          <w:highlight w:val="none"/>
        </w:rPr>
      </w:pPr>
    </w:p>
    <w:p w14:paraId="65CC32BF">
      <w:pPr>
        <w:shd w:val="clear"/>
        <w:kinsoku/>
        <w:overflowPunct/>
        <w:bidi w:val="0"/>
        <w:spacing w:line="400" w:lineRule="exact"/>
        <w:ind w:left="0" w:leftChars="0" w:right="0" w:rightChars="0" w:firstLine="562" w:firstLineChars="200"/>
        <w:rPr>
          <w:b/>
          <w:color w:val="auto"/>
          <w:sz w:val="28"/>
          <w:szCs w:val="28"/>
          <w:highlight w:val="none"/>
        </w:rPr>
      </w:pPr>
    </w:p>
    <w:p w14:paraId="4709A7CA">
      <w:pPr>
        <w:shd w:val="clear"/>
        <w:kinsoku/>
        <w:overflowPunct/>
        <w:bidi w:val="0"/>
        <w:spacing w:line="480" w:lineRule="auto"/>
        <w:ind w:left="0" w:leftChars="0" w:right="0" w:rightChars="0"/>
        <w:rPr>
          <w:b/>
          <w:color w:val="auto"/>
          <w:sz w:val="28"/>
          <w:szCs w:val="28"/>
          <w:highlight w:val="none"/>
        </w:rPr>
      </w:pPr>
      <w:r>
        <w:rPr>
          <w:rFonts w:hint="eastAsia"/>
          <w:b/>
          <w:color w:val="auto"/>
          <w:sz w:val="28"/>
          <w:szCs w:val="28"/>
          <w:highlight w:val="none"/>
        </w:rPr>
        <w:br w:type="page"/>
      </w:r>
    </w:p>
    <w:p w14:paraId="782CFC0E">
      <w:pPr>
        <w:shd w:val="clear"/>
        <w:kinsoku/>
        <w:overflowPunct/>
        <w:bidi w:val="0"/>
        <w:spacing w:line="300" w:lineRule="exact"/>
        <w:ind w:left="0" w:leftChars="0" w:right="0" w:rightChars="0"/>
        <w:rPr>
          <w:rFonts w:ascii="宋体"/>
          <w:color w:val="auto"/>
          <w:sz w:val="24"/>
          <w:highlight w:val="none"/>
          <w:u w:val="single"/>
        </w:rPr>
      </w:pPr>
      <w:r>
        <w:rPr>
          <w:rFonts w:hint="eastAsia" w:ascii="宋体"/>
          <w:color w:val="auto"/>
          <w:sz w:val="24"/>
          <w:highlight w:val="none"/>
          <w:u w:val="single"/>
        </w:rPr>
        <w:t xml:space="preserve">      </w:t>
      </w:r>
    </w:p>
    <w:p w14:paraId="730D5E1F">
      <w:pPr>
        <w:shd w:val="clear"/>
        <w:kinsoku/>
        <w:overflowPunct/>
        <w:bidi w:val="0"/>
        <w:ind w:left="0" w:leftChars="0" w:right="0" w:rightChars="0"/>
        <w:jc w:val="center"/>
        <w:rPr>
          <w:rFonts w:ascii="宋体"/>
          <w:color w:val="auto"/>
          <w:sz w:val="24"/>
          <w:highlight w:val="none"/>
        </w:rPr>
      </w:pPr>
      <w:r>
        <w:rPr>
          <w:rFonts w:hint="eastAsia" w:ascii="宋体" w:hAnsi="宋体"/>
          <w:b/>
          <w:color w:val="auto"/>
          <w:sz w:val="28"/>
          <w:szCs w:val="28"/>
          <w:highlight w:val="none"/>
        </w:rPr>
        <w:t>三、商务标格式文件</w:t>
      </w:r>
    </w:p>
    <w:p w14:paraId="30893947">
      <w:pPr>
        <w:shd w:val="clear"/>
        <w:kinsoku/>
        <w:overflowPunct/>
        <w:bidi w:val="0"/>
        <w:ind w:left="0" w:leftChars="0" w:right="0" w:rightChars="0"/>
        <w:jc w:val="center"/>
        <w:rPr>
          <w:rFonts w:eastAsia="黑体"/>
          <w:color w:val="auto"/>
          <w:sz w:val="20"/>
          <w:highlight w:val="none"/>
        </w:rPr>
      </w:pPr>
    </w:p>
    <w:p w14:paraId="49ED6611">
      <w:pPr>
        <w:shd w:val="clear"/>
        <w:kinsoku/>
        <w:overflowPunct/>
        <w:bidi w:val="0"/>
        <w:ind w:left="0" w:leftChars="0" w:right="0" w:rightChars="0"/>
        <w:rPr>
          <w:rFonts w:ascii="宋体"/>
          <w:color w:val="auto"/>
          <w:sz w:val="20"/>
          <w:highlight w:val="none"/>
        </w:rPr>
      </w:pPr>
    </w:p>
    <w:p w14:paraId="4001AD57">
      <w:pPr>
        <w:pStyle w:val="34"/>
        <w:shd w:val="clear"/>
        <w:kinsoku/>
        <w:overflowPunct/>
        <w:bidi w:val="0"/>
        <w:ind w:left="0" w:leftChars="0" w:right="0" w:rightChars="0" w:firstLine="400"/>
        <w:rPr>
          <w:color w:val="auto"/>
          <w:highlight w:val="none"/>
        </w:rPr>
      </w:pPr>
    </w:p>
    <w:p w14:paraId="02216963">
      <w:pPr>
        <w:shd w:val="clear"/>
        <w:kinsoku/>
        <w:overflowPunct/>
        <w:bidi w:val="0"/>
        <w:ind w:left="0" w:leftChars="0" w:right="0" w:rightChars="0"/>
        <w:jc w:val="center"/>
        <w:rPr>
          <w:rFonts w:ascii="宋体"/>
          <w:b/>
          <w:color w:val="auto"/>
          <w:sz w:val="44"/>
          <w:szCs w:val="44"/>
          <w:highlight w:val="none"/>
        </w:rPr>
      </w:pPr>
      <w:bookmarkStart w:id="180" w:name="_Toc449028954"/>
      <w:r>
        <w:rPr>
          <w:rFonts w:hint="eastAsia" w:ascii="宋体"/>
          <w:b/>
          <w:color w:val="auto"/>
          <w:sz w:val="44"/>
          <w:szCs w:val="44"/>
          <w:highlight w:val="none"/>
        </w:rPr>
        <w:t>商务标</w:t>
      </w:r>
      <w:bookmarkEnd w:id="180"/>
    </w:p>
    <w:p w14:paraId="7C451471">
      <w:pPr>
        <w:shd w:val="clear"/>
        <w:kinsoku/>
        <w:overflowPunct/>
        <w:bidi w:val="0"/>
        <w:ind w:left="0" w:leftChars="0" w:right="0" w:rightChars="0"/>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0B86A495">
      <w:pPr>
        <w:shd w:val="clear"/>
        <w:kinsoku/>
        <w:overflowPunct/>
        <w:bidi w:val="0"/>
        <w:ind w:left="0" w:leftChars="0" w:right="0" w:rightChars="0"/>
        <w:jc w:val="center"/>
        <w:rPr>
          <w:rFonts w:ascii="宋体"/>
          <w:color w:val="auto"/>
          <w:sz w:val="36"/>
          <w:szCs w:val="36"/>
          <w:highlight w:val="none"/>
        </w:rPr>
      </w:pPr>
    </w:p>
    <w:p w14:paraId="34FF8A4E">
      <w:pPr>
        <w:shd w:val="clear"/>
        <w:kinsoku/>
        <w:overflowPunct/>
        <w:bidi w:val="0"/>
        <w:ind w:left="0" w:leftChars="0" w:right="0" w:rightChars="0"/>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E8006DA">
      <w:pPr>
        <w:shd w:val="clear"/>
        <w:kinsoku/>
        <w:overflowPunct/>
        <w:bidi w:val="0"/>
        <w:ind w:left="0" w:leftChars="0" w:right="0" w:rightChars="0"/>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BDE60BF">
      <w:pPr>
        <w:shd w:val="clear"/>
        <w:kinsoku/>
        <w:overflowPunct/>
        <w:bidi w:val="0"/>
        <w:ind w:left="0" w:leftChars="0" w:right="0" w:rightChars="0"/>
        <w:rPr>
          <w:rFonts w:ascii="宋体"/>
          <w:color w:val="auto"/>
          <w:sz w:val="28"/>
          <w:szCs w:val="28"/>
          <w:highlight w:val="none"/>
        </w:rPr>
      </w:pPr>
    </w:p>
    <w:p w14:paraId="38998AA8">
      <w:pPr>
        <w:shd w:val="clear"/>
        <w:kinsoku/>
        <w:overflowPunct/>
        <w:bidi w:val="0"/>
        <w:ind w:left="0" w:leftChars="0" w:right="0" w:rightChars="0"/>
        <w:rPr>
          <w:rFonts w:ascii="宋体"/>
          <w:color w:val="auto"/>
          <w:sz w:val="28"/>
          <w:szCs w:val="28"/>
          <w:highlight w:val="none"/>
        </w:rPr>
      </w:pPr>
    </w:p>
    <w:p w14:paraId="02098B3B">
      <w:pPr>
        <w:shd w:val="clear"/>
        <w:kinsoku/>
        <w:overflowPunct/>
        <w:bidi w:val="0"/>
        <w:ind w:left="0" w:leftChars="0" w:right="0" w:rightChars="0"/>
        <w:rPr>
          <w:rFonts w:ascii="宋体"/>
          <w:color w:val="auto"/>
          <w:sz w:val="28"/>
          <w:szCs w:val="28"/>
          <w:highlight w:val="none"/>
        </w:rPr>
      </w:pPr>
    </w:p>
    <w:p w14:paraId="06BDB167">
      <w:pPr>
        <w:shd w:val="clear"/>
        <w:kinsoku/>
        <w:overflowPunct/>
        <w:bidi w:val="0"/>
        <w:ind w:left="0" w:leftChars="0" w:right="0" w:rightChars="0"/>
        <w:rPr>
          <w:rFonts w:ascii="宋体"/>
          <w:color w:val="auto"/>
          <w:sz w:val="28"/>
          <w:szCs w:val="28"/>
          <w:highlight w:val="none"/>
        </w:rPr>
      </w:pPr>
    </w:p>
    <w:p w14:paraId="2CA01845">
      <w:pPr>
        <w:shd w:val="clear"/>
        <w:kinsoku/>
        <w:overflowPunct/>
        <w:bidi w:val="0"/>
        <w:ind w:left="0" w:leftChars="0" w:right="0" w:rightChars="0"/>
        <w:rPr>
          <w:rFonts w:ascii="宋体"/>
          <w:color w:val="auto"/>
          <w:sz w:val="28"/>
          <w:szCs w:val="28"/>
          <w:highlight w:val="none"/>
        </w:rPr>
      </w:pPr>
    </w:p>
    <w:p w14:paraId="21A2A976">
      <w:pPr>
        <w:shd w:val="clear"/>
        <w:kinsoku/>
        <w:overflowPunct/>
        <w:bidi w:val="0"/>
        <w:ind w:left="0" w:leftChars="0" w:right="0" w:rightChars="0"/>
        <w:rPr>
          <w:rFonts w:ascii="宋体"/>
          <w:color w:val="auto"/>
          <w:sz w:val="28"/>
          <w:szCs w:val="28"/>
          <w:highlight w:val="none"/>
        </w:rPr>
      </w:pPr>
    </w:p>
    <w:p w14:paraId="2768955C">
      <w:pPr>
        <w:shd w:val="clear"/>
        <w:kinsoku/>
        <w:overflowPunct/>
        <w:bidi w:val="0"/>
        <w:ind w:left="0" w:leftChars="0" w:right="0" w:rightChars="0"/>
        <w:rPr>
          <w:rFonts w:ascii="宋体"/>
          <w:color w:val="auto"/>
          <w:sz w:val="28"/>
          <w:szCs w:val="28"/>
          <w:highlight w:val="none"/>
        </w:rPr>
      </w:pPr>
    </w:p>
    <w:p w14:paraId="2FBB93E3">
      <w:pPr>
        <w:shd w:val="clear"/>
        <w:kinsoku/>
        <w:overflowPunct/>
        <w:bidi w:val="0"/>
        <w:ind w:left="0" w:leftChars="0" w:right="0" w:rightChars="0"/>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0EA5F81A">
      <w:pPr>
        <w:shd w:val="clear"/>
        <w:kinsoku/>
        <w:overflowPunct/>
        <w:bidi w:val="0"/>
        <w:ind w:left="0" w:leftChars="0" w:right="0" w:rightChars="0"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621588F3">
      <w:pPr>
        <w:shd w:val="clear"/>
        <w:kinsoku/>
        <w:overflowPunct/>
        <w:bidi w:val="0"/>
        <w:ind w:left="0" w:leftChars="0" w:right="0" w:rightChars="0"/>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7322A62">
      <w:pPr>
        <w:shd w:val="clear"/>
        <w:kinsoku/>
        <w:overflowPunct/>
        <w:bidi w:val="0"/>
        <w:spacing w:line="720" w:lineRule="auto"/>
        <w:ind w:left="0" w:leftChars="0" w:right="0" w:rightChars="0"/>
        <w:jc w:val="center"/>
        <w:rPr>
          <w:rFonts w:ascii="宋体"/>
          <w:b/>
          <w:color w:val="auto"/>
          <w:sz w:val="36"/>
          <w:szCs w:val="36"/>
          <w:highlight w:val="none"/>
        </w:rPr>
      </w:pPr>
    </w:p>
    <w:p w14:paraId="25AB4E95">
      <w:pPr>
        <w:shd w:val="clear"/>
        <w:kinsoku/>
        <w:overflowPunct/>
        <w:bidi w:val="0"/>
        <w:spacing w:line="400" w:lineRule="exact"/>
        <w:ind w:left="0" w:leftChars="0" w:right="0" w:rightChars="0" w:firstLine="562" w:firstLineChars="200"/>
        <w:rPr>
          <w:b/>
          <w:color w:val="auto"/>
          <w:sz w:val="28"/>
          <w:szCs w:val="28"/>
          <w:highlight w:val="none"/>
        </w:rPr>
      </w:pPr>
    </w:p>
    <w:p w14:paraId="24392C6B">
      <w:pPr>
        <w:shd w:val="clear"/>
        <w:kinsoku/>
        <w:overflowPunct/>
        <w:bidi w:val="0"/>
        <w:spacing w:line="400" w:lineRule="exact"/>
        <w:ind w:left="0" w:leftChars="0" w:right="0" w:rightChars="0"/>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3BBDA5FB">
      <w:pPr>
        <w:shd w:val="clear"/>
        <w:kinsoku/>
        <w:overflowPunct/>
        <w:bidi w:val="0"/>
        <w:spacing w:line="400" w:lineRule="exact"/>
        <w:ind w:left="0" w:leftChars="0" w:right="0" w:rightChars="0" w:firstLine="4130" w:firstLineChars="935"/>
        <w:rPr>
          <w:b/>
          <w:color w:val="auto"/>
          <w:sz w:val="44"/>
          <w:szCs w:val="44"/>
          <w:highlight w:val="none"/>
        </w:rPr>
      </w:pPr>
    </w:p>
    <w:p w14:paraId="756F35BA">
      <w:pPr>
        <w:shd w:val="clear"/>
        <w:kinsoku/>
        <w:overflowPunct/>
        <w:bidi w:val="0"/>
        <w:spacing w:line="440" w:lineRule="exact"/>
        <w:ind w:left="0" w:leftChars="0" w:right="0" w:rightChars="0"/>
        <w:jc w:val="left"/>
        <w:rPr>
          <w:rFonts w:ascii="宋体"/>
          <w:color w:val="auto"/>
          <w:szCs w:val="21"/>
          <w:highlight w:val="none"/>
        </w:rPr>
      </w:pPr>
      <w:r>
        <w:rPr>
          <w:rFonts w:hint="eastAsia" w:ascii="宋体"/>
          <w:color w:val="auto"/>
          <w:szCs w:val="21"/>
          <w:highlight w:val="none"/>
        </w:rPr>
        <w:t>（1）开标一览表（格式见附件）；</w:t>
      </w:r>
    </w:p>
    <w:p w14:paraId="02319F7F">
      <w:pPr>
        <w:shd w:val="clear"/>
        <w:kinsoku/>
        <w:overflowPunct/>
        <w:bidi w:val="0"/>
        <w:spacing w:line="440" w:lineRule="exact"/>
        <w:ind w:left="0" w:leftChars="0" w:right="0" w:rightChars="0"/>
        <w:jc w:val="left"/>
        <w:rPr>
          <w:rFonts w:ascii="宋体"/>
          <w:color w:val="auto"/>
          <w:szCs w:val="21"/>
          <w:highlight w:val="none"/>
        </w:rPr>
      </w:pPr>
      <w:r>
        <w:rPr>
          <w:rFonts w:hint="eastAsia" w:ascii="宋体"/>
          <w:color w:val="auto"/>
          <w:szCs w:val="21"/>
          <w:highlight w:val="none"/>
        </w:rPr>
        <w:t>（2）投标函（格式见附件）；</w:t>
      </w:r>
    </w:p>
    <w:p w14:paraId="47E23BC6">
      <w:pPr>
        <w:shd w:val="clear"/>
        <w:kinsoku/>
        <w:overflowPunct/>
        <w:bidi w:val="0"/>
        <w:spacing w:line="440" w:lineRule="exact"/>
        <w:ind w:right="0" w:rightChars="0"/>
        <w:jc w:val="left"/>
        <w:rPr>
          <w:rFonts w:ascii="宋体"/>
          <w:color w:val="auto"/>
          <w:szCs w:val="21"/>
          <w:highlight w:val="none"/>
        </w:rPr>
      </w:pPr>
      <w:r>
        <w:rPr>
          <w:rFonts w:hint="eastAsia" w:ascii="宋体"/>
          <w:color w:val="auto"/>
          <w:szCs w:val="21"/>
          <w:highlight w:val="none"/>
        </w:rPr>
        <w:t>（3）投标人认为需要提供的其他材料。</w:t>
      </w:r>
    </w:p>
    <w:p w14:paraId="7BBBABF9">
      <w:pPr>
        <w:shd w:val="clear"/>
        <w:kinsoku/>
        <w:overflowPunct/>
        <w:bidi w:val="0"/>
        <w:ind w:left="0" w:leftChars="0" w:right="0" w:rightChars="0"/>
        <w:jc w:val="center"/>
        <w:rPr>
          <w:rFonts w:ascii="宋体"/>
          <w:b/>
          <w:color w:val="auto"/>
          <w:sz w:val="28"/>
          <w:szCs w:val="28"/>
          <w:highlight w:val="none"/>
        </w:rPr>
      </w:pPr>
    </w:p>
    <w:p w14:paraId="704EAA34">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5E510441">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26D594A5">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7B91D013">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3ACE19E7">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0BD61DDA">
      <w:pPr>
        <w:shd w:val="clear"/>
        <w:kinsoku/>
        <w:overflowPunct/>
        <w:bidi w:val="0"/>
        <w:snapToGrid w:val="0"/>
        <w:spacing w:line="460" w:lineRule="exact"/>
        <w:ind w:left="0" w:leftChars="0" w:right="0" w:rightChars="0" w:firstLine="964" w:firstLineChars="300"/>
        <w:rPr>
          <w:rFonts w:ascii="宋体"/>
          <w:b/>
          <w:color w:val="auto"/>
          <w:sz w:val="32"/>
          <w:szCs w:val="32"/>
          <w:highlight w:val="none"/>
        </w:rPr>
      </w:pPr>
    </w:p>
    <w:p w14:paraId="6C3475E4">
      <w:pPr>
        <w:shd w:val="clear"/>
        <w:kinsoku/>
        <w:overflowPunct/>
        <w:bidi w:val="0"/>
        <w:spacing w:line="360" w:lineRule="exact"/>
        <w:ind w:left="0" w:leftChars="0" w:right="0" w:rightChars="0"/>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32ABA013">
      <w:pPr>
        <w:shd w:val="clear"/>
        <w:kinsoku/>
        <w:overflowPunct/>
        <w:bidi w:val="0"/>
        <w:spacing w:line="360" w:lineRule="exact"/>
        <w:ind w:left="0" w:leftChars="0" w:right="0" w:rightChars="0" w:firstLine="472" w:firstLineChars="147"/>
        <w:jc w:val="center"/>
        <w:rPr>
          <w:rFonts w:ascii="宋体"/>
          <w:b/>
          <w:color w:val="auto"/>
          <w:sz w:val="32"/>
          <w:szCs w:val="32"/>
          <w:highlight w:val="none"/>
        </w:rPr>
      </w:pPr>
    </w:p>
    <w:p w14:paraId="4806CB44">
      <w:pPr>
        <w:shd w:val="clear"/>
        <w:kinsoku/>
        <w:overflowPunct/>
        <w:bidi w:val="0"/>
        <w:spacing w:line="360" w:lineRule="exact"/>
        <w:ind w:left="0" w:leftChars="0" w:right="0" w:rightChars="0"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446D6596">
      <w:pPr>
        <w:shd w:val="clear"/>
        <w:kinsoku/>
        <w:overflowPunct/>
        <w:bidi w:val="0"/>
        <w:spacing w:line="360" w:lineRule="exact"/>
        <w:ind w:left="0" w:leftChars="0" w:right="0" w:rightChars="0" w:firstLine="354" w:firstLineChars="147"/>
        <w:rPr>
          <w:rFonts w:ascii="宋体"/>
          <w:b/>
          <w:color w:val="auto"/>
          <w:sz w:val="24"/>
          <w:highlight w:val="none"/>
        </w:rPr>
      </w:pP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654"/>
      </w:tblGrid>
      <w:tr w14:paraId="0E7F2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79D24B5F">
            <w:pPr>
              <w:shd w:val="clear"/>
              <w:kinsoku/>
              <w:overflowPunct/>
              <w:bidi w:val="0"/>
              <w:spacing w:line="700" w:lineRule="exact"/>
              <w:ind w:left="0" w:leftChars="0" w:right="0" w:rightChars="0"/>
              <w:jc w:val="center"/>
              <w:rPr>
                <w:rFonts w:ascii="宋体"/>
                <w:color w:val="auto"/>
                <w:sz w:val="24"/>
                <w:highlight w:val="none"/>
              </w:rPr>
            </w:pPr>
            <w:r>
              <w:rPr>
                <w:rFonts w:hint="eastAsia" w:ascii="宋体"/>
                <w:color w:val="auto"/>
                <w:sz w:val="24"/>
                <w:highlight w:val="none"/>
              </w:rPr>
              <w:t>项目名称</w:t>
            </w:r>
          </w:p>
        </w:tc>
        <w:tc>
          <w:tcPr>
            <w:tcW w:w="7654" w:type="dxa"/>
            <w:tcBorders>
              <w:top w:val="single" w:color="auto" w:sz="12" w:space="0"/>
              <w:left w:val="single" w:color="auto" w:sz="12" w:space="0"/>
              <w:bottom w:val="single" w:color="auto" w:sz="12" w:space="0"/>
            </w:tcBorders>
            <w:vAlign w:val="center"/>
          </w:tcPr>
          <w:p w14:paraId="0063642D">
            <w:pPr>
              <w:shd w:val="clear"/>
              <w:kinsoku/>
              <w:overflowPunct/>
              <w:bidi w:val="0"/>
              <w:spacing w:line="700" w:lineRule="exact"/>
              <w:ind w:left="0" w:leftChars="0" w:right="0" w:rightChars="0"/>
              <w:jc w:val="left"/>
              <w:rPr>
                <w:color w:val="auto"/>
                <w:sz w:val="24"/>
                <w:highlight w:val="none"/>
              </w:rPr>
            </w:pPr>
            <w:r>
              <w:rPr>
                <w:rFonts w:hint="eastAsia"/>
                <w:color w:val="auto"/>
                <w:sz w:val="24"/>
                <w:highlight w:val="none"/>
              </w:rPr>
              <w:t xml:space="preserve">         </w:t>
            </w:r>
          </w:p>
        </w:tc>
      </w:tr>
      <w:tr w14:paraId="401A1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4679C99B">
            <w:pPr>
              <w:shd w:val="clear"/>
              <w:kinsoku/>
              <w:overflowPunct/>
              <w:bidi w:val="0"/>
              <w:spacing w:line="700" w:lineRule="exact"/>
              <w:ind w:left="0" w:leftChars="0" w:right="0" w:rightChars="0"/>
              <w:jc w:val="center"/>
              <w:rPr>
                <w:rFonts w:ascii="宋体"/>
                <w:color w:val="auto"/>
                <w:sz w:val="24"/>
                <w:highlight w:val="none"/>
              </w:rPr>
            </w:pPr>
            <w:r>
              <w:rPr>
                <w:rFonts w:hint="eastAsia" w:ascii="宋体"/>
                <w:color w:val="auto"/>
                <w:sz w:val="24"/>
                <w:highlight w:val="none"/>
              </w:rPr>
              <w:t>项目编号</w:t>
            </w:r>
          </w:p>
        </w:tc>
        <w:tc>
          <w:tcPr>
            <w:tcW w:w="7654" w:type="dxa"/>
            <w:tcBorders>
              <w:top w:val="single" w:color="auto" w:sz="12" w:space="0"/>
              <w:left w:val="single" w:color="auto" w:sz="12" w:space="0"/>
            </w:tcBorders>
            <w:vAlign w:val="center"/>
          </w:tcPr>
          <w:p w14:paraId="6B935D53">
            <w:pPr>
              <w:shd w:val="clear"/>
              <w:kinsoku/>
              <w:overflowPunct/>
              <w:bidi w:val="0"/>
              <w:spacing w:line="700" w:lineRule="exact"/>
              <w:ind w:left="0" w:leftChars="0" w:right="0" w:rightChars="0"/>
              <w:rPr>
                <w:rFonts w:ascii="宋体"/>
                <w:color w:val="auto"/>
                <w:sz w:val="24"/>
                <w:highlight w:val="none"/>
              </w:rPr>
            </w:pPr>
          </w:p>
        </w:tc>
      </w:tr>
      <w:tr w14:paraId="57903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334ADC01">
            <w:pPr>
              <w:shd w:val="clear"/>
              <w:kinsoku/>
              <w:overflowPunct/>
              <w:bidi w:val="0"/>
              <w:spacing w:line="700" w:lineRule="exact"/>
              <w:ind w:left="0" w:leftChars="0" w:right="0" w:rightChars="0" w:firstLine="120" w:firstLineChars="50"/>
              <w:rPr>
                <w:rFonts w:ascii="宋体"/>
                <w:color w:val="auto"/>
                <w:sz w:val="24"/>
                <w:highlight w:val="none"/>
              </w:rPr>
            </w:pPr>
            <w:r>
              <w:rPr>
                <w:rFonts w:hint="eastAsia" w:ascii="宋体"/>
                <w:color w:val="auto"/>
                <w:sz w:val="24"/>
                <w:highlight w:val="none"/>
              </w:rPr>
              <w:t>投标人名称</w:t>
            </w:r>
          </w:p>
        </w:tc>
        <w:tc>
          <w:tcPr>
            <w:tcW w:w="7654" w:type="dxa"/>
            <w:tcBorders>
              <w:left w:val="single" w:color="auto" w:sz="12" w:space="0"/>
            </w:tcBorders>
          </w:tcPr>
          <w:p w14:paraId="52DC698D">
            <w:pPr>
              <w:pStyle w:val="19"/>
              <w:shd w:val="clear"/>
              <w:kinsoku/>
              <w:overflowPunct/>
              <w:bidi w:val="0"/>
              <w:spacing w:line="700" w:lineRule="exact"/>
              <w:ind w:left="0" w:leftChars="0" w:right="0" w:rightChars="0"/>
              <w:rPr>
                <w:rFonts w:ascii="宋体" w:eastAsia="宋体"/>
                <w:color w:val="auto"/>
                <w:sz w:val="24"/>
                <w:szCs w:val="24"/>
                <w:highlight w:val="none"/>
              </w:rPr>
            </w:pPr>
          </w:p>
        </w:tc>
      </w:tr>
      <w:tr w14:paraId="5AE17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2D3DFAC0">
            <w:pPr>
              <w:shd w:val="clear"/>
              <w:kinsoku/>
              <w:overflowPunct/>
              <w:bidi w:val="0"/>
              <w:spacing w:line="360" w:lineRule="auto"/>
              <w:ind w:left="0" w:leftChars="0" w:right="0" w:rightChars="0"/>
              <w:jc w:val="center"/>
              <w:rPr>
                <w:rFonts w:ascii="宋体"/>
                <w:color w:val="auto"/>
                <w:sz w:val="24"/>
                <w:highlight w:val="none"/>
              </w:rPr>
            </w:pPr>
            <w:r>
              <w:rPr>
                <w:rFonts w:hint="eastAsia" w:ascii="宋体" w:hAnsi="宋体"/>
                <w:color w:val="auto"/>
                <w:sz w:val="24"/>
                <w:highlight w:val="none"/>
              </w:rPr>
              <w:t>投标报价\合同履行期限</w:t>
            </w:r>
          </w:p>
        </w:tc>
        <w:tc>
          <w:tcPr>
            <w:tcW w:w="7654" w:type="dxa"/>
            <w:tcBorders>
              <w:left w:val="single" w:color="auto" w:sz="12" w:space="0"/>
            </w:tcBorders>
            <w:vAlign w:val="center"/>
          </w:tcPr>
          <w:p w14:paraId="2C722C33">
            <w:pPr>
              <w:shd w:val="clear"/>
              <w:kinsoku/>
              <w:overflowPunct/>
              <w:bidi w:val="0"/>
              <w:spacing w:line="360" w:lineRule="auto"/>
              <w:ind w:left="0" w:leftChars="0" w:right="0" w:rightChars="0"/>
              <w:jc w:val="left"/>
              <w:rPr>
                <w:rFonts w:ascii="宋体" w:hAnsi="宋体"/>
                <w:color w:val="auto"/>
                <w:sz w:val="24"/>
                <w:szCs w:val="24"/>
                <w:highlight w:val="none"/>
              </w:rPr>
            </w:pPr>
            <w:r>
              <w:rPr>
                <w:rFonts w:hint="eastAsia" w:ascii="宋体" w:hAnsi="宋体"/>
                <w:color w:val="auto"/>
                <w:sz w:val="24"/>
                <w:highlight w:val="none"/>
              </w:rPr>
              <w:t>投标报价 ：（大写）：</w:t>
            </w:r>
            <w:r>
              <w:rPr>
                <w:rFonts w:hint="eastAsia" w:ascii="宋体" w:hAnsi="宋体"/>
                <w:color w:val="auto"/>
                <w:sz w:val="24"/>
                <w:highlight w:val="none"/>
                <w:u w:val="single"/>
              </w:rPr>
              <w:t xml:space="preserve">             </w:t>
            </w:r>
            <w:r>
              <w:rPr>
                <w:rFonts w:hint="eastAsia" w:ascii="宋体" w:hAnsi="宋体"/>
                <w:color w:val="auto"/>
                <w:sz w:val="24"/>
                <w:szCs w:val="24"/>
                <w:highlight w:val="none"/>
                <w:u w:val="single"/>
              </w:rPr>
              <w:t xml:space="preserve"> </w:t>
            </w:r>
            <w:r>
              <w:rPr>
                <w:rFonts w:hint="eastAsia" w:ascii="仿宋" w:hAnsi="仿宋" w:eastAsia="仿宋"/>
                <w:color w:val="auto"/>
                <w:sz w:val="24"/>
                <w:szCs w:val="24"/>
                <w:highlight w:val="none"/>
                <w:lang w:val="en-US" w:eastAsia="zh-CN"/>
              </w:rPr>
              <w:t>元/千伏安/年（含税）</w:t>
            </w:r>
            <w:r>
              <w:rPr>
                <w:rFonts w:hint="eastAsia" w:ascii="宋体" w:hAnsi="宋体"/>
                <w:color w:val="auto"/>
                <w:sz w:val="24"/>
                <w:szCs w:val="24"/>
                <w:highlight w:val="none"/>
              </w:rPr>
              <w:t xml:space="preserve">。  </w:t>
            </w:r>
          </w:p>
          <w:p w14:paraId="77BCA01B">
            <w:pPr>
              <w:shd w:val="clear"/>
              <w:kinsoku/>
              <w:overflowPunct/>
              <w:bidi w:val="0"/>
              <w:spacing w:line="360" w:lineRule="auto"/>
              <w:ind w:left="0" w:leftChars="0" w:right="0" w:rightChars="0"/>
              <w:jc w:val="left"/>
              <w:rPr>
                <w:rFonts w:ascii="宋体" w:hAnsi="宋体"/>
                <w:color w:val="auto"/>
                <w:sz w:val="24"/>
                <w:highlight w:val="none"/>
              </w:rPr>
            </w:pPr>
            <w:r>
              <w:rPr>
                <w:rFonts w:hint="eastAsia" w:ascii="宋体" w:hAnsi="宋体"/>
                <w:color w:val="auto"/>
                <w:sz w:val="24"/>
                <w:szCs w:val="24"/>
                <w:highlight w:val="none"/>
              </w:rPr>
              <w:t>(小写) ：</w:t>
            </w:r>
            <w:r>
              <w:rPr>
                <w:rFonts w:hint="eastAsia" w:ascii="宋体" w:hAnsi="宋体"/>
                <w:color w:val="auto"/>
                <w:sz w:val="24"/>
                <w:szCs w:val="24"/>
                <w:highlight w:val="none"/>
                <w:u w:val="single"/>
              </w:rPr>
              <w:t xml:space="preserve">                      </w:t>
            </w:r>
            <w:r>
              <w:rPr>
                <w:rFonts w:hint="eastAsia" w:ascii="仿宋" w:hAnsi="仿宋" w:eastAsia="仿宋"/>
                <w:color w:val="auto"/>
                <w:sz w:val="24"/>
                <w:szCs w:val="24"/>
                <w:highlight w:val="none"/>
                <w:lang w:val="en-US" w:eastAsia="zh-CN"/>
              </w:rPr>
              <w:t>元/千伏安/年（含税）</w:t>
            </w:r>
            <w:r>
              <w:rPr>
                <w:rFonts w:hint="eastAsia" w:ascii="宋体" w:hAnsi="宋体"/>
                <w:color w:val="auto"/>
                <w:sz w:val="24"/>
                <w:szCs w:val="24"/>
                <w:highlight w:val="none"/>
              </w:rPr>
              <w:t>。</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1AC74723">
            <w:pPr>
              <w:shd w:val="clear"/>
              <w:kinsoku/>
              <w:overflowPunct/>
              <w:bidi w:val="0"/>
              <w:spacing w:line="360" w:lineRule="auto"/>
              <w:ind w:left="0" w:leftChars="0" w:right="0" w:rightChars="0"/>
              <w:rPr>
                <w:color w:val="auto"/>
                <w:sz w:val="24"/>
                <w:highlight w:val="none"/>
              </w:rPr>
            </w:pPr>
            <w:r>
              <w:rPr>
                <w:rFonts w:hint="eastAsia"/>
                <w:color w:val="auto"/>
                <w:sz w:val="24"/>
                <w:highlight w:val="none"/>
              </w:rPr>
              <w:t>合同履行期限：</w:t>
            </w:r>
            <w:r>
              <w:rPr>
                <w:rFonts w:hint="eastAsia"/>
                <w:color w:val="auto"/>
                <w:sz w:val="24"/>
                <w:highlight w:val="none"/>
                <w:lang w:val="en-US" w:eastAsia="zh-CN"/>
              </w:rPr>
              <w:t>服务期一年</w:t>
            </w:r>
            <w:r>
              <w:rPr>
                <w:rFonts w:hint="eastAsia"/>
                <w:color w:val="auto"/>
                <w:sz w:val="24"/>
                <w:highlight w:val="none"/>
              </w:rPr>
              <w:t xml:space="preserve">。 </w:t>
            </w:r>
          </w:p>
        </w:tc>
      </w:tr>
    </w:tbl>
    <w:p w14:paraId="3EDF1605">
      <w:pPr>
        <w:shd w:val="clear"/>
        <w:kinsoku/>
        <w:overflowPunct/>
        <w:bidi w:val="0"/>
        <w:snapToGrid w:val="0"/>
        <w:spacing w:line="460" w:lineRule="exact"/>
        <w:ind w:left="0" w:leftChars="0" w:right="0" w:rightChars="0" w:firstLine="723" w:firstLineChars="300"/>
        <w:rPr>
          <w:rFonts w:ascii="宋体"/>
          <w:b/>
          <w:color w:val="auto"/>
          <w:sz w:val="24"/>
          <w:highlight w:val="none"/>
        </w:rPr>
      </w:pPr>
    </w:p>
    <w:p w14:paraId="150ECB1F">
      <w:pPr>
        <w:shd w:val="clear"/>
        <w:kinsoku/>
        <w:overflowPunct/>
        <w:bidi w:val="0"/>
        <w:ind w:left="0" w:leftChars="0" w:right="0" w:rightChars="0"/>
        <w:rPr>
          <w:rFonts w:ascii="宋体"/>
          <w:color w:val="auto"/>
          <w:sz w:val="24"/>
          <w:highlight w:val="none"/>
        </w:rPr>
      </w:pPr>
      <w:r>
        <w:rPr>
          <w:rFonts w:hint="eastAsia" w:ascii="宋体"/>
          <w:color w:val="auto"/>
          <w:sz w:val="24"/>
          <w:highlight w:val="none"/>
        </w:rPr>
        <w:t>法定代表人（签章）：         投标人（盖单位章）：</w:t>
      </w:r>
    </w:p>
    <w:p w14:paraId="2CFC1675">
      <w:pPr>
        <w:shd w:val="clear"/>
        <w:kinsoku/>
        <w:overflowPunct/>
        <w:bidi w:val="0"/>
        <w:snapToGrid w:val="0"/>
        <w:spacing w:beforeLines="100" w:afterLines="100" w:line="360" w:lineRule="auto"/>
        <w:ind w:left="0" w:leftChars="0" w:right="0" w:rightChars="0"/>
        <w:jc w:val="center"/>
        <w:rPr>
          <w:rFonts w:cs="Arial"/>
          <w:b/>
          <w:bCs/>
          <w:color w:val="auto"/>
          <w:sz w:val="30"/>
          <w:szCs w:val="30"/>
          <w:highlight w:val="none"/>
        </w:rPr>
        <w:sectPr>
          <w:pgSz w:w="11906" w:h="16838"/>
          <w:pgMar w:top="1440" w:right="1247" w:bottom="1417" w:left="1247" w:header="851" w:footer="992" w:gutter="0"/>
          <w:pgNumType w:fmt="numberInDash"/>
          <w:cols w:space="0" w:num="1"/>
          <w:rtlGutter w:val="0"/>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48BDFE8E">
      <w:pPr>
        <w:shd w:val="clear"/>
        <w:kinsoku/>
        <w:overflowPunct/>
        <w:bidi w:val="0"/>
        <w:spacing w:line="360" w:lineRule="exact"/>
        <w:ind w:left="0" w:leftChars="0" w:right="0" w:rightChars="0"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1CD6A3FA">
      <w:pPr>
        <w:shd w:val="clear"/>
        <w:kinsoku/>
        <w:overflowPunct/>
        <w:bidi w:val="0"/>
        <w:spacing w:line="360" w:lineRule="exact"/>
        <w:ind w:left="0" w:leftChars="0" w:right="0" w:rightChars="0"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7C80AD6C">
      <w:pPr>
        <w:shd w:val="clear"/>
        <w:kinsoku/>
        <w:overflowPunct/>
        <w:bidi w:val="0"/>
        <w:spacing w:line="440" w:lineRule="exact"/>
        <w:ind w:left="0" w:leftChars="0" w:right="0" w:rightChars="0"/>
        <w:rPr>
          <w:rFonts w:ascii="宋体"/>
          <w:color w:val="auto"/>
          <w:sz w:val="24"/>
          <w:highlight w:val="none"/>
        </w:rPr>
      </w:pPr>
    </w:p>
    <w:p w14:paraId="5ECB6D4B">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11BE0C6D">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2773578A">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（项目编号）”项目的服务，投标报价为</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元/千伏安/年（含税）；</w:t>
      </w:r>
      <w:r>
        <w:rPr>
          <w:rFonts w:hint="eastAsia" w:ascii="宋体" w:hAnsi="宋体" w:cs="宋体"/>
          <w:color w:val="auto"/>
          <w:sz w:val="24"/>
          <w:highlight w:val="none"/>
          <w:u w:val="single"/>
        </w:rPr>
        <w:t xml:space="preserve"> （小写）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元/千伏安/年（含税）</w:t>
      </w:r>
      <w:r>
        <w:rPr>
          <w:rFonts w:hint="eastAsia" w:ascii="宋体" w:hAnsi="宋体" w:cs="宋体"/>
          <w:color w:val="auto"/>
          <w:sz w:val="24"/>
          <w:highlight w:val="none"/>
        </w:rPr>
        <w:t>。</w:t>
      </w:r>
    </w:p>
    <w:p w14:paraId="1885BFC9">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20D0D60A">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4、若我方中标，愿意为本项目提交的纸质投标文件一式三份，其中正本一份、副本二份。</w:t>
      </w:r>
    </w:p>
    <w:p w14:paraId="024E7348">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3E1AA4C1">
      <w:pPr>
        <w:pStyle w:val="34"/>
        <w:shd w:val="clear"/>
        <w:kinsoku/>
        <w:overflowPunct/>
        <w:bidi w:val="0"/>
        <w:spacing w:after="0" w:line="500" w:lineRule="exact"/>
        <w:ind w:left="0" w:leftChars="0" w:right="0" w:rightChars="0" w:firstLine="480"/>
        <w:jc w:val="left"/>
        <w:rPr>
          <w:rFonts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586D5837">
      <w:pPr>
        <w:shd w:val="clear"/>
        <w:kinsoku/>
        <w:overflowPunct/>
        <w:bidi w:val="0"/>
        <w:spacing w:line="500" w:lineRule="exact"/>
        <w:ind w:left="0" w:leftChars="0" w:right="0" w:righ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21452CF9">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 </w:t>
      </w:r>
    </w:p>
    <w:p w14:paraId="338009D4">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A5468C4">
      <w:pPr>
        <w:shd w:val="clear"/>
        <w:kinsoku/>
        <w:overflowPunct/>
        <w:bidi w:val="0"/>
        <w:spacing w:line="500" w:lineRule="exact"/>
        <w:ind w:left="0" w:leftChars="0" w:right="0" w:rightChars="0"/>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2F5BB195">
      <w:pPr>
        <w:shd w:val="clear"/>
        <w:kinsoku/>
        <w:overflowPunct/>
        <w:bidi w:val="0"/>
        <w:spacing w:line="500" w:lineRule="exact"/>
        <w:ind w:left="0" w:leftChars="0" w:right="0" w:rightChars="0"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3D8B150">
      <w:pPr>
        <w:shd w:val="clear"/>
        <w:kinsoku/>
        <w:overflowPunct/>
        <w:bidi w:val="0"/>
        <w:spacing w:line="500" w:lineRule="exact"/>
        <w:ind w:left="0" w:leftChars="0" w:right="0" w:rightChars="0"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25BCA962">
      <w:pPr>
        <w:shd w:val="clear"/>
        <w:kinsoku/>
        <w:overflowPunct/>
        <w:bidi w:val="0"/>
        <w:spacing w:line="500" w:lineRule="exact"/>
        <w:ind w:left="0" w:leftChars="0" w:right="0" w:rightChars="0"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49E37CF2">
      <w:pPr>
        <w:shd w:val="clear"/>
        <w:kinsoku/>
        <w:overflowPunct/>
        <w:bidi w:val="0"/>
        <w:spacing w:line="500" w:lineRule="exact"/>
        <w:ind w:left="0" w:leftChars="0" w:right="0" w:rightChars="0"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744AB99F">
      <w:pPr>
        <w:shd w:val="clear"/>
        <w:kinsoku/>
        <w:overflowPunct/>
        <w:bidi w:val="0"/>
        <w:ind w:left="0" w:leftChars="0" w:right="0" w:rightChars="0"/>
        <w:rPr>
          <w:rFonts w:ascii="宋体" w:hAnsi="宋体"/>
          <w:b/>
          <w:color w:val="auto"/>
          <w:sz w:val="30"/>
          <w:szCs w:val="30"/>
          <w:highlight w:val="none"/>
        </w:rPr>
      </w:pPr>
    </w:p>
    <w:p w14:paraId="3DDF22A4">
      <w:pPr>
        <w:shd w:val="clear"/>
        <w:kinsoku/>
        <w:overflowPunct/>
        <w:bidi w:val="0"/>
        <w:ind w:left="0" w:leftChars="0" w:right="0" w:rightChars="0"/>
        <w:jc w:val="center"/>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lang w:val="en-US" w:eastAsia="zh-CN"/>
        </w:rPr>
        <w:t>系统生成报价与本投标函不一致的，以本投标函报价为准。</w:t>
      </w:r>
    </w:p>
    <w:p w14:paraId="5C0F6C63">
      <w:pPr>
        <w:shd w:val="clear"/>
        <w:kinsoku/>
        <w:overflowPunct/>
        <w:bidi w:val="0"/>
        <w:spacing w:line="380" w:lineRule="exact"/>
        <w:ind w:left="0" w:leftChars="0" w:right="0" w:rightChars="0"/>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72DADAFB">
      <w:pPr>
        <w:shd w:val="clear"/>
        <w:kinsoku/>
        <w:overflowPunct/>
        <w:bidi w:val="0"/>
        <w:spacing w:line="380" w:lineRule="exact"/>
        <w:ind w:left="0" w:leftChars="0" w:right="0" w:rightChars="0"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投标人认为需要提供的其他材料（如有）。</w:t>
      </w:r>
    </w:p>
    <w:p w14:paraId="67FDF55E">
      <w:pPr>
        <w:shd w:val="clear"/>
        <w:kinsoku/>
        <w:overflowPunct/>
        <w:bidi w:val="0"/>
        <w:spacing w:line="380" w:lineRule="exact"/>
        <w:ind w:left="0" w:leftChars="0" w:right="0" w:rightChars="0" w:firstLine="568" w:firstLineChars="202"/>
        <w:rPr>
          <w:rFonts w:hint="eastAsia" w:ascii="宋体" w:hAnsi="宋体" w:eastAsia="宋体" w:cs="宋体"/>
          <w:b/>
          <w:bCs/>
          <w:color w:val="auto"/>
          <w:sz w:val="28"/>
          <w:szCs w:val="28"/>
          <w:highlight w:val="none"/>
          <w:lang w:eastAsia="zh-CN"/>
        </w:rPr>
      </w:pPr>
    </w:p>
    <w:p w14:paraId="46BA0D75">
      <w:pPr>
        <w:shd w:val="clear"/>
        <w:kinsoku/>
        <w:overflowPunct/>
        <w:bidi w:val="0"/>
        <w:ind w:left="0" w:leftChars="0" w:right="0" w:rightChars="0"/>
        <w:outlineLvl w:val="0"/>
        <w:rPr>
          <w:rFonts w:ascii="宋体" w:hAnsi="宋体" w:cs="宋体"/>
          <w:color w:val="auto"/>
          <w:sz w:val="28"/>
          <w:szCs w:val="28"/>
          <w:highlight w:val="none"/>
        </w:rPr>
      </w:pPr>
      <w:r>
        <w:rPr>
          <w:rFonts w:hint="eastAsia"/>
          <w:color w:val="auto"/>
          <w:highlight w:val="none"/>
        </w:rPr>
        <w:br w:type="page"/>
      </w:r>
      <w:bookmarkStart w:id="181" w:name="_Toc11016"/>
      <w:r>
        <w:rPr>
          <w:rFonts w:hint="eastAsia" w:ascii="宋体" w:hAnsi="宋体" w:cs="宋体"/>
          <w:b/>
          <w:color w:val="auto"/>
          <w:sz w:val="28"/>
          <w:szCs w:val="28"/>
          <w:highlight w:val="none"/>
        </w:rPr>
        <w:t>附件1</w:t>
      </w:r>
      <w:bookmarkEnd w:id="181"/>
    </w:p>
    <w:p w14:paraId="582CD185">
      <w:pPr>
        <w:shd w:val="clear"/>
        <w:kinsoku/>
        <w:overflowPunct/>
        <w:bidi w:val="0"/>
        <w:spacing w:line="440" w:lineRule="exact"/>
        <w:ind w:left="0" w:leftChars="0" w:right="0" w:rightChars="0"/>
        <w:jc w:val="center"/>
        <w:rPr>
          <w:rFonts w:ascii="宋体" w:hAnsi="宋体" w:cs="宋体"/>
          <w:b/>
          <w:color w:val="auto"/>
          <w:sz w:val="30"/>
          <w:szCs w:val="30"/>
          <w:highlight w:val="none"/>
        </w:rPr>
      </w:pPr>
      <w:r>
        <w:rPr>
          <w:rFonts w:hint="eastAsia" w:ascii="宋体" w:hAnsi="宋体" w:cs="宋体"/>
          <w:b/>
          <w:color w:val="auto"/>
          <w:sz w:val="30"/>
          <w:szCs w:val="30"/>
          <w:highlight w:val="none"/>
        </w:rPr>
        <w:t>关于联合惩戒失信行为 加强信用查询管理的通知</w:t>
      </w:r>
    </w:p>
    <w:p w14:paraId="5BA39DCC">
      <w:pPr>
        <w:shd w:val="clear"/>
        <w:kinsoku/>
        <w:overflowPunct/>
        <w:bidi w:val="0"/>
        <w:spacing w:line="480" w:lineRule="exact"/>
        <w:ind w:left="0" w:leftChars="0" w:right="0" w:rightChars="0" w:firstLine="482" w:firstLineChars="200"/>
        <w:rPr>
          <w:rFonts w:ascii="宋体" w:hAnsi="宋体" w:cs="宋体"/>
          <w:b/>
          <w:color w:val="auto"/>
          <w:sz w:val="24"/>
          <w:highlight w:val="none"/>
        </w:rPr>
      </w:pPr>
      <w:r>
        <w:rPr>
          <w:rFonts w:hint="eastAsia" w:ascii="宋体" w:hAnsi="宋体" w:cs="宋体"/>
          <w:b/>
          <w:color w:val="auto"/>
          <w:sz w:val="24"/>
          <w:highlight w:val="none"/>
        </w:rPr>
        <w:t>一、失信行为联合惩戒的范围和查询渠道</w:t>
      </w:r>
    </w:p>
    <w:p w14:paraId="3F528F47">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在我市公共资源交易活动中对存在下列失信行为的投标人、法定代表人及其项目经理（建造师）实施联合惩戒，禁止参与我市公共资源交易活动。</w:t>
      </w:r>
    </w:p>
    <w:p w14:paraId="23BAF753">
      <w:pPr>
        <w:widowControl/>
        <w:shd w:val="clear"/>
        <w:kinsoku/>
        <w:overflowPunct/>
        <w:autoSpaceDE w:val="0"/>
        <w:bidi w:val="0"/>
        <w:spacing w:line="480" w:lineRule="exact"/>
        <w:ind w:left="0" w:leftChars="0" w:right="0" w:rightChars="0"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（一）工程建设项目</w:t>
      </w:r>
    </w:p>
    <w:p w14:paraId="437018C9">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1、“信用中国”网站（www.creditchina.gov.cn）查询投标人、法定代表人及其项目经理(建造师)以下失信行为：</w:t>
      </w:r>
    </w:p>
    <w:p w14:paraId="7AF91C1D">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①被列入“失信被执行人”的;</w:t>
      </w:r>
    </w:p>
    <w:p w14:paraId="3489D1A5">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②被列入“重大税收违法失信主体”的；</w:t>
      </w:r>
    </w:p>
    <w:p w14:paraId="24579873">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③被列入“拖欠农民工工资失信联合惩戒对象名单”的；</w:t>
      </w:r>
    </w:p>
    <w:p w14:paraId="2FEA95DD">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④被列入 “严重失信主体名单”的；</w:t>
      </w:r>
    </w:p>
    <w:p w14:paraId="09E0414F">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⑤在“信用中国”网站上披露的仍在公示期的严重失信行为(具体行为类别及判定依据见附件2)的。</w:t>
      </w:r>
    </w:p>
    <w:p w14:paraId="197E08C1">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2、国家企业信用信息公示系统网站（www.gsxt.gov.cn）查询投标人以下失信行为：</w:t>
      </w:r>
    </w:p>
    <w:p w14:paraId="605A074C">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①被列入“经营异常名录”或者“严重违法失信名单”的。</w:t>
      </w:r>
    </w:p>
    <w:p w14:paraId="747CA439">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3、由投标人、法定代表人及其项目经理(建造师)进行承诺，不进行现场网上信用查询的失信行为：</w:t>
      </w:r>
    </w:p>
    <w:p w14:paraId="36E57CDA">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①前三年有行贿犯罪行为的单位和个人；</w:t>
      </w:r>
    </w:p>
    <w:p w14:paraId="07187835">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②被滁州市县两级公管部门取消在一定期限内的投标资格且在取消期限内的；</w:t>
      </w:r>
    </w:p>
    <w:p w14:paraId="7BF9826D">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③被滁州市县两级各行业主管部门取消在一定期限内的投标资格且在取消期限内的；</w:t>
      </w:r>
    </w:p>
    <w:p w14:paraId="58AF5C99">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④因拖欠农民工工资被县级及以上有关行政主管部门限制投标资格且在限制期限内的；</w:t>
      </w:r>
    </w:p>
    <w:p w14:paraId="52A647D1">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15E2B76">
      <w:pPr>
        <w:widowControl/>
        <w:shd w:val="clear"/>
        <w:kinsoku/>
        <w:overflowPunct/>
        <w:autoSpaceDE w:val="0"/>
        <w:bidi w:val="0"/>
        <w:spacing w:line="480" w:lineRule="exact"/>
        <w:ind w:left="0" w:leftChars="0" w:right="0" w:rightChars="0"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（二）政府采购项目</w:t>
      </w:r>
    </w:p>
    <w:p w14:paraId="72E7A69C">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1、“信用中国”网站（www.creditchina.gov.cn）查询供应商、法定代表人及其项目负责人以下失信行为：</w:t>
      </w:r>
    </w:p>
    <w:p w14:paraId="31F57139">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①被列入“失信被执行人”的;</w:t>
      </w:r>
    </w:p>
    <w:p w14:paraId="6D3172CB">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②被列入“重大税收违法失信主体”的；</w:t>
      </w:r>
    </w:p>
    <w:p w14:paraId="47F61264">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③被列入 “严重失信主体名单”的；</w:t>
      </w:r>
    </w:p>
    <w:p w14:paraId="303C720D">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④在“信用中国”网站上披露的仍在公示期的严重失信行为(具体行为类别及判定依据见附件2)的。</w:t>
      </w:r>
    </w:p>
    <w:p w14:paraId="51DC3AA6">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rPr>
        <w:t>www.gsxt.gov.cn）</w:t>
      </w:r>
      <w:r>
        <w:rPr>
          <w:rFonts w:hint="eastAsia" w:ascii="宋体" w:hAnsi="宋体" w:cs="宋体"/>
          <w:bCs/>
          <w:color w:val="auto"/>
          <w:kern w:val="0"/>
          <w:sz w:val="24"/>
          <w:highlight w:val="none"/>
        </w:rPr>
        <w:fldChar w:fldCharType="end"/>
      </w:r>
      <w:r>
        <w:rPr>
          <w:rFonts w:hint="eastAsia" w:ascii="宋体" w:hAnsi="宋体" w:cs="宋体"/>
          <w:bCs/>
          <w:color w:val="auto"/>
          <w:kern w:val="0"/>
          <w:sz w:val="24"/>
          <w:highlight w:val="none"/>
        </w:rPr>
        <w:t>查询供应商以下失信行为：</w:t>
      </w:r>
    </w:p>
    <w:p w14:paraId="0DB356BA">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w:t>
      </w:r>
      <w:bookmarkStart w:id="182" w:name="OLE_LINK102"/>
      <w:bookmarkStart w:id="183" w:name="OLE_LINK100"/>
      <w:bookmarkStart w:id="184" w:name="OLE_LINK101"/>
      <w:r>
        <w:rPr>
          <w:rFonts w:hint="eastAsia" w:ascii="宋体" w:hAnsi="宋体" w:cs="宋体"/>
          <w:bCs/>
          <w:color w:val="auto"/>
          <w:kern w:val="0"/>
          <w:sz w:val="24"/>
          <w:highlight w:val="none"/>
        </w:rPr>
        <w:t>被列入“经营异常名录”或者“严重违法失信名单”的</w:t>
      </w:r>
      <w:bookmarkEnd w:id="182"/>
      <w:bookmarkEnd w:id="183"/>
      <w:bookmarkEnd w:id="184"/>
      <w:r>
        <w:rPr>
          <w:rFonts w:hint="eastAsia" w:ascii="宋体" w:hAnsi="宋体" w:cs="宋体"/>
          <w:bCs/>
          <w:color w:val="auto"/>
          <w:kern w:val="0"/>
          <w:sz w:val="24"/>
          <w:highlight w:val="none"/>
        </w:rPr>
        <w:t>。</w:t>
      </w:r>
    </w:p>
    <w:p w14:paraId="4EC2D0C6">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3、中国政府采购网站（</w:t>
      </w:r>
      <w:bookmarkStart w:id="185" w:name="OLE_LINK95"/>
      <w:bookmarkStart w:id="186" w:name="OLE_LINK96"/>
      <w:r>
        <w:rPr>
          <w:rFonts w:hint="eastAsia" w:ascii="宋体" w:hAnsi="宋体" w:cs="宋体"/>
          <w:bCs/>
          <w:color w:val="auto"/>
          <w:kern w:val="0"/>
          <w:sz w:val="24"/>
          <w:highlight w:val="none"/>
        </w:rPr>
        <w:fldChar w:fldCharType="begin"/>
      </w:r>
      <w:r>
        <w:rPr>
          <w:rFonts w:hint="eastAsia" w:ascii="宋体" w:hAnsi="宋体" w:cs="宋体"/>
          <w:bCs/>
          <w:color w:val="auto"/>
          <w:kern w:val="0"/>
          <w:sz w:val="24"/>
          <w:highlight w:val="none"/>
        </w:rPr>
        <w:instrText xml:space="preserve"> HYPERLINK "http://www.ccgp.gov.cn" </w:instrText>
      </w:r>
      <w:r>
        <w:rPr>
          <w:rFonts w:hint="eastAsia" w:ascii="宋体" w:hAnsi="宋体" w:cs="宋体"/>
          <w:bCs/>
          <w:color w:val="auto"/>
          <w:kern w:val="0"/>
          <w:sz w:val="24"/>
          <w:highlight w:val="none"/>
        </w:rPr>
        <w:fldChar w:fldCharType="separate"/>
      </w:r>
      <w:r>
        <w:rPr>
          <w:rFonts w:hint="eastAsia" w:ascii="宋体" w:hAnsi="宋体" w:cs="宋体"/>
          <w:bCs/>
          <w:color w:val="auto"/>
          <w:kern w:val="0"/>
          <w:sz w:val="24"/>
          <w:highlight w:val="none"/>
        </w:rPr>
        <w:t>www.ccgp.gov.cn</w:t>
      </w:r>
      <w:r>
        <w:rPr>
          <w:rFonts w:hint="eastAsia" w:ascii="宋体" w:hAnsi="宋体" w:cs="宋体"/>
          <w:bCs/>
          <w:color w:val="auto"/>
          <w:kern w:val="0"/>
          <w:sz w:val="24"/>
          <w:highlight w:val="none"/>
        </w:rPr>
        <w:fldChar w:fldCharType="end"/>
      </w:r>
      <w:bookmarkEnd w:id="185"/>
      <w:bookmarkEnd w:id="186"/>
      <w:r>
        <w:rPr>
          <w:rFonts w:hint="eastAsia" w:ascii="宋体" w:hAnsi="宋体" w:cs="宋体"/>
          <w:bCs/>
          <w:color w:val="auto"/>
          <w:kern w:val="0"/>
          <w:sz w:val="24"/>
          <w:highlight w:val="none"/>
        </w:rPr>
        <w:t>）查询以下失信行为：</w:t>
      </w:r>
    </w:p>
    <w:p w14:paraId="55281B51">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①</w:t>
      </w:r>
      <w:bookmarkStart w:id="187" w:name="OLE_LINK106"/>
      <w:bookmarkStart w:id="188" w:name="OLE_LINK104"/>
      <w:bookmarkStart w:id="189" w:name="OLE_LINK105"/>
      <w:r>
        <w:rPr>
          <w:rFonts w:hint="eastAsia" w:ascii="宋体" w:hAnsi="宋体" w:cs="宋体"/>
          <w:bCs/>
          <w:color w:val="auto"/>
          <w:kern w:val="0"/>
          <w:sz w:val="24"/>
          <w:highlight w:val="none"/>
        </w:rPr>
        <w:t>被列入“政府采购严重违法失信行为信息记录”的</w:t>
      </w:r>
      <w:bookmarkEnd w:id="187"/>
      <w:bookmarkEnd w:id="188"/>
      <w:bookmarkEnd w:id="189"/>
      <w:r>
        <w:rPr>
          <w:rFonts w:hint="eastAsia" w:ascii="宋体" w:hAnsi="宋体" w:cs="宋体"/>
          <w:bCs/>
          <w:color w:val="auto"/>
          <w:kern w:val="0"/>
          <w:sz w:val="24"/>
          <w:highlight w:val="none"/>
        </w:rPr>
        <w:t>。</w:t>
      </w:r>
    </w:p>
    <w:p w14:paraId="063A1713">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4、由竞争主体进行承诺，不进行现场网上信用查询的失信行为：</w:t>
      </w:r>
    </w:p>
    <w:p w14:paraId="2C76FB52">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①前三年有行贿犯罪行为的单位和个人。</w:t>
      </w:r>
    </w:p>
    <w:p w14:paraId="44F8481A">
      <w:pPr>
        <w:widowControl/>
        <w:shd w:val="clear"/>
        <w:kinsoku/>
        <w:overflowPunct/>
        <w:autoSpaceDE w:val="0"/>
        <w:bidi w:val="0"/>
        <w:spacing w:line="480" w:lineRule="exact"/>
        <w:ind w:left="0" w:leftChars="0" w:right="0" w:rightChars="0"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二、在开评标活动中的查询程序</w:t>
      </w:r>
    </w:p>
    <w:p w14:paraId="742D0B28">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5098A7B2">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A74D11B">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3、项目单位及其委托的代理机构应当做好信用查询结果截图和记录留存。</w:t>
      </w:r>
    </w:p>
    <w:p w14:paraId="300A0BF9">
      <w:pPr>
        <w:widowControl/>
        <w:shd w:val="clear"/>
        <w:kinsoku/>
        <w:overflowPunct/>
        <w:autoSpaceDE w:val="0"/>
        <w:bidi w:val="0"/>
        <w:spacing w:line="480" w:lineRule="exact"/>
        <w:ind w:left="0" w:leftChars="0" w:right="0" w:rightChars="0"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三、相关要求</w:t>
      </w:r>
    </w:p>
    <w:p w14:paraId="6EA6B557">
      <w:pPr>
        <w:widowControl/>
        <w:shd w:val="clear"/>
        <w:kinsoku/>
        <w:wordWrap w:val="0"/>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4D168991">
      <w:pPr>
        <w:widowControl/>
        <w:shd w:val="clear"/>
        <w:kinsoku/>
        <w:wordWrap w:val="0"/>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6844E28">
      <w:pPr>
        <w:widowControl/>
        <w:shd w:val="clear"/>
        <w:kinsoku/>
        <w:wordWrap w:val="0"/>
        <w:overflowPunct/>
        <w:autoSpaceDE w:val="0"/>
        <w:bidi w:val="0"/>
        <w:spacing w:line="480" w:lineRule="exact"/>
        <w:ind w:left="0" w:leftChars="0" w:right="0" w:rightChars="0"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384ABC8">
      <w:pPr>
        <w:widowControl/>
        <w:shd w:val="clear"/>
        <w:kinsoku/>
        <w:overflowPunct/>
        <w:autoSpaceDE w:val="0"/>
        <w:bidi w:val="0"/>
        <w:spacing w:line="480" w:lineRule="exact"/>
        <w:ind w:left="0" w:leftChars="0" w:right="0" w:rightChars="0"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rPr>
        <w:t>2、“信用中国”查询的严重失信行为判定依据为各行业主管部门下发的联合惩戒文件中规定的行为（按附件2执行）。</w:t>
      </w:r>
    </w:p>
    <w:p w14:paraId="72255B53">
      <w:pPr>
        <w:widowControl/>
        <w:shd w:val="clear"/>
        <w:kinsoku/>
        <w:overflowPunct/>
        <w:autoSpaceDE w:val="0"/>
        <w:bidi w:val="0"/>
        <w:spacing w:line="480" w:lineRule="exact"/>
        <w:ind w:left="0" w:leftChars="0" w:right="0" w:rightChars="0"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rPr>
        <w:t>3、资格预审的项目以递交资格预审申请文件截止时间查询为准；资格后审的项目以递交投标文件截止时间查询为准。</w:t>
      </w:r>
    </w:p>
    <w:p w14:paraId="44C0FFAE">
      <w:pPr>
        <w:shd w:val="clear"/>
        <w:kinsoku/>
        <w:overflowPunct/>
        <w:bidi w:val="0"/>
        <w:spacing w:line="440" w:lineRule="exact"/>
        <w:ind w:left="0" w:leftChars="0" w:right="0" w:rightChars="0"/>
        <w:rPr>
          <w:rFonts w:ascii="宋体" w:hAnsi="宋体" w:cs="宋体"/>
          <w:b/>
          <w:color w:val="auto"/>
          <w:sz w:val="24"/>
          <w:highlight w:val="none"/>
        </w:rPr>
      </w:pPr>
      <w:r>
        <w:rPr>
          <w:rFonts w:hint="eastAsia" w:ascii="宋体" w:hAnsi="宋体" w:cs="宋体"/>
          <w:b/>
          <w:color w:val="auto"/>
          <w:sz w:val="24"/>
          <w:highlight w:val="none"/>
        </w:rPr>
        <w:t xml:space="preserve"> </w:t>
      </w:r>
    </w:p>
    <w:p w14:paraId="4613DB32">
      <w:pPr>
        <w:pStyle w:val="30"/>
        <w:shd w:val="clear"/>
        <w:kinsoku/>
        <w:overflowPunct/>
        <w:bidi w:val="0"/>
        <w:spacing w:before="0" w:after="120" w:afterAutospacing="0" w:line="360" w:lineRule="auto"/>
        <w:ind w:left="0" w:leftChars="0" w:right="0" w:rightChars="0" w:firstLine="420" w:firstLineChars="200"/>
        <w:jc w:val="both"/>
        <w:rPr>
          <w:color w:val="auto"/>
          <w:kern w:val="2"/>
          <w:sz w:val="21"/>
          <w:szCs w:val="21"/>
          <w:highlight w:val="none"/>
        </w:rPr>
      </w:pPr>
      <w:r>
        <w:rPr>
          <w:rFonts w:hint="eastAsia"/>
          <w:color w:val="auto"/>
          <w:kern w:val="2"/>
          <w:sz w:val="21"/>
          <w:szCs w:val="21"/>
          <w:highlight w:val="none"/>
        </w:rPr>
        <w:t xml:space="preserve"> </w:t>
      </w:r>
    </w:p>
    <w:p w14:paraId="75CA5267">
      <w:pPr>
        <w:shd w:val="clear"/>
        <w:kinsoku/>
        <w:overflowPunct/>
        <w:bidi w:val="0"/>
        <w:spacing w:line="440" w:lineRule="exact"/>
        <w:ind w:left="0" w:leftChars="0" w:right="0" w:rightChars="0"/>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附件2</w:t>
      </w:r>
    </w:p>
    <w:p w14:paraId="17470BF5">
      <w:pPr>
        <w:shd w:val="clear"/>
        <w:kinsoku/>
        <w:overflowPunct/>
        <w:bidi w:val="0"/>
        <w:spacing w:line="440" w:lineRule="exact"/>
        <w:ind w:left="0" w:leftChars="0" w:right="0" w:rightChars="0"/>
        <w:jc w:val="center"/>
        <w:rPr>
          <w:rFonts w:ascii="宋体" w:hAnsi="宋体" w:cs="宋体"/>
          <w:b/>
          <w:color w:val="auto"/>
          <w:sz w:val="24"/>
          <w:highlight w:val="none"/>
        </w:rPr>
      </w:pPr>
      <w:r>
        <w:rPr>
          <w:rFonts w:hint="eastAsia" w:ascii="宋体" w:hAnsi="宋体" w:cs="宋体"/>
          <w:b/>
          <w:color w:val="auto"/>
          <w:sz w:val="24"/>
          <w:highlight w:val="none"/>
        </w:rPr>
        <w:t>“信用中国”查询的严重失信行为类别及判定依据</w:t>
      </w:r>
    </w:p>
    <w:p w14:paraId="0C17B646">
      <w:pPr>
        <w:shd w:val="clear"/>
        <w:kinsoku/>
        <w:overflowPunct/>
        <w:bidi w:val="0"/>
        <w:spacing w:line="440" w:lineRule="exact"/>
        <w:ind w:left="0" w:leftChars="0" w:right="0" w:rightChars="0"/>
        <w:jc w:val="center"/>
        <w:rPr>
          <w:rFonts w:ascii="宋体" w:hAnsi="宋体" w:cs="宋体"/>
          <w:b/>
          <w:color w:val="auto"/>
          <w:sz w:val="24"/>
          <w:highlight w:val="none"/>
        </w:rPr>
      </w:pPr>
      <w:r>
        <w:rPr>
          <w:rFonts w:hint="eastAsia" w:ascii="宋体" w:hAnsi="宋体" w:cs="宋体"/>
          <w:b/>
          <w:color w:val="auto"/>
          <w:sz w:val="24"/>
          <w:highlight w:val="none"/>
        </w:rPr>
        <w:t xml:space="preserve"> </w:t>
      </w:r>
    </w:p>
    <w:p w14:paraId="743B0557">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“信用中国”查询的严重失信行为判定依据为各行业主管部门下发的联合惩戒文件中规定的行为。下面将部分类别的严重失信行为列举如下：</w:t>
      </w:r>
    </w:p>
    <w:p w14:paraId="17373288">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一、安全生产领域严重失信行为：</w:t>
      </w:r>
    </w:p>
    <w:p w14:paraId="11C3CDB7">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（一）下列发生生产安全事故的生产经营单位及其有关人员应当列入严重失信主体名单：</w:t>
      </w:r>
    </w:p>
    <w:p w14:paraId="039669EA">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1、发生特别重大、重大生产安全事故的生产经营单位及其主要负责人，以及经调查认定对该事故发生负有责任，应当列入名单的其他单位和人员；</w:t>
      </w:r>
    </w:p>
    <w:p w14:paraId="5C95E079">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2、12个月内累计发生2起以上较大生产安全事故的生产经营单位及其主要负责人；</w:t>
      </w:r>
    </w:p>
    <w:p w14:paraId="24EBBD90">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3、发生生产安全事故，情节特别严重、影响特别恶劣，依照《中华人民共和国安全生产法》第一百一十四条的规定被处以罚款数额2倍以上5倍以下罚款的生产经营单位及其主要负责人；</w:t>
      </w:r>
    </w:p>
    <w:p w14:paraId="1EE11518">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4、瞒报、谎报生产安全事故的生产经营单位及其有关责任人员；</w:t>
      </w:r>
    </w:p>
    <w:p w14:paraId="24F72F01">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5、发生生产安全事故后，不立即组织抢救或者在事故调查处理期间擅离职守或者逃匿的生产经营单位主要负责人。</w:t>
      </w:r>
    </w:p>
    <w:p w14:paraId="75A6BFAF">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（二）下列未发生生产安全事故，但因安全生产违法行为，受到行政处罚的生产经营单位或者机构及其有关人员，应当列入严重失信主体名单：</w:t>
      </w:r>
    </w:p>
    <w:p w14:paraId="0FBDBA2D">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1、未依法取得安全生产相关许可或者许可被暂扣、吊销期间从事相关生产经营活动的生产经营单位及其主要负责人；</w:t>
      </w:r>
    </w:p>
    <w:p w14:paraId="2B90D326">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2、承担安全评价、认证、检测、检验职责的机构及其直接责任人员租借资质、挂靠、出具虚假报告或者证书的；</w:t>
      </w:r>
    </w:p>
    <w:p w14:paraId="501E1B8D">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3、在应急管理部门作出行政处罚后，有执行能力拒不执行或者逃避执行的生产经营单位及其主要负责人；</w:t>
      </w:r>
    </w:p>
    <w:p w14:paraId="5E918BDD">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4、其他违反安全生产法律法规受到行政处罚，且性质恶劣、情节严重的。</w:t>
      </w:r>
    </w:p>
    <w:p w14:paraId="2E811034">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依据：《安全生产严重失信主体名单管理办法》（2023年8月8日应急管理部令第11号）</w:t>
      </w:r>
    </w:p>
    <w:p w14:paraId="2585B2BB">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4E0184DB">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二、环境保护领域严重失信行为：</w:t>
      </w:r>
    </w:p>
    <w:p w14:paraId="33F67769">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（一）因为环境违法构成环境犯罪的；</w:t>
      </w:r>
    </w:p>
    <w:p w14:paraId="24ED5499">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（二）建设项目环境影响评价文件未按规定通过审批，擅自开工建设的；</w:t>
      </w:r>
    </w:p>
    <w:p w14:paraId="43B91C3C">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（三）建设项目环保设施未建成、环保措施未落实、未通过竣工环保验收或者验收不合格，主体工程正式投入生产或者使用的；</w:t>
      </w:r>
    </w:p>
    <w:p w14:paraId="64331581">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（四）建设项目性质、规模、地点、采用的生产工艺或者防治污染、防止生态破坏的措施发生重大变动，未重新报批环境影响评价文件，擅自投入生产或者使用的；</w:t>
      </w:r>
    </w:p>
    <w:p w14:paraId="4D57DAD2">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（五）主要污染物排放总量超过控制指标的；</w:t>
      </w:r>
    </w:p>
    <w:p w14:paraId="585BA96A">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（六）私设暗管或者利用渗井、渗坑、裂隙、溶洞等排放、倾倒、处置水污染物，或者通过私设旁路排放大气污染物的；</w:t>
      </w:r>
    </w:p>
    <w:p w14:paraId="7C9BAE74">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（七）非法排放、倾倒、处置危险废物，或者向无经营许可证或者超出经营许可范围的单位或个人提供或者委托其收集、贮存、利用、处置危险废物的；</w:t>
      </w:r>
    </w:p>
    <w:p w14:paraId="2ED84340">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（八）环境违法行为造成集中式生活饮用水水源取水中断的；</w:t>
      </w:r>
    </w:p>
    <w:p w14:paraId="21E74101">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（九）环境违法行为对生活饮用水水源保护区、自然保护区、国家重点生态功能区、风景名胜区、居住功能区、基本农田保护区等环境敏感区造成重大不利影响的；</w:t>
      </w:r>
    </w:p>
    <w:p w14:paraId="7ADB2C1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（十）违法从事自然资源开发、交通基础设施建设，以及其他开发建设活动，造成严重生态破坏的；</w:t>
      </w:r>
    </w:p>
    <w:p w14:paraId="69CBF03A">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（十一）发生较大及以上突发环境事件的；</w:t>
      </w:r>
    </w:p>
    <w:p w14:paraId="51679E1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（十二）被环保部门挂牌督办，整改逾期未完成的；</w:t>
      </w:r>
    </w:p>
    <w:p w14:paraId="14B6AA5A">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（十三）以暴力、威胁等方式拒绝、阻挠环保部门工作人员现场检查的；</w:t>
      </w:r>
    </w:p>
    <w:p w14:paraId="66033FB0">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（十四）违反重污染天气应急预案有关规定，对重污染天气响应不力的。</w:t>
      </w:r>
    </w:p>
    <w:p w14:paraId="6016E6AF">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依据：《关于对环境保护领域失信生产经营单位及其有关人员开展联合惩戒的合作备忘录》、《企业环境信用评价办法（试行）》（环发〔2013〕150号）</w:t>
      </w:r>
    </w:p>
    <w:p w14:paraId="26569D17">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37674721">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三、公共资源交易领域严重失信行为</w:t>
      </w:r>
    </w:p>
    <w:p w14:paraId="59710C67">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（一）违反法律规定，必须进行招标的项目而不招标的，将必须进行招标的项目化整为零或者以其他任何方式规避招标的； </w:t>
      </w:r>
    </w:p>
    <w:p w14:paraId="39EB0D5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（二）招标代理机构违反法律规定，泄露应当保密的与招标投标活动有关的情况和资料的，或者与招标人、投标人串通损害 国家利益、社会公共利益或者他人合法权益的；</w:t>
      </w:r>
    </w:p>
    <w:p w14:paraId="4CEA5F39">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（三）招标人以不合理的条件限制或者排斥潜在投标人的，对潜在投标人实行歧视待遇的，强制要求投标人组成联合体共同 投标的，或者限制投标人之间竞争的；</w:t>
      </w:r>
    </w:p>
    <w:p w14:paraId="5B1D3DD2">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（四）依法必须进行招标的项目的招标人向他人透露已获取招标文件的潜在投标人的名称、数量或者可能影响公平竞争的有 关招标投标的其他情况的，或者泄露标底的；</w:t>
      </w:r>
    </w:p>
    <w:p w14:paraId="5AFD746F">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（五）投标人相互串通投标或者与招标人串通投标的，投标人以向招标人或者评标委员会成员行贿的手段谋取中标的； </w:t>
      </w:r>
    </w:p>
    <w:p w14:paraId="56A6D259">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（六）投标人以他人名义投标或者以其他方式弄虚作假，骗取中标的；</w:t>
      </w:r>
    </w:p>
    <w:p w14:paraId="7CA5B329">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（七）依法必须进行招标的项目，招标人违反法律规定，与投标人就投标价格、投标方案等实质性内容进行谈判的；</w:t>
      </w:r>
    </w:p>
    <w:p w14:paraId="1E641BD6">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FEFE6E6">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（九）招标人在评标委员会依法推荐的中标候选人以外确定中标人的，依法必须进行招标的项目在所有投标被评标委员会否 决后自行确定中标人的； </w:t>
      </w:r>
    </w:p>
    <w:p w14:paraId="49CC5FA8">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（十）中标人将中标项目转让给他人的，将中标项目肢解后分别转让给他人的，违反法律规定将中标项目的部分主体、关键 性工作分包给他人的，或者分包人再次分包的； </w:t>
      </w:r>
    </w:p>
    <w:p w14:paraId="4CEED2D4">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（十一）招标人与中标人不按照招标文件和中标人的投标文件订立合同的，或者招标人、中标人订立背离合同实质性内容的 协议的； </w:t>
      </w:r>
    </w:p>
    <w:p w14:paraId="0D549BA7">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（十二）中标人不按照与招标人订立的合同履行义务，情节严重的； </w:t>
      </w:r>
    </w:p>
    <w:p w14:paraId="0DD49823">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1FDE3D7">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C6E09AF">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（十五）采购人对应当实行集中采购的政府采购项目，不委托集中采购机构实行集中采购的； </w:t>
      </w:r>
    </w:p>
    <w:p w14:paraId="5FC6D6C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（十六）采购人、采购代理机构违反法律规定隐匿、销毁应当保存的采购文件或者伪造、变造采购文件的； </w:t>
      </w:r>
    </w:p>
    <w:p w14:paraId="76D036DC">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7455BB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（十八）疫苗生产企业向县级疾病预防控制机构以外的单位或者个人销售第二类疫苗的； </w:t>
      </w:r>
    </w:p>
    <w:p w14:paraId="46F616B6">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（十九）存在其他违反公共资源交易法律法规行为的。</w:t>
      </w:r>
    </w:p>
    <w:p w14:paraId="10F3CE8F">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依据：《关于对公共资源交易领域严重失信主体开展联合惩戒的备忘录》（发改法规〔2018〕457号）</w:t>
      </w:r>
    </w:p>
    <w:p w14:paraId="350DC153">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52170FEC">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四、社会保险领域严重失信行为</w:t>
      </w:r>
    </w:p>
    <w:p w14:paraId="4550FCA8">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（一）用人单位未按相关规定参加社会保险且拒不整改的； </w:t>
      </w:r>
    </w:p>
    <w:p w14:paraId="227EE140">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（二）用人单位未如实申报社会保险缴费基数且拒不整改的； </w:t>
      </w:r>
    </w:p>
    <w:p w14:paraId="116B5D28">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（三）应缴纳社会保险费却拒不缴纳的； </w:t>
      </w:r>
    </w:p>
    <w:p w14:paraId="7F3FC026">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（四）隐匿、转移、侵占、挪用社会保险费款、基金或者违规投资运营的；</w:t>
      </w:r>
    </w:p>
    <w:p w14:paraId="6E5F997C">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（五）以欺诈、伪造证明材料或者其他手段参加、申报社会保险和骗取社会保险基金支出或社会保险待遇的； </w:t>
      </w:r>
    </w:p>
    <w:p w14:paraId="42F6B62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（六）非法获取、出售或变相交易社会保险个人权益数据的； </w:t>
      </w:r>
    </w:p>
    <w:p w14:paraId="24150E15">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（七）社会保险服务机构违反服务协议或相关规定的； </w:t>
      </w:r>
    </w:p>
    <w:p w14:paraId="3529EEA2">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2AF6B451">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（九）其他违反法律法规规定的。</w:t>
      </w:r>
    </w:p>
    <w:p w14:paraId="6939436C">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依据：《关于对社会保险领域严重失信企业及其有关人员实施联合惩戒的合作备忘录》（发改财金〔2018〕1704号）</w:t>
      </w:r>
    </w:p>
    <w:p w14:paraId="27D63723">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5C58B5AC">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五、建筑市场领域严重失信行为</w:t>
      </w:r>
    </w:p>
    <w:p w14:paraId="729764F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（一）利用虚假材料、以欺骗手段取得企业资质的；</w:t>
      </w:r>
    </w:p>
    <w:p w14:paraId="27966DB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（二）发生转包、出借资质，受到行政处罚的；</w:t>
      </w:r>
    </w:p>
    <w:p w14:paraId="6CA62F18">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（三）发生重大及以上工程质量安全事故，或1年内累计发生2次及以上较大工程质量安全事故，或发生性质恶劣、危害性严重、社会影响大的较大工程质量安全事故，受到行政处罚的；</w:t>
      </w:r>
    </w:p>
    <w:p w14:paraId="5B1C731D">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（四）经法院判决或仲裁机构裁决，认定为拖欠工程款,且拒不履行生效法律文书确定的义务的。</w:t>
      </w:r>
    </w:p>
    <w:p w14:paraId="2BE69086">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各级住房城乡建设主管部门应当参照建筑市场主体“黑名单”，对被人力资源社会保障行政部门列入拖欠农民工工资“黑名单”的建筑市场各方主体加强监管。</w:t>
      </w:r>
    </w:p>
    <w:p w14:paraId="4133C73A">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rPr>
        <w:t>依据：《建筑市场信用管理暂行办法》（建市〔2017〕241号）</w:t>
      </w:r>
    </w:p>
    <w:p w14:paraId="67A54588">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 xml:space="preserve"> </w:t>
      </w:r>
    </w:p>
    <w:p w14:paraId="55414020">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rPr>
        <w:t>六、政府采购严重失信行为</w:t>
      </w:r>
    </w:p>
    <w:p w14:paraId="4D27622F">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供应商、采购代理机构在三年内受到财政部门作出下列情形之一的行政处罚，列入政府采购严重违法失信行为记录名单。</w:t>
      </w:r>
    </w:p>
    <w:p w14:paraId="0AA7DC64">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（一）三万元以上罚款；</w:t>
      </w:r>
    </w:p>
    <w:p w14:paraId="595B14EB">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（二）在一至三年内禁止参加政府采购活动（处罚期限届满的除外）；</w:t>
      </w:r>
    </w:p>
    <w:p w14:paraId="1BBB89DE">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（三）在一至三年内禁止代理政府采购业务（处罚期限届满的除外）；</w:t>
      </w:r>
    </w:p>
    <w:p w14:paraId="5F8B453C">
      <w:pPr>
        <w:widowControl/>
        <w:shd w:val="clear"/>
        <w:kinsoku/>
        <w:overflowPunct/>
        <w:autoSpaceDE w:val="0"/>
        <w:bidi w:val="0"/>
        <w:spacing w:line="480" w:lineRule="exact"/>
        <w:ind w:left="0" w:leftChars="0" w:right="0" w:rightChars="0"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rPr>
        <w:t>（四）撤销政府采购代理机构资格（仅针对《政府采购法》第78条修改前作出的处罚决定）。</w:t>
      </w:r>
    </w:p>
    <w:p w14:paraId="7458A28E">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rPr>
        <w:t>依据：《关于报送政府采购严重违法失信行为信息记录的通知》（财办库〔2014〕526号）</w:t>
      </w:r>
    </w:p>
    <w:p w14:paraId="7F2E4B81">
      <w:pPr>
        <w:widowControl/>
        <w:shd w:val="clear"/>
        <w:kinsoku/>
        <w:overflowPunct/>
        <w:autoSpaceDE w:val="0"/>
        <w:bidi w:val="0"/>
        <w:spacing w:line="480" w:lineRule="exact"/>
        <w:ind w:left="0" w:leftChars="0" w:right="0" w:rightChars="0"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rPr>
        <w:t xml:space="preserve"> </w:t>
      </w:r>
    </w:p>
    <w:p w14:paraId="06BBEBAB">
      <w:pPr>
        <w:widowControl/>
        <w:shd w:val="clear"/>
        <w:kinsoku/>
        <w:overflowPunct/>
        <w:autoSpaceDE w:val="0"/>
        <w:bidi w:val="0"/>
        <w:spacing w:line="480" w:lineRule="exact"/>
        <w:ind w:left="0" w:leftChars="0" w:right="0" w:rightChars="0"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rPr>
        <w:t>。</w:t>
      </w:r>
    </w:p>
    <w:p w14:paraId="7689797A">
      <w:pPr>
        <w:pStyle w:val="2"/>
        <w:shd w:val="clear"/>
        <w:kinsoku/>
        <w:overflowPunct/>
        <w:bidi w:val="0"/>
        <w:ind w:left="0" w:leftChars="0" w:right="0" w:rightChars="0"/>
        <w:rPr>
          <w:rFonts w:ascii="宋体"/>
          <w:b w:val="0"/>
          <w:color w:val="auto"/>
          <w:szCs w:val="32"/>
          <w:highlight w:val="none"/>
        </w:rPr>
      </w:pPr>
      <w:bookmarkStart w:id="190" w:name="_Toc449028957"/>
      <w:r>
        <w:rPr>
          <w:rFonts w:ascii="宋体"/>
          <w:b w:val="0"/>
          <w:color w:val="auto"/>
          <w:szCs w:val="32"/>
          <w:highlight w:val="none"/>
        </w:rPr>
        <w:br w:type="page"/>
      </w:r>
      <w:bookmarkStart w:id="191" w:name="_Toc25631"/>
      <w:bookmarkStart w:id="192" w:name="_Toc58430333"/>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90"/>
      <w:bookmarkEnd w:id="191"/>
      <w:bookmarkEnd w:id="192"/>
    </w:p>
    <w:p w14:paraId="0C99BDF2">
      <w:pPr>
        <w:shd w:val="clear"/>
        <w:kinsoku/>
        <w:overflowPunct/>
        <w:bidi w:val="0"/>
        <w:spacing w:line="440" w:lineRule="exact"/>
        <w:ind w:left="0" w:leftChars="0" w:right="0" w:rightChars="0"/>
        <w:rPr>
          <w:rFonts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671EB698">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41BA4DFF">
            <w:pPr>
              <w:shd w:val="clear"/>
              <w:kinsoku/>
              <w:overflowPunct/>
              <w:bidi w:val="0"/>
              <w:spacing w:line="440" w:lineRule="exact"/>
              <w:ind w:left="0" w:leftChars="0" w:right="0" w:rightChars="0" w:firstLine="560" w:firstLineChars="200"/>
              <w:rPr>
                <w:rFonts w:ascii="宋体" w:cs="宋体"/>
                <w:color w:val="auto"/>
                <w:sz w:val="28"/>
                <w:szCs w:val="28"/>
                <w:highlight w:val="none"/>
              </w:rPr>
            </w:pPr>
          </w:p>
          <w:p w14:paraId="71AD0014">
            <w:pPr>
              <w:shd w:val="clear"/>
              <w:kinsoku/>
              <w:overflowPunct/>
              <w:bidi w:val="0"/>
              <w:spacing w:afterLines="50"/>
              <w:ind w:left="0" w:leftChars="0" w:right="0" w:rightChars="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val="en-US" w:eastAsia="zh-CN"/>
              </w:rPr>
              <w:t>滁州工投新能源开发有限公司2026年在营光伏电站及汽车充电站高压设备巡检维护项目（二次）</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2B39A730">
            <w:pPr>
              <w:shd w:val="clear"/>
              <w:kinsoku/>
              <w:overflowPunct/>
              <w:bidi w:val="0"/>
              <w:spacing w:line="54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eastAsia="zh-CN"/>
              </w:rPr>
              <w:t>滁州工投新能源开发有限公司</w:t>
            </w:r>
          </w:p>
          <w:p w14:paraId="6F442B47">
            <w:pPr>
              <w:shd w:val="clear"/>
              <w:kinsoku/>
              <w:overflowPunct/>
              <w:bidi w:val="0"/>
              <w:spacing w:line="54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蔡工</w:t>
            </w:r>
          </w:p>
          <w:p w14:paraId="6654FBA7">
            <w:pPr>
              <w:shd w:val="clear"/>
              <w:kinsoku/>
              <w:overflowPunct/>
              <w:bidi w:val="0"/>
              <w:spacing w:line="54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eastAsia="zh-CN"/>
              </w:rPr>
              <w:t>0550-3018125</w:t>
            </w:r>
          </w:p>
          <w:p w14:paraId="4EE91111">
            <w:pPr>
              <w:shd w:val="clear"/>
              <w:kinsoku/>
              <w:overflowPunct/>
              <w:bidi w:val="0"/>
              <w:spacing w:line="540" w:lineRule="exact"/>
              <w:ind w:left="0" w:leftChars="0" w:right="0" w:rightChars="0" w:firstLine="7140" w:firstLineChars="2550"/>
              <w:rPr>
                <w:rFonts w:ascii="宋体" w:cs="宋体"/>
                <w:color w:val="auto"/>
                <w:sz w:val="28"/>
                <w:szCs w:val="28"/>
                <w:highlight w:val="none"/>
              </w:rPr>
            </w:pPr>
          </w:p>
          <w:p w14:paraId="374A06F5">
            <w:pPr>
              <w:shd w:val="clear"/>
              <w:kinsoku/>
              <w:overflowPunct/>
              <w:bidi w:val="0"/>
              <w:spacing w:line="540" w:lineRule="exact"/>
              <w:ind w:left="0" w:leftChars="0" w:right="0" w:rightChars="0"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1544CE89">
            <w:pPr>
              <w:shd w:val="clear"/>
              <w:kinsoku/>
              <w:overflowPunct/>
              <w:bidi w:val="0"/>
              <w:spacing w:line="540" w:lineRule="exact"/>
              <w:ind w:left="0" w:leftChars="0" w:right="0" w:rightChars="0"/>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tr w14:paraId="56B1CB51">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428CD198">
            <w:pPr>
              <w:shd w:val="clear"/>
              <w:kinsoku/>
              <w:overflowPunct/>
              <w:bidi w:val="0"/>
              <w:spacing w:line="440" w:lineRule="exact"/>
              <w:ind w:left="0" w:leftChars="0" w:right="0" w:rightChars="0"/>
              <w:rPr>
                <w:rFonts w:ascii="宋体" w:cs="宋体"/>
                <w:color w:val="auto"/>
                <w:sz w:val="28"/>
                <w:szCs w:val="28"/>
                <w:highlight w:val="none"/>
              </w:rPr>
            </w:pPr>
          </w:p>
          <w:p w14:paraId="7C7EE2BA">
            <w:pPr>
              <w:shd w:val="clear"/>
              <w:kinsoku/>
              <w:overflowPunct/>
              <w:bidi w:val="0"/>
              <w:spacing w:line="520" w:lineRule="exact"/>
              <w:ind w:left="0" w:leftChars="0" w:right="0" w:rightChars="0"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4FEF567E">
            <w:pPr>
              <w:shd w:val="clear"/>
              <w:kinsoku/>
              <w:overflowPunct/>
              <w:bidi w:val="0"/>
              <w:spacing w:line="520" w:lineRule="exact"/>
              <w:ind w:left="0" w:leftChars="0" w:right="0" w:rightChars="0"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val="en-US" w:eastAsia="zh-CN"/>
              </w:rPr>
              <w:t>关勤勤</w:t>
            </w:r>
          </w:p>
          <w:p w14:paraId="0A0FF70C">
            <w:pPr>
              <w:shd w:val="clear"/>
              <w:kinsoku/>
              <w:overflowPunct/>
              <w:bidi w:val="0"/>
              <w:spacing w:line="520" w:lineRule="exact"/>
              <w:ind w:left="0" w:leftChars="0" w:right="0" w:rightChars="0"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电  话：0550-3519590、</w:t>
            </w:r>
            <w:r>
              <w:rPr>
                <w:rFonts w:hint="eastAsia" w:ascii="宋体" w:cs="宋体"/>
                <w:color w:val="auto"/>
                <w:sz w:val="28"/>
                <w:szCs w:val="28"/>
                <w:highlight w:val="none"/>
                <w:lang w:val="en-US" w:eastAsia="zh-CN"/>
              </w:rPr>
              <w:t>18909605753</w:t>
            </w:r>
          </w:p>
          <w:p w14:paraId="0675C185">
            <w:pPr>
              <w:shd w:val="clear"/>
              <w:kinsoku/>
              <w:overflowPunct/>
              <w:bidi w:val="0"/>
              <w:spacing w:line="520" w:lineRule="exact"/>
              <w:ind w:left="0" w:leftChars="0" w:right="0" w:rightChars="0" w:firstLine="6300" w:firstLineChars="2250"/>
              <w:rPr>
                <w:rFonts w:ascii="宋体" w:cs="宋体"/>
                <w:color w:val="auto"/>
                <w:sz w:val="28"/>
                <w:szCs w:val="28"/>
                <w:highlight w:val="none"/>
              </w:rPr>
            </w:pPr>
          </w:p>
          <w:p w14:paraId="35D3AC65">
            <w:pPr>
              <w:pStyle w:val="34"/>
              <w:shd w:val="clear"/>
              <w:kinsoku/>
              <w:overflowPunct/>
              <w:bidi w:val="0"/>
              <w:ind w:left="0" w:leftChars="0" w:right="0" w:rightChars="0"/>
              <w:rPr>
                <w:color w:val="auto"/>
                <w:kern w:val="2"/>
                <w:sz w:val="21"/>
                <w:szCs w:val="24"/>
                <w:highlight w:val="none"/>
              </w:rPr>
            </w:pPr>
          </w:p>
          <w:p w14:paraId="6CBA4020">
            <w:pPr>
              <w:shd w:val="clear"/>
              <w:kinsoku/>
              <w:overflowPunct/>
              <w:bidi w:val="0"/>
              <w:spacing w:line="520" w:lineRule="exact"/>
              <w:ind w:left="0" w:leftChars="0" w:right="0" w:rightChars="0" w:firstLine="6580" w:firstLineChars="2350"/>
              <w:rPr>
                <w:rFonts w:ascii="宋体" w:cs="宋体"/>
                <w:color w:val="auto"/>
                <w:sz w:val="28"/>
                <w:szCs w:val="28"/>
                <w:highlight w:val="none"/>
              </w:rPr>
            </w:pPr>
          </w:p>
          <w:p w14:paraId="15947740">
            <w:pPr>
              <w:shd w:val="clear"/>
              <w:kinsoku/>
              <w:overflowPunct/>
              <w:bidi w:val="0"/>
              <w:spacing w:line="520" w:lineRule="exact"/>
              <w:ind w:left="0" w:leftChars="0" w:right="0" w:rightChars="0"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05D32B17">
            <w:pPr>
              <w:shd w:val="clear"/>
              <w:kinsoku/>
              <w:overflowPunct/>
              <w:bidi w:val="0"/>
              <w:spacing w:line="540" w:lineRule="exact"/>
              <w:ind w:left="0" w:leftChars="0" w:right="0" w:rightChars="0"/>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tbl>
    <w:p w14:paraId="245BEC10">
      <w:pPr>
        <w:shd w:val="clear"/>
        <w:kinsoku/>
        <w:overflowPunct/>
        <w:bidi w:val="0"/>
        <w:ind w:left="0" w:leftChars="0" w:right="0" w:rightChars="0"/>
        <w:rPr>
          <w:color w:val="auto"/>
          <w:highlight w:val="none"/>
        </w:rPr>
      </w:pPr>
    </w:p>
    <w:sectPr>
      <w:pgSz w:w="11906" w:h="16838"/>
      <w:pgMar w:top="1440" w:right="1247" w:bottom="1417" w:left="124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0000000000000000000"/>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20B05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89A6A">
    <w:pPr>
      <w:pStyle w:val="22"/>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2D3A">
    <w:pPr>
      <w:pStyle w:val="22"/>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BDFEC4">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2DBDFEC4">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D8BA4">
    <w:pPr>
      <w:pStyle w:val="23"/>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FAA30">
    <w:pPr>
      <w:pStyle w:val="2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102"/>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
    <w:nsid w:val="00000007"/>
    <w:multiLevelType w:val="multilevel"/>
    <w:tmpl w:val="00000007"/>
    <w:lvl w:ilvl="0" w:tentative="0">
      <w:start w:val="1"/>
      <w:numFmt w:val="chineseCountingThousand"/>
      <w:pStyle w:val="31"/>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decimal"/>
      <w:pStyle w:val="9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6">
    <w:nsid w:val="00000014"/>
    <w:multiLevelType w:val="multilevel"/>
    <w:tmpl w:val="00000014"/>
    <w:lvl w:ilvl="0" w:tentative="0">
      <w:start w:val="1"/>
      <w:numFmt w:val="decimal"/>
      <w:pStyle w:val="25"/>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2MDg4MDUzNmIyYTdkNTNkMmFkNGIwMDY2OWVhZjI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77F31"/>
    <w:rsid w:val="0069368B"/>
    <w:rsid w:val="0074554D"/>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C5855"/>
    <w:rsid w:val="00AF40A6"/>
    <w:rsid w:val="00AF43B5"/>
    <w:rsid w:val="00B41BDC"/>
    <w:rsid w:val="00B45701"/>
    <w:rsid w:val="00B502D3"/>
    <w:rsid w:val="00B627A9"/>
    <w:rsid w:val="00B77363"/>
    <w:rsid w:val="00B84EF4"/>
    <w:rsid w:val="00B8500A"/>
    <w:rsid w:val="00BF0751"/>
    <w:rsid w:val="00C069E8"/>
    <w:rsid w:val="00C24AE6"/>
    <w:rsid w:val="00C2723E"/>
    <w:rsid w:val="00C57688"/>
    <w:rsid w:val="00C9047B"/>
    <w:rsid w:val="00CD391E"/>
    <w:rsid w:val="00CD4DF4"/>
    <w:rsid w:val="00CF1FFF"/>
    <w:rsid w:val="00D24FF0"/>
    <w:rsid w:val="00D25ACB"/>
    <w:rsid w:val="00D46C3D"/>
    <w:rsid w:val="00D50329"/>
    <w:rsid w:val="00D651BA"/>
    <w:rsid w:val="00DD6A62"/>
    <w:rsid w:val="00DD75A2"/>
    <w:rsid w:val="00E4156B"/>
    <w:rsid w:val="00E6284A"/>
    <w:rsid w:val="00E700A9"/>
    <w:rsid w:val="00E70847"/>
    <w:rsid w:val="00E87AA3"/>
    <w:rsid w:val="00F13E63"/>
    <w:rsid w:val="00F21540"/>
    <w:rsid w:val="00F768E1"/>
    <w:rsid w:val="00FC3E1B"/>
    <w:rsid w:val="00FF16F3"/>
    <w:rsid w:val="016947F9"/>
    <w:rsid w:val="016E2F6B"/>
    <w:rsid w:val="01826A17"/>
    <w:rsid w:val="01CB7DA6"/>
    <w:rsid w:val="01D9415D"/>
    <w:rsid w:val="01DA5E9C"/>
    <w:rsid w:val="01DB6127"/>
    <w:rsid w:val="01DE01EE"/>
    <w:rsid w:val="01F0374C"/>
    <w:rsid w:val="0219028B"/>
    <w:rsid w:val="022E6257"/>
    <w:rsid w:val="023850C1"/>
    <w:rsid w:val="02477318"/>
    <w:rsid w:val="0255285E"/>
    <w:rsid w:val="026B1259"/>
    <w:rsid w:val="02827B99"/>
    <w:rsid w:val="029F2E1F"/>
    <w:rsid w:val="02BC3AEB"/>
    <w:rsid w:val="02D079EE"/>
    <w:rsid w:val="02E1227E"/>
    <w:rsid w:val="02E54D69"/>
    <w:rsid w:val="02EB239A"/>
    <w:rsid w:val="02F254D6"/>
    <w:rsid w:val="02F53218"/>
    <w:rsid w:val="030355FF"/>
    <w:rsid w:val="03280EF8"/>
    <w:rsid w:val="0341645D"/>
    <w:rsid w:val="035241C7"/>
    <w:rsid w:val="037E320E"/>
    <w:rsid w:val="038A570F"/>
    <w:rsid w:val="039C407F"/>
    <w:rsid w:val="039E11BA"/>
    <w:rsid w:val="03A2514E"/>
    <w:rsid w:val="03B409DD"/>
    <w:rsid w:val="03C03826"/>
    <w:rsid w:val="03C30C20"/>
    <w:rsid w:val="03D1158F"/>
    <w:rsid w:val="03D96696"/>
    <w:rsid w:val="03DB41BC"/>
    <w:rsid w:val="03EF7C67"/>
    <w:rsid w:val="03FE7EAB"/>
    <w:rsid w:val="041C543C"/>
    <w:rsid w:val="04221DEB"/>
    <w:rsid w:val="04435676"/>
    <w:rsid w:val="044E498E"/>
    <w:rsid w:val="04651CD8"/>
    <w:rsid w:val="046A5576"/>
    <w:rsid w:val="04754611"/>
    <w:rsid w:val="048760F2"/>
    <w:rsid w:val="04A942BA"/>
    <w:rsid w:val="04AB3862"/>
    <w:rsid w:val="04BF3332"/>
    <w:rsid w:val="04ED2C18"/>
    <w:rsid w:val="04F01EE9"/>
    <w:rsid w:val="04F76DD4"/>
    <w:rsid w:val="05085485"/>
    <w:rsid w:val="050B6D23"/>
    <w:rsid w:val="053242B0"/>
    <w:rsid w:val="05373674"/>
    <w:rsid w:val="053E4A03"/>
    <w:rsid w:val="05455577"/>
    <w:rsid w:val="05465FAD"/>
    <w:rsid w:val="054B0F4A"/>
    <w:rsid w:val="05790131"/>
    <w:rsid w:val="058F1702"/>
    <w:rsid w:val="05A351AD"/>
    <w:rsid w:val="05DE3CE5"/>
    <w:rsid w:val="05E82BC0"/>
    <w:rsid w:val="05F477B7"/>
    <w:rsid w:val="061816F7"/>
    <w:rsid w:val="062278D0"/>
    <w:rsid w:val="06370ACC"/>
    <w:rsid w:val="063D5DC0"/>
    <w:rsid w:val="06624721"/>
    <w:rsid w:val="06632AA3"/>
    <w:rsid w:val="067A13EB"/>
    <w:rsid w:val="06836B5F"/>
    <w:rsid w:val="069D1BFD"/>
    <w:rsid w:val="06A55ADF"/>
    <w:rsid w:val="06A64F55"/>
    <w:rsid w:val="06C453DB"/>
    <w:rsid w:val="06D82C35"/>
    <w:rsid w:val="06DA075B"/>
    <w:rsid w:val="06F224DF"/>
    <w:rsid w:val="06F9554A"/>
    <w:rsid w:val="070659F4"/>
    <w:rsid w:val="0721282E"/>
    <w:rsid w:val="07371FAF"/>
    <w:rsid w:val="075239E7"/>
    <w:rsid w:val="07750484"/>
    <w:rsid w:val="07794418"/>
    <w:rsid w:val="0788465B"/>
    <w:rsid w:val="07950B26"/>
    <w:rsid w:val="07AD2313"/>
    <w:rsid w:val="07B611C8"/>
    <w:rsid w:val="07B76CEE"/>
    <w:rsid w:val="07E0529D"/>
    <w:rsid w:val="07ED2710"/>
    <w:rsid w:val="07F613C5"/>
    <w:rsid w:val="08140B8B"/>
    <w:rsid w:val="08143A40"/>
    <w:rsid w:val="081E6D6D"/>
    <w:rsid w:val="082779ED"/>
    <w:rsid w:val="08293B60"/>
    <w:rsid w:val="082C4FE6"/>
    <w:rsid w:val="08362309"/>
    <w:rsid w:val="08395955"/>
    <w:rsid w:val="084A1910"/>
    <w:rsid w:val="084F5934"/>
    <w:rsid w:val="085D1644"/>
    <w:rsid w:val="08607386"/>
    <w:rsid w:val="08713341"/>
    <w:rsid w:val="0873089C"/>
    <w:rsid w:val="088A4403"/>
    <w:rsid w:val="088A5A8D"/>
    <w:rsid w:val="08A13C26"/>
    <w:rsid w:val="08BF40AC"/>
    <w:rsid w:val="08C07429"/>
    <w:rsid w:val="08D35DAA"/>
    <w:rsid w:val="08D51B22"/>
    <w:rsid w:val="08E27D9B"/>
    <w:rsid w:val="08E92ED7"/>
    <w:rsid w:val="08EE00FD"/>
    <w:rsid w:val="08FA50E4"/>
    <w:rsid w:val="092B6141"/>
    <w:rsid w:val="0935241C"/>
    <w:rsid w:val="09524F20"/>
    <w:rsid w:val="097035F9"/>
    <w:rsid w:val="099217C1"/>
    <w:rsid w:val="09963123"/>
    <w:rsid w:val="09981838"/>
    <w:rsid w:val="09B5283E"/>
    <w:rsid w:val="09C166B7"/>
    <w:rsid w:val="09C851E3"/>
    <w:rsid w:val="09CB469C"/>
    <w:rsid w:val="09CF3948"/>
    <w:rsid w:val="09D678FF"/>
    <w:rsid w:val="09E71B0D"/>
    <w:rsid w:val="09EF44EC"/>
    <w:rsid w:val="09F14739"/>
    <w:rsid w:val="09F317FA"/>
    <w:rsid w:val="0A03621B"/>
    <w:rsid w:val="0A2D3F49"/>
    <w:rsid w:val="0A4708C9"/>
    <w:rsid w:val="0A522CFE"/>
    <w:rsid w:val="0A6E5D8A"/>
    <w:rsid w:val="0A8455AD"/>
    <w:rsid w:val="0A8712AB"/>
    <w:rsid w:val="0AA04DDE"/>
    <w:rsid w:val="0AB12DCE"/>
    <w:rsid w:val="0AB45767"/>
    <w:rsid w:val="0AC43BFC"/>
    <w:rsid w:val="0AD16319"/>
    <w:rsid w:val="0AD96F7B"/>
    <w:rsid w:val="0AEC4F01"/>
    <w:rsid w:val="0AF3628F"/>
    <w:rsid w:val="0B343101"/>
    <w:rsid w:val="0B4B60CB"/>
    <w:rsid w:val="0B626DE8"/>
    <w:rsid w:val="0B627EDA"/>
    <w:rsid w:val="0B704808"/>
    <w:rsid w:val="0B8127C6"/>
    <w:rsid w:val="0B982B0E"/>
    <w:rsid w:val="0BA94BA0"/>
    <w:rsid w:val="0BAB31B1"/>
    <w:rsid w:val="0BAF62FB"/>
    <w:rsid w:val="0BC66C7D"/>
    <w:rsid w:val="0BED3778"/>
    <w:rsid w:val="0C232BA4"/>
    <w:rsid w:val="0C2A577B"/>
    <w:rsid w:val="0C2D26E3"/>
    <w:rsid w:val="0C373ADB"/>
    <w:rsid w:val="0C37733F"/>
    <w:rsid w:val="0C3856AB"/>
    <w:rsid w:val="0C3C5A14"/>
    <w:rsid w:val="0C4274CE"/>
    <w:rsid w:val="0C6952DD"/>
    <w:rsid w:val="0CA75583"/>
    <w:rsid w:val="0CAD06C0"/>
    <w:rsid w:val="0CC52EA8"/>
    <w:rsid w:val="0CC53C5B"/>
    <w:rsid w:val="0CDB7B95"/>
    <w:rsid w:val="0CE95B9C"/>
    <w:rsid w:val="0CEA5470"/>
    <w:rsid w:val="0D077DD0"/>
    <w:rsid w:val="0D2B61B4"/>
    <w:rsid w:val="0D3E4B53"/>
    <w:rsid w:val="0D467F7C"/>
    <w:rsid w:val="0D6B65B1"/>
    <w:rsid w:val="0D8544BC"/>
    <w:rsid w:val="0DA20C83"/>
    <w:rsid w:val="0DA707B9"/>
    <w:rsid w:val="0DE01542"/>
    <w:rsid w:val="0DF2282E"/>
    <w:rsid w:val="0DFD3DA4"/>
    <w:rsid w:val="0E24538F"/>
    <w:rsid w:val="0E46735F"/>
    <w:rsid w:val="0E4969BD"/>
    <w:rsid w:val="0E5928AD"/>
    <w:rsid w:val="0E5B4877"/>
    <w:rsid w:val="0E707BF7"/>
    <w:rsid w:val="0E7D0D45"/>
    <w:rsid w:val="0E8611C8"/>
    <w:rsid w:val="0E975183"/>
    <w:rsid w:val="0EA32999"/>
    <w:rsid w:val="0EAD1661"/>
    <w:rsid w:val="0EBE21D3"/>
    <w:rsid w:val="0EBF7B36"/>
    <w:rsid w:val="0EC50C35"/>
    <w:rsid w:val="0EC51CF1"/>
    <w:rsid w:val="0ECC307F"/>
    <w:rsid w:val="0F0C791F"/>
    <w:rsid w:val="0F1A6FD6"/>
    <w:rsid w:val="0F495220"/>
    <w:rsid w:val="0F4E1CE6"/>
    <w:rsid w:val="0F4E7F38"/>
    <w:rsid w:val="0F706100"/>
    <w:rsid w:val="0F891446"/>
    <w:rsid w:val="0F9A13CF"/>
    <w:rsid w:val="0F9B000F"/>
    <w:rsid w:val="0F9D2C6D"/>
    <w:rsid w:val="0FB747DD"/>
    <w:rsid w:val="0FC91CB4"/>
    <w:rsid w:val="0FD10D03"/>
    <w:rsid w:val="0FD710A5"/>
    <w:rsid w:val="0FD77F2D"/>
    <w:rsid w:val="0FD83CA6"/>
    <w:rsid w:val="10131364"/>
    <w:rsid w:val="101822F4"/>
    <w:rsid w:val="10262C63"/>
    <w:rsid w:val="105B218F"/>
    <w:rsid w:val="10616837"/>
    <w:rsid w:val="107E794C"/>
    <w:rsid w:val="10857989"/>
    <w:rsid w:val="10AC25CA"/>
    <w:rsid w:val="10B4201D"/>
    <w:rsid w:val="10CA7A92"/>
    <w:rsid w:val="10EF574B"/>
    <w:rsid w:val="10F845FF"/>
    <w:rsid w:val="110C1E59"/>
    <w:rsid w:val="110D0173"/>
    <w:rsid w:val="11125CD9"/>
    <w:rsid w:val="111D5E14"/>
    <w:rsid w:val="112951FE"/>
    <w:rsid w:val="11317B11"/>
    <w:rsid w:val="113F7E2B"/>
    <w:rsid w:val="116E6670"/>
    <w:rsid w:val="117A3C75"/>
    <w:rsid w:val="11826A7D"/>
    <w:rsid w:val="118616F9"/>
    <w:rsid w:val="11904838"/>
    <w:rsid w:val="11A16A45"/>
    <w:rsid w:val="11A6405B"/>
    <w:rsid w:val="11B35173"/>
    <w:rsid w:val="11B83956"/>
    <w:rsid w:val="11C40985"/>
    <w:rsid w:val="11CC786A"/>
    <w:rsid w:val="11D54499"/>
    <w:rsid w:val="11E93F48"/>
    <w:rsid w:val="11EC68FB"/>
    <w:rsid w:val="11F03528"/>
    <w:rsid w:val="12046FD4"/>
    <w:rsid w:val="121420F8"/>
    <w:rsid w:val="12214445"/>
    <w:rsid w:val="12273D08"/>
    <w:rsid w:val="12324FEA"/>
    <w:rsid w:val="123D2FB3"/>
    <w:rsid w:val="124538DB"/>
    <w:rsid w:val="125067AE"/>
    <w:rsid w:val="12637655"/>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C06B9F"/>
    <w:rsid w:val="13CD2CC1"/>
    <w:rsid w:val="140B464A"/>
    <w:rsid w:val="140C4736"/>
    <w:rsid w:val="140D6614"/>
    <w:rsid w:val="14172FEE"/>
    <w:rsid w:val="14364B2C"/>
    <w:rsid w:val="1438503B"/>
    <w:rsid w:val="144933C4"/>
    <w:rsid w:val="145F3F52"/>
    <w:rsid w:val="14694230"/>
    <w:rsid w:val="14720C0D"/>
    <w:rsid w:val="14740D4F"/>
    <w:rsid w:val="147D0BDA"/>
    <w:rsid w:val="14860A3B"/>
    <w:rsid w:val="14926B19"/>
    <w:rsid w:val="14972381"/>
    <w:rsid w:val="14AA2FD3"/>
    <w:rsid w:val="14B06F9F"/>
    <w:rsid w:val="14B52807"/>
    <w:rsid w:val="14B62AB7"/>
    <w:rsid w:val="14BA1BCC"/>
    <w:rsid w:val="14C724CE"/>
    <w:rsid w:val="14CA5427"/>
    <w:rsid w:val="14DA6A78"/>
    <w:rsid w:val="14DD669C"/>
    <w:rsid w:val="14DE1D5E"/>
    <w:rsid w:val="14E07884"/>
    <w:rsid w:val="14E16407"/>
    <w:rsid w:val="14EA0703"/>
    <w:rsid w:val="150572EB"/>
    <w:rsid w:val="150A448F"/>
    <w:rsid w:val="150C68CB"/>
    <w:rsid w:val="152229F1"/>
    <w:rsid w:val="152A1607"/>
    <w:rsid w:val="154461CC"/>
    <w:rsid w:val="15597637"/>
    <w:rsid w:val="15804BC3"/>
    <w:rsid w:val="15BD23EA"/>
    <w:rsid w:val="15C9430D"/>
    <w:rsid w:val="15D373E9"/>
    <w:rsid w:val="15E213DA"/>
    <w:rsid w:val="15E52C78"/>
    <w:rsid w:val="16210154"/>
    <w:rsid w:val="1633342F"/>
    <w:rsid w:val="164E6A70"/>
    <w:rsid w:val="16683008"/>
    <w:rsid w:val="168E3310"/>
    <w:rsid w:val="16A36DBB"/>
    <w:rsid w:val="16A50D85"/>
    <w:rsid w:val="16B81E85"/>
    <w:rsid w:val="16C86822"/>
    <w:rsid w:val="16CF7F44"/>
    <w:rsid w:val="16F94C2D"/>
    <w:rsid w:val="16FE3FF2"/>
    <w:rsid w:val="171323AA"/>
    <w:rsid w:val="17236AFE"/>
    <w:rsid w:val="173B5246"/>
    <w:rsid w:val="17B63456"/>
    <w:rsid w:val="17F2764F"/>
    <w:rsid w:val="1833416F"/>
    <w:rsid w:val="18524B4C"/>
    <w:rsid w:val="185C36C6"/>
    <w:rsid w:val="18737F6A"/>
    <w:rsid w:val="187D1E98"/>
    <w:rsid w:val="187D53EA"/>
    <w:rsid w:val="18A817AE"/>
    <w:rsid w:val="18B21538"/>
    <w:rsid w:val="18BB7749"/>
    <w:rsid w:val="18C44192"/>
    <w:rsid w:val="18D9512F"/>
    <w:rsid w:val="18ED431E"/>
    <w:rsid w:val="18F558C8"/>
    <w:rsid w:val="18F877F3"/>
    <w:rsid w:val="1901601B"/>
    <w:rsid w:val="19070275"/>
    <w:rsid w:val="19106B6F"/>
    <w:rsid w:val="19235F91"/>
    <w:rsid w:val="193C7053"/>
    <w:rsid w:val="193F7C64"/>
    <w:rsid w:val="196C36C2"/>
    <w:rsid w:val="196D1903"/>
    <w:rsid w:val="19724162"/>
    <w:rsid w:val="198F1879"/>
    <w:rsid w:val="19B47531"/>
    <w:rsid w:val="19C214C4"/>
    <w:rsid w:val="19F70AC5"/>
    <w:rsid w:val="19F85670"/>
    <w:rsid w:val="19F94F44"/>
    <w:rsid w:val="1A1324AA"/>
    <w:rsid w:val="1A2B77F4"/>
    <w:rsid w:val="1A2F16BB"/>
    <w:rsid w:val="1A501008"/>
    <w:rsid w:val="1A766595"/>
    <w:rsid w:val="1A8C59F8"/>
    <w:rsid w:val="1AA57FC0"/>
    <w:rsid w:val="1AA72169"/>
    <w:rsid w:val="1AAC1FB7"/>
    <w:rsid w:val="1AAE61FB"/>
    <w:rsid w:val="1AB01AA7"/>
    <w:rsid w:val="1AB23324"/>
    <w:rsid w:val="1ABA0B77"/>
    <w:rsid w:val="1ADF554D"/>
    <w:rsid w:val="1AED13C7"/>
    <w:rsid w:val="1B1069E9"/>
    <w:rsid w:val="1B193AF0"/>
    <w:rsid w:val="1B2D30F7"/>
    <w:rsid w:val="1B7747F3"/>
    <w:rsid w:val="1B79254B"/>
    <w:rsid w:val="1B7935FD"/>
    <w:rsid w:val="1B972C67"/>
    <w:rsid w:val="1BA55384"/>
    <w:rsid w:val="1BD619E1"/>
    <w:rsid w:val="1BD712B5"/>
    <w:rsid w:val="1BDD4B1E"/>
    <w:rsid w:val="1BE76F28"/>
    <w:rsid w:val="1C177904"/>
    <w:rsid w:val="1C284B16"/>
    <w:rsid w:val="1C4133A8"/>
    <w:rsid w:val="1C5A26D3"/>
    <w:rsid w:val="1C5A49E0"/>
    <w:rsid w:val="1C5D0DA4"/>
    <w:rsid w:val="1C5F6917"/>
    <w:rsid w:val="1C6F5742"/>
    <w:rsid w:val="1C76287C"/>
    <w:rsid w:val="1C872925"/>
    <w:rsid w:val="1C9E0082"/>
    <w:rsid w:val="1CA613B3"/>
    <w:rsid w:val="1CAA693B"/>
    <w:rsid w:val="1CB14442"/>
    <w:rsid w:val="1CC66428"/>
    <w:rsid w:val="1CC80B99"/>
    <w:rsid w:val="1CCB0E1A"/>
    <w:rsid w:val="1D0113C9"/>
    <w:rsid w:val="1D0A2DA7"/>
    <w:rsid w:val="1D1140B4"/>
    <w:rsid w:val="1D2B18B9"/>
    <w:rsid w:val="1D3E783E"/>
    <w:rsid w:val="1D61177E"/>
    <w:rsid w:val="1D630F86"/>
    <w:rsid w:val="1D7019C1"/>
    <w:rsid w:val="1D752B34"/>
    <w:rsid w:val="1D7E5E8C"/>
    <w:rsid w:val="1D836591"/>
    <w:rsid w:val="1DB55626"/>
    <w:rsid w:val="1DB7314C"/>
    <w:rsid w:val="1DC15D79"/>
    <w:rsid w:val="1DC53ABB"/>
    <w:rsid w:val="1DC835AB"/>
    <w:rsid w:val="1DC85AE6"/>
    <w:rsid w:val="1DDB503E"/>
    <w:rsid w:val="1DE84D03"/>
    <w:rsid w:val="1DE85A9D"/>
    <w:rsid w:val="1DF13B3B"/>
    <w:rsid w:val="1E0E2B0B"/>
    <w:rsid w:val="1E1660C5"/>
    <w:rsid w:val="1E205195"/>
    <w:rsid w:val="1E276322"/>
    <w:rsid w:val="1E5170FD"/>
    <w:rsid w:val="1E5F2F8D"/>
    <w:rsid w:val="1E650DFA"/>
    <w:rsid w:val="1E982F7E"/>
    <w:rsid w:val="1EAC45D3"/>
    <w:rsid w:val="1EC71AB5"/>
    <w:rsid w:val="1ECF4FD3"/>
    <w:rsid w:val="1ED0096A"/>
    <w:rsid w:val="1ED7455A"/>
    <w:rsid w:val="1EDB6610"/>
    <w:rsid w:val="1EF34658"/>
    <w:rsid w:val="1F02489B"/>
    <w:rsid w:val="1F095D51"/>
    <w:rsid w:val="1F0E1553"/>
    <w:rsid w:val="1F132604"/>
    <w:rsid w:val="1F242A63"/>
    <w:rsid w:val="1F2627EB"/>
    <w:rsid w:val="1F294332"/>
    <w:rsid w:val="1F2A62AD"/>
    <w:rsid w:val="1F3233D2"/>
    <w:rsid w:val="1F4804CC"/>
    <w:rsid w:val="1F63358C"/>
    <w:rsid w:val="1F6B68E4"/>
    <w:rsid w:val="1FB61E22"/>
    <w:rsid w:val="1FEB1DE0"/>
    <w:rsid w:val="1FEF6DB8"/>
    <w:rsid w:val="1FF64400"/>
    <w:rsid w:val="200D799B"/>
    <w:rsid w:val="201E4F4F"/>
    <w:rsid w:val="2024414B"/>
    <w:rsid w:val="20256A93"/>
    <w:rsid w:val="20384A18"/>
    <w:rsid w:val="20390790"/>
    <w:rsid w:val="203F5E7C"/>
    <w:rsid w:val="204A474C"/>
    <w:rsid w:val="205055EF"/>
    <w:rsid w:val="20546C12"/>
    <w:rsid w:val="20583FFA"/>
    <w:rsid w:val="206C46C2"/>
    <w:rsid w:val="20976AB4"/>
    <w:rsid w:val="20A81514"/>
    <w:rsid w:val="20AB6760"/>
    <w:rsid w:val="20B16579"/>
    <w:rsid w:val="20C95670"/>
    <w:rsid w:val="20D358CD"/>
    <w:rsid w:val="20D65FDF"/>
    <w:rsid w:val="20E85D1A"/>
    <w:rsid w:val="210055F8"/>
    <w:rsid w:val="21052421"/>
    <w:rsid w:val="211508B6"/>
    <w:rsid w:val="2126121F"/>
    <w:rsid w:val="216B1A91"/>
    <w:rsid w:val="217B0F40"/>
    <w:rsid w:val="218A192D"/>
    <w:rsid w:val="21A972E1"/>
    <w:rsid w:val="21BF0821"/>
    <w:rsid w:val="21DE60F4"/>
    <w:rsid w:val="21E464DA"/>
    <w:rsid w:val="21F816C1"/>
    <w:rsid w:val="221C5C74"/>
    <w:rsid w:val="222B0959"/>
    <w:rsid w:val="222F1E4B"/>
    <w:rsid w:val="2240564F"/>
    <w:rsid w:val="224F6049"/>
    <w:rsid w:val="22575E31"/>
    <w:rsid w:val="22816594"/>
    <w:rsid w:val="22A00653"/>
    <w:rsid w:val="22A52EFA"/>
    <w:rsid w:val="22A567AC"/>
    <w:rsid w:val="22A77054"/>
    <w:rsid w:val="22AA3280"/>
    <w:rsid w:val="22BD2FB3"/>
    <w:rsid w:val="22C04851"/>
    <w:rsid w:val="22CB1F7F"/>
    <w:rsid w:val="22CC31F6"/>
    <w:rsid w:val="22D43C96"/>
    <w:rsid w:val="22DB5B2F"/>
    <w:rsid w:val="22EC6903"/>
    <w:rsid w:val="22FB3ADB"/>
    <w:rsid w:val="23076924"/>
    <w:rsid w:val="2318468D"/>
    <w:rsid w:val="23214B81"/>
    <w:rsid w:val="23250B58"/>
    <w:rsid w:val="23287A3B"/>
    <w:rsid w:val="23377209"/>
    <w:rsid w:val="234C2589"/>
    <w:rsid w:val="234E0C74"/>
    <w:rsid w:val="235D595F"/>
    <w:rsid w:val="2366667A"/>
    <w:rsid w:val="236773C3"/>
    <w:rsid w:val="236B1B92"/>
    <w:rsid w:val="23725A46"/>
    <w:rsid w:val="239F4DAE"/>
    <w:rsid w:val="23A75A11"/>
    <w:rsid w:val="23D46034"/>
    <w:rsid w:val="23DD1433"/>
    <w:rsid w:val="23ED1676"/>
    <w:rsid w:val="23EF1892"/>
    <w:rsid w:val="23F37F14"/>
    <w:rsid w:val="23F956E8"/>
    <w:rsid w:val="23FA0237"/>
    <w:rsid w:val="24015121"/>
    <w:rsid w:val="24264B88"/>
    <w:rsid w:val="24305A06"/>
    <w:rsid w:val="2447702E"/>
    <w:rsid w:val="24765B0F"/>
    <w:rsid w:val="247C0C4C"/>
    <w:rsid w:val="247C50B5"/>
    <w:rsid w:val="248F4E23"/>
    <w:rsid w:val="249B0281"/>
    <w:rsid w:val="24A55645"/>
    <w:rsid w:val="24C22B02"/>
    <w:rsid w:val="24D570AE"/>
    <w:rsid w:val="24D6035C"/>
    <w:rsid w:val="24E01EF1"/>
    <w:rsid w:val="24E2777A"/>
    <w:rsid w:val="24F51DFC"/>
    <w:rsid w:val="250C30B2"/>
    <w:rsid w:val="250D7AF6"/>
    <w:rsid w:val="25423C43"/>
    <w:rsid w:val="256B13EC"/>
    <w:rsid w:val="256B3734"/>
    <w:rsid w:val="25924268"/>
    <w:rsid w:val="2593449F"/>
    <w:rsid w:val="25E67FEE"/>
    <w:rsid w:val="25F3318F"/>
    <w:rsid w:val="260D33F7"/>
    <w:rsid w:val="2629095F"/>
    <w:rsid w:val="26355556"/>
    <w:rsid w:val="263B7010"/>
    <w:rsid w:val="263C7979"/>
    <w:rsid w:val="264B2FCC"/>
    <w:rsid w:val="264E5249"/>
    <w:rsid w:val="2650413E"/>
    <w:rsid w:val="26521B8A"/>
    <w:rsid w:val="265359DC"/>
    <w:rsid w:val="26551754"/>
    <w:rsid w:val="26712A32"/>
    <w:rsid w:val="26834513"/>
    <w:rsid w:val="26A10E3D"/>
    <w:rsid w:val="26AC3A6A"/>
    <w:rsid w:val="26B96187"/>
    <w:rsid w:val="26BE763B"/>
    <w:rsid w:val="26C64400"/>
    <w:rsid w:val="26E730BC"/>
    <w:rsid w:val="270135A4"/>
    <w:rsid w:val="27090EBD"/>
    <w:rsid w:val="271635D9"/>
    <w:rsid w:val="2751016E"/>
    <w:rsid w:val="27764078"/>
    <w:rsid w:val="279F3713"/>
    <w:rsid w:val="27B84691"/>
    <w:rsid w:val="27BD1CA7"/>
    <w:rsid w:val="27C923FA"/>
    <w:rsid w:val="27CA464D"/>
    <w:rsid w:val="27CB7F20"/>
    <w:rsid w:val="27DF13AD"/>
    <w:rsid w:val="27E91720"/>
    <w:rsid w:val="27F136A9"/>
    <w:rsid w:val="27F21934"/>
    <w:rsid w:val="27F6382B"/>
    <w:rsid w:val="27FD20A3"/>
    <w:rsid w:val="280F14ED"/>
    <w:rsid w:val="280F3776"/>
    <w:rsid w:val="281C4C20"/>
    <w:rsid w:val="28527CD1"/>
    <w:rsid w:val="287C7ABF"/>
    <w:rsid w:val="28844573"/>
    <w:rsid w:val="28AA3FD9"/>
    <w:rsid w:val="28C52BC1"/>
    <w:rsid w:val="28D472A8"/>
    <w:rsid w:val="28E9787B"/>
    <w:rsid w:val="28F205C1"/>
    <w:rsid w:val="29441132"/>
    <w:rsid w:val="29565F0F"/>
    <w:rsid w:val="296C128F"/>
    <w:rsid w:val="29890753"/>
    <w:rsid w:val="298962E5"/>
    <w:rsid w:val="29934A6D"/>
    <w:rsid w:val="29B50E88"/>
    <w:rsid w:val="29B72649"/>
    <w:rsid w:val="29BC1AE3"/>
    <w:rsid w:val="29CD1E2A"/>
    <w:rsid w:val="29CF7F37"/>
    <w:rsid w:val="2A0C29B8"/>
    <w:rsid w:val="2A0E5104"/>
    <w:rsid w:val="2A131C98"/>
    <w:rsid w:val="2A1F09F7"/>
    <w:rsid w:val="2A570E85"/>
    <w:rsid w:val="2A830F86"/>
    <w:rsid w:val="2A8745B6"/>
    <w:rsid w:val="2A922F77"/>
    <w:rsid w:val="2A9860B3"/>
    <w:rsid w:val="2A9A1E2C"/>
    <w:rsid w:val="2A9F5694"/>
    <w:rsid w:val="2AA23A25"/>
    <w:rsid w:val="2AAA6513"/>
    <w:rsid w:val="2AD15C14"/>
    <w:rsid w:val="2AE71AF4"/>
    <w:rsid w:val="2B045837"/>
    <w:rsid w:val="2B07429B"/>
    <w:rsid w:val="2B0D0850"/>
    <w:rsid w:val="2B154372"/>
    <w:rsid w:val="2B230073"/>
    <w:rsid w:val="2B520958"/>
    <w:rsid w:val="2B634913"/>
    <w:rsid w:val="2B85488A"/>
    <w:rsid w:val="2B982ECD"/>
    <w:rsid w:val="2BA07916"/>
    <w:rsid w:val="2BB175E5"/>
    <w:rsid w:val="2BEC2B5B"/>
    <w:rsid w:val="2BFF63EA"/>
    <w:rsid w:val="2C002162"/>
    <w:rsid w:val="2C063C1D"/>
    <w:rsid w:val="2C246995"/>
    <w:rsid w:val="2C3562B0"/>
    <w:rsid w:val="2C385DA0"/>
    <w:rsid w:val="2C4944EB"/>
    <w:rsid w:val="2C4B162F"/>
    <w:rsid w:val="2C5D1363"/>
    <w:rsid w:val="2C5F50DB"/>
    <w:rsid w:val="2C792640"/>
    <w:rsid w:val="2C8B4122"/>
    <w:rsid w:val="2C9C1E8B"/>
    <w:rsid w:val="2CA24D2A"/>
    <w:rsid w:val="2CA91FCE"/>
    <w:rsid w:val="2CB847EB"/>
    <w:rsid w:val="2CC633AC"/>
    <w:rsid w:val="2CD72C54"/>
    <w:rsid w:val="2CEA709A"/>
    <w:rsid w:val="2D022235"/>
    <w:rsid w:val="2D031F0A"/>
    <w:rsid w:val="2D0F08AF"/>
    <w:rsid w:val="2D1C7470"/>
    <w:rsid w:val="2D2125B0"/>
    <w:rsid w:val="2D2C76B3"/>
    <w:rsid w:val="2D371BB4"/>
    <w:rsid w:val="2D3B78F6"/>
    <w:rsid w:val="2D7C1CBC"/>
    <w:rsid w:val="2D8017AD"/>
    <w:rsid w:val="2D8868B3"/>
    <w:rsid w:val="2DAC4350"/>
    <w:rsid w:val="2DFB251B"/>
    <w:rsid w:val="2E0F1AF1"/>
    <w:rsid w:val="2E1755ED"/>
    <w:rsid w:val="2E3A7BAD"/>
    <w:rsid w:val="2E56250D"/>
    <w:rsid w:val="2E623354"/>
    <w:rsid w:val="2E6A4E27"/>
    <w:rsid w:val="2E7806D6"/>
    <w:rsid w:val="2E876B6B"/>
    <w:rsid w:val="2E9B12B3"/>
    <w:rsid w:val="2EC709E4"/>
    <w:rsid w:val="2ED33B5E"/>
    <w:rsid w:val="2EDA313F"/>
    <w:rsid w:val="2EE53D89"/>
    <w:rsid w:val="2EEC10D1"/>
    <w:rsid w:val="2EFA733D"/>
    <w:rsid w:val="2F030EDA"/>
    <w:rsid w:val="2F0412C1"/>
    <w:rsid w:val="2F171C9D"/>
    <w:rsid w:val="2F202F46"/>
    <w:rsid w:val="2F2E6FE6"/>
    <w:rsid w:val="2F43007A"/>
    <w:rsid w:val="2F47268D"/>
    <w:rsid w:val="2F484F80"/>
    <w:rsid w:val="2F8F5CD7"/>
    <w:rsid w:val="2F926074"/>
    <w:rsid w:val="2F971630"/>
    <w:rsid w:val="2FA774C5"/>
    <w:rsid w:val="2FB44E46"/>
    <w:rsid w:val="2FCA005B"/>
    <w:rsid w:val="2FFF4CAE"/>
    <w:rsid w:val="30042C3B"/>
    <w:rsid w:val="301F1BC4"/>
    <w:rsid w:val="30204B81"/>
    <w:rsid w:val="302E5110"/>
    <w:rsid w:val="303A5A64"/>
    <w:rsid w:val="304E74D7"/>
    <w:rsid w:val="305111DE"/>
    <w:rsid w:val="30823A8E"/>
    <w:rsid w:val="30901D07"/>
    <w:rsid w:val="309317F7"/>
    <w:rsid w:val="30C85944"/>
    <w:rsid w:val="30D95A3C"/>
    <w:rsid w:val="30E12562"/>
    <w:rsid w:val="30E84AF7"/>
    <w:rsid w:val="31103BE8"/>
    <w:rsid w:val="31490108"/>
    <w:rsid w:val="315736D8"/>
    <w:rsid w:val="3166515D"/>
    <w:rsid w:val="31684A32"/>
    <w:rsid w:val="317403C7"/>
    <w:rsid w:val="3179559F"/>
    <w:rsid w:val="317E6003"/>
    <w:rsid w:val="319B6BB5"/>
    <w:rsid w:val="31A1154D"/>
    <w:rsid w:val="31A17F44"/>
    <w:rsid w:val="31AD053C"/>
    <w:rsid w:val="31CB6D6E"/>
    <w:rsid w:val="31D64091"/>
    <w:rsid w:val="31DE2F46"/>
    <w:rsid w:val="31E340B8"/>
    <w:rsid w:val="32056724"/>
    <w:rsid w:val="3206571E"/>
    <w:rsid w:val="320B1E88"/>
    <w:rsid w:val="3220530C"/>
    <w:rsid w:val="325B29A2"/>
    <w:rsid w:val="3268280F"/>
    <w:rsid w:val="32690A61"/>
    <w:rsid w:val="326D226F"/>
    <w:rsid w:val="32755BEE"/>
    <w:rsid w:val="32774ADB"/>
    <w:rsid w:val="32785148"/>
    <w:rsid w:val="327B2543"/>
    <w:rsid w:val="327E342C"/>
    <w:rsid w:val="328533C1"/>
    <w:rsid w:val="3296503C"/>
    <w:rsid w:val="32A4546A"/>
    <w:rsid w:val="32B31CDC"/>
    <w:rsid w:val="32ED1980"/>
    <w:rsid w:val="32F1304C"/>
    <w:rsid w:val="32F50547"/>
    <w:rsid w:val="33094881"/>
    <w:rsid w:val="333F3794"/>
    <w:rsid w:val="335A57BD"/>
    <w:rsid w:val="339E5D33"/>
    <w:rsid w:val="33E03C55"/>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D7661"/>
    <w:rsid w:val="34B01E1E"/>
    <w:rsid w:val="34B26409"/>
    <w:rsid w:val="34E16FD5"/>
    <w:rsid w:val="34E94961"/>
    <w:rsid w:val="34EA39B0"/>
    <w:rsid w:val="35171719"/>
    <w:rsid w:val="352E7D40"/>
    <w:rsid w:val="354B26A0"/>
    <w:rsid w:val="355F614C"/>
    <w:rsid w:val="357243F8"/>
    <w:rsid w:val="35853917"/>
    <w:rsid w:val="35906305"/>
    <w:rsid w:val="359C73A0"/>
    <w:rsid w:val="35A10512"/>
    <w:rsid w:val="35A26038"/>
    <w:rsid w:val="35AA3A3A"/>
    <w:rsid w:val="35AA4722"/>
    <w:rsid w:val="35CF507F"/>
    <w:rsid w:val="360B340E"/>
    <w:rsid w:val="362D5CD2"/>
    <w:rsid w:val="365E28A7"/>
    <w:rsid w:val="366B14C0"/>
    <w:rsid w:val="369342FF"/>
    <w:rsid w:val="369D456C"/>
    <w:rsid w:val="36A8455A"/>
    <w:rsid w:val="36AE738B"/>
    <w:rsid w:val="36C95F72"/>
    <w:rsid w:val="36DF3C16"/>
    <w:rsid w:val="36E27034"/>
    <w:rsid w:val="36ED1FA3"/>
    <w:rsid w:val="36F36DEE"/>
    <w:rsid w:val="36F6663C"/>
    <w:rsid w:val="370E607B"/>
    <w:rsid w:val="372E4027"/>
    <w:rsid w:val="373F79B1"/>
    <w:rsid w:val="37500442"/>
    <w:rsid w:val="37537F32"/>
    <w:rsid w:val="376C4F8C"/>
    <w:rsid w:val="376F2F1F"/>
    <w:rsid w:val="378400EB"/>
    <w:rsid w:val="37904CE2"/>
    <w:rsid w:val="37976071"/>
    <w:rsid w:val="379D00C8"/>
    <w:rsid w:val="379F2985"/>
    <w:rsid w:val="37C03BF9"/>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92C0A3B"/>
    <w:rsid w:val="39400042"/>
    <w:rsid w:val="39490357"/>
    <w:rsid w:val="395932B5"/>
    <w:rsid w:val="397877DC"/>
    <w:rsid w:val="3980288F"/>
    <w:rsid w:val="3999678C"/>
    <w:rsid w:val="39A6259B"/>
    <w:rsid w:val="39D377DB"/>
    <w:rsid w:val="3A016C56"/>
    <w:rsid w:val="3A223DCB"/>
    <w:rsid w:val="3A3462BA"/>
    <w:rsid w:val="3A58475F"/>
    <w:rsid w:val="3A5E7E93"/>
    <w:rsid w:val="3A6E6C87"/>
    <w:rsid w:val="3AB46F3A"/>
    <w:rsid w:val="3AD13648"/>
    <w:rsid w:val="3AE0388B"/>
    <w:rsid w:val="3B1C0596"/>
    <w:rsid w:val="3B2319C9"/>
    <w:rsid w:val="3B4938D4"/>
    <w:rsid w:val="3B5B1163"/>
    <w:rsid w:val="3B84063D"/>
    <w:rsid w:val="3B8701AA"/>
    <w:rsid w:val="3B8875E3"/>
    <w:rsid w:val="3B955700"/>
    <w:rsid w:val="3BC27434"/>
    <w:rsid w:val="3BC95C98"/>
    <w:rsid w:val="3BCB453B"/>
    <w:rsid w:val="3BD75940"/>
    <w:rsid w:val="3BDD7DCA"/>
    <w:rsid w:val="3BF42260"/>
    <w:rsid w:val="3C265C15"/>
    <w:rsid w:val="3C284C49"/>
    <w:rsid w:val="3C522566"/>
    <w:rsid w:val="3C541BC5"/>
    <w:rsid w:val="3C65673D"/>
    <w:rsid w:val="3C722C08"/>
    <w:rsid w:val="3C7C5F7D"/>
    <w:rsid w:val="3C9506A5"/>
    <w:rsid w:val="3C9C7C85"/>
    <w:rsid w:val="3C9E3DCB"/>
    <w:rsid w:val="3CA31014"/>
    <w:rsid w:val="3CB123E6"/>
    <w:rsid w:val="3CDB6174"/>
    <w:rsid w:val="3D050477"/>
    <w:rsid w:val="3D14341C"/>
    <w:rsid w:val="3D3D4FC4"/>
    <w:rsid w:val="3D404852"/>
    <w:rsid w:val="3D477BF1"/>
    <w:rsid w:val="3D4A76E1"/>
    <w:rsid w:val="3D5D5666"/>
    <w:rsid w:val="3D611ECB"/>
    <w:rsid w:val="3DB668C6"/>
    <w:rsid w:val="3DEB4A20"/>
    <w:rsid w:val="3DF062BF"/>
    <w:rsid w:val="3E0618F6"/>
    <w:rsid w:val="3E0869AC"/>
    <w:rsid w:val="3E246184"/>
    <w:rsid w:val="3E2C6DE7"/>
    <w:rsid w:val="3E3068D7"/>
    <w:rsid w:val="3E32264F"/>
    <w:rsid w:val="3E3E1A04"/>
    <w:rsid w:val="3E53454B"/>
    <w:rsid w:val="3E6F204E"/>
    <w:rsid w:val="3E815973"/>
    <w:rsid w:val="3E88151A"/>
    <w:rsid w:val="3E894239"/>
    <w:rsid w:val="3E8D3D29"/>
    <w:rsid w:val="3E9450B8"/>
    <w:rsid w:val="3EC62D97"/>
    <w:rsid w:val="3F0D6C18"/>
    <w:rsid w:val="3F1735F3"/>
    <w:rsid w:val="3F364D39"/>
    <w:rsid w:val="3F4F7231"/>
    <w:rsid w:val="3F505A98"/>
    <w:rsid w:val="3F6207BA"/>
    <w:rsid w:val="3F7B1DD4"/>
    <w:rsid w:val="3F810615"/>
    <w:rsid w:val="3F843560"/>
    <w:rsid w:val="3F8C5D8F"/>
    <w:rsid w:val="3F8E7D59"/>
    <w:rsid w:val="3F984C13"/>
    <w:rsid w:val="3FA72BC9"/>
    <w:rsid w:val="3FBD063E"/>
    <w:rsid w:val="3FC90D91"/>
    <w:rsid w:val="3FCF3ECE"/>
    <w:rsid w:val="3FD919BA"/>
    <w:rsid w:val="3FDC2B4A"/>
    <w:rsid w:val="3FE756BB"/>
    <w:rsid w:val="3FFD010D"/>
    <w:rsid w:val="400A40D9"/>
    <w:rsid w:val="401A783F"/>
    <w:rsid w:val="401F452F"/>
    <w:rsid w:val="40330901"/>
    <w:rsid w:val="40515724"/>
    <w:rsid w:val="405F16F6"/>
    <w:rsid w:val="408B38B3"/>
    <w:rsid w:val="40B27A77"/>
    <w:rsid w:val="40D338F0"/>
    <w:rsid w:val="40D40AAB"/>
    <w:rsid w:val="40D77011"/>
    <w:rsid w:val="40E90FBF"/>
    <w:rsid w:val="40F40090"/>
    <w:rsid w:val="40FB76BC"/>
    <w:rsid w:val="41036525"/>
    <w:rsid w:val="41072D28"/>
    <w:rsid w:val="41173D7E"/>
    <w:rsid w:val="411E335F"/>
    <w:rsid w:val="412344D1"/>
    <w:rsid w:val="4125450E"/>
    <w:rsid w:val="412973EA"/>
    <w:rsid w:val="417F4A52"/>
    <w:rsid w:val="41AA69A0"/>
    <w:rsid w:val="41AC44C7"/>
    <w:rsid w:val="41B45A71"/>
    <w:rsid w:val="41CE08E1"/>
    <w:rsid w:val="41F71B81"/>
    <w:rsid w:val="42010DBE"/>
    <w:rsid w:val="42044303"/>
    <w:rsid w:val="42075BA1"/>
    <w:rsid w:val="42424E2B"/>
    <w:rsid w:val="426B25D4"/>
    <w:rsid w:val="4278084D"/>
    <w:rsid w:val="428611BC"/>
    <w:rsid w:val="42927B60"/>
    <w:rsid w:val="42BD2703"/>
    <w:rsid w:val="42C27D1A"/>
    <w:rsid w:val="42E04834"/>
    <w:rsid w:val="430E3980"/>
    <w:rsid w:val="43140A2D"/>
    <w:rsid w:val="43301127"/>
    <w:rsid w:val="43364990"/>
    <w:rsid w:val="434150E2"/>
    <w:rsid w:val="4355293C"/>
    <w:rsid w:val="4359067E"/>
    <w:rsid w:val="436117D4"/>
    <w:rsid w:val="437049F2"/>
    <w:rsid w:val="43842246"/>
    <w:rsid w:val="43A7763B"/>
    <w:rsid w:val="43B76861"/>
    <w:rsid w:val="43B92ECB"/>
    <w:rsid w:val="43BE0166"/>
    <w:rsid w:val="43DD305D"/>
    <w:rsid w:val="440E3217"/>
    <w:rsid w:val="440F0504"/>
    <w:rsid w:val="4421185F"/>
    <w:rsid w:val="4437557C"/>
    <w:rsid w:val="444C2BC0"/>
    <w:rsid w:val="444F71A2"/>
    <w:rsid w:val="445361E5"/>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7C68A6"/>
    <w:rsid w:val="45952817"/>
    <w:rsid w:val="45A863B8"/>
    <w:rsid w:val="45AE3E4B"/>
    <w:rsid w:val="45B063D0"/>
    <w:rsid w:val="45BB6D3C"/>
    <w:rsid w:val="45F91CA4"/>
    <w:rsid w:val="46011342"/>
    <w:rsid w:val="46017508"/>
    <w:rsid w:val="460A2104"/>
    <w:rsid w:val="460F14C8"/>
    <w:rsid w:val="46130FB8"/>
    <w:rsid w:val="46132D66"/>
    <w:rsid w:val="46342CDD"/>
    <w:rsid w:val="463B22BD"/>
    <w:rsid w:val="46431B1A"/>
    <w:rsid w:val="464E1FF0"/>
    <w:rsid w:val="466366B9"/>
    <w:rsid w:val="46955E71"/>
    <w:rsid w:val="469C7200"/>
    <w:rsid w:val="46C10A14"/>
    <w:rsid w:val="46D67F86"/>
    <w:rsid w:val="46F448C2"/>
    <w:rsid w:val="47060D7D"/>
    <w:rsid w:val="473F67A2"/>
    <w:rsid w:val="474536E0"/>
    <w:rsid w:val="47463365"/>
    <w:rsid w:val="47596E9F"/>
    <w:rsid w:val="476B55F6"/>
    <w:rsid w:val="47777325"/>
    <w:rsid w:val="477E4B57"/>
    <w:rsid w:val="47863A0C"/>
    <w:rsid w:val="47925F0D"/>
    <w:rsid w:val="47A876DF"/>
    <w:rsid w:val="47AA76FA"/>
    <w:rsid w:val="47B370C9"/>
    <w:rsid w:val="47D4052E"/>
    <w:rsid w:val="48001EFA"/>
    <w:rsid w:val="48027536"/>
    <w:rsid w:val="48042FA6"/>
    <w:rsid w:val="481C57BF"/>
    <w:rsid w:val="48240342"/>
    <w:rsid w:val="48343468"/>
    <w:rsid w:val="485578E8"/>
    <w:rsid w:val="48680CE3"/>
    <w:rsid w:val="486A0C38"/>
    <w:rsid w:val="487516C9"/>
    <w:rsid w:val="4891671A"/>
    <w:rsid w:val="48A147B6"/>
    <w:rsid w:val="48A73C3A"/>
    <w:rsid w:val="48A856E3"/>
    <w:rsid w:val="48D367DD"/>
    <w:rsid w:val="48E82D4D"/>
    <w:rsid w:val="48F007F6"/>
    <w:rsid w:val="48F14EB5"/>
    <w:rsid w:val="490966A2"/>
    <w:rsid w:val="491D5CAA"/>
    <w:rsid w:val="49537DE0"/>
    <w:rsid w:val="495518E8"/>
    <w:rsid w:val="49584F34"/>
    <w:rsid w:val="4977360C"/>
    <w:rsid w:val="498703ED"/>
    <w:rsid w:val="49C425C9"/>
    <w:rsid w:val="49C72B69"/>
    <w:rsid w:val="49E62540"/>
    <w:rsid w:val="4A070E34"/>
    <w:rsid w:val="4A0E6954"/>
    <w:rsid w:val="4A1A47F4"/>
    <w:rsid w:val="4A275032"/>
    <w:rsid w:val="4A275F90"/>
    <w:rsid w:val="4A280DAA"/>
    <w:rsid w:val="4A29760D"/>
    <w:rsid w:val="4A2D4613"/>
    <w:rsid w:val="4A392FB7"/>
    <w:rsid w:val="4A5248DB"/>
    <w:rsid w:val="4A64191B"/>
    <w:rsid w:val="4A722025"/>
    <w:rsid w:val="4A745F18"/>
    <w:rsid w:val="4A8B3EC0"/>
    <w:rsid w:val="4AAC4A05"/>
    <w:rsid w:val="4AB112AD"/>
    <w:rsid w:val="4AB918F6"/>
    <w:rsid w:val="4AD14F9E"/>
    <w:rsid w:val="4AD1500F"/>
    <w:rsid w:val="4AD93E52"/>
    <w:rsid w:val="4AEB42B2"/>
    <w:rsid w:val="4AF403AA"/>
    <w:rsid w:val="4AFD616C"/>
    <w:rsid w:val="4B0B04B0"/>
    <w:rsid w:val="4B1C39B5"/>
    <w:rsid w:val="4B3E2640"/>
    <w:rsid w:val="4B447AD4"/>
    <w:rsid w:val="4B7050AD"/>
    <w:rsid w:val="4B717B63"/>
    <w:rsid w:val="4B857781"/>
    <w:rsid w:val="4B8B7843"/>
    <w:rsid w:val="4BA30828"/>
    <w:rsid w:val="4BA93D64"/>
    <w:rsid w:val="4BBE0554"/>
    <w:rsid w:val="4BBF20A9"/>
    <w:rsid w:val="4BCB40E3"/>
    <w:rsid w:val="4BD20FCE"/>
    <w:rsid w:val="4BD74836"/>
    <w:rsid w:val="4BED5E07"/>
    <w:rsid w:val="4BF70A34"/>
    <w:rsid w:val="4BFD1393"/>
    <w:rsid w:val="4C1056A3"/>
    <w:rsid w:val="4C150E22"/>
    <w:rsid w:val="4C194E4E"/>
    <w:rsid w:val="4C1C26CD"/>
    <w:rsid w:val="4C2555A1"/>
    <w:rsid w:val="4C2C2DD4"/>
    <w:rsid w:val="4C3F1BAE"/>
    <w:rsid w:val="4C5C4D3B"/>
    <w:rsid w:val="4C5D5CA7"/>
    <w:rsid w:val="4C76404F"/>
    <w:rsid w:val="4C8147A2"/>
    <w:rsid w:val="4CB26A62"/>
    <w:rsid w:val="4CCA7AE1"/>
    <w:rsid w:val="4CDA2830"/>
    <w:rsid w:val="4CE216E4"/>
    <w:rsid w:val="4CEE0366"/>
    <w:rsid w:val="4CF569B5"/>
    <w:rsid w:val="4CFB4947"/>
    <w:rsid w:val="4D04165B"/>
    <w:rsid w:val="4D11448E"/>
    <w:rsid w:val="4D267823"/>
    <w:rsid w:val="4D275D07"/>
    <w:rsid w:val="4D3A507C"/>
    <w:rsid w:val="4D5325E2"/>
    <w:rsid w:val="4D6848C0"/>
    <w:rsid w:val="4D8602C2"/>
    <w:rsid w:val="4D9E5143"/>
    <w:rsid w:val="4D9F75D5"/>
    <w:rsid w:val="4DAE03C1"/>
    <w:rsid w:val="4DC97603"/>
    <w:rsid w:val="4DE163BF"/>
    <w:rsid w:val="4DF72F6D"/>
    <w:rsid w:val="4DFE10C7"/>
    <w:rsid w:val="4E086F29"/>
    <w:rsid w:val="4E140B6A"/>
    <w:rsid w:val="4E156F34"/>
    <w:rsid w:val="4E1B739A"/>
    <w:rsid w:val="4E233D62"/>
    <w:rsid w:val="4E2875CB"/>
    <w:rsid w:val="4E407F3C"/>
    <w:rsid w:val="4E41243B"/>
    <w:rsid w:val="4E676345"/>
    <w:rsid w:val="4E6C17FA"/>
    <w:rsid w:val="4E8B5D8F"/>
    <w:rsid w:val="4E943545"/>
    <w:rsid w:val="4EB86BA1"/>
    <w:rsid w:val="4ECC43FA"/>
    <w:rsid w:val="4EE94FAC"/>
    <w:rsid w:val="4F0B3CA6"/>
    <w:rsid w:val="4F107345"/>
    <w:rsid w:val="4F1847B3"/>
    <w:rsid w:val="4F2314B3"/>
    <w:rsid w:val="4F3B50DC"/>
    <w:rsid w:val="4F5D5052"/>
    <w:rsid w:val="4F691C49"/>
    <w:rsid w:val="4F813436"/>
    <w:rsid w:val="4FB619EF"/>
    <w:rsid w:val="4FBD1F95"/>
    <w:rsid w:val="4FC861DA"/>
    <w:rsid w:val="4FF130BF"/>
    <w:rsid w:val="4FFB544B"/>
    <w:rsid w:val="500A342C"/>
    <w:rsid w:val="500D6A78"/>
    <w:rsid w:val="500F69BB"/>
    <w:rsid w:val="50406E4E"/>
    <w:rsid w:val="50416722"/>
    <w:rsid w:val="505B77CA"/>
    <w:rsid w:val="50970A38"/>
    <w:rsid w:val="509B22D6"/>
    <w:rsid w:val="50A126B7"/>
    <w:rsid w:val="50A82C45"/>
    <w:rsid w:val="50AE094F"/>
    <w:rsid w:val="50DB294E"/>
    <w:rsid w:val="50DC3D6E"/>
    <w:rsid w:val="510936E3"/>
    <w:rsid w:val="510A2FB8"/>
    <w:rsid w:val="51145BE4"/>
    <w:rsid w:val="511856D5"/>
    <w:rsid w:val="51321C80"/>
    <w:rsid w:val="515661FD"/>
    <w:rsid w:val="516A3A56"/>
    <w:rsid w:val="517255BD"/>
    <w:rsid w:val="517B5C63"/>
    <w:rsid w:val="518C4D4D"/>
    <w:rsid w:val="51937451"/>
    <w:rsid w:val="51A46F68"/>
    <w:rsid w:val="51A96C75"/>
    <w:rsid w:val="51B13335"/>
    <w:rsid w:val="51D75590"/>
    <w:rsid w:val="521340EE"/>
    <w:rsid w:val="521D3CB5"/>
    <w:rsid w:val="523302EC"/>
    <w:rsid w:val="52426781"/>
    <w:rsid w:val="52454FAD"/>
    <w:rsid w:val="524B15B3"/>
    <w:rsid w:val="528374C6"/>
    <w:rsid w:val="528B1ED6"/>
    <w:rsid w:val="529C2335"/>
    <w:rsid w:val="52A70D2C"/>
    <w:rsid w:val="52BE405A"/>
    <w:rsid w:val="52E361B6"/>
    <w:rsid w:val="531210C9"/>
    <w:rsid w:val="532742F5"/>
    <w:rsid w:val="53607807"/>
    <w:rsid w:val="538434F5"/>
    <w:rsid w:val="538A03E0"/>
    <w:rsid w:val="539835FD"/>
    <w:rsid w:val="53A2397B"/>
    <w:rsid w:val="53B92A73"/>
    <w:rsid w:val="53BB67EB"/>
    <w:rsid w:val="53BF5748"/>
    <w:rsid w:val="53C10329"/>
    <w:rsid w:val="53C71634"/>
    <w:rsid w:val="53D224B3"/>
    <w:rsid w:val="53EB1FF8"/>
    <w:rsid w:val="53EC2E48"/>
    <w:rsid w:val="53F45760"/>
    <w:rsid w:val="5406215C"/>
    <w:rsid w:val="546B6463"/>
    <w:rsid w:val="546E73A6"/>
    <w:rsid w:val="547C41CC"/>
    <w:rsid w:val="5488491F"/>
    <w:rsid w:val="54A379AB"/>
    <w:rsid w:val="54B27BEE"/>
    <w:rsid w:val="54BD0C40"/>
    <w:rsid w:val="54D659D2"/>
    <w:rsid w:val="54F75F49"/>
    <w:rsid w:val="54FB3FAE"/>
    <w:rsid w:val="54FC355F"/>
    <w:rsid w:val="552705DC"/>
    <w:rsid w:val="55284354"/>
    <w:rsid w:val="552C5BF2"/>
    <w:rsid w:val="55432F3C"/>
    <w:rsid w:val="554A42CB"/>
    <w:rsid w:val="5560589C"/>
    <w:rsid w:val="556C4241"/>
    <w:rsid w:val="5579695E"/>
    <w:rsid w:val="558C043F"/>
    <w:rsid w:val="559807C9"/>
    <w:rsid w:val="559A3FB2"/>
    <w:rsid w:val="55A133E3"/>
    <w:rsid w:val="55B87486"/>
    <w:rsid w:val="55C404FA"/>
    <w:rsid w:val="55C45E2B"/>
    <w:rsid w:val="55CC345F"/>
    <w:rsid w:val="55EE2EA8"/>
    <w:rsid w:val="55F04E72"/>
    <w:rsid w:val="56203207"/>
    <w:rsid w:val="562A2C28"/>
    <w:rsid w:val="562C2ED7"/>
    <w:rsid w:val="564D4072"/>
    <w:rsid w:val="56610227"/>
    <w:rsid w:val="566E223B"/>
    <w:rsid w:val="567B54EE"/>
    <w:rsid w:val="567C4958"/>
    <w:rsid w:val="56846C29"/>
    <w:rsid w:val="5689497F"/>
    <w:rsid w:val="56917593"/>
    <w:rsid w:val="56A703F5"/>
    <w:rsid w:val="56C97471"/>
    <w:rsid w:val="56D64EB7"/>
    <w:rsid w:val="56E314E0"/>
    <w:rsid w:val="57282705"/>
    <w:rsid w:val="573479FC"/>
    <w:rsid w:val="574C75A3"/>
    <w:rsid w:val="574D2F08"/>
    <w:rsid w:val="576A6DAC"/>
    <w:rsid w:val="5774562F"/>
    <w:rsid w:val="57754BF2"/>
    <w:rsid w:val="579B39BB"/>
    <w:rsid w:val="57BD6FD6"/>
    <w:rsid w:val="57CA16F3"/>
    <w:rsid w:val="57CA3880"/>
    <w:rsid w:val="57E417E0"/>
    <w:rsid w:val="57EE53E1"/>
    <w:rsid w:val="57F32A52"/>
    <w:rsid w:val="57FE50EE"/>
    <w:rsid w:val="580411DF"/>
    <w:rsid w:val="58073B8C"/>
    <w:rsid w:val="580E7831"/>
    <w:rsid w:val="58256929"/>
    <w:rsid w:val="583F3E8F"/>
    <w:rsid w:val="58A40196"/>
    <w:rsid w:val="58BF0B2C"/>
    <w:rsid w:val="58D67320"/>
    <w:rsid w:val="58F534B4"/>
    <w:rsid w:val="593432C8"/>
    <w:rsid w:val="593E026C"/>
    <w:rsid w:val="593E5EF4"/>
    <w:rsid w:val="593F3A1A"/>
    <w:rsid w:val="594828CF"/>
    <w:rsid w:val="594D6137"/>
    <w:rsid w:val="5989503C"/>
    <w:rsid w:val="59977C6E"/>
    <w:rsid w:val="599B50F5"/>
    <w:rsid w:val="59A25D4A"/>
    <w:rsid w:val="59AA17DC"/>
    <w:rsid w:val="59B14918"/>
    <w:rsid w:val="59B15C2B"/>
    <w:rsid w:val="59B25F2D"/>
    <w:rsid w:val="59D86349"/>
    <w:rsid w:val="59DD0C04"/>
    <w:rsid w:val="59E00D5A"/>
    <w:rsid w:val="59EC76FE"/>
    <w:rsid w:val="59F37092"/>
    <w:rsid w:val="5A034978"/>
    <w:rsid w:val="5A040EEC"/>
    <w:rsid w:val="5A16280E"/>
    <w:rsid w:val="5A1B5A10"/>
    <w:rsid w:val="5A1D0200"/>
    <w:rsid w:val="5A250E62"/>
    <w:rsid w:val="5A266807"/>
    <w:rsid w:val="5A2C21F1"/>
    <w:rsid w:val="5A48327B"/>
    <w:rsid w:val="5A6977D7"/>
    <w:rsid w:val="5A6E45B7"/>
    <w:rsid w:val="5A963B0E"/>
    <w:rsid w:val="5AA955EF"/>
    <w:rsid w:val="5ACC2E57"/>
    <w:rsid w:val="5AEB3E5A"/>
    <w:rsid w:val="5B044F1C"/>
    <w:rsid w:val="5B070568"/>
    <w:rsid w:val="5B1C2265"/>
    <w:rsid w:val="5B2E3D47"/>
    <w:rsid w:val="5B33135D"/>
    <w:rsid w:val="5B435A44"/>
    <w:rsid w:val="5B4672E2"/>
    <w:rsid w:val="5B4A6DD2"/>
    <w:rsid w:val="5B572513"/>
    <w:rsid w:val="5B5B46DE"/>
    <w:rsid w:val="5B773CF2"/>
    <w:rsid w:val="5B841DD7"/>
    <w:rsid w:val="5B953DC6"/>
    <w:rsid w:val="5B9B5880"/>
    <w:rsid w:val="5BB7600F"/>
    <w:rsid w:val="5BCD355F"/>
    <w:rsid w:val="5BF037E6"/>
    <w:rsid w:val="5BFD3E45"/>
    <w:rsid w:val="5C0F2714"/>
    <w:rsid w:val="5C2A09B2"/>
    <w:rsid w:val="5C3A263A"/>
    <w:rsid w:val="5C531CB7"/>
    <w:rsid w:val="5C814A76"/>
    <w:rsid w:val="5C91451D"/>
    <w:rsid w:val="5CAE513F"/>
    <w:rsid w:val="5CAF25EE"/>
    <w:rsid w:val="5CAF7F16"/>
    <w:rsid w:val="5CBE74EA"/>
    <w:rsid w:val="5CC56713"/>
    <w:rsid w:val="5CC71DD8"/>
    <w:rsid w:val="5CCE3A33"/>
    <w:rsid w:val="5CD66444"/>
    <w:rsid w:val="5CF82EF2"/>
    <w:rsid w:val="5CF9414D"/>
    <w:rsid w:val="5CF9552F"/>
    <w:rsid w:val="5D0631CD"/>
    <w:rsid w:val="5D070A87"/>
    <w:rsid w:val="5D0B433F"/>
    <w:rsid w:val="5D17501F"/>
    <w:rsid w:val="5D213B63"/>
    <w:rsid w:val="5D2E44D2"/>
    <w:rsid w:val="5D3C6BEF"/>
    <w:rsid w:val="5D431D2B"/>
    <w:rsid w:val="5D4569AE"/>
    <w:rsid w:val="5D5E0913"/>
    <w:rsid w:val="5D6F2B20"/>
    <w:rsid w:val="5D7C6FEB"/>
    <w:rsid w:val="5D883BE2"/>
    <w:rsid w:val="5D9B5E1F"/>
    <w:rsid w:val="5DA36C6E"/>
    <w:rsid w:val="5DAF116F"/>
    <w:rsid w:val="5DB426F2"/>
    <w:rsid w:val="5DF11787"/>
    <w:rsid w:val="5E0771FD"/>
    <w:rsid w:val="5E2733FB"/>
    <w:rsid w:val="5E59732C"/>
    <w:rsid w:val="5E647215"/>
    <w:rsid w:val="5E6F6B70"/>
    <w:rsid w:val="5E7128C8"/>
    <w:rsid w:val="5E785A05"/>
    <w:rsid w:val="5E7E5BC7"/>
    <w:rsid w:val="5EA467FA"/>
    <w:rsid w:val="5EAC5CC5"/>
    <w:rsid w:val="5EBB3B43"/>
    <w:rsid w:val="5EC24ED2"/>
    <w:rsid w:val="5ECF669A"/>
    <w:rsid w:val="5EF64B7B"/>
    <w:rsid w:val="5F131BD1"/>
    <w:rsid w:val="5F133331"/>
    <w:rsid w:val="5F1C68EB"/>
    <w:rsid w:val="5F223BC2"/>
    <w:rsid w:val="5F304531"/>
    <w:rsid w:val="5F3A658F"/>
    <w:rsid w:val="5F4B6DF9"/>
    <w:rsid w:val="5F5244A8"/>
    <w:rsid w:val="5F5E109E"/>
    <w:rsid w:val="5F675CE8"/>
    <w:rsid w:val="5F6D7533"/>
    <w:rsid w:val="5F904FD0"/>
    <w:rsid w:val="5F9E101E"/>
    <w:rsid w:val="5FD80582"/>
    <w:rsid w:val="5FE377F5"/>
    <w:rsid w:val="60150DC2"/>
    <w:rsid w:val="60326087"/>
    <w:rsid w:val="603E7754"/>
    <w:rsid w:val="604D407A"/>
    <w:rsid w:val="605E0C2A"/>
    <w:rsid w:val="6061582C"/>
    <w:rsid w:val="60787F3E"/>
    <w:rsid w:val="609113EE"/>
    <w:rsid w:val="60940AF0"/>
    <w:rsid w:val="609D64AA"/>
    <w:rsid w:val="60A27B32"/>
    <w:rsid w:val="60BE5D83"/>
    <w:rsid w:val="60DD3A26"/>
    <w:rsid w:val="60E51508"/>
    <w:rsid w:val="60E6759D"/>
    <w:rsid w:val="60F82E2D"/>
    <w:rsid w:val="60FC0223"/>
    <w:rsid w:val="614A3DAA"/>
    <w:rsid w:val="6155027F"/>
    <w:rsid w:val="616821E1"/>
    <w:rsid w:val="61730B8F"/>
    <w:rsid w:val="618463A2"/>
    <w:rsid w:val="618741B1"/>
    <w:rsid w:val="61B2747F"/>
    <w:rsid w:val="61B90451"/>
    <w:rsid w:val="61DE0274"/>
    <w:rsid w:val="61E73B15"/>
    <w:rsid w:val="61EA259B"/>
    <w:rsid w:val="61EB473F"/>
    <w:rsid w:val="622540F5"/>
    <w:rsid w:val="6235456E"/>
    <w:rsid w:val="623B7475"/>
    <w:rsid w:val="62405FC3"/>
    <w:rsid w:val="62482F7C"/>
    <w:rsid w:val="62677DAD"/>
    <w:rsid w:val="6281113E"/>
    <w:rsid w:val="62854B94"/>
    <w:rsid w:val="628A0E0C"/>
    <w:rsid w:val="62935219"/>
    <w:rsid w:val="62CD6AEC"/>
    <w:rsid w:val="62D81569"/>
    <w:rsid w:val="62D94595"/>
    <w:rsid w:val="63103C43"/>
    <w:rsid w:val="631E6C0A"/>
    <w:rsid w:val="633B34A5"/>
    <w:rsid w:val="6347009B"/>
    <w:rsid w:val="63566066"/>
    <w:rsid w:val="63901A42"/>
    <w:rsid w:val="63972DD1"/>
    <w:rsid w:val="63C45248"/>
    <w:rsid w:val="63C60FC0"/>
    <w:rsid w:val="63CB65D6"/>
    <w:rsid w:val="63D41366"/>
    <w:rsid w:val="640E2967"/>
    <w:rsid w:val="64153CF6"/>
    <w:rsid w:val="6419594B"/>
    <w:rsid w:val="64264155"/>
    <w:rsid w:val="644C769A"/>
    <w:rsid w:val="64520AA6"/>
    <w:rsid w:val="64664551"/>
    <w:rsid w:val="647153D0"/>
    <w:rsid w:val="64805613"/>
    <w:rsid w:val="6486074F"/>
    <w:rsid w:val="64BB2AEF"/>
    <w:rsid w:val="64CB26DD"/>
    <w:rsid w:val="650171EE"/>
    <w:rsid w:val="65055B18"/>
    <w:rsid w:val="65433804"/>
    <w:rsid w:val="65556AA0"/>
    <w:rsid w:val="65684D07"/>
    <w:rsid w:val="657D2B9C"/>
    <w:rsid w:val="6593581A"/>
    <w:rsid w:val="65956E9C"/>
    <w:rsid w:val="65A215B9"/>
    <w:rsid w:val="65BD63F3"/>
    <w:rsid w:val="65D406EA"/>
    <w:rsid w:val="65F20792"/>
    <w:rsid w:val="66542B2C"/>
    <w:rsid w:val="665723A3"/>
    <w:rsid w:val="667B400E"/>
    <w:rsid w:val="66911D59"/>
    <w:rsid w:val="66B261DF"/>
    <w:rsid w:val="66E005EB"/>
    <w:rsid w:val="66E53E53"/>
    <w:rsid w:val="66E55C01"/>
    <w:rsid w:val="66EA7812"/>
    <w:rsid w:val="6704527C"/>
    <w:rsid w:val="6710264E"/>
    <w:rsid w:val="673F1F3F"/>
    <w:rsid w:val="673F79B4"/>
    <w:rsid w:val="67442824"/>
    <w:rsid w:val="674A1F08"/>
    <w:rsid w:val="67643F87"/>
    <w:rsid w:val="67795693"/>
    <w:rsid w:val="677A0A3F"/>
    <w:rsid w:val="67987117"/>
    <w:rsid w:val="67A23AF2"/>
    <w:rsid w:val="67A43BE0"/>
    <w:rsid w:val="67AB6E4B"/>
    <w:rsid w:val="67B37F71"/>
    <w:rsid w:val="67CE6C86"/>
    <w:rsid w:val="67D31319"/>
    <w:rsid w:val="67D72D6F"/>
    <w:rsid w:val="67DC5114"/>
    <w:rsid w:val="67DC6D5A"/>
    <w:rsid w:val="67E206D5"/>
    <w:rsid w:val="683E4D48"/>
    <w:rsid w:val="685A261F"/>
    <w:rsid w:val="6865349E"/>
    <w:rsid w:val="68655F18"/>
    <w:rsid w:val="68701E42"/>
    <w:rsid w:val="68AD6BF3"/>
    <w:rsid w:val="68B00491"/>
    <w:rsid w:val="68C14BF3"/>
    <w:rsid w:val="68FA309F"/>
    <w:rsid w:val="68FB170C"/>
    <w:rsid w:val="68FE0507"/>
    <w:rsid w:val="69034A64"/>
    <w:rsid w:val="690F3409"/>
    <w:rsid w:val="69272501"/>
    <w:rsid w:val="692C5D69"/>
    <w:rsid w:val="692E7D33"/>
    <w:rsid w:val="692F7608"/>
    <w:rsid w:val="69401815"/>
    <w:rsid w:val="694A487B"/>
    <w:rsid w:val="694D6631"/>
    <w:rsid w:val="695025CA"/>
    <w:rsid w:val="6958090C"/>
    <w:rsid w:val="695928D6"/>
    <w:rsid w:val="69765236"/>
    <w:rsid w:val="698E07D2"/>
    <w:rsid w:val="69AB0D0D"/>
    <w:rsid w:val="69B27B43"/>
    <w:rsid w:val="69BE0005"/>
    <w:rsid w:val="69DF2DDC"/>
    <w:rsid w:val="69EA352F"/>
    <w:rsid w:val="69EB2192"/>
    <w:rsid w:val="6A3C0286"/>
    <w:rsid w:val="6A570136"/>
    <w:rsid w:val="6A695DCD"/>
    <w:rsid w:val="6A731776"/>
    <w:rsid w:val="6A753740"/>
    <w:rsid w:val="6A7A6FA8"/>
    <w:rsid w:val="6A7E2C0A"/>
    <w:rsid w:val="6A802F8E"/>
    <w:rsid w:val="6A8B4D12"/>
    <w:rsid w:val="6AAD4C88"/>
    <w:rsid w:val="6AB73D58"/>
    <w:rsid w:val="6ABA55F7"/>
    <w:rsid w:val="6AC10733"/>
    <w:rsid w:val="6ACD7255"/>
    <w:rsid w:val="6AD2649C"/>
    <w:rsid w:val="6AE17565"/>
    <w:rsid w:val="6AFE3735"/>
    <w:rsid w:val="6B2111D2"/>
    <w:rsid w:val="6B361E7E"/>
    <w:rsid w:val="6B3C7DBA"/>
    <w:rsid w:val="6B3D4EC2"/>
    <w:rsid w:val="6B43383E"/>
    <w:rsid w:val="6B5477F9"/>
    <w:rsid w:val="6B6F63E1"/>
    <w:rsid w:val="6B8071BE"/>
    <w:rsid w:val="6BAA605B"/>
    <w:rsid w:val="6BB16221"/>
    <w:rsid w:val="6BE40B7D"/>
    <w:rsid w:val="6BE45953"/>
    <w:rsid w:val="6BE94F3A"/>
    <w:rsid w:val="6BF40694"/>
    <w:rsid w:val="6C007EA2"/>
    <w:rsid w:val="6C061F17"/>
    <w:rsid w:val="6C0E5BFA"/>
    <w:rsid w:val="6C150D37"/>
    <w:rsid w:val="6C1F57AD"/>
    <w:rsid w:val="6C2F1E55"/>
    <w:rsid w:val="6C376EFF"/>
    <w:rsid w:val="6C661592"/>
    <w:rsid w:val="6C741E4F"/>
    <w:rsid w:val="6C787517"/>
    <w:rsid w:val="6C8833F5"/>
    <w:rsid w:val="6C914D27"/>
    <w:rsid w:val="6C931E58"/>
    <w:rsid w:val="6CAA6CFE"/>
    <w:rsid w:val="6CC369E5"/>
    <w:rsid w:val="6CD7419C"/>
    <w:rsid w:val="6CDC7AA6"/>
    <w:rsid w:val="6D013FEB"/>
    <w:rsid w:val="6D1930EC"/>
    <w:rsid w:val="6D2F407A"/>
    <w:rsid w:val="6D371181"/>
    <w:rsid w:val="6D877A12"/>
    <w:rsid w:val="6DA71186"/>
    <w:rsid w:val="6DB30918"/>
    <w:rsid w:val="6DB620A5"/>
    <w:rsid w:val="6DC42A14"/>
    <w:rsid w:val="6DCF4F15"/>
    <w:rsid w:val="6DD036A3"/>
    <w:rsid w:val="6DE81D0F"/>
    <w:rsid w:val="6DE85FD7"/>
    <w:rsid w:val="6DF76B0A"/>
    <w:rsid w:val="6E054DB3"/>
    <w:rsid w:val="6E0D5EB7"/>
    <w:rsid w:val="6E1A0994"/>
    <w:rsid w:val="6E7004A6"/>
    <w:rsid w:val="6E9E14B7"/>
    <w:rsid w:val="6EA54226"/>
    <w:rsid w:val="6EBD3E7A"/>
    <w:rsid w:val="6EBD700A"/>
    <w:rsid w:val="6EC72090"/>
    <w:rsid w:val="6ED53771"/>
    <w:rsid w:val="6EFD2502"/>
    <w:rsid w:val="6F062BB9"/>
    <w:rsid w:val="6F082DD5"/>
    <w:rsid w:val="6F1352D6"/>
    <w:rsid w:val="6F5E1724"/>
    <w:rsid w:val="6F6618A9"/>
    <w:rsid w:val="6F71097A"/>
    <w:rsid w:val="6F743FC6"/>
    <w:rsid w:val="6F783707"/>
    <w:rsid w:val="6F7D7049"/>
    <w:rsid w:val="6F963F3C"/>
    <w:rsid w:val="6FE1043B"/>
    <w:rsid w:val="6FF670D1"/>
    <w:rsid w:val="700B760E"/>
    <w:rsid w:val="700D7F77"/>
    <w:rsid w:val="703B4AE4"/>
    <w:rsid w:val="705160B5"/>
    <w:rsid w:val="706E310B"/>
    <w:rsid w:val="70794B97"/>
    <w:rsid w:val="70860455"/>
    <w:rsid w:val="70860D62"/>
    <w:rsid w:val="70891C83"/>
    <w:rsid w:val="708C17E3"/>
    <w:rsid w:val="70981F36"/>
    <w:rsid w:val="70CD6084"/>
    <w:rsid w:val="70D016D0"/>
    <w:rsid w:val="70F35BF8"/>
    <w:rsid w:val="71160F53"/>
    <w:rsid w:val="711A0B9D"/>
    <w:rsid w:val="713C4FB8"/>
    <w:rsid w:val="71491244"/>
    <w:rsid w:val="714B51FB"/>
    <w:rsid w:val="71582A07"/>
    <w:rsid w:val="717943B6"/>
    <w:rsid w:val="71916F49"/>
    <w:rsid w:val="71A33B87"/>
    <w:rsid w:val="71AB63BC"/>
    <w:rsid w:val="71AE4713"/>
    <w:rsid w:val="71B27028"/>
    <w:rsid w:val="71C57590"/>
    <w:rsid w:val="71D25565"/>
    <w:rsid w:val="71D945B4"/>
    <w:rsid w:val="71F11C1F"/>
    <w:rsid w:val="723314F1"/>
    <w:rsid w:val="724A62A9"/>
    <w:rsid w:val="72646574"/>
    <w:rsid w:val="727F33AE"/>
    <w:rsid w:val="72802C82"/>
    <w:rsid w:val="72A8433C"/>
    <w:rsid w:val="72AA7CFF"/>
    <w:rsid w:val="72BD1CA1"/>
    <w:rsid w:val="72C07522"/>
    <w:rsid w:val="72D468CD"/>
    <w:rsid w:val="73156124"/>
    <w:rsid w:val="731A30D6"/>
    <w:rsid w:val="7320374B"/>
    <w:rsid w:val="73426189"/>
    <w:rsid w:val="734C0DB6"/>
    <w:rsid w:val="73584999"/>
    <w:rsid w:val="735A3B0C"/>
    <w:rsid w:val="7361796E"/>
    <w:rsid w:val="737427E7"/>
    <w:rsid w:val="737C78ED"/>
    <w:rsid w:val="739369E5"/>
    <w:rsid w:val="739B4217"/>
    <w:rsid w:val="73AD5CF9"/>
    <w:rsid w:val="73D94D40"/>
    <w:rsid w:val="740D2C3B"/>
    <w:rsid w:val="740F6A0B"/>
    <w:rsid w:val="742E508B"/>
    <w:rsid w:val="744877CF"/>
    <w:rsid w:val="74692D8A"/>
    <w:rsid w:val="74716D26"/>
    <w:rsid w:val="74933140"/>
    <w:rsid w:val="74AB66DC"/>
    <w:rsid w:val="74B81FE2"/>
    <w:rsid w:val="74B86703"/>
    <w:rsid w:val="74BD1F6B"/>
    <w:rsid w:val="74CE23CA"/>
    <w:rsid w:val="74E813D5"/>
    <w:rsid w:val="74FF4332"/>
    <w:rsid w:val="750E0AAE"/>
    <w:rsid w:val="751C1388"/>
    <w:rsid w:val="75581C94"/>
    <w:rsid w:val="755F3023"/>
    <w:rsid w:val="75874327"/>
    <w:rsid w:val="75995FB8"/>
    <w:rsid w:val="75A1188D"/>
    <w:rsid w:val="75B50E95"/>
    <w:rsid w:val="75CA0DE4"/>
    <w:rsid w:val="75CD4430"/>
    <w:rsid w:val="75D25EEA"/>
    <w:rsid w:val="75ED275C"/>
    <w:rsid w:val="75F75951"/>
    <w:rsid w:val="75FC4D15"/>
    <w:rsid w:val="75FE0A8D"/>
    <w:rsid w:val="76097029"/>
    <w:rsid w:val="76133C04"/>
    <w:rsid w:val="76292962"/>
    <w:rsid w:val="763165BA"/>
    <w:rsid w:val="764A4CEF"/>
    <w:rsid w:val="766C1E9B"/>
    <w:rsid w:val="76880357"/>
    <w:rsid w:val="769D2054"/>
    <w:rsid w:val="76AA4771"/>
    <w:rsid w:val="76CC0B8C"/>
    <w:rsid w:val="76E13170"/>
    <w:rsid w:val="76E311A3"/>
    <w:rsid w:val="76F52206"/>
    <w:rsid w:val="77120CFE"/>
    <w:rsid w:val="772938E8"/>
    <w:rsid w:val="7734344E"/>
    <w:rsid w:val="774424D0"/>
    <w:rsid w:val="77813724"/>
    <w:rsid w:val="77972F48"/>
    <w:rsid w:val="77980A6E"/>
    <w:rsid w:val="7798554B"/>
    <w:rsid w:val="77A2369A"/>
    <w:rsid w:val="77B561D9"/>
    <w:rsid w:val="77CB0E43"/>
    <w:rsid w:val="77E141C3"/>
    <w:rsid w:val="77F008AA"/>
    <w:rsid w:val="78054355"/>
    <w:rsid w:val="781C344D"/>
    <w:rsid w:val="78202F3D"/>
    <w:rsid w:val="782347DB"/>
    <w:rsid w:val="78300CA6"/>
    <w:rsid w:val="783267CC"/>
    <w:rsid w:val="783951EC"/>
    <w:rsid w:val="783C3AEF"/>
    <w:rsid w:val="783E1615"/>
    <w:rsid w:val="78484242"/>
    <w:rsid w:val="78485FF0"/>
    <w:rsid w:val="786646C8"/>
    <w:rsid w:val="786C4C30"/>
    <w:rsid w:val="7874661E"/>
    <w:rsid w:val="7880578A"/>
    <w:rsid w:val="78827754"/>
    <w:rsid w:val="78B91B03"/>
    <w:rsid w:val="78BE2756"/>
    <w:rsid w:val="78C42320"/>
    <w:rsid w:val="78D12489"/>
    <w:rsid w:val="78EA354B"/>
    <w:rsid w:val="78FB5E6F"/>
    <w:rsid w:val="79711576"/>
    <w:rsid w:val="7973634F"/>
    <w:rsid w:val="797F0066"/>
    <w:rsid w:val="79862855"/>
    <w:rsid w:val="79AB7B9C"/>
    <w:rsid w:val="79C36276"/>
    <w:rsid w:val="79D33BD7"/>
    <w:rsid w:val="79E56BF4"/>
    <w:rsid w:val="79E65AC0"/>
    <w:rsid w:val="7A0712A8"/>
    <w:rsid w:val="7A1A5F3C"/>
    <w:rsid w:val="7A293BFF"/>
    <w:rsid w:val="7A2E3F8E"/>
    <w:rsid w:val="7A340F22"/>
    <w:rsid w:val="7A440A39"/>
    <w:rsid w:val="7A486B67"/>
    <w:rsid w:val="7A5C5D83"/>
    <w:rsid w:val="7A63380E"/>
    <w:rsid w:val="7A7C01D3"/>
    <w:rsid w:val="7A7E002C"/>
    <w:rsid w:val="7A8734B8"/>
    <w:rsid w:val="7A8A6D94"/>
    <w:rsid w:val="7A911ED0"/>
    <w:rsid w:val="7AB64546"/>
    <w:rsid w:val="7AC04563"/>
    <w:rsid w:val="7ACB4729"/>
    <w:rsid w:val="7AE220D3"/>
    <w:rsid w:val="7AE70BAE"/>
    <w:rsid w:val="7AEA7832"/>
    <w:rsid w:val="7AEC455F"/>
    <w:rsid w:val="7AF3231D"/>
    <w:rsid w:val="7B05466C"/>
    <w:rsid w:val="7B0703E4"/>
    <w:rsid w:val="7B197943"/>
    <w:rsid w:val="7B4D1357"/>
    <w:rsid w:val="7B590514"/>
    <w:rsid w:val="7B641393"/>
    <w:rsid w:val="7B6E2F9B"/>
    <w:rsid w:val="7B89704B"/>
    <w:rsid w:val="7B98702C"/>
    <w:rsid w:val="7BB345F3"/>
    <w:rsid w:val="7BC71922"/>
    <w:rsid w:val="7BC77B74"/>
    <w:rsid w:val="7BD04C7A"/>
    <w:rsid w:val="7BD57CCF"/>
    <w:rsid w:val="7C022E76"/>
    <w:rsid w:val="7C055D6D"/>
    <w:rsid w:val="7C213B75"/>
    <w:rsid w:val="7C305719"/>
    <w:rsid w:val="7C3163FF"/>
    <w:rsid w:val="7C896BD7"/>
    <w:rsid w:val="7C8B6DF3"/>
    <w:rsid w:val="7C8D6749"/>
    <w:rsid w:val="7CA61385"/>
    <w:rsid w:val="7CB718F6"/>
    <w:rsid w:val="7CCC0C02"/>
    <w:rsid w:val="7CE24C65"/>
    <w:rsid w:val="7CE64C01"/>
    <w:rsid w:val="7CF95B0B"/>
    <w:rsid w:val="7CFB7AD5"/>
    <w:rsid w:val="7D07647A"/>
    <w:rsid w:val="7D0E5A5A"/>
    <w:rsid w:val="7D123C1F"/>
    <w:rsid w:val="7D1467DB"/>
    <w:rsid w:val="7D2C7C8E"/>
    <w:rsid w:val="7D625DA6"/>
    <w:rsid w:val="7D871368"/>
    <w:rsid w:val="7D8B70AB"/>
    <w:rsid w:val="7D931348"/>
    <w:rsid w:val="7DC12ACC"/>
    <w:rsid w:val="7DD32800"/>
    <w:rsid w:val="7DF14781"/>
    <w:rsid w:val="7DFA2E1C"/>
    <w:rsid w:val="7E0D3978"/>
    <w:rsid w:val="7E1C5F55"/>
    <w:rsid w:val="7E3A287F"/>
    <w:rsid w:val="7E3F7E95"/>
    <w:rsid w:val="7E6873EC"/>
    <w:rsid w:val="7E9E4BBC"/>
    <w:rsid w:val="7EB10D93"/>
    <w:rsid w:val="7EB459DD"/>
    <w:rsid w:val="7ECD724F"/>
    <w:rsid w:val="7EE22D5E"/>
    <w:rsid w:val="7EF02C27"/>
    <w:rsid w:val="7EF91AB2"/>
    <w:rsid w:val="7EFB3E85"/>
    <w:rsid w:val="7F016EF9"/>
    <w:rsid w:val="7F030EC3"/>
    <w:rsid w:val="7F0E20E8"/>
    <w:rsid w:val="7F177E9D"/>
    <w:rsid w:val="7F2729DE"/>
    <w:rsid w:val="7F390D88"/>
    <w:rsid w:val="7F6A2CF0"/>
    <w:rsid w:val="7F841BB1"/>
    <w:rsid w:val="7F8C2C66"/>
    <w:rsid w:val="7FAC155A"/>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7"/>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9"/>
    <w:autoRedefine/>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0"/>
    <w:autoRedefine/>
    <w:qFormat/>
    <w:uiPriority w:val="0"/>
    <w:pPr>
      <w:keepNext/>
      <w:keepLines/>
      <w:spacing w:before="240" w:after="64" w:line="320" w:lineRule="auto"/>
      <w:outlineLvl w:val="6"/>
    </w:pPr>
    <w:rPr>
      <w:b/>
      <w:bCs/>
      <w:sz w:val="24"/>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autoRedefine/>
    <w:qFormat/>
    <w:uiPriority w:val="0"/>
    <w:pPr>
      <w:adjustRightInd w:val="0"/>
      <w:spacing w:line="360" w:lineRule="atLeast"/>
      <w:ind w:firstLine="482"/>
      <w:textAlignment w:val="baseline"/>
    </w:pPr>
    <w:rPr>
      <w:kern w:val="0"/>
      <w:sz w:val="24"/>
      <w:szCs w:val="20"/>
    </w:rPr>
  </w:style>
  <w:style w:type="paragraph" w:styleId="12">
    <w:name w:val="Document Map"/>
    <w:basedOn w:val="1"/>
    <w:next w:val="1"/>
    <w:autoRedefine/>
    <w:qFormat/>
    <w:uiPriority w:val="0"/>
    <w:pPr>
      <w:widowControl/>
      <w:shd w:val="clear" w:color="000000" w:fill="000080"/>
      <w:spacing w:line="357" w:lineRule="atLeast"/>
    </w:pPr>
    <w:rPr>
      <w:color w:val="000000"/>
    </w:rPr>
  </w:style>
  <w:style w:type="paragraph" w:styleId="13">
    <w:name w:val="annotation text"/>
    <w:basedOn w:val="1"/>
    <w:link w:val="61"/>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next w:val="16"/>
    <w:link w:val="54"/>
    <w:autoRedefine/>
    <w:qFormat/>
    <w:uiPriority w:val="0"/>
    <w:pPr>
      <w:spacing w:after="120"/>
      <w:ind w:left="20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qFormat/>
    <w:uiPriority w:val="0"/>
    <w:pPr>
      <w:tabs>
        <w:tab w:val="right" w:leader="dot" w:pos="9288"/>
      </w:tabs>
      <w:ind w:left="400" w:leftChars="400"/>
    </w:pPr>
    <w:rPr>
      <w:rFonts w:ascii="宋体"/>
    </w:rPr>
  </w:style>
  <w:style w:type="paragraph" w:styleId="18">
    <w:name w:val="Plain Text"/>
    <w:basedOn w:val="1"/>
    <w:link w:val="62"/>
    <w:autoRedefine/>
    <w:qFormat/>
    <w:uiPriority w:val="0"/>
    <w:rPr>
      <w:rFonts w:ascii="宋体"/>
      <w:color w:val="000000"/>
      <w:szCs w:val="20"/>
      <w:u w:color="000000"/>
    </w:rPr>
  </w:style>
  <w:style w:type="paragraph" w:styleId="19">
    <w:name w:val="Date"/>
    <w:basedOn w:val="1"/>
    <w:next w:val="1"/>
    <w:link w:val="63"/>
    <w:autoRedefine/>
    <w:qFormat/>
    <w:uiPriority w:val="0"/>
    <w:rPr>
      <w:rFonts w:ascii="Arial" w:hAnsi="Arial" w:eastAsia="仿宋_GB2312"/>
      <w:color w:val="000000"/>
      <w:sz w:val="32"/>
      <w:szCs w:val="20"/>
      <w:u w:color="000000"/>
    </w:rPr>
  </w:style>
  <w:style w:type="paragraph" w:styleId="20">
    <w:name w:val="Body Text Indent 2"/>
    <w:basedOn w:val="1"/>
    <w:link w:val="64"/>
    <w:autoRedefine/>
    <w:qFormat/>
    <w:uiPriority w:val="0"/>
    <w:pPr>
      <w:spacing w:after="120" w:line="480" w:lineRule="auto"/>
      <w:ind w:left="420" w:leftChars="200"/>
    </w:pPr>
  </w:style>
  <w:style w:type="paragraph" w:styleId="21">
    <w:name w:val="Balloon Text"/>
    <w:basedOn w:val="1"/>
    <w:link w:val="65"/>
    <w:autoRedefine/>
    <w:qFormat/>
    <w:uiPriority w:val="0"/>
    <w:rPr>
      <w:sz w:val="18"/>
      <w:szCs w:val="18"/>
    </w:rPr>
  </w:style>
  <w:style w:type="paragraph" w:styleId="22">
    <w:name w:val="footer"/>
    <w:basedOn w:val="1"/>
    <w:link w:val="66"/>
    <w:autoRedefine/>
    <w:qFormat/>
    <w:uiPriority w:val="0"/>
    <w:pPr>
      <w:tabs>
        <w:tab w:val="center" w:pos="4153"/>
        <w:tab w:val="right" w:pos="8306"/>
      </w:tabs>
      <w:snapToGrid w:val="0"/>
      <w:jc w:val="left"/>
    </w:pPr>
    <w:rPr>
      <w:sz w:val="18"/>
      <w:szCs w:val="18"/>
    </w:rPr>
  </w:style>
  <w:style w:type="paragraph" w:styleId="23">
    <w:name w:val="header"/>
    <w:basedOn w:val="1"/>
    <w:link w:val="67"/>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Subtitle"/>
    <w:basedOn w:val="1"/>
    <w:next w:val="1"/>
    <w:autoRedefine/>
    <w:qFormat/>
    <w:uiPriority w:val="0"/>
    <w:pPr>
      <w:numPr>
        <w:ilvl w:val="0"/>
        <w:numId w:val="3"/>
      </w:numPr>
      <w:spacing w:line="360" w:lineRule="auto"/>
      <w:jc w:val="left"/>
      <w:outlineLvl w:val="1"/>
    </w:pPr>
    <w:rPr>
      <w:rFonts w:ascii="Calibri Light" w:hAnsi="Calibri Light"/>
      <w:bCs/>
      <w:kern w:val="28"/>
      <w:szCs w:val="32"/>
    </w:rPr>
  </w:style>
  <w:style w:type="paragraph" w:styleId="26">
    <w:name w:val="List"/>
    <w:basedOn w:val="1"/>
    <w:autoRedefine/>
    <w:qFormat/>
    <w:uiPriority w:val="0"/>
    <w:pPr>
      <w:ind w:left="420" w:hanging="420"/>
    </w:pPr>
    <w:rPr>
      <w:rFonts w:ascii="Arial" w:hAnsi="Arial" w:eastAsia="楷体_GB2312"/>
      <w:sz w:val="28"/>
    </w:rPr>
  </w:style>
  <w:style w:type="paragraph" w:styleId="27">
    <w:name w:val="toc 6"/>
    <w:basedOn w:val="1"/>
    <w:next w:val="1"/>
    <w:autoRedefine/>
    <w:qFormat/>
    <w:uiPriority w:val="0"/>
    <w:pPr>
      <w:autoSpaceDE w:val="0"/>
      <w:autoSpaceDN w:val="0"/>
      <w:ind w:left="1700"/>
      <w:jc w:val="left"/>
      <w:textAlignment w:val="baseline"/>
    </w:pPr>
    <w:rPr>
      <w:kern w:val="0"/>
      <w:sz w:val="18"/>
      <w:szCs w:val="18"/>
    </w:rPr>
  </w:style>
  <w:style w:type="paragraph" w:styleId="28">
    <w:name w:val="toc 2"/>
    <w:basedOn w:val="1"/>
    <w:next w:val="1"/>
    <w:autoRedefine/>
    <w:qFormat/>
    <w:uiPriority w:val="0"/>
    <w:pPr>
      <w:ind w:left="200" w:leftChars="200"/>
    </w:p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1">
    <w:name w:val="Title"/>
    <w:basedOn w:val="1"/>
    <w:next w:val="1"/>
    <w:autoRedefine/>
    <w:qFormat/>
    <w:uiPriority w:val="0"/>
    <w:pPr>
      <w:numPr>
        <w:ilvl w:val="0"/>
        <w:numId w:val="4"/>
      </w:numPr>
      <w:spacing w:line="360" w:lineRule="auto"/>
      <w:jc w:val="left"/>
      <w:outlineLvl w:val="0"/>
    </w:pPr>
    <w:rPr>
      <w:rFonts w:ascii="Cambria" w:hAnsi="Cambria"/>
      <w:b/>
      <w:bCs/>
      <w:sz w:val="28"/>
      <w:szCs w:val="32"/>
    </w:rPr>
  </w:style>
  <w:style w:type="paragraph" w:styleId="32">
    <w:name w:val="annotation subject"/>
    <w:basedOn w:val="13"/>
    <w:next w:val="13"/>
    <w:link w:val="68"/>
    <w:autoRedefine/>
    <w:qFormat/>
    <w:uiPriority w:val="0"/>
    <w:rPr>
      <w:b/>
      <w:bCs/>
    </w:rPr>
  </w:style>
  <w:style w:type="paragraph" w:styleId="33">
    <w:name w:val="Body Text First Indent"/>
    <w:basedOn w:val="14"/>
    <w:autoRedefine/>
    <w:qFormat/>
    <w:uiPriority w:val="0"/>
    <w:pPr>
      <w:ind w:firstLine="420" w:firstLineChars="100"/>
    </w:pPr>
  </w:style>
  <w:style w:type="paragraph" w:styleId="34">
    <w:name w:val="Body Text First Indent 2"/>
    <w:basedOn w:val="15"/>
    <w:next w:val="1"/>
    <w:link w:val="55"/>
    <w:autoRedefine/>
    <w:qFormat/>
    <w:uiPriority w:val="0"/>
    <w:pPr>
      <w:ind w:left="420" w:firstLine="420" w:firstLineChars="200"/>
    </w:pPr>
    <w:rPr>
      <w:kern w:val="0"/>
      <w:sz w:val="20"/>
      <w:szCs w:val="20"/>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autoRedefine/>
    <w:qFormat/>
    <w:uiPriority w:val="0"/>
    <w:rPr>
      <w:rFonts w:ascii="Times New Roman" w:hAnsi="Times New Roman" w:eastAsia="宋体" w:cs="Times New Roman"/>
      <w:b/>
    </w:rPr>
  </w:style>
  <w:style w:type="character" w:styleId="39">
    <w:name w:val="page number"/>
    <w:autoRedefine/>
    <w:qFormat/>
    <w:uiPriority w:val="0"/>
    <w:rPr>
      <w:rFonts w:ascii="Times New Roman" w:hAnsi="Times New Roman" w:eastAsia="宋体" w:cs="Times New Roman"/>
    </w:rPr>
  </w:style>
  <w:style w:type="character" w:styleId="40">
    <w:name w:val="FollowedHyperlink"/>
    <w:autoRedefine/>
    <w:qFormat/>
    <w:uiPriority w:val="0"/>
    <w:rPr>
      <w:rFonts w:ascii="Times New Roman" w:hAnsi="Times New Roman" w:eastAsia="宋体" w:cs="Times New Roman"/>
      <w:color w:val="333333"/>
      <w:u w:val="none"/>
    </w:rPr>
  </w:style>
  <w:style w:type="character" w:styleId="41">
    <w:name w:val="Emphasis"/>
    <w:autoRedefine/>
    <w:qFormat/>
    <w:uiPriority w:val="0"/>
    <w:rPr>
      <w:rFonts w:ascii="Times New Roman" w:hAnsi="Times New Roman" w:eastAsia="宋体" w:cs="Times New Roman"/>
      <w:i/>
      <w:iCs/>
    </w:rPr>
  </w:style>
  <w:style w:type="character" w:styleId="42">
    <w:name w:val="HTML Definition"/>
    <w:autoRedefine/>
    <w:qFormat/>
    <w:uiPriority w:val="0"/>
    <w:rPr>
      <w:rFonts w:ascii="Times New Roman" w:hAnsi="Times New Roman" w:eastAsia="宋体" w:cs="Times New Roman"/>
    </w:rPr>
  </w:style>
  <w:style w:type="character" w:styleId="43">
    <w:name w:val="HTML Typewriter"/>
    <w:autoRedefine/>
    <w:qFormat/>
    <w:uiPriority w:val="0"/>
    <w:rPr>
      <w:rFonts w:hint="default" w:ascii="monospace" w:hAnsi="monospace" w:eastAsia="monospace" w:cs="monospace"/>
      <w:sz w:val="20"/>
    </w:rPr>
  </w:style>
  <w:style w:type="character" w:styleId="44">
    <w:name w:val="HTML Acronym"/>
    <w:autoRedefine/>
    <w:qFormat/>
    <w:uiPriority w:val="0"/>
    <w:rPr>
      <w:rFonts w:ascii="Times New Roman" w:hAnsi="Times New Roman" w:eastAsia="宋体" w:cs="Times New Roman"/>
    </w:rPr>
  </w:style>
  <w:style w:type="character" w:styleId="45">
    <w:name w:val="HTML Variable"/>
    <w:autoRedefine/>
    <w:qFormat/>
    <w:uiPriority w:val="0"/>
    <w:rPr>
      <w:rFonts w:ascii="Times New Roman" w:hAnsi="Times New Roman" w:eastAsia="宋体" w:cs="Times New Roman"/>
    </w:rPr>
  </w:style>
  <w:style w:type="character" w:styleId="46">
    <w:name w:val="Hyperlink"/>
    <w:autoRedefine/>
    <w:qFormat/>
    <w:uiPriority w:val="0"/>
    <w:rPr>
      <w:rFonts w:ascii="Times New Roman" w:hAnsi="Times New Roman" w:eastAsia="宋体" w:cs="Times New Roman"/>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rFonts w:ascii="Times New Roman" w:hAnsi="Times New Roman" w:eastAsia="宋体" w:cs="Times New Roman"/>
      <w:sz w:val="21"/>
      <w:szCs w:val="21"/>
    </w:rPr>
  </w:style>
  <w:style w:type="character" w:styleId="49">
    <w:name w:val="HTML Cite"/>
    <w:autoRedefine/>
    <w:qFormat/>
    <w:uiPriority w:val="0"/>
    <w:rPr>
      <w:rFonts w:ascii="Times New Roman" w:hAnsi="Times New Roman" w:eastAsia="宋体" w:cs="Times New Roman"/>
    </w:rPr>
  </w:style>
  <w:style w:type="character" w:styleId="50">
    <w:name w:val="HTML Keyboard"/>
    <w:autoRedefine/>
    <w:qFormat/>
    <w:uiPriority w:val="0"/>
    <w:rPr>
      <w:rFonts w:hint="default" w:ascii="monospace" w:hAnsi="monospace" w:eastAsia="monospace" w:cs="monospace"/>
      <w:sz w:val="20"/>
    </w:rPr>
  </w:style>
  <w:style w:type="character" w:styleId="51">
    <w:name w:val="HTML Sample"/>
    <w:autoRedefine/>
    <w:qFormat/>
    <w:uiPriority w:val="0"/>
    <w:rPr>
      <w:rFonts w:ascii="monospace" w:hAnsi="monospace" w:eastAsia="monospace" w:cs="monospace"/>
    </w:rPr>
  </w:style>
  <w:style w:type="paragraph" w:customStyle="1" w:styleId="52">
    <w:name w:val="正文1"/>
    <w:basedOn w:val="1"/>
    <w:next w:val="1"/>
    <w:autoRedefine/>
    <w:qFormat/>
    <w:uiPriority w:val="0"/>
    <w:pPr>
      <w:widowControl w:val="0"/>
      <w:spacing w:before="120" w:line="360" w:lineRule="auto"/>
      <w:ind w:left="420" w:firstLine="527"/>
      <w:jc w:val="both"/>
    </w:pPr>
    <w:rPr>
      <w:rFonts w:ascii="宋体" w:hAnsi="宋体"/>
      <w:kern w:val="2"/>
    </w:rPr>
  </w:style>
  <w:style w:type="paragraph" w:customStyle="1" w:styleId="53">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正文文本缩进 Char"/>
    <w:link w:val="15"/>
    <w:autoRedefine/>
    <w:qFormat/>
    <w:uiPriority w:val="0"/>
    <w:rPr>
      <w:rFonts w:ascii="Times New Roman" w:hAnsi="Times New Roman" w:eastAsia="宋体" w:cs="Times New Roman"/>
      <w:kern w:val="2"/>
      <w:sz w:val="21"/>
      <w:szCs w:val="24"/>
    </w:rPr>
  </w:style>
  <w:style w:type="character" w:customStyle="1" w:styleId="55">
    <w:name w:val="正文首行缩进 2 Char"/>
    <w:link w:val="34"/>
    <w:autoRedefine/>
    <w:qFormat/>
    <w:uiPriority w:val="0"/>
    <w:rPr>
      <w:rFonts w:ascii="Times New Roman" w:hAnsi="Times New Roman" w:eastAsia="宋体" w:cs="Times New Roman"/>
    </w:rPr>
  </w:style>
  <w:style w:type="character" w:customStyle="1" w:styleId="56">
    <w:name w:val="标题 1 Char"/>
    <w:link w:val="2"/>
    <w:autoRedefine/>
    <w:qFormat/>
    <w:uiPriority w:val="0"/>
    <w:rPr>
      <w:rFonts w:ascii="Times New Roman" w:hAnsi="Times New Roman" w:eastAsia="宋体" w:cs="Times New Roman"/>
      <w:b/>
      <w:bCs/>
      <w:kern w:val="44"/>
      <w:sz w:val="32"/>
      <w:szCs w:val="44"/>
    </w:rPr>
  </w:style>
  <w:style w:type="character" w:customStyle="1" w:styleId="57">
    <w:name w:val="标题 4 Char"/>
    <w:link w:val="5"/>
    <w:autoRedefine/>
    <w:qFormat/>
    <w:uiPriority w:val="0"/>
    <w:rPr>
      <w:rFonts w:ascii="Arial" w:hAnsi="Arial" w:eastAsia="黑体" w:cs="Times New Roman"/>
      <w:b/>
      <w:bCs/>
      <w:color w:val="000000"/>
      <w:sz w:val="28"/>
      <w:szCs w:val="28"/>
      <w:u w:val="none" w:color="000000"/>
      <w:lang w:val="en-US" w:eastAsia="zh-CN" w:bidi="ar-SA"/>
    </w:rPr>
  </w:style>
  <w:style w:type="character" w:customStyle="1" w:styleId="58">
    <w:name w:val="标题 5 Char"/>
    <w:link w:val="6"/>
    <w:autoRedefine/>
    <w:qFormat/>
    <w:uiPriority w:val="0"/>
    <w:rPr>
      <w:rFonts w:ascii="Times New Roman" w:hAnsi="Times New Roman" w:eastAsia="宋体" w:cs="Times New Roman"/>
      <w:b/>
      <w:bCs/>
      <w:kern w:val="2"/>
      <w:sz w:val="28"/>
      <w:szCs w:val="28"/>
    </w:rPr>
  </w:style>
  <w:style w:type="character" w:customStyle="1" w:styleId="59">
    <w:name w:val="标题 6 Char"/>
    <w:link w:val="7"/>
    <w:autoRedefine/>
    <w:qFormat/>
    <w:uiPriority w:val="0"/>
    <w:rPr>
      <w:rFonts w:ascii="Cambria" w:hAnsi="Cambria" w:eastAsia="宋体" w:cs="Times New Roman"/>
      <w:b/>
      <w:bCs/>
      <w:kern w:val="2"/>
      <w:sz w:val="24"/>
      <w:szCs w:val="24"/>
    </w:rPr>
  </w:style>
  <w:style w:type="character" w:customStyle="1" w:styleId="60">
    <w:name w:val="标题 7 Char"/>
    <w:link w:val="8"/>
    <w:autoRedefine/>
    <w:qFormat/>
    <w:uiPriority w:val="0"/>
    <w:rPr>
      <w:rFonts w:ascii="Times New Roman" w:hAnsi="Times New Roman" w:eastAsia="宋体" w:cs="Times New Roman"/>
      <w:b/>
      <w:bCs/>
      <w:kern w:val="2"/>
      <w:sz w:val="24"/>
      <w:szCs w:val="24"/>
    </w:rPr>
  </w:style>
  <w:style w:type="character" w:customStyle="1" w:styleId="61">
    <w:name w:val="批注文字 Char"/>
    <w:link w:val="13"/>
    <w:autoRedefine/>
    <w:qFormat/>
    <w:uiPriority w:val="0"/>
    <w:rPr>
      <w:rFonts w:ascii="Times New Roman" w:hAnsi="Times New Roman" w:eastAsia="宋体" w:cs="Times New Roman"/>
      <w:kern w:val="2"/>
      <w:sz w:val="21"/>
      <w:szCs w:val="24"/>
    </w:rPr>
  </w:style>
  <w:style w:type="character" w:customStyle="1" w:styleId="62">
    <w:name w:val="纯文本 Char"/>
    <w:link w:val="18"/>
    <w:autoRedefine/>
    <w:qFormat/>
    <w:uiPriority w:val="0"/>
    <w:rPr>
      <w:rFonts w:ascii="宋体" w:hAnsi="Times New Roman" w:eastAsia="宋体" w:cs="Times New Roman"/>
      <w:color w:val="000000"/>
      <w:kern w:val="2"/>
      <w:sz w:val="21"/>
      <w:u w:val="none" w:color="000000"/>
      <w:lang w:val="en-US" w:eastAsia="zh-CN" w:bidi="ar-SA"/>
    </w:rPr>
  </w:style>
  <w:style w:type="character" w:customStyle="1" w:styleId="63">
    <w:name w:val="日期 Char"/>
    <w:link w:val="19"/>
    <w:autoRedefine/>
    <w:qFormat/>
    <w:uiPriority w:val="0"/>
    <w:rPr>
      <w:rFonts w:ascii="Arial" w:hAnsi="Arial" w:eastAsia="仿宋_GB2312" w:cs="Times New Roman"/>
      <w:color w:val="000000"/>
      <w:kern w:val="2"/>
      <w:sz w:val="32"/>
      <w:u w:val="none" w:color="000000"/>
    </w:rPr>
  </w:style>
  <w:style w:type="character" w:customStyle="1" w:styleId="64">
    <w:name w:val="正文文本缩进 2 Char"/>
    <w:link w:val="20"/>
    <w:autoRedefine/>
    <w:qFormat/>
    <w:uiPriority w:val="0"/>
    <w:rPr>
      <w:rFonts w:ascii="Times New Roman" w:hAnsi="Times New Roman" w:eastAsia="宋体" w:cs="Times New Roman"/>
      <w:kern w:val="2"/>
      <w:sz w:val="21"/>
      <w:szCs w:val="24"/>
    </w:rPr>
  </w:style>
  <w:style w:type="character" w:customStyle="1" w:styleId="65">
    <w:name w:val="批注框文本 Char"/>
    <w:link w:val="21"/>
    <w:autoRedefine/>
    <w:qFormat/>
    <w:uiPriority w:val="0"/>
    <w:rPr>
      <w:rFonts w:ascii="Times New Roman" w:hAnsi="Times New Roman" w:eastAsia="宋体" w:cs="Times New Roman"/>
      <w:kern w:val="2"/>
      <w:sz w:val="18"/>
      <w:szCs w:val="18"/>
    </w:rPr>
  </w:style>
  <w:style w:type="character" w:customStyle="1" w:styleId="66">
    <w:name w:val="页脚 Char"/>
    <w:link w:val="22"/>
    <w:autoRedefine/>
    <w:qFormat/>
    <w:uiPriority w:val="0"/>
    <w:rPr>
      <w:rFonts w:ascii="Times New Roman" w:hAnsi="Times New Roman" w:eastAsia="宋体" w:cs="Times New Roman"/>
      <w:kern w:val="2"/>
      <w:sz w:val="18"/>
      <w:szCs w:val="18"/>
    </w:rPr>
  </w:style>
  <w:style w:type="character" w:customStyle="1" w:styleId="67">
    <w:name w:val="页眉 Char"/>
    <w:link w:val="23"/>
    <w:autoRedefine/>
    <w:qFormat/>
    <w:uiPriority w:val="0"/>
    <w:rPr>
      <w:rFonts w:ascii="Times New Roman" w:hAnsi="Times New Roman" w:eastAsia="宋体" w:cs="Times New Roman"/>
      <w:kern w:val="2"/>
      <w:sz w:val="18"/>
      <w:szCs w:val="18"/>
    </w:rPr>
  </w:style>
  <w:style w:type="character" w:customStyle="1" w:styleId="68">
    <w:name w:val="批注主题 Char"/>
    <w:link w:val="32"/>
    <w:autoRedefine/>
    <w:qFormat/>
    <w:uiPriority w:val="0"/>
    <w:rPr>
      <w:rFonts w:ascii="Times New Roman" w:hAnsi="Times New Roman" w:eastAsia="宋体" w:cs="Times New Roman"/>
      <w:b/>
      <w:bCs/>
      <w:kern w:val="2"/>
      <w:sz w:val="21"/>
      <w:szCs w:val="24"/>
    </w:rPr>
  </w:style>
  <w:style w:type="character" w:customStyle="1" w:styleId="69">
    <w:name w:val="图表 Char Char"/>
    <w:link w:val="70"/>
    <w:autoRedefine/>
    <w:qFormat/>
    <w:uiPriority w:val="0"/>
    <w:rPr>
      <w:rFonts w:ascii="Times New Roman" w:hAnsi="Times New Roman" w:eastAsia="宋体" w:cs="Times New Roman"/>
      <w:kern w:val="2"/>
      <w:sz w:val="21"/>
      <w:szCs w:val="21"/>
    </w:rPr>
  </w:style>
  <w:style w:type="paragraph" w:customStyle="1" w:styleId="70">
    <w:name w:val="图表"/>
    <w:basedOn w:val="1"/>
    <w:next w:val="1"/>
    <w:link w:val="69"/>
    <w:autoRedefine/>
    <w:qFormat/>
    <w:uiPriority w:val="0"/>
    <w:pPr>
      <w:jc w:val="center"/>
    </w:pPr>
    <w:rPr>
      <w:szCs w:val="21"/>
    </w:rPr>
  </w:style>
  <w:style w:type="character" w:customStyle="1" w:styleId="71">
    <w:name w:val="【正文】 Char Char"/>
    <w:link w:val="72"/>
    <w:autoRedefine/>
    <w:qFormat/>
    <w:uiPriority w:val="0"/>
    <w:rPr>
      <w:rFonts w:ascii="Times New Roman" w:hAnsi="Times New Roman" w:eastAsia="宋体" w:cs="DokChampa"/>
      <w:kern w:val="2"/>
      <w:sz w:val="24"/>
      <w:szCs w:val="22"/>
    </w:rPr>
  </w:style>
  <w:style w:type="paragraph" w:customStyle="1" w:styleId="72">
    <w:name w:val="【正文】"/>
    <w:basedOn w:val="1"/>
    <w:link w:val="71"/>
    <w:autoRedefine/>
    <w:qFormat/>
    <w:uiPriority w:val="0"/>
    <w:pPr>
      <w:spacing w:line="360" w:lineRule="auto"/>
      <w:ind w:firstLine="480" w:firstLineChars="200"/>
    </w:pPr>
    <w:rPr>
      <w:sz w:val="24"/>
      <w:szCs w:val="22"/>
    </w:rPr>
  </w:style>
  <w:style w:type="character" w:customStyle="1" w:styleId="73">
    <w:name w:val="selected"/>
    <w:autoRedefine/>
    <w:qFormat/>
    <w:uiPriority w:val="0"/>
    <w:rPr>
      <w:rFonts w:ascii="Times New Roman" w:hAnsi="Times New Roman" w:eastAsia="宋体" w:cs="Times New Roman"/>
      <w:shd w:val="clear" w:color="auto" w:fill="B00006"/>
    </w:rPr>
  </w:style>
  <w:style w:type="character" w:customStyle="1" w:styleId="74">
    <w:name w:val="font21"/>
    <w:basedOn w:val="37"/>
    <w:autoRedefine/>
    <w:qFormat/>
    <w:uiPriority w:val="0"/>
    <w:rPr>
      <w:rFonts w:hint="eastAsia" w:ascii="宋体" w:hAnsi="宋体" w:eastAsia="宋体" w:cs="宋体"/>
      <w:color w:val="000000"/>
      <w:sz w:val="18"/>
      <w:szCs w:val="18"/>
      <w:u w:val="none"/>
    </w:rPr>
  </w:style>
  <w:style w:type="character" w:customStyle="1" w:styleId="75">
    <w:name w:val="bds_nopic"/>
    <w:autoRedefine/>
    <w:qFormat/>
    <w:uiPriority w:val="0"/>
    <w:rPr>
      <w:rFonts w:ascii="Times New Roman" w:hAnsi="Times New Roman" w:eastAsia="宋体" w:cs="Times New Roman"/>
    </w:rPr>
  </w:style>
  <w:style w:type="character" w:customStyle="1" w:styleId="76">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77">
    <w:name w:val="gpa"/>
    <w:autoRedefine/>
    <w:qFormat/>
    <w:uiPriority w:val="0"/>
    <w:rPr>
      <w:rFonts w:ascii="Arial" w:hAnsi="Arial" w:eastAsia="宋体" w:cs="Arial"/>
      <w:sz w:val="15"/>
      <w:szCs w:val="15"/>
    </w:rPr>
  </w:style>
  <w:style w:type="character" w:customStyle="1" w:styleId="78">
    <w:name w:val="正文首行缩进 2 Char1"/>
    <w:autoRedefine/>
    <w:qFormat/>
    <w:uiPriority w:val="0"/>
    <w:rPr>
      <w:rFonts w:ascii="Times New Roman" w:hAnsi="Times New Roman" w:eastAsia="宋体" w:cs="Times New Roman"/>
    </w:rPr>
  </w:style>
  <w:style w:type="character" w:customStyle="1" w:styleId="79">
    <w:name w:val="列出段落 Char"/>
    <w:link w:val="80"/>
    <w:autoRedefine/>
    <w:qFormat/>
    <w:uiPriority w:val="0"/>
    <w:rPr>
      <w:rFonts w:ascii="Calibri" w:hAnsi="Calibri" w:eastAsia="宋体" w:cs="Times New Roman"/>
      <w:kern w:val="2"/>
      <w:sz w:val="21"/>
      <w:szCs w:val="22"/>
      <w:lang w:val="en-US" w:eastAsia="zh-CN" w:bidi="ar-SA"/>
    </w:rPr>
  </w:style>
  <w:style w:type="paragraph" w:customStyle="1" w:styleId="80">
    <w:name w:val="List Paragraph1"/>
    <w:basedOn w:val="1"/>
    <w:link w:val="79"/>
    <w:autoRedefine/>
    <w:qFormat/>
    <w:uiPriority w:val="0"/>
    <w:pPr>
      <w:spacing w:line="312" w:lineRule="auto"/>
      <w:ind w:firstLine="420" w:firstLineChars="200"/>
    </w:pPr>
    <w:rPr>
      <w:rFonts w:ascii="Calibri" w:hAnsi="Calibri"/>
      <w:szCs w:val="22"/>
    </w:rPr>
  </w:style>
  <w:style w:type="character" w:customStyle="1" w:styleId="81">
    <w:name w:val="bds_nopic2"/>
    <w:autoRedefine/>
    <w:qFormat/>
    <w:uiPriority w:val="0"/>
    <w:rPr>
      <w:rFonts w:ascii="Times New Roman" w:hAnsi="Times New Roman" w:eastAsia="宋体" w:cs="Times New Roman"/>
    </w:rPr>
  </w:style>
  <w:style w:type="character" w:customStyle="1" w:styleId="82">
    <w:name w:val="font61"/>
    <w:autoRedefine/>
    <w:qFormat/>
    <w:uiPriority w:val="0"/>
    <w:rPr>
      <w:rFonts w:hint="default" w:ascii="MS Sans Serif" w:hAnsi="MS Sans Serif" w:eastAsia="MS Sans Serif" w:cs="MS Sans Serif"/>
      <w:color w:val="000000"/>
      <w:sz w:val="18"/>
      <w:szCs w:val="18"/>
      <w:u w:val="none"/>
    </w:rPr>
  </w:style>
  <w:style w:type="character" w:customStyle="1" w:styleId="83">
    <w:name w:val="bds_more1"/>
    <w:autoRedefine/>
    <w:qFormat/>
    <w:uiPriority w:val="0"/>
    <w:rPr>
      <w:rFonts w:ascii="Times New Roman" w:hAnsi="Times New Roman" w:eastAsia="宋体" w:cs="Times New Roman"/>
    </w:rPr>
  </w:style>
  <w:style w:type="character" w:customStyle="1" w:styleId="84">
    <w:name w:val="font71"/>
    <w:autoRedefine/>
    <w:qFormat/>
    <w:uiPriority w:val="0"/>
    <w:rPr>
      <w:rFonts w:hint="default" w:ascii="MS Sans Serif" w:hAnsi="MS Sans Serif" w:eastAsia="MS Sans Serif" w:cs="MS Sans Serif"/>
      <w:color w:val="000000"/>
      <w:sz w:val="18"/>
      <w:szCs w:val="18"/>
      <w:u w:val="none"/>
    </w:rPr>
  </w:style>
  <w:style w:type="character" w:customStyle="1" w:styleId="85">
    <w:name w:val="first-child"/>
    <w:autoRedefine/>
    <w:qFormat/>
    <w:uiPriority w:val="0"/>
    <w:rPr>
      <w:rFonts w:ascii="Times New Roman" w:hAnsi="Times New Roman" w:eastAsia="宋体" w:cs="Times New Roman"/>
    </w:rPr>
  </w:style>
  <w:style w:type="character" w:customStyle="1" w:styleId="86">
    <w:name w:val="bds_nopic1"/>
    <w:autoRedefine/>
    <w:qFormat/>
    <w:uiPriority w:val="0"/>
    <w:rPr>
      <w:rFonts w:ascii="Times New Roman" w:hAnsi="Times New Roman" w:eastAsia="宋体" w:cs="Times New Roman"/>
    </w:rPr>
  </w:style>
  <w:style w:type="character" w:customStyle="1" w:styleId="87">
    <w:name w:val="layui-this"/>
    <w:autoRedefine/>
    <w:qFormat/>
    <w:uiPriority w:val="0"/>
    <w:rPr>
      <w:rFonts w:ascii="Times New Roman" w:hAnsi="Times New Roman" w:eastAsia="宋体" w:cs="Times New Roman"/>
      <w:bdr w:val="single" w:color="EEEEEE" w:sz="6" w:space="0"/>
      <w:shd w:val="clear" w:color="auto" w:fill="FFFFFF"/>
    </w:rPr>
  </w:style>
  <w:style w:type="character" w:customStyle="1" w:styleId="88">
    <w:name w:val="font81"/>
    <w:autoRedefine/>
    <w:qFormat/>
    <w:uiPriority w:val="0"/>
    <w:rPr>
      <w:rFonts w:ascii="Arial Unicode MS" w:hAnsi="Arial Unicode MS" w:eastAsia="Arial Unicode MS" w:cs="Arial Unicode MS"/>
      <w:color w:val="000000"/>
      <w:sz w:val="18"/>
      <w:szCs w:val="18"/>
      <w:u w:val="none"/>
    </w:rPr>
  </w:style>
  <w:style w:type="character" w:customStyle="1" w:styleId="89">
    <w:name w:val="apple-converted-space"/>
    <w:autoRedefine/>
    <w:qFormat/>
    <w:uiPriority w:val="0"/>
    <w:rPr>
      <w:rFonts w:ascii="Times New Roman" w:hAnsi="Times New Roman" w:eastAsia="宋体" w:cs="Times New Roman"/>
    </w:rPr>
  </w:style>
  <w:style w:type="character" w:customStyle="1" w:styleId="90">
    <w:name w:val="displayarti"/>
    <w:autoRedefine/>
    <w:qFormat/>
    <w:uiPriority w:val="0"/>
    <w:rPr>
      <w:rFonts w:ascii="Times New Roman" w:hAnsi="Times New Roman" w:eastAsia="宋体" w:cs="Times New Roman"/>
      <w:color w:val="FFFFFF"/>
      <w:shd w:val="clear" w:color="auto" w:fill="A00000"/>
    </w:rPr>
  </w:style>
  <w:style w:type="character" w:customStyle="1" w:styleId="91">
    <w:name w:val="font131"/>
    <w:autoRedefine/>
    <w:qFormat/>
    <w:uiPriority w:val="0"/>
    <w:rPr>
      <w:rFonts w:hint="eastAsia" w:ascii="宋体" w:hAnsi="宋体" w:eastAsia="宋体" w:cs="宋体"/>
      <w:b/>
      <w:bCs/>
      <w:color w:val="000000"/>
      <w:sz w:val="20"/>
      <w:szCs w:val="20"/>
      <w:u w:val="none"/>
    </w:rPr>
  </w:style>
  <w:style w:type="character" w:customStyle="1" w:styleId="92">
    <w:name w:val="bds_more2"/>
    <w:autoRedefine/>
    <w:qFormat/>
    <w:uiPriority w:val="0"/>
    <w:rPr>
      <w:rFonts w:ascii="Times New Roman" w:hAnsi="Times New Roman" w:eastAsia="宋体" w:cs="Times New Roman"/>
    </w:rPr>
  </w:style>
  <w:style w:type="character" w:customStyle="1" w:styleId="93">
    <w:name w:val="bds_more"/>
    <w:autoRedefine/>
    <w:qFormat/>
    <w:uiPriority w:val="0"/>
    <w:rPr>
      <w:rFonts w:hint="eastAsia" w:ascii="宋体" w:hAnsi="宋体" w:eastAsia="宋体" w:cs="宋体"/>
    </w:rPr>
  </w:style>
  <w:style w:type="paragraph" w:customStyle="1" w:styleId="94">
    <w:name w:val="Char Char Char Char"/>
    <w:basedOn w:val="1"/>
    <w:autoRedefine/>
    <w:qFormat/>
    <w:uiPriority w:val="0"/>
    <w:rPr>
      <w:rFonts w:ascii="Tahoma" w:hAnsi="Tahoma"/>
      <w:sz w:val="24"/>
      <w:szCs w:val="20"/>
    </w:rPr>
  </w:style>
  <w:style w:type="paragraph" w:customStyle="1" w:styleId="95">
    <w:name w:val="标题4"/>
    <w:basedOn w:val="1"/>
    <w:autoRedefine/>
    <w:qFormat/>
    <w:uiPriority w:val="0"/>
    <w:pPr>
      <w:numPr>
        <w:ilvl w:val="0"/>
        <w:numId w:val="5"/>
      </w:numPr>
      <w:spacing w:line="360" w:lineRule="auto"/>
      <w:ind w:left="720" w:leftChars="300"/>
      <w:jc w:val="left"/>
    </w:pPr>
    <w:rPr>
      <w:rFonts w:ascii="宋体" w:hAnsi="宋体"/>
      <w:sz w:val="18"/>
      <w:szCs w:val="18"/>
    </w:rPr>
  </w:style>
  <w:style w:type="paragraph" w:customStyle="1" w:styleId="96">
    <w:name w:val="Table Paragraph"/>
    <w:basedOn w:val="1"/>
    <w:autoRedefine/>
    <w:qFormat/>
    <w:uiPriority w:val="0"/>
    <w:rPr>
      <w:rFonts w:ascii="宋体" w:hAnsi="宋体" w:cs="宋体"/>
      <w:lang w:val="zh-CN" w:bidi="zh-CN"/>
    </w:rPr>
  </w:style>
  <w:style w:type="paragraph" w:customStyle="1" w:styleId="97">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9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9">
    <w:name w:val="正文缩进1"/>
    <w:basedOn w:val="1"/>
    <w:next w:val="12"/>
    <w:autoRedefine/>
    <w:qFormat/>
    <w:uiPriority w:val="0"/>
    <w:pPr>
      <w:spacing w:line="360" w:lineRule="atLeast"/>
      <w:ind w:firstLine="482"/>
    </w:pPr>
    <w:rPr>
      <w:sz w:val="24"/>
    </w:rPr>
  </w:style>
  <w:style w:type="paragraph" w:customStyle="1" w:styleId="100">
    <w:name w:val="Char Char Char Char Char Char Char1 Char"/>
    <w:basedOn w:val="1"/>
    <w:autoRedefine/>
    <w:qFormat/>
    <w:uiPriority w:val="0"/>
    <w:rPr>
      <w:rFonts w:ascii="Tahoma" w:hAnsi="Tahoma"/>
      <w:sz w:val="24"/>
      <w:szCs w:val="20"/>
    </w:rPr>
  </w:style>
  <w:style w:type="paragraph" w:customStyle="1" w:styleId="101">
    <w:name w:val="Char"/>
    <w:basedOn w:val="1"/>
    <w:autoRedefine/>
    <w:qFormat/>
    <w:uiPriority w:val="0"/>
  </w:style>
  <w:style w:type="paragraph" w:customStyle="1" w:styleId="102">
    <w:name w:val="（无样式）"/>
    <w:basedOn w:val="1"/>
    <w:autoRedefine/>
    <w:qFormat/>
    <w:uiPriority w:val="0"/>
    <w:pPr>
      <w:widowControl/>
      <w:numPr>
        <w:ilvl w:val="0"/>
        <w:numId w:val="6"/>
      </w:numPr>
      <w:spacing w:line="360" w:lineRule="auto"/>
      <w:ind w:firstLine="0"/>
    </w:pPr>
    <w:rPr>
      <w:sz w:val="24"/>
      <w:szCs w:val="20"/>
    </w:rPr>
  </w:style>
  <w:style w:type="paragraph" w:customStyle="1" w:styleId="103">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4">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105">
    <w:name w:val="_Style 102"/>
    <w:autoRedefine/>
    <w:qFormat/>
    <w:uiPriority w:val="0"/>
    <w:rPr>
      <w:rFonts w:ascii="Times New Roman" w:hAnsi="Times New Roman" w:eastAsia="宋体" w:cs="Times New Roman"/>
      <w:kern w:val="2"/>
      <w:sz w:val="21"/>
      <w:szCs w:val="24"/>
      <w:lang w:val="en-US" w:eastAsia="zh-CN" w:bidi="ar-SA"/>
    </w:rPr>
  </w:style>
  <w:style w:type="paragraph" w:customStyle="1" w:styleId="106">
    <w:name w:val="Char1"/>
    <w:basedOn w:val="1"/>
    <w:next w:val="1"/>
    <w:autoRedefine/>
    <w:qFormat/>
    <w:uiPriority w:val="0"/>
    <w:pPr>
      <w:widowControl/>
      <w:spacing w:line="360" w:lineRule="auto"/>
      <w:jc w:val="left"/>
    </w:pPr>
    <w:rPr>
      <w:kern w:val="0"/>
      <w:szCs w:val="20"/>
      <w:lang w:eastAsia="en-US"/>
    </w:rPr>
  </w:style>
  <w:style w:type="paragraph" w:customStyle="1" w:styleId="107">
    <w:name w:val="_Style 2"/>
    <w:basedOn w:val="1"/>
    <w:autoRedefine/>
    <w:qFormat/>
    <w:uiPriority w:val="0"/>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正文"/>
    <w:basedOn w:val="1"/>
    <w:autoRedefine/>
    <w:qFormat/>
    <w:uiPriority w:val="0"/>
    <w:pPr>
      <w:widowControl/>
      <w:snapToGrid w:val="0"/>
      <w:ind w:firstLine="560"/>
      <w:jc w:val="left"/>
    </w:pPr>
    <w:rPr>
      <w:rFonts w:ascii="仿宋_GB2312"/>
      <w:color w:val="191919"/>
      <w:sz w:val="28"/>
      <w:szCs w:val="28"/>
    </w:rPr>
  </w:style>
  <w:style w:type="paragraph" w:customStyle="1" w:styleId="110">
    <w:name w:val="列出段落1"/>
    <w:basedOn w:val="1"/>
    <w:autoRedefine/>
    <w:qFormat/>
    <w:uiPriority w:val="0"/>
    <w:pPr>
      <w:ind w:firstLine="420" w:firstLineChars="200"/>
    </w:pPr>
  </w:style>
  <w:style w:type="paragraph" w:customStyle="1" w:styleId="111">
    <w:name w:val="HtmlNormal"/>
    <w:basedOn w:val="1"/>
    <w:autoRedefine/>
    <w:qFormat/>
    <w:uiPriority w:val="0"/>
    <w:pPr>
      <w:widowControl/>
      <w:spacing w:before="100" w:beforeAutospacing="1" w:after="100" w:afterAutospacing="1"/>
      <w:jc w:val="left"/>
    </w:pPr>
    <w:rPr>
      <w:rFonts w:ascii="宋体" w:hAnsi="宋体"/>
      <w:kern w:val="0"/>
      <w:sz w:val="24"/>
    </w:rPr>
  </w:style>
  <w:style w:type="paragraph" w:styleId="112">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3">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14">
    <w:name w:val="_Style 4"/>
    <w:basedOn w:val="1"/>
    <w:autoRedefine/>
    <w:qFormat/>
    <w:uiPriority w:val="0"/>
    <w:pPr>
      <w:adjustRightInd w:val="0"/>
      <w:ind w:firstLine="420" w:firstLineChars="200"/>
      <w:jc w:val="left"/>
      <w:textAlignment w:val="baseline"/>
    </w:pPr>
    <w:rPr>
      <w:kern w:val="0"/>
      <w:szCs w:val="20"/>
    </w:rPr>
  </w:style>
  <w:style w:type="paragraph" w:customStyle="1" w:styleId="115">
    <w:name w:val="List Paragraph2"/>
    <w:basedOn w:val="1"/>
    <w:autoRedefine/>
    <w:qFormat/>
    <w:uiPriority w:val="0"/>
    <w:pPr>
      <w:spacing w:line="360" w:lineRule="auto"/>
      <w:ind w:firstLine="420"/>
    </w:pPr>
    <w:rPr>
      <w:color w:val="000000"/>
      <w:sz w:val="24"/>
      <w:szCs w:val="21"/>
    </w:rPr>
  </w:style>
  <w:style w:type="paragraph" w:customStyle="1" w:styleId="116">
    <w:name w:val="正文文字 8"/>
    <w:basedOn w:val="1"/>
    <w:next w:val="1"/>
    <w:autoRedefine/>
    <w:qFormat/>
    <w:uiPriority w:val="0"/>
    <w:pPr>
      <w:ind w:left="240"/>
    </w:pPr>
    <w:rPr>
      <w:sz w:val="16"/>
    </w:rPr>
  </w:style>
  <w:style w:type="paragraph" w:customStyle="1" w:styleId="117">
    <w:name w:val="样式1"/>
    <w:basedOn w:val="1"/>
    <w:autoRedefine/>
    <w:qFormat/>
    <w:uiPriority w:val="0"/>
    <w:pPr>
      <w:spacing w:line="360" w:lineRule="auto"/>
      <w:jc w:val="center"/>
    </w:pPr>
    <w:rPr>
      <w:b/>
      <w:sz w:val="30"/>
      <w:szCs w:val="30"/>
    </w:rPr>
  </w:style>
  <w:style w:type="paragraph" w:customStyle="1" w:styleId="118">
    <w:name w:val="列表2"/>
    <w:basedOn w:val="1"/>
    <w:next w:val="1"/>
    <w:autoRedefine/>
    <w:qFormat/>
    <w:uiPriority w:val="0"/>
    <w:pPr>
      <w:numPr>
        <w:ilvl w:val="0"/>
        <w:numId w:val="7"/>
      </w:numPr>
      <w:spacing w:line="200" w:lineRule="atLeast"/>
    </w:pPr>
    <w:rPr>
      <w:rFonts w:eastAsia="仿宋"/>
      <w:sz w:val="28"/>
    </w:rPr>
  </w:style>
  <w:style w:type="paragraph" w:customStyle="1" w:styleId="119">
    <w:name w:val="标题3-副本"/>
    <w:basedOn w:val="25"/>
    <w:autoRedefine/>
    <w:qFormat/>
    <w:uiPriority w:val="0"/>
    <w:pPr>
      <w:numPr>
        <w:ilvl w:val="0"/>
        <w:numId w:val="0"/>
      </w:numPr>
      <w:ind w:left="840"/>
    </w:pPr>
    <w:rPr>
      <w:rFonts w:ascii="Times New Roman" w:hAnsi="Times New Roman"/>
    </w:rPr>
  </w:style>
  <w:style w:type="paragraph" w:customStyle="1" w:styleId="120">
    <w:name w:val="_Style 117"/>
    <w:basedOn w:val="1"/>
    <w:next w:val="1"/>
    <w:autoRedefine/>
    <w:qFormat/>
    <w:uiPriority w:val="0"/>
    <w:pPr>
      <w:pBdr>
        <w:bottom w:val="single" w:color="auto" w:sz="6" w:space="1"/>
      </w:pBdr>
      <w:jc w:val="center"/>
    </w:pPr>
    <w:rPr>
      <w:rFonts w:ascii="Arial"/>
      <w:vanish/>
      <w:sz w:val="16"/>
    </w:rPr>
  </w:style>
  <w:style w:type="paragraph" w:customStyle="1" w:styleId="121">
    <w:name w:val="_Style 118"/>
    <w:basedOn w:val="1"/>
    <w:next w:val="1"/>
    <w:autoRedefine/>
    <w:qFormat/>
    <w:uiPriority w:val="0"/>
    <w:pPr>
      <w:pBdr>
        <w:top w:val="single" w:color="auto" w:sz="6" w:space="1"/>
      </w:pBdr>
      <w:jc w:val="center"/>
    </w:pPr>
    <w:rPr>
      <w:rFonts w:ascii="Arial"/>
      <w:vanish/>
      <w:sz w:val="16"/>
    </w:rPr>
  </w:style>
  <w:style w:type="paragraph" w:customStyle="1" w:styleId="122">
    <w:name w:val="无间隔1"/>
    <w:basedOn w:val="1"/>
    <w:autoRedefine/>
    <w:qFormat/>
    <w:uiPriority w:val="0"/>
    <w:pPr>
      <w:widowControl/>
      <w:adjustRightInd w:val="0"/>
      <w:snapToGrid w:val="0"/>
      <w:jc w:val="left"/>
    </w:pPr>
    <w:rPr>
      <w:rFonts w:ascii="Tahoma" w:hAnsi="Tahoma" w:eastAsia="微软雅黑"/>
      <w:kern w:val="0"/>
      <w:sz w:val="24"/>
      <w:szCs w:val="22"/>
    </w:rPr>
  </w:style>
  <w:style w:type="paragraph" w:customStyle="1" w:styleId="123">
    <w:name w:val="text-tag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4">
    <w:name w:val="font11"/>
    <w:autoRedefine/>
    <w:qFormat/>
    <w:uiPriority w:val="0"/>
    <w:rPr>
      <w:rFonts w:hint="eastAsia" w:ascii="宋体" w:hAnsi="宋体" w:eastAsia="宋体" w:cs="宋体"/>
      <w:color w:val="000000"/>
      <w:sz w:val="16"/>
      <w:szCs w:val="16"/>
      <w:u w:val="none"/>
    </w:rPr>
  </w:style>
  <w:style w:type="character" w:customStyle="1" w:styleId="125">
    <w:name w:val="font31"/>
    <w:basedOn w:val="37"/>
    <w:autoRedefine/>
    <w:qFormat/>
    <w:uiPriority w:val="0"/>
    <w:rPr>
      <w:rFonts w:ascii="宋体" w:hAnsi="宋体" w:eastAsia="宋体" w:cs="宋体"/>
      <w:color w:val="000000"/>
      <w:sz w:val="16"/>
      <w:szCs w:val="16"/>
      <w:u w:val="none"/>
    </w:rPr>
  </w:style>
  <w:style w:type="character" w:customStyle="1" w:styleId="126">
    <w:name w:val="font41"/>
    <w:basedOn w:val="37"/>
    <w:autoRedefine/>
    <w:qFormat/>
    <w:uiPriority w:val="0"/>
    <w:rPr>
      <w:rFonts w:hint="eastAsia" w:ascii="宋体" w:hAnsi="宋体" w:eastAsia="宋体" w:cs="宋体"/>
      <w:color w:val="000000"/>
      <w:sz w:val="21"/>
      <w:szCs w:val="21"/>
      <w:u w:val="none"/>
    </w:rPr>
  </w:style>
  <w:style w:type="character" w:customStyle="1" w:styleId="127">
    <w:name w:val="hover"/>
    <w:basedOn w:val="37"/>
    <w:autoRedefine/>
    <w:qFormat/>
    <w:uiPriority w:val="0"/>
  </w:style>
  <w:style w:type="character" w:customStyle="1" w:styleId="128">
    <w:name w:val="hover1"/>
    <w:basedOn w:val="37"/>
    <w:autoRedefine/>
    <w:qFormat/>
    <w:uiPriority w:val="0"/>
    <w:rPr>
      <w:color w:val="2590EB"/>
    </w:rPr>
  </w:style>
  <w:style w:type="character" w:customStyle="1" w:styleId="129">
    <w:name w:val="hover2"/>
    <w:basedOn w:val="37"/>
    <w:autoRedefine/>
    <w:qFormat/>
    <w:uiPriority w:val="0"/>
    <w:rPr>
      <w:color w:val="2590EB"/>
    </w:rPr>
  </w:style>
  <w:style w:type="character" w:customStyle="1" w:styleId="130">
    <w:name w:val="hover3"/>
    <w:basedOn w:val="37"/>
    <w:autoRedefine/>
    <w:qFormat/>
    <w:uiPriority w:val="0"/>
    <w:rPr>
      <w:color w:val="2590EB"/>
      <w:shd w:val="clear" w:color="auto" w:fill="E9F4FD"/>
    </w:rPr>
  </w:style>
  <w:style w:type="table" w:customStyle="1" w:styleId="131">
    <w:name w:val="Table Normal"/>
    <w:autoRedefine/>
    <w:semiHidden/>
    <w:unhideWhenUsed/>
    <w:qFormat/>
    <w:uiPriority w:val="0"/>
    <w:tblPr>
      <w:tblCellMar>
        <w:top w:w="0" w:type="dxa"/>
        <w:left w:w="0" w:type="dxa"/>
        <w:bottom w:w="0" w:type="dxa"/>
        <w:right w:w="0" w:type="dxa"/>
      </w:tblCellMar>
    </w:tblPr>
  </w:style>
  <w:style w:type="paragraph" w:customStyle="1" w:styleId="132">
    <w:name w:val="Table Text"/>
    <w:basedOn w:val="1"/>
    <w:autoRedefine/>
    <w:semiHidden/>
    <w:qFormat/>
    <w:uiPriority w:val="0"/>
    <w:rPr>
      <w:rFonts w:ascii="宋体" w:hAnsi="宋体" w:eastAsia="宋体" w:cs="宋体"/>
      <w:sz w:val="20"/>
      <w:szCs w:val="20"/>
      <w:lang w:val="en-US" w:eastAsia="en-US" w:bidi="ar-SA"/>
    </w:rPr>
  </w:style>
  <w:style w:type="character" w:customStyle="1" w:styleId="133">
    <w:name w:val="fontstyle01"/>
    <w:basedOn w:val="37"/>
    <w:autoRedefine/>
    <w:qFormat/>
    <w:uiPriority w:val="0"/>
    <w:rPr>
      <w:rFonts w:ascii="宋体" w:hAnsi="宋体" w:eastAsia="宋体" w:cs="宋体"/>
      <w:color w:val="000000"/>
      <w:sz w:val="32"/>
      <w:szCs w:val="32"/>
    </w:rPr>
  </w:style>
  <w:style w:type="character" w:customStyle="1" w:styleId="134">
    <w:name w:val="fontstyle21"/>
    <w:basedOn w:val="37"/>
    <w:autoRedefine/>
    <w:qFormat/>
    <w:uiPriority w:val="0"/>
    <w:rPr>
      <w:rFonts w:ascii="TimesNewRomanPSMT" w:hAnsi="TimesNewRomanPSMT" w:eastAsia="TimesNewRomanPSMT" w:cs="TimesNewRomanPSMT"/>
      <w:color w:val="000000"/>
      <w:sz w:val="18"/>
      <w:szCs w:val="18"/>
    </w:rPr>
  </w:style>
  <w:style w:type="character" w:customStyle="1" w:styleId="135">
    <w:name w:val="font01"/>
    <w:basedOn w:val="37"/>
    <w:autoRedefine/>
    <w:qFormat/>
    <w:uiPriority w:val="0"/>
    <w:rPr>
      <w:rFonts w:hint="eastAsia" w:ascii="宋体" w:hAnsi="宋体" w:eastAsia="宋体" w:cs="宋体"/>
      <w:color w:val="FF0000"/>
      <w:sz w:val="20"/>
      <w:szCs w:val="20"/>
      <w:u w:val="none"/>
    </w:rPr>
  </w:style>
  <w:style w:type="character" w:customStyle="1" w:styleId="136">
    <w:name w:val="hover4"/>
    <w:basedOn w:val="37"/>
    <w:qFormat/>
    <w:uiPriority w:val="0"/>
    <w:rPr>
      <w:color w:val="2590EB"/>
      <w:shd w:val="clear" w:fill="E9F4FD"/>
    </w:rPr>
  </w:style>
  <w:style w:type="character" w:customStyle="1" w:styleId="137">
    <w:name w:val="mini-outputtext1"/>
    <w:basedOn w:val="3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78</Pages>
  <Words>15061</Words>
  <Characters>16498</Characters>
  <Lines>334</Lines>
  <Paragraphs>94</Paragraphs>
  <TotalTime>3</TotalTime>
  <ScaleCrop>false</ScaleCrop>
  <LinksUpToDate>false</LinksUpToDate>
  <CharactersWithSpaces>16972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2025-08-21T01:45:00Z</dcterms:created>
  <dc:creator>陈倩倩</dc:creator>
  <cp:lastModifiedBy>代理</cp:lastModifiedBy>
  <cp:lastPrinted>2025-10-17T01:27:00Z</cp:lastPrinted>
  <dcterms:modified xsi:type="dcterms:W3CDTF">2026-01-22T06:03:14Z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985A672267084E00B0FC3DF625B44918_13</vt:lpwstr>
  </property>
  <property fmtid="{D5CDD505-2E9C-101B-9397-08002B2CF9AE}" pid="4" name="KSOTemplateDocerSaveRecord">
    <vt:lpwstr>eyJoZGlkIjoiOTc5MDNjMmIyODczM2YwMGZkZTNjYWY1NjIxZTY5YjciLCJ1c2VySWQiOiI1MDM3MjkwOTMifQ==</vt:lpwstr>
  </property>
</Properties>
</file>