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4"/>
        <w:ind w:left="0" w:leftChars="0" w:firstLine="0" w:firstLineChars="0"/>
        <w:rPr>
          <w:color w:val="auto"/>
          <w:highlight w:val="none"/>
        </w:rPr>
      </w:pPr>
      <w:bookmarkStart w:id="0" w:name="_Toc247085669"/>
      <w:bookmarkStart w:id="1" w:name="_Toc15058843"/>
      <w:bookmarkStart w:id="2" w:name="_Toc506107265"/>
      <w:bookmarkStart w:id="3" w:name="_Toc246996898"/>
      <w:bookmarkStart w:id="4" w:name="_Toc461631222"/>
      <w:bookmarkStart w:id="5" w:name="_Toc296602400"/>
      <w:bookmarkStart w:id="6" w:name="_Toc324404811"/>
      <w:bookmarkStart w:id="7" w:name="OLE_LINK3"/>
      <w:bookmarkStart w:id="8" w:name="OLE_LINK5"/>
      <w:bookmarkStart w:id="9" w:name="OLE_LINK1"/>
      <w:bookmarkStart w:id="10" w:name="OLE_LINK4"/>
      <w:bookmarkStart w:id="11" w:name="OLE_LINK2"/>
    </w:p>
    <w:p w14:paraId="2A2621CC">
      <w:pPr>
        <w:pStyle w:val="14"/>
        <w:ind w:left="0" w:leftChars="0" w:firstLine="0" w:firstLineChars="0"/>
        <w:jc w:val="center"/>
        <w:rPr>
          <w:color w:val="auto"/>
          <w:highlight w:val="none"/>
        </w:rPr>
      </w:pPr>
      <w:r>
        <w:rPr>
          <w:rFonts w:hint="eastAsia" w:hAnsi="宋体" w:cs="宋体"/>
          <w:b/>
          <w:color w:val="auto"/>
          <w:kern w:val="0"/>
          <w:sz w:val="56"/>
          <w:szCs w:val="56"/>
          <w:highlight w:val="none"/>
          <w:lang w:eastAsia="zh-CN"/>
        </w:rPr>
        <w:t>滁州至南京城际铁路（滁州段）多站点廉洁主题设计施工一体化项目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4"/>
        <w:rPr>
          <w:color w:val="auto"/>
          <w:highlight w:val="none"/>
        </w:rPr>
      </w:pPr>
    </w:p>
    <w:p w14:paraId="691FE4D6">
      <w:pPr>
        <w:rPr>
          <w:color w:val="auto"/>
          <w:highlight w:val="none"/>
        </w:rPr>
      </w:pPr>
    </w:p>
    <w:p w14:paraId="7E411827">
      <w:pPr>
        <w:pStyle w:val="14"/>
        <w:rPr>
          <w:color w:val="auto"/>
          <w:highlight w:val="none"/>
        </w:rPr>
      </w:pPr>
    </w:p>
    <w:p w14:paraId="6CF62471">
      <w:pPr>
        <w:rPr>
          <w:color w:val="auto"/>
          <w:highlight w:val="none"/>
        </w:rPr>
      </w:pPr>
    </w:p>
    <w:p w14:paraId="276FE2C2">
      <w:pPr>
        <w:pStyle w:val="14"/>
        <w:rPr>
          <w:color w:val="auto"/>
          <w:highlight w:val="none"/>
        </w:rPr>
      </w:pPr>
    </w:p>
    <w:p w14:paraId="6EBADFFD">
      <w:pPr>
        <w:rPr>
          <w:color w:val="auto"/>
          <w:highlight w:val="none"/>
        </w:rPr>
      </w:pPr>
    </w:p>
    <w:p w14:paraId="57C971B3">
      <w:pPr>
        <w:pStyle w:val="14"/>
        <w:rPr>
          <w:color w:val="auto"/>
          <w:highlight w:val="none"/>
        </w:rPr>
      </w:pPr>
    </w:p>
    <w:p w14:paraId="00CEC72B">
      <w:pPr>
        <w:rPr>
          <w:color w:val="auto"/>
          <w:highlight w:val="none"/>
        </w:rPr>
      </w:pPr>
    </w:p>
    <w:p w14:paraId="0FB3EFCA">
      <w:pPr>
        <w:pStyle w:val="14"/>
        <w:rPr>
          <w:color w:val="auto"/>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color w:val="auto"/>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color w:val="auto"/>
          <w:sz w:val="30"/>
          <w:szCs w:val="30"/>
          <w:highlight w:val="none"/>
          <w:u w:val="single"/>
          <w:lang w:eastAsia="zh-CN"/>
        </w:rPr>
        <w:t>滁州市滁宁城际铁路开发建设有限公司</w:t>
      </w:r>
      <w:r>
        <w:rPr>
          <w:rFonts w:hint="eastAsia" w:ascii="宋体" w:cs="Times New Roman"/>
          <w:color w:val="auto"/>
          <w:sz w:val="30"/>
          <w:szCs w:val="30"/>
          <w:highlight w:val="none"/>
          <w:u w:val="single"/>
          <w:lang w:val="en-US" w:eastAsia="zh-CN"/>
        </w:rPr>
        <w:t xml:space="preserve"> </w:t>
      </w:r>
    </w:p>
    <w:p w14:paraId="2C39D907">
      <w:pPr>
        <w:spacing w:line="800" w:lineRule="exact"/>
        <w:ind w:firstLine="600" w:firstLineChars="200"/>
        <w:rPr>
          <w:bCs/>
          <w:color w:val="auto"/>
          <w:spacing w:val="-20"/>
          <w:sz w:val="30"/>
          <w:szCs w:val="30"/>
          <w:highlight w:val="none"/>
          <w:u w:val="thick"/>
        </w:rPr>
      </w:pPr>
      <w:r>
        <w:rPr>
          <w:rFonts w:hint="eastAsia"/>
          <w:bCs/>
          <w:color w:val="auto"/>
          <w:sz w:val="30"/>
          <w:szCs w:val="30"/>
          <w:highlight w:val="none"/>
        </w:rPr>
        <w:t>招标代理机构：</w:t>
      </w:r>
      <w:r>
        <w:rPr>
          <w:rFonts w:hint="eastAsia" w:ascii="宋体"/>
          <w:color w:val="auto"/>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7</w:t>
      </w:r>
      <w:r>
        <w:rPr>
          <w:rFonts w:hint="eastAsia" w:ascii="宋体" w:hAnsi="宋体"/>
          <w:color w:val="auto"/>
          <w:sz w:val="30"/>
          <w:szCs w:val="30"/>
          <w:highlight w:val="none"/>
        </w:rPr>
        <w:t>月</w:t>
      </w:r>
    </w:p>
    <w:p w14:paraId="68344BF2">
      <w:pPr>
        <w:jc w:val="center"/>
        <w:rPr>
          <w:color w:val="auto"/>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color w:val="auto"/>
          <w:sz w:val="44"/>
          <w:szCs w:val="44"/>
          <w:highlight w:val="none"/>
        </w:rPr>
      </w:pPr>
    </w:p>
    <w:p w14:paraId="09796EC2">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2" w:name="_Toc152042287"/>
      <w:bookmarkStart w:id="13" w:name="_Toc179632527"/>
      <w:bookmarkStart w:id="14" w:name="_Toc144974479"/>
      <w:bookmarkStart w:id="15" w:name="_Toc152045511"/>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第三章  资格审查办法……………………………………………………………</w:t>
      </w:r>
      <w:r>
        <w:rPr>
          <w:rFonts w:hint="eastAsia" w:ascii="宋体" w:hAnsi="宋体" w:cs="宋体"/>
          <w:color w:val="auto"/>
          <w:kern w:val="0"/>
          <w:sz w:val="24"/>
          <w:szCs w:val="24"/>
          <w:highlight w:val="none"/>
          <w:u w:color="000000"/>
          <w:lang w:val="en-US" w:eastAsia="zh-CN" w:bidi="ar"/>
        </w:rPr>
        <w:t>15</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第四章  评标办法…………………………………………………………………1</w:t>
      </w:r>
      <w:r>
        <w:rPr>
          <w:rFonts w:hint="eastAsia" w:ascii="宋体" w:hAnsi="宋体" w:cs="宋体"/>
          <w:color w:val="auto"/>
          <w:kern w:val="0"/>
          <w:sz w:val="24"/>
          <w:szCs w:val="24"/>
          <w:highlight w:val="none"/>
          <w:u w:color="000000"/>
          <w:lang w:val="en-US" w:eastAsia="zh-CN" w:bidi="ar"/>
        </w:rPr>
        <w:t>6</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第五章  采购需求…………………………………………………………………</w:t>
      </w:r>
      <w:r>
        <w:rPr>
          <w:rFonts w:hint="eastAsia" w:ascii="宋体" w:hAnsi="宋体" w:cs="宋体"/>
          <w:color w:val="auto"/>
          <w:kern w:val="0"/>
          <w:sz w:val="24"/>
          <w:szCs w:val="24"/>
          <w:highlight w:val="none"/>
          <w:u w:color="000000"/>
          <w:lang w:val="en-US" w:eastAsia="zh-CN" w:bidi="ar"/>
        </w:rPr>
        <w:t>23</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第六章  合同条款及格式…………………………………………………………2</w:t>
      </w:r>
      <w:r>
        <w:rPr>
          <w:rFonts w:hint="eastAsia" w:ascii="宋体" w:hAnsi="宋体" w:cs="宋体"/>
          <w:color w:val="auto"/>
          <w:kern w:val="0"/>
          <w:sz w:val="24"/>
          <w:szCs w:val="24"/>
          <w:highlight w:val="none"/>
          <w:u w:color="000000"/>
          <w:lang w:val="en-US" w:eastAsia="zh-CN" w:bidi="ar"/>
        </w:rPr>
        <w:t>7</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第七章  投标文件格式……………………………………………………………</w:t>
      </w:r>
      <w:r>
        <w:rPr>
          <w:rFonts w:hint="eastAsia" w:ascii="宋体" w:hAnsi="宋体" w:cs="宋体"/>
          <w:color w:val="auto"/>
          <w:kern w:val="0"/>
          <w:sz w:val="24"/>
          <w:szCs w:val="24"/>
          <w:highlight w:val="none"/>
          <w:u w:color="000000"/>
          <w:lang w:val="en-US" w:eastAsia="zh-CN" w:bidi="ar"/>
        </w:rPr>
        <w:t>33</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第八章  招标人、招标代理机构对本招标文件的确认…………………………</w:t>
      </w:r>
      <w:r>
        <w:rPr>
          <w:rFonts w:hint="eastAsia" w:ascii="宋体" w:hAnsi="宋体" w:cs="宋体"/>
          <w:color w:val="auto"/>
          <w:kern w:val="0"/>
          <w:sz w:val="24"/>
          <w:szCs w:val="24"/>
          <w:highlight w:val="none"/>
          <w:u w:color="000000"/>
          <w:lang w:val="en-US" w:eastAsia="zh-CN" w:bidi="ar"/>
        </w:rPr>
        <w:t>45</w:t>
      </w:r>
    </w:p>
    <w:p w14:paraId="6F3E9F9B">
      <w:pPr>
        <w:pStyle w:val="14"/>
        <w:spacing w:line="700" w:lineRule="exact"/>
        <w:ind w:left="0" w:leftChars="0" w:firstLine="480"/>
        <w:jc w:val="left"/>
        <w:rPr>
          <w:color w:val="auto"/>
          <w:sz w:val="24"/>
          <w:szCs w:val="24"/>
          <w:highlight w:val="none"/>
        </w:rPr>
      </w:pPr>
    </w:p>
    <w:p w14:paraId="3004C8EC">
      <w:pPr>
        <w:pStyle w:val="45"/>
        <w:spacing w:line="700" w:lineRule="exact"/>
        <w:jc w:val="left"/>
        <w:rPr>
          <w:color w:val="auto"/>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5"/>
        <w:spacing w:beforeLines="50" w:afterLines="50" w:line="440" w:lineRule="exact"/>
        <w:rPr>
          <w:rFonts w:hint="eastAsia"/>
          <w:bCs/>
          <w:color w:val="auto"/>
          <w:szCs w:val="32"/>
          <w:highlight w:val="none"/>
          <w:lang w:val="en-US"/>
        </w:rPr>
      </w:pPr>
      <w:bookmarkStart w:id="16" w:name="_Toc506107267"/>
      <w:bookmarkStart w:id="17" w:name="_Toc35424883"/>
      <w:bookmarkStart w:id="18" w:name="_Toc152045527"/>
      <w:bookmarkStart w:id="19" w:name="_Toc78803321"/>
      <w:bookmarkStart w:id="20" w:name="_Toc179632544"/>
      <w:bookmarkStart w:id="21" w:name="_Toc324404813"/>
      <w:bookmarkStart w:id="22" w:name="_Toc246996916"/>
      <w:bookmarkStart w:id="23" w:name="_Toc246996173"/>
      <w:bookmarkStart w:id="24" w:name="_Toc15058844"/>
      <w:bookmarkStart w:id="25" w:name="_Toc247085687"/>
      <w:bookmarkStart w:id="26" w:name="_Toc152042303"/>
      <w:bookmarkStart w:id="27" w:name="_Toc144974495"/>
      <w:bookmarkStart w:id="28" w:name="_Toc35425050"/>
      <w:r>
        <w:rPr>
          <w:rFonts w:hint="eastAsia"/>
          <w:bCs/>
          <w:color w:val="auto"/>
          <w:szCs w:val="32"/>
          <w:highlight w:val="none"/>
          <w:lang w:eastAsia="zh-CN"/>
        </w:rPr>
        <w:t>第一章</w:t>
      </w:r>
      <w:r>
        <w:rPr>
          <w:rFonts w:hint="eastAsia"/>
          <w:bCs/>
          <w:color w:val="auto"/>
          <w:szCs w:val="32"/>
          <w:highlight w:val="none"/>
          <w:lang w:val="en-US"/>
        </w:rPr>
        <w:t xml:space="preserve">  </w:t>
      </w:r>
      <w:bookmarkStart w:id="29" w:name="_Toc7358"/>
      <w:bookmarkEnd w:id="29"/>
      <w:bookmarkStart w:id="30" w:name="_Toc18980_WPSOffice_Level1"/>
      <w:bookmarkEnd w:id="30"/>
      <w:r>
        <w:rPr>
          <w:rFonts w:hint="eastAsia"/>
          <w:bCs/>
          <w:color w:val="auto"/>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31" w:name="_Toc28359079"/>
      <w:bookmarkEnd w:id="31"/>
      <w:bookmarkStart w:id="32" w:name="_Toc28359002"/>
      <w:bookmarkEnd w:id="32"/>
      <w:bookmarkStart w:id="33" w:name="_Toc35393621"/>
      <w:bookmarkEnd w:id="33"/>
      <w:bookmarkStart w:id="34" w:name="_Toc58430305"/>
      <w:bookmarkEnd w:id="34"/>
      <w:bookmarkStart w:id="35" w:name="_Toc35393790"/>
      <w:r>
        <w:rPr>
          <w:rFonts w:hint="eastAsia" w:ascii="宋体" w:hAnsi="宋体" w:eastAsia="宋体" w:cs="宋体"/>
          <w:color w:val="auto"/>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cs="宋体"/>
          <w:color w:val="auto"/>
          <w:kern w:val="0"/>
          <w:sz w:val="24"/>
          <w:szCs w:val="24"/>
          <w:highlight w:val="none"/>
          <w:u w:color="000000"/>
          <w:lang w:val="en-US" w:eastAsia="zh-CN" w:bidi="ar"/>
        </w:rPr>
        <w:t>滁州至南京城际铁路（滁州段）多站点廉洁主题设计施工一体化项目</w:t>
      </w:r>
      <w:r>
        <w:rPr>
          <w:rFonts w:hint="eastAsia" w:ascii="宋体" w:hAnsi="宋体" w:eastAsia="宋体" w:cs="宋体"/>
          <w:color w:val="auto"/>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auto"/>
          <w:kern w:val="0"/>
          <w:sz w:val="24"/>
          <w:szCs w:val="24"/>
          <w:highlight w:val="none"/>
          <w:u w:color="000000"/>
          <w:lang w:val="en-US" w:eastAsia="zh-CN" w:bidi="ar"/>
        </w:rPr>
        <w:t>26</w:t>
      </w:r>
      <w:r>
        <w:rPr>
          <w:rFonts w:hint="eastAsia" w:ascii="宋体" w:hAnsi="宋体" w:eastAsia="宋体" w:cs="宋体"/>
          <w:color w:val="auto"/>
          <w:kern w:val="0"/>
          <w:sz w:val="24"/>
          <w:szCs w:val="24"/>
          <w:highlight w:val="none"/>
          <w:u w:color="000000"/>
          <w:lang w:val="en-US" w:eastAsia="zh-CN" w:bidi="ar"/>
        </w:rPr>
        <w:t>年</w:t>
      </w:r>
      <w:r>
        <w:rPr>
          <w:rFonts w:hint="eastAsia" w:ascii="宋体" w:hAnsi="宋体" w:cs="宋体"/>
          <w:color w:val="auto"/>
          <w:kern w:val="0"/>
          <w:sz w:val="24"/>
          <w:szCs w:val="24"/>
          <w:highlight w:val="none"/>
          <w:u w:color="000000"/>
          <w:lang w:val="en-US" w:eastAsia="zh-CN" w:bidi="ar"/>
        </w:rPr>
        <w:t>8</w:t>
      </w:r>
      <w:r>
        <w:rPr>
          <w:rFonts w:hint="eastAsia" w:ascii="宋体" w:hAnsi="宋体" w:eastAsia="宋体" w:cs="宋体"/>
          <w:color w:val="auto"/>
          <w:kern w:val="0"/>
          <w:sz w:val="24"/>
          <w:szCs w:val="24"/>
          <w:highlight w:val="none"/>
          <w:u w:color="000000"/>
          <w:lang w:val="en-US" w:eastAsia="zh-CN" w:bidi="ar"/>
        </w:rPr>
        <w:t>月</w:t>
      </w:r>
      <w:r>
        <w:rPr>
          <w:rFonts w:hint="eastAsia" w:ascii="宋体" w:hAnsi="宋体" w:cs="宋体"/>
          <w:color w:val="auto"/>
          <w:kern w:val="0"/>
          <w:sz w:val="24"/>
          <w:szCs w:val="24"/>
          <w:highlight w:val="none"/>
          <w:u w:color="000000"/>
          <w:lang w:val="en-US" w:eastAsia="zh-CN" w:bidi="ar"/>
        </w:rPr>
        <w:t>18</w:t>
      </w:r>
      <w:r>
        <w:rPr>
          <w:rFonts w:hint="eastAsia" w:ascii="宋体" w:hAnsi="宋体" w:eastAsia="宋体" w:cs="宋体"/>
          <w:color w:val="auto"/>
          <w:kern w:val="0"/>
          <w:sz w:val="24"/>
          <w:szCs w:val="24"/>
          <w:highlight w:val="none"/>
          <w:u w:color="000000"/>
          <w:lang w:val="en-US" w:eastAsia="zh-CN" w:bidi="ar"/>
        </w:rPr>
        <w:t>日</w:t>
      </w:r>
      <w:r>
        <w:rPr>
          <w:rFonts w:hint="eastAsia" w:ascii="宋体" w:hAnsi="宋体" w:cs="宋体"/>
          <w:color w:val="auto"/>
          <w:kern w:val="0"/>
          <w:sz w:val="24"/>
          <w:szCs w:val="24"/>
          <w:highlight w:val="none"/>
          <w:u w:color="000000"/>
          <w:lang w:val="en-US" w:eastAsia="zh-CN" w:bidi="ar"/>
        </w:rPr>
        <w:t>9</w:t>
      </w:r>
      <w:r>
        <w:rPr>
          <w:rFonts w:hint="eastAsia" w:ascii="宋体" w:hAnsi="宋体" w:eastAsia="宋体" w:cs="宋体"/>
          <w:color w:val="auto"/>
          <w:kern w:val="0"/>
          <w:sz w:val="24"/>
          <w:szCs w:val="24"/>
          <w:highlight w:val="none"/>
          <w:u w:color="000000"/>
          <w:lang w:val="en-US" w:eastAsia="zh-CN" w:bidi="ar"/>
        </w:rPr>
        <w:t>时</w:t>
      </w:r>
      <w:r>
        <w:rPr>
          <w:rFonts w:hint="eastAsia" w:ascii="宋体" w:hAnsi="宋体" w:cs="宋体"/>
          <w:color w:val="auto"/>
          <w:kern w:val="0"/>
          <w:sz w:val="24"/>
          <w:szCs w:val="24"/>
          <w:highlight w:val="none"/>
          <w:u w:color="000000"/>
          <w:lang w:val="en-US" w:eastAsia="zh-CN" w:bidi="ar"/>
        </w:rPr>
        <w:t>0</w:t>
      </w:r>
      <w:r>
        <w:rPr>
          <w:rFonts w:hint="eastAsia" w:ascii="宋体" w:hAnsi="宋体" w:eastAsia="宋体" w:cs="宋体"/>
          <w:color w:val="auto"/>
          <w:kern w:val="0"/>
          <w:sz w:val="24"/>
          <w:szCs w:val="24"/>
          <w:highlight w:val="none"/>
          <w:u w:color="000000"/>
          <w:lang w:val="en-US" w:eastAsia="zh-CN" w:bidi="ar"/>
        </w:rPr>
        <w:t>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项目名称：滁州至南京城际铁路（滁州段）多站点廉洁主题设计施工一体化项目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预算金额（含税）：600000.00元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最高限价（含税）：本项目最高限价为（人民币）600000.00元，投标报价不得超过最高限价，否则按无效投标处理。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采购需求：</w:t>
      </w:r>
      <w:r>
        <w:rPr>
          <w:rFonts w:hint="eastAsia" w:ascii="宋体" w:hAnsi="宋体" w:cs="宋体"/>
          <w:b w:val="0"/>
          <w:bCs w:val="0"/>
          <w:color w:val="auto"/>
          <w:kern w:val="0"/>
          <w:sz w:val="24"/>
          <w:szCs w:val="24"/>
          <w:highlight w:val="none"/>
          <w:u w:color="000000"/>
          <w:lang w:val="en-US" w:eastAsia="zh-CN" w:bidi="ar"/>
        </w:rPr>
        <w:t>详见采购需求。</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cs="宋体"/>
          <w:b w:val="0"/>
          <w:bCs w:val="0"/>
          <w:color w:val="auto"/>
          <w:kern w:val="0"/>
          <w:sz w:val="24"/>
          <w:szCs w:val="24"/>
          <w:highlight w:val="none"/>
          <w:u w:color="000000"/>
          <w:lang w:val="en-US" w:eastAsia="zh-CN" w:bidi="ar"/>
        </w:rPr>
        <w:t>工期</w:t>
      </w:r>
      <w:r>
        <w:rPr>
          <w:rFonts w:hint="eastAsia" w:ascii="宋体" w:hAnsi="宋体" w:eastAsia="宋体" w:cs="宋体"/>
          <w:b w:val="0"/>
          <w:bCs w:val="0"/>
          <w:color w:val="auto"/>
          <w:kern w:val="0"/>
          <w:sz w:val="24"/>
          <w:szCs w:val="24"/>
          <w:highlight w:val="none"/>
          <w:u w:color="000000"/>
          <w:lang w:val="en-US" w:eastAsia="zh-CN" w:bidi="ar"/>
        </w:rPr>
        <w:t>：不高于</w:t>
      </w:r>
      <w:r>
        <w:rPr>
          <w:rFonts w:hint="eastAsia" w:ascii="宋体" w:hAnsi="宋体" w:cs="宋体"/>
          <w:b w:val="0"/>
          <w:bCs w:val="0"/>
          <w:color w:val="auto"/>
          <w:kern w:val="0"/>
          <w:sz w:val="24"/>
          <w:szCs w:val="24"/>
          <w:highlight w:val="none"/>
          <w:u w:color="000000"/>
          <w:lang w:val="en-US" w:eastAsia="zh-CN" w:bidi="ar"/>
        </w:rPr>
        <w:t>9</w:t>
      </w:r>
      <w:r>
        <w:rPr>
          <w:rFonts w:hint="eastAsia" w:ascii="宋体" w:hAnsi="宋体" w:eastAsia="宋体" w:cs="宋体"/>
          <w:b w:val="0"/>
          <w:bCs w:val="0"/>
          <w:color w:val="auto"/>
          <w:kern w:val="0"/>
          <w:sz w:val="24"/>
          <w:szCs w:val="24"/>
          <w:highlight w:val="none"/>
          <w:u w:color="000000"/>
          <w:lang w:val="en-US" w:eastAsia="zh-CN" w:bidi="ar"/>
        </w:rPr>
        <w:t>0个日历天（其中合同签订后</w:t>
      </w:r>
      <w:r>
        <w:rPr>
          <w:rFonts w:hint="eastAsia" w:ascii="宋体" w:hAnsi="宋体" w:cs="宋体"/>
          <w:b w:val="0"/>
          <w:bCs w:val="0"/>
          <w:color w:val="auto"/>
          <w:kern w:val="0"/>
          <w:sz w:val="24"/>
          <w:szCs w:val="24"/>
          <w:highlight w:val="none"/>
          <w:u w:color="000000"/>
          <w:lang w:val="en-US" w:eastAsia="zh-CN" w:bidi="ar"/>
        </w:rPr>
        <w:t>10</w:t>
      </w:r>
      <w:r>
        <w:rPr>
          <w:rFonts w:hint="eastAsia" w:ascii="宋体" w:hAnsi="宋体" w:eastAsia="宋体" w:cs="宋体"/>
          <w:b w:val="0"/>
          <w:bCs w:val="0"/>
          <w:color w:val="auto"/>
          <w:kern w:val="0"/>
          <w:sz w:val="24"/>
          <w:szCs w:val="24"/>
          <w:highlight w:val="none"/>
          <w:u w:color="000000"/>
          <w:lang w:val="en-US" w:eastAsia="zh-CN" w:bidi="ar"/>
        </w:rPr>
        <w:t>个日历天内完成方案设计文本；方案设计成果通过审核后</w:t>
      </w:r>
      <w:r>
        <w:rPr>
          <w:rFonts w:hint="eastAsia" w:ascii="宋体" w:hAnsi="宋体" w:cs="宋体"/>
          <w:b w:val="0"/>
          <w:bCs w:val="0"/>
          <w:color w:val="auto"/>
          <w:kern w:val="0"/>
          <w:sz w:val="24"/>
          <w:szCs w:val="24"/>
          <w:highlight w:val="none"/>
          <w:u w:color="000000"/>
          <w:lang w:val="en-US" w:eastAsia="zh-CN" w:bidi="ar"/>
        </w:rPr>
        <w:t>2</w:t>
      </w:r>
      <w:r>
        <w:rPr>
          <w:rFonts w:hint="eastAsia" w:ascii="宋体" w:hAnsi="宋体" w:eastAsia="宋体" w:cs="宋体"/>
          <w:b w:val="0"/>
          <w:bCs w:val="0"/>
          <w:color w:val="auto"/>
          <w:kern w:val="0"/>
          <w:sz w:val="24"/>
          <w:szCs w:val="24"/>
          <w:highlight w:val="none"/>
          <w:u w:color="000000"/>
          <w:lang w:val="en-US" w:eastAsia="zh-CN" w:bidi="ar"/>
        </w:rPr>
        <w:t>0个日历天内，完成深化设计文件编制并提交成果文件；</w:t>
      </w:r>
      <w:r>
        <w:rPr>
          <w:rFonts w:hint="eastAsia" w:ascii="宋体" w:hAnsi="宋体" w:cs="宋体"/>
          <w:b w:val="0"/>
          <w:bCs w:val="0"/>
          <w:color w:val="auto"/>
          <w:kern w:val="0"/>
          <w:sz w:val="24"/>
          <w:szCs w:val="24"/>
          <w:highlight w:val="none"/>
          <w:u w:color="000000"/>
          <w:lang w:val="en-US" w:eastAsia="zh-CN" w:bidi="ar"/>
        </w:rPr>
        <w:t>60</w:t>
      </w:r>
      <w:r>
        <w:rPr>
          <w:rFonts w:hint="eastAsia" w:ascii="宋体" w:hAnsi="宋体" w:eastAsia="宋体" w:cs="宋体"/>
          <w:b w:val="0"/>
          <w:bCs w:val="0"/>
          <w:color w:val="auto"/>
          <w:kern w:val="0"/>
          <w:sz w:val="24"/>
          <w:szCs w:val="24"/>
          <w:highlight w:val="none"/>
          <w:u w:color="000000"/>
          <w:lang w:val="en-US" w:eastAsia="zh-CN" w:bidi="ar"/>
        </w:rPr>
        <w:t>个日历天内内完成施工）。</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二、</w:t>
      </w:r>
      <w:r>
        <w:rPr>
          <w:rFonts w:hint="eastAsia" w:ascii="宋体" w:hAnsi="宋体" w:eastAsia="宋体" w:cs="宋体"/>
          <w:b/>
          <w:bCs w:val="0"/>
          <w:color w:val="auto"/>
          <w:kern w:val="0"/>
          <w:sz w:val="24"/>
          <w:szCs w:val="24"/>
          <w:highlight w:val="none"/>
          <w:u w:color="000000"/>
          <w:lang w:val="en-US" w:eastAsia="zh-CN" w:bidi="ar"/>
        </w:rPr>
        <w:t>申请人的资格要求</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1.投标人须具有独立法人资格且具备相应服务能力。</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7</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28</w:t>
      </w:r>
      <w:r>
        <w:rPr>
          <w:rFonts w:hint="eastAsia" w:ascii="宋体" w:hAnsi="宋体" w:eastAsia="宋体" w:cs="宋体"/>
          <w:color w:val="auto"/>
          <w:kern w:val="0"/>
          <w:sz w:val="24"/>
          <w:szCs w:val="24"/>
          <w:highlight w:val="none"/>
          <w:u w:val="single" w:color="000000"/>
          <w:lang w:val="en-US" w:eastAsia="zh-CN" w:bidi="ar"/>
        </w:rPr>
        <w:t>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8</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18</w:t>
      </w:r>
      <w:r>
        <w:rPr>
          <w:rFonts w:hint="eastAsia" w:ascii="宋体" w:hAnsi="宋体" w:eastAsia="宋体" w:cs="宋体"/>
          <w:color w:val="auto"/>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color w:val="auto"/>
          <w:sz w:val="24"/>
          <w:szCs w:val="24"/>
          <w:highlight w:val="none"/>
          <w:lang w:val="en-US"/>
        </w:rPr>
      </w:pPr>
      <w:bookmarkStart w:id="36" w:name="_Toc58430308"/>
      <w:bookmarkEnd w:id="36"/>
      <w:bookmarkStart w:id="37" w:name="_Toc28359082"/>
      <w:bookmarkEnd w:id="37"/>
      <w:bookmarkStart w:id="38" w:name="_Toc28359005"/>
      <w:bookmarkEnd w:id="38"/>
      <w:bookmarkStart w:id="39" w:name="_Toc35393793"/>
      <w:bookmarkEnd w:id="39"/>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截止时间：</w:t>
      </w:r>
      <w:r>
        <w:rPr>
          <w:rFonts w:hint="eastAsia" w:ascii="宋体" w:hAnsi="宋体" w:eastAsia="宋体" w:cs="宋体"/>
          <w:bCs/>
          <w:color w:val="auto"/>
          <w:kern w:val="0"/>
          <w:sz w:val="24"/>
          <w:szCs w:val="24"/>
          <w:highlight w:val="none"/>
          <w:u w:val="single" w:color="000000"/>
          <w:lang w:val="en-US" w:eastAsia="zh-CN" w:bidi="ar"/>
        </w:rPr>
        <w:t>2026年</w:t>
      </w:r>
      <w:r>
        <w:rPr>
          <w:rFonts w:hint="eastAsia" w:ascii="宋体" w:hAnsi="宋体" w:cs="宋体"/>
          <w:bCs/>
          <w:color w:val="auto"/>
          <w:kern w:val="0"/>
          <w:sz w:val="24"/>
          <w:szCs w:val="24"/>
          <w:highlight w:val="none"/>
          <w:u w:val="single" w:color="000000"/>
          <w:lang w:val="en-US" w:eastAsia="zh-CN" w:bidi="ar"/>
        </w:rPr>
        <w:t xml:space="preserve">8 </w:t>
      </w:r>
      <w:r>
        <w:rPr>
          <w:rFonts w:hint="eastAsia" w:ascii="宋体" w:hAnsi="宋体" w:eastAsia="宋体" w:cs="宋体"/>
          <w:bCs/>
          <w:color w:val="auto"/>
          <w:kern w:val="0"/>
          <w:sz w:val="24"/>
          <w:szCs w:val="24"/>
          <w:highlight w:val="none"/>
          <w:u w:val="single" w:color="000000"/>
          <w:lang w:val="en-US" w:eastAsia="zh-CN" w:bidi="ar"/>
        </w:rPr>
        <w:t>月</w:t>
      </w:r>
      <w:r>
        <w:rPr>
          <w:rFonts w:hint="eastAsia" w:ascii="宋体" w:hAnsi="宋体" w:cs="宋体"/>
          <w:bCs/>
          <w:color w:val="auto"/>
          <w:kern w:val="0"/>
          <w:sz w:val="24"/>
          <w:szCs w:val="24"/>
          <w:highlight w:val="none"/>
          <w:u w:val="single" w:color="000000"/>
          <w:lang w:val="en-US" w:eastAsia="zh-CN" w:bidi="ar"/>
        </w:rPr>
        <w:t>18</w:t>
      </w:r>
      <w:r>
        <w:rPr>
          <w:rFonts w:hint="eastAsia" w:ascii="宋体" w:hAnsi="宋体" w:eastAsia="宋体" w:cs="宋体"/>
          <w:bCs/>
          <w:color w:val="auto"/>
          <w:kern w:val="0"/>
          <w:sz w:val="24"/>
          <w:szCs w:val="24"/>
          <w:highlight w:val="none"/>
          <w:u w:val="single" w:color="000000"/>
          <w:lang w:val="en-US" w:eastAsia="zh-CN" w:bidi="ar"/>
        </w:rPr>
        <w:t>日9时00分</w:t>
      </w:r>
      <w:r>
        <w:rPr>
          <w:rFonts w:hint="eastAsia" w:ascii="宋体" w:hAnsi="宋体" w:eastAsia="宋体" w:cs="宋体"/>
          <w:bCs/>
          <w:color w:val="auto"/>
          <w:kern w:val="0"/>
          <w:sz w:val="24"/>
          <w:szCs w:val="24"/>
          <w:highlight w:val="none"/>
          <w:u w:color="000000"/>
          <w:lang w:val="en-US" w:eastAsia="zh-CN" w:bidi="ar"/>
        </w:rPr>
        <w:t>（北京时间）</w:t>
      </w:r>
    </w:p>
    <w:p w14:paraId="5277FFE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地点：滁州市龙蟠大道109号（房产商务大厦）6楼622会议室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kern w:val="0"/>
          <w:sz w:val="24"/>
          <w:szCs w:val="24"/>
          <w:highlight w:val="none"/>
          <w:u w:color="000000"/>
          <w:lang w:val="en-US" w:eastAsia="zh-CN" w:bidi="ar"/>
        </w:rPr>
        <w:fldChar w:fldCharType="begin"/>
      </w:r>
      <w:r>
        <w:rPr>
          <w:rFonts w:hint="eastAsia" w:ascii="宋体" w:hAnsi="宋体" w:eastAsia="宋体" w:cs="宋体"/>
          <w:color w:val="auto"/>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auto"/>
          <w:kern w:val="0"/>
          <w:sz w:val="24"/>
          <w:szCs w:val="24"/>
          <w:highlight w:val="none"/>
          <w:u w:color="000000"/>
          <w:lang w:val="en-US" w:eastAsia="zh-CN" w:bidi="ar"/>
        </w:rPr>
        <w:fldChar w:fldCharType="separate"/>
      </w:r>
      <w:r>
        <w:rPr>
          <w:rFonts w:hint="eastAsia" w:ascii="宋体" w:hAnsi="宋体" w:eastAsia="宋体" w:cs="宋体"/>
          <w:color w:val="auto"/>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auto"/>
          <w:kern w:val="0"/>
          <w:sz w:val="24"/>
          <w:szCs w:val="24"/>
          <w:highlight w:val="none"/>
          <w:u w:color="000000"/>
          <w:lang w:val="en-US" w:eastAsia="zh-CN" w:bidi="ar"/>
        </w:rPr>
        <w:fldChar w:fldCharType="end"/>
      </w:r>
      <w:r>
        <w:rPr>
          <w:rFonts w:hint="eastAsia" w:ascii="宋体" w:hAnsi="宋体" w:eastAsia="宋体" w:cs="宋体"/>
          <w:color w:val="auto"/>
          <w:kern w:val="0"/>
          <w:sz w:val="24"/>
          <w:szCs w:val="24"/>
          <w:highlight w:val="none"/>
          <w:u w:color="000000"/>
          <w:lang w:val="en-US" w:eastAsia="zh-CN" w:bidi="ar"/>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是否要求投标人提交投标保证金：不要求。</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bookmarkStart w:id="40" w:name="_Toc28359087"/>
      <w:r>
        <w:rPr>
          <w:rFonts w:hint="eastAsia" w:ascii="宋体" w:hAnsi="宋体" w:eastAsia="宋体" w:cs="宋体"/>
          <w:bCs/>
          <w:color w:val="auto"/>
          <w:kern w:val="0"/>
          <w:sz w:val="24"/>
          <w:highlight w:val="none"/>
          <w:u w:color="000000"/>
          <w:lang w:bidi="ar"/>
        </w:rPr>
        <w:t>名称：</w:t>
      </w:r>
      <w:r>
        <w:rPr>
          <w:rFonts w:hint="eastAsia" w:ascii="宋体" w:hAnsi="宋体" w:eastAsia="宋体" w:cs="宋体"/>
          <w:bCs/>
          <w:color w:val="auto"/>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地址：</w:t>
      </w:r>
      <w:r>
        <w:rPr>
          <w:rFonts w:hint="eastAsia" w:ascii="宋体" w:hAnsi="宋体" w:eastAsia="宋体" w:cs="宋体"/>
          <w:bCs/>
          <w:color w:val="auto"/>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联系方式：</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40"/>
      <w:r>
        <w:rPr>
          <w:rFonts w:hint="eastAsia" w:ascii="宋体" w:hAnsi="宋体" w:eastAsia="宋体" w:cs="宋体"/>
          <w:bCs/>
          <w:color w:val="auto"/>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eastAsia="宋体" w:cs="宋体"/>
          <w:bCs/>
          <w:color w:val="auto"/>
          <w:kern w:val="0"/>
          <w:sz w:val="24"/>
          <w:highlight w:val="none"/>
          <w:u w:color="000000"/>
          <w:lang w:eastAsia="zh-CN" w:bidi="ar"/>
        </w:rPr>
        <w:t>杨雅辰</w:t>
      </w:r>
      <w:r>
        <w:rPr>
          <w:rFonts w:hint="eastAsia" w:ascii="宋体" w:hAnsi="宋体" w:eastAsia="宋体" w:cs="宋体"/>
          <w:bCs/>
          <w:color w:val="auto"/>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电话：</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、18005505728</w:t>
      </w:r>
    </w:p>
    <w:p w14:paraId="3833BBB4">
      <w:pPr>
        <w:keepNext w:val="0"/>
        <w:keepLines w:val="0"/>
        <w:pageBreakBefore w:val="0"/>
        <w:widowControl/>
        <w:kinsoku/>
        <w:wordWrap w:val="0"/>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val="en-US" w:eastAsia="zh-CN" w:bidi="ar"/>
        </w:rPr>
      </w:pPr>
      <w:r>
        <w:rPr>
          <w:rFonts w:hint="eastAsia" w:ascii="宋体" w:hAnsi="宋体" w:cs="宋体"/>
          <w:bCs/>
          <w:color w:val="auto"/>
          <w:kern w:val="0"/>
          <w:sz w:val="24"/>
          <w:highlight w:val="none"/>
          <w:u w:color="000000"/>
          <w:lang w:val="en-US" w:eastAsia="zh-CN" w:bidi="ar"/>
        </w:rPr>
        <w:t>附件：图纸（网盘链接: https://pan.baidu.com/s/1KCNkInJrxNr9Qxg6AL7UNg?pwd=7bnk 提取码: 7bnk）</w:t>
      </w:r>
    </w:p>
    <w:p w14:paraId="7C1F8FDB">
      <w:pPr>
        <w:pStyle w:val="45"/>
        <w:spacing w:beforeLines="50" w:afterLines="50" w:line="440" w:lineRule="exact"/>
        <w:jc w:val="both"/>
        <w:rPr>
          <w:rFonts w:hint="eastAsia"/>
          <w:bCs/>
          <w:color w:val="auto"/>
          <w:szCs w:val="32"/>
          <w:highlight w:val="none"/>
          <w:lang w:val="en-US" w:eastAsia="zh-CN"/>
        </w:rPr>
      </w:pPr>
      <w:bookmarkStart w:id="273" w:name="_GoBack"/>
      <w:bookmarkEnd w:id="273"/>
      <w:r>
        <w:rPr>
          <w:rFonts w:hint="eastAsia"/>
          <w:bCs/>
          <w:color w:val="auto"/>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color w:val="auto"/>
          <w:szCs w:val="32"/>
          <w:highlight w:val="none"/>
          <w:lang w:val="en-US" w:eastAsia="zh-CN"/>
        </w:rPr>
        <w:t xml:space="preserve">  第二章 投标人须知</w:t>
      </w:r>
      <w:bookmarkStart w:id="43" w:name="_Toc9559"/>
      <w:bookmarkEnd w:id="43"/>
      <w:bookmarkStart w:id="44" w:name="_Toc35425051"/>
      <w:bookmarkStart w:id="45" w:name="_Toc324404814"/>
      <w:bookmarkStart w:id="46" w:name="_Toc506107268"/>
      <w:bookmarkStart w:id="47" w:name="_Toc35424884"/>
      <w:bookmarkStart w:id="48" w:name="_Toc246996174"/>
      <w:bookmarkStart w:id="49" w:name="_Toc152045528"/>
      <w:bookmarkStart w:id="50" w:name="_Toc144974496"/>
      <w:bookmarkStart w:id="51" w:name="_Toc247085688"/>
      <w:bookmarkStart w:id="52" w:name="_Toc179632545"/>
      <w:bookmarkStart w:id="53" w:name="_Toc246996917"/>
      <w:bookmarkStart w:id="54" w:name="_Toc152042304"/>
      <w:bookmarkStart w:id="55" w:name="_Toc15058845"/>
    </w:p>
    <w:p w14:paraId="594BBBF6">
      <w:pPr>
        <w:pStyle w:val="45"/>
        <w:spacing w:beforeLines="50" w:afterLines="50" w:line="440" w:lineRule="exact"/>
        <w:rPr>
          <w:b/>
          <w:bCs/>
          <w:color w:val="auto"/>
          <w:sz w:val="28"/>
          <w:szCs w:val="28"/>
          <w:highlight w:val="none"/>
        </w:rPr>
      </w:pPr>
      <w:r>
        <w:rPr>
          <w:rFonts w:hint="eastAsia"/>
          <w:b/>
          <w:bCs/>
          <w:color w:val="auto"/>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8"/>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bookmarkStart w:id="56" w:name="_Toc152045529"/>
            <w:bookmarkStart w:id="57" w:name="_Toc324404815"/>
            <w:bookmarkStart w:id="58" w:name="_Toc15058846"/>
            <w:bookmarkStart w:id="59" w:name="_Toc5813"/>
            <w:bookmarkStart w:id="60" w:name="_Toc246996175"/>
            <w:bookmarkStart w:id="61" w:name="_Toc78803322"/>
            <w:bookmarkStart w:id="62" w:name="_Toc179632546"/>
            <w:bookmarkStart w:id="63" w:name="_Toc506107269"/>
            <w:bookmarkStart w:id="64" w:name="_Toc35424887"/>
            <w:bookmarkStart w:id="65" w:name="_Toc144974497"/>
            <w:bookmarkStart w:id="66" w:name="_Toc152042305"/>
            <w:bookmarkStart w:id="67" w:name="_Toc246996918"/>
            <w:bookmarkStart w:id="68" w:name="_Toc247085689"/>
            <w:bookmarkStart w:id="69" w:name="_Toc35425053"/>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color w:val="auto"/>
                <w:highlight w:val="none"/>
                <w:lang w:val="en-US" w:eastAsia="zh-CN"/>
              </w:rPr>
            </w:pPr>
            <w:r>
              <w:rPr>
                <w:rFonts w:hint="eastAsia" w:cs="Times New Roman"/>
                <w:color w:val="auto"/>
                <w:highlight w:val="none"/>
                <w:lang w:val="en-US" w:eastAsia="zh-CN"/>
              </w:rPr>
              <w:t>滁州至南京城际铁路（滁州段）多站点廉洁主题设计施工一体化项目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color w:val="auto"/>
                <w:highlight w:val="none"/>
                <w:lang w:val="en-US"/>
              </w:rPr>
            </w:pPr>
            <w:r>
              <w:rPr>
                <w:rFonts w:hint="eastAsia" w:cs="Times New Roman"/>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建项目</w:t>
            </w:r>
            <w:r>
              <w:rPr>
                <w:rFonts w:cs="Times New Roman"/>
                <w:color w:val="auto"/>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auto"/>
                <w:highlight w:val="none"/>
                <w:lang w:val="en-US"/>
              </w:rPr>
            </w:pPr>
            <w:r>
              <w:rPr>
                <w:rFonts w:hint="eastAsia" w:ascii="宋体" w:hAnsi="宋体" w:eastAsia="宋体" w:cs="宋体"/>
                <w:color w:val="auto"/>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杨雅辰</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 xml:space="preserve">周蓓蕾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600000.00元（含税）</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本项目最高限价为（人民币）600000.00元（含税），投标报价不得超过最高限价，否则按无效投标处理。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w:t>
            </w:r>
            <w:r>
              <w:rPr>
                <w:rFonts w:hint="eastAsia" w:hAnsi="宋体" w:cs="宋体"/>
                <w:bCs/>
                <w:color w:val="auto"/>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w:t>
            </w:r>
            <w:r>
              <w:rPr>
                <w:rFonts w:hint="eastAsia" w:cs="Times New Roman"/>
                <w:color w:val="auto"/>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详见第一章“招标公告”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D989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组织，踏勘时间：</w:t>
            </w:r>
            <w:r>
              <w:rPr>
                <w:rFonts w:hint="eastAsia" w:ascii="宋体" w:hAnsi="宋体" w:cs="宋体"/>
                <w:color w:val="auto"/>
                <w:kern w:val="2"/>
                <w:sz w:val="21"/>
                <w:szCs w:val="21"/>
                <w:highlight w:val="none"/>
                <w:u w:color="000000"/>
                <w:lang w:val="en-US" w:eastAsia="zh-CN" w:bidi="ar"/>
              </w:rPr>
              <w:t>2026年8月4日8时30分</w:t>
            </w:r>
          </w:p>
          <w:p w14:paraId="693454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 xml:space="preserve">      踏勘集中地点：苏滁商务中心站1号口</w:t>
            </w:r>
          </w:p>
          <w:p w14:paraId="62139B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firstLine="630" w:firstLineChars="30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联系人及联系电话：杨雅辰 13339207910</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color w:val="auto"/>
                <w:highlight w:val="none"/>
                <w:lang w:val="en-US"/>
              </w:rPr>
            </w:pPr>
            <w:r>
              <w:rPr>
                <w:rFonts w:hint="eastAsia" w:ascii="宋体" w:hAnsi="宋体" w:eastAsia="宋体" w:cs="宋体"/>
                <w:b w:val="0"/>
                <w:bCs w:val="0"/>
                <w:color w:val="auto"/>
                <w:highlight w:val="none"/>
              </w:rPr>
              <w:t>如投标人对招标文件有疑问，请于</w:t>
            </w:r>
            <w:r>
              <w:rPr>
                <w:rFonts w:hint="eastAsia" w:ascii="宋体" w:hAnsi="宋体" w:eastAsia="宋体" w:cs="宋体"/>
                <w:b w:val="0"/>
                <w:bCs w:val="0"/>
                <w:color w:val="auto"/>
                <w:highlight w:val="none"/>
                <w:lang w:val="en-US"/>
              </w:rPr>
              <w:t>202</w:t>
            </w:r>
            <w:r>
              <w:rPr>
                <w:rFonts w:hint="eastAsia" w:ascii="宋体" w:hAnsi="宋体" w:cs="宋体"/>
                <w:b w:val="0"/>
                <w:bCs w:val="0"/>
                <w:color w:val="auto"/>
                <w:highlight w:val="none"/>
                <w:lang w:val="en-US" w:eastAsia="zh-CN"/>
              </w:rPr>
              <w:t>6</w:t>
            </w:r>
            <w:r>
              <w:rPr>
                <w:rFonts w:hint="eastAsia" w:ascii="宋体" w:hAnsi="宋体" w:eastAsia="宋体" w:cs="宋体"/>
                <w:b w:val="0"/>
                <w:bCs w:val="0"/>
                <w:color w:val="auto"/>
                <w:highlight w:val="none"/>
              </w:rPr>
              <w:t>年</w:t>
            </w:r>
            <w:r>
              <w:rPr>
                <w:rFonts w:hint="eastAsia" w:ascii="宋体" w:hAnsi="宋体" w:cs="宋体"/>
                <w:b w:val="0"/>
                <w:bCs w:val="0"/>
                <w:color w:val="auto"/>
                <w:highlight w:val="none"/>
                <w:lang w:val="en-US" w:eastAsia="zh-CN"/>
              </w:rPr>
              <w:t>8</w:t>
            </w:r>
            <w:r>
              <w:rPr>
                <w:rFonts w:hint="eastAsia" w:ascii="宋体" w:hAnsi="宋体" w:eastAsia="宋体" w:cs="宋体"/>
                <w:b w:val="0"/>
                <w:bCs w:val="0"/>
                <w:color w:val="auto"/>
                <w:highlight w:val="none"/>
              </w:rPr>
              <w:t>月</w:t>
            </w:r>
            <w:r>
              <w:rPr>
                <w:rFonts w:hint="eastAsia" w:ascii="宋体" w:hAnsi="宋体" w:cs="宋体"/>
                <w:b w:val="0"/>
                <w:bCs w:val="0"/>
                <w:color w:val="auto"/>
                <w:highlight w:val="none"/>
                <w:lang w:val="en-US" w:eastAsia="zh-CN"/>
              </w:rPr>
              <w:t>8</w:t>
            </w:r>
            <w:r>
              <w:rPr>
                <w:rFonts w:hint="eastAsia" w:ascii="宋体" w:hAnsi="宋体" w:eastAsia="宋体" w:cs="宋体"/>
                <w:b w:val="0"/>
                <w:bCs w:val="0"/>
                <w:color w:val="auto"/>
                <w:highlight w:val="none"/>
              </w:rPr>
              <w:t>日</w:t>
            </w:r>
            <w:r>
              <w:rPr>
                <w:rFonts w:hint="eastAsia" w:ascii="宋体" w:hAnsi="宋体" w:eastAsia="宋体" w:cs="宋体"/>
                <w:b w:val="0"/>
                <w:bCs w:val="0"/>
                <w:color w:val="auto"/>
                <w:highlight w:val="none"/>
                <w:lang w:val="en-US"/>
              </w:rPr>
              <w:t>17</w:t>
            </w:r>
            <w:r>
              <w:rPr>
                <w:rFonts w:hint="eastAsia" w:ascii="宋体" w:hAnsi="宋体" w:eastAsia="宋体" w:cs="宋体"/>
                <w:b w:val="0"/>
                <w:bCs w:val="0"/>
                <w:color w:val="auto"/>
                <w:highlight w:val="none"/>
              </w:rPr>
              <w:t>时前将疑问内容以书面的形式加盖投标单位公章，发送至滁州市城投工程咨询管理有限公司邮箱（</w:t>
            </w:r>
            <w:r>
              <w:rPr>
                <w:rFonts w:hint="eastAsia" w:ascii="宋体" w:hAnsi="宋体" w:eastAsia="宋体" w:cs="宋体"/>
                <w:b w:val="0"/>
                <w:bCs w:val="0"/>
                <w:color w:val="auto"/>
                <w:highlight w:val="none"/>
                <w:lang w:val="en-US"/>
              </w:rPr>
              <w:t>czsctzx@163.com</w:t>
            </w:r>
            <w:r>
              <w:rPr>
                <w:rFonts w:hint="eastAsia" w:ascii="宋体" w:hAnsi="宋体" w:eastAsia="宋体" w:cs="宋体"/>
                <w:b w:val="0"/>
                <w:bCs w:val="0"/>
                <w:color w:val="auto"/>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8</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10</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hAnsi="宋体" w:eastAsia="宋体" w:cs="宋体"/>
                <w:color w:val="auto"/>
                <w:szCs w:val="21"/>
                <w:highlight w:val="none"/>
                <w:lang w:eastAsia="zh-CN"/>
              </w:rPr>
              <w:t>滁州市滁宁城际铁路开发建设有限公司</w:t>
            </w:r>
            <w:r>
              <w:rPr>
                <w:rFonts w:hint="eastAsia" w:ascii="宋体" w:hAnsi="宋体" w:eastAsia="宋体" w:cs="宋体"/>
                <w:color w:val="auto"/>
                <w:szCs w:val="21"/>
                <w:highlight w:val="none"/>
                <w:lang w:val="en-US" w:eastAsia="zh-CN"/>
              </w:rPr>
              <w:t>网站</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http://czctgs.cn/</w:t>
            </w:r>
            <w:r>
              <w:rPr>
                <w:rFonts w:hint="eastAsia" w:ascii="宋体" w:hAnsi="宋体" w:eastAsia="宋体" w:cs="宋体"/>
                <w:color w:val="auto"/>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w:t>
            </w:r>
            <w:r>
              <w:rPr>
                <w:rFonts w:hint="eastAsia" w:ascii="宋体" w:hAnsi="宋体" w:cs="宋体"/>
                <w:color w:val="auto"/>
                <w:kern w:val="2"/>
                <w:sz w:val="21"/>
                <w:szCs w:val="21"/>
                <w:highlight w:val="none"/>
                <w:u w:color="000000"/>
                <w:lang w:val="en-US" w:eastAsia="zh-CN" w:bidi="ar"/>
              </w:rPr>
              <w:t>3000</w:t>
            </w:r>
            <w:r>
              <w:rPr>
                <w:rFonts w:hint="eastAsia" w:ascii="宋体" w:hAnsi="宋体" w:eastAsia="宋体" w:cs="宋体"/>
                <w:color w:val="auto"/>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投标有效期为</w:t>
            </w:r>
            <w:r>
              <w:rPr>
                <w:rFonts w:cs="Times New Roman"/>
                <w:color w:val="auto"/>
                <w:highlight w:val="none"/>
                <w:u w:val="single"/>
                <w:lang w:val="en-US"/>
              </w:rPr>
              <w:t xml:space="preserve"> </w:t>
            </w:r>
            <w:r>
              <w:rPr>
                <w:rFonts w:hint="eastAsia" w:cs="Times New Roman"/>
                <w:color w:val="auto"/>
                <w:highlight w:val="none"/>
                <w:u w:val="single"/>
                <w:lang w:val="en-US" w:eastAsia="zh-CN"/>
              </w:rPr>
              <w:t>6</w:t>
            </w:r>
            <w:r>
              <w:rPr>
                <w:rFonts w:cs="Times New Roman"/>
                <w:color w:val="auto"/>
                <w:highlight w:val="none"/>
                <w:u w:val="single"/>
                <w:lang w:val="en-US"/>
              </w:rPr>
              <w:t xml:space="preserve">0 </w:t>
            </w:r>
            <w:r>
              <w:rPr>
                <w:rFonts w:cs="Times New Roman"/>
                <w:color w:val="auto"/>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18</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0分</w:t>
            </w:r>
            <w:r>
              <w:rPr>
                <w:rFonts w:hint="eastAsia" w:ascii="宋体" w:hAnsi="宋体" w:cs="宋体"/>
                <w:bCs/>
                <w:color w:val="auto"/>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开标时间：202</w:t>
            </w:r>
            <w:r>
              <w:rPr>
                <w:rFonts w:hint="eastAsia" w:ascii="宋体" w:hAnsi="宋体" w:cs="宋体"/>
                <w:color w:val="auto"/>
                <w:kern w:val="2"/>
                <w:sz w:val="21"/>
                <w:szCs w:val="21"/>
                <w:highlight w:val="none"/>
                <w:u w:color="000000"/>
                <w:lang w:val="en-US" w:eastAsia="zh-CN" w:bidi="ar"/>
              </w:rPr>
              <w:t>6</w:t>
            </w:r>
            <w:r>
              <w:rPr>
                <w:rFonts w:hint="eastAsia" w:ascii="宋体" w:hAnsi="宋体" w:eastAsia="宋体" w:cs="宋体"/>
                <w:color w:val="auto"/>
                <w:kern w:val="2"/>
                <w:sz w:val="21"/>
                <w:szCs w:val="21"/>
                <w:highlight w:val="none"/>
                <w:u w:color="000000"/>
                <w:lang w:val="en-US" w:eastAsia="zh-CN" w:bidi="ar"/>
              </w:rPr>
              <w:t>年</w:t>
            </w:r>
            <w:r>
              <w:rPr>
                <w:rFonts w:hint="eastAsia" w:ascii="宋体" w:hAnsi="宋体" w:cs="宋体"/>
                <w:color w:val="auto"/>
                <w:kern w:val="2"/>
                <w:sz w:val="21"/>
                <w:szCs w:val="21"/>
                <w:highlight w:val="none"/>
                <w:u w:color="000000"/>
                <w:lang w:val="en-US" w:eastAsia="zh-CN" w:bidi="ar"/>
              </w:rPr>
              <w:t>8</w:t>
            </w:r>
            <w:r>
              <w:rPr>
                <w:rFonts w:hint="eastAsia" w:ascii="宋体" w:hAnsi="宋体" w:eastAsia="宋体" w:cs="宋体"/>
                <w:color w:val="auto"/>
                <w:kern w:val="2"/>
                <w:sz w:val="21"/>
                <w:szCs w:val="21"/>
                <w:highlight w:val="none"/>
                <w:u w:color="000000"/>
                <w:lang w:val="en-US" w:eastAsia="zh-CN" w:bidi="ar"/>
              </w:rPr>
              <w:t>月</w:t>
            </w:r>
            <w:r>
              <w:rPr>
                <w:rFonts w:hint="eastAsia" w:ascii="宋体" w:hAnsi="宋体" w:cs="宋体"/>
                <w:color w:val="auto"/>
                <w:kern w:val="2"/>
                <w:sz w:val="21"/>
                <w:szCs w:val="21"/>
                <w:highlight w:val="none"/>
                <w:u w:color="000000"/>
                <w:lang w:val="en-US" w:eastAsia="zh-CN" w:bidi="ar"/>
              </w:rPr>
              <w:t>18</w:t>
            </w:r>
            <w:r>
              <w:rPr>
                <w:rFonts w:hint="eastAsia" w:ascii="宋体" w:hAnsi="宋体" w:eastAsia="宋体" w:cs="宋体"/>
                <w:color w:val="auto"/>
                <w:kern w:val="2"/>
                <w:sz w:val="21"/>
                <w:szCs w:val="21"/>
                <w:highlight w:val="none"/>
                <w:u w:color="000000"/>
                <w:lang w:val="en-US" w:eastAsia="zh-CN" w:bidi="ar"/>
              </w:rPr>
              <w:t>日</w:t>
            </w:r>
            <w:r>
              <w:rPr>
                <w:rFonts w:hint="eastAsia" w:ascii="宋体" w:hAnsi="宋体" w:cs="宋体"/>
                <w:color w:val="auto"/>
                <w:kern w:val="2"/>
                <w:sz w:val="21"/>
                <w:szCs w:val="21"/>
                <w:highlight w:val="none"/>
                <w:u w:color="000000"/>
                <w:lang w:val="en-US" w:eastAsia="zh-CN" w:bidi="ar"/>
              </w:rPr>
              <w:t>9</w:t>
            </w:r>
            <w:r>
              <w:rPr>
                <w:rFonts w:hint="eastAsia" w:ascii="宋体" w:hAnsi="宋体" w:eastAsia="宋体" w:cs="宋体"/>
                <w:color w:val="auto"/>
                <w:kern w:val="2"/>
                <w:sz w:val="21"/>
                <w:szCs w:val="21"/>
                <w:highlight w:val="none"/>
                <w:u w:color="000000"/>
                <w:lang w:val="en-US" w:eastAsia="zh-CN" w:bidi="ar"/>
              </w:rPr>
              <w:t>时</w:t>
            </w:r>
            <w:r>
              <w:rPr>
                <w:rFonts w:hint="eastAsia" w:ascii="宋体" w:hAnsi="宋体" w:cs="宋体"/>
                <w:color w:val="auto"/>
                <w:kern w:val="2"/>
                <w:sz w:val="21"/>
                <w:szCs w:val="21"/>
                <w:highlight w:val="none"/>
                <w:u w:color="000000"/>
                <w:lang w:val="en-US" w:eastAsia="zh-CN" w:bidi="ar"/>
              </w:rPr>
              <w:t>0</w:t>
            </w:r>
            <w:r>
              <w:rPr>
                <w:rFonts w:hint="eastAsia" w:ascii="宋体" w:hAnsi="宋体" w:eastAsia="宋体" w:cs="宋体"/>
                <w:color w:val="auto"/>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开标地点：滁州市龙蟠大道109号（房产商务大厦）6楼622会议室</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cs="Times New Roman"/>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是否收取履约担保：☑收取，□不收取 </w:t>
            </w:r>
          </w:p>
          <w:p w14:paraId="7F11DB0C">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306BED3">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7E2E96B9">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退还时限：中标人在本合同约定的服务期限届满并经招标人验收合格后30日内办理履约保证金（或履约保函）退还手续。 </w:t>
            </w:r>
          </w:p>
          <w:p w14:paraId="78D2EB15">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2E9BE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提交设计成果文件并进场施工后支付至合同价款的10%；施工完成并经招标人验收合格后支付至结算价款的95%；剩余5%待项目竣工验收合格满2年后一次性付清。</w:t>
            </w:r>
          </w:p>
        </w:tc>
      </w:tr>
      <w:tr w14:paraId="3A4663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D4928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A40C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1、</w:t>
            </w:r>
            <w:r>
              <w:rPr>
                <w:rFonts w:hint="eastAsia" w:ascii="宋体" w:hAnsi="宋体" w:eastAsia="宋体" w:cs="宋体"/>
                <w:color w:val="auto"/>
                <w:kern w:val="2"/>
                <w:sz w:val="21"/>
                <w:szCs w:val="21"/>
                <w:highlight w:val="none"/>
                <w:u w:color="000000"/>
                <w:lang w:val="en-US" w:eastAsia="zh-CN" w:bidi="ar"/>
              </w:rPr>
              <w:t>考虑本次投标单位在投标过程中投标成本较高，经招标人研究决定，中标人因承担了本项目设计业务，不予补偿，未中标的中标候选人分别给予方案补偿（</w:t>
            </w:r>
            <w:r>
              <w:rPr>
                <w:rFonts w:hint="eastAsia" w:ascii="宋体" w:hAnsi="宋体" w:cs="宋体"/>
                <w:color w:val="auto"/>
                <w:kern w:val="2"/>
                <w:sz w:val="21"/>
                <w:szCs w:val="21"/>
                <w:highlight w:val="none"/>
                <w:u w:color="000000"/>
                <w:lang w:val="en-US" w:eastAsia="zh-CN" w:bidi="ar"/>
              </w:rPr>
              <w:t>其中第二中标候选人</w:t>
            </w:r>
            <w:r>
              <w:rPr>
                <w:rFonts w:hint="eastAsia" w:ascii="宋体" w:hAnsi="宋体" w:eastAsia="宋体" w:cs="宋体"/>
                <w:color w:val="auto"/>
                <w:kern w:val="2"/>
                <w:sz w:val="21"/>
                <w:szCs w:val="21"/>
                <w:highlight w:val="none"/>
                <w:u w:color="000000"/>
                <w:lang w:val="en-US" w:eastAsia="zh-CN" w:bidi="ar"/>
              </w:rPr>
              <w:t>给予人民币2000元的方案补偿；</w:t>
            </w:r>
            <w:r>
              <w:rPr>
                <w:rFonts w:hint="eastAsia" w:ascii="宋体" w:hAnsi="宋体" w:cs="宋体"/>
                <w:color w:val="auto"/>
                <w:kern w:val="2"/>
                <w:sz w:val="21"/>
                <w:szCs w:val="21"/>
                <w:highlight w:val="none"/>
                <w:u w:color="000000"/>
                <w:lang w:val="en-US" w:eastAsia="zh-CN" w:bidi="ar"/>
              </w:rPr>
              <w:t>第三中标候选人</w:t>
            </w:r>
            <w:r>
              <w:rPr>
                <w:rFonts w:hint="eastAsia" w:ascii="宋体" w:hAnsi="宋体" w:eastAsia="宋体" w:cs="宋体"/>
                <w:color w:val="auto"/>
                <w:kern w:val="2"/>
                <w:sz w:val="21"/>
                <w:szCs w:val="21"/>
                <w:highlight w:val="none"/>
                <w:u w:color="000000"/>
                <w:lang w:val="en-US" w:eastAsia="zh-CN" w:bidi="ar"/>
              </w:rPr>
              <w:t>给予人民币1000元的方案补偿；此费用中标人在中标通知书发出之日起10日内支付，含在投标报价中），上述费用应含在投标报价中，投标人在投标报价让利中考虑上述费用。</w:t>
            </w:r>
          </w:p>
          <w:p w14:paraId="46BC39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2、</w:t>
            </w:r>
            <w:r>
              <w:rPr>
                <w:rFonts w:hint="eastAsia" w:ascii="宋体" w:hAnsi="宋体" w:eastAsia="宋体" w:cs="宋体"/>
                <w:color w:val="auto"/>
                <w:kern w:val="2"/>
                <w:sz w:val="21"/>
                <w:szCs w:val="21"/>
                <w:highlight w:val="none"/>
                <w:u w:color="000000"/>
                <w:lang w:val="en-US" w:eastAsia="zh-CN" w:bidi="ar"/>
              </w:rPr>
              <w:t>未中标的中标候选人的设计成果文件归招标人所有。其他投标人不进行任何设计补偿和奖励。</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1、评标委员会只依靠投标人递交的投标文件及其按照招标文件要求提供的所有证明材料进行评审，而不依靠任何外来的证明材料。</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3、本项目严禁非法转包，一经发现，招标人依法处理。</w:t>
            </w:r>
          </w:p>
        </w:tc>
      </w:tr>
    </w:tbl>
    <w:p w14:paraId="735D540F">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70" w:name="_Toc14421_WPSOffice_Level3"/>
      <w:bookmarkStart w:id="71" w:name="_Toc324404864"/>
      <w:bookmarkStart w:id="72" w:name="_Toc506107317"/>
      <w:bookmarkStart w:id="73" w:name="_Toc35425105"/>
      <w:bookmarkStart w:id="74" w:name="_Toc35424939"/>
      <w:bookmarkStart w:id="75" w:name="_Toc15058902"/>
      <w:bookmarkStart w:id="76" w:name="_Toc296602475"/>
      <w:r>
        <w:rPr>
          <w:rFonts w:hint="eastAsia" w:ascii="宋体" w:hAnsi="宋体" w:eastAsia="宋体" w:cs="宋体"/>
          <w:b/>
          <w:bCs w:val="0"/>
          <w:color w:val="auto"/>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工期</w:t>
      </w:r>
      <w:r>
        <w:rPr>
          <w:rFonts w:hint="eastAsia" w:ascii="宋体" w:hAnsi="宋体" w:eastAsia="宋体" w:cs="宋体"/>
          <w:color w:val="auto"/>
          <w:kern w:val="0"/>
          <w:sz w:val="21"/>
          <w:szCs w:val="21"/>
          <w:highlight w:val="none"/>
          <w:u w:color="000000"/>
          <w:lang w:val="en-US" w:eastAsia="zh-CN" w:bidi="ar"/>
        </w:rPr>
        <w:t>：见投标人须知前附表。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项目</w:t>
      </w:r>
      <w:r>
        <w:rPr>
          <w:rFonts w:hint="eastAsia" w:ascii="宋体" w:hAnsi="宋体" w:eastAsia="宋体" w:cs="宋体"/>
          <w:color w:val="auto"/>
          <w:kern w:val="0"/>
          <w:sz w:val="21"/>
          <w:szCs w:val="21"/>
          <w:highlight w:val="none"/>
          <w:u w:color="000000"/>
          <w:lang w:val="en-US" w:eastAsia="zh-CN" w:bidi="ar"/>
        </w:rPr>
        <w:t>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1.2招标人及联系人：见投标人须知前附表。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lang w:eastAsia="zh-CN"/>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w:t>
      </w:r>
      <w:r>
        <w:rPr>
          <w:rFonts w:hint="eastAsia" w:ascii="宋体" w:hAnsi="宋体" w:cs="宋体"/>
          <w:color w:val="auto"/>
          <w:kern w:val="0"/>
          <w:sz w:val="21"/>
          <w:szCs w:val="21"/>
          <w:highlight w:val="none"/>
          <w:u w:val="single" w:color="000000"/>
          <w:lang w:val="en-US" w:eastAsia="zh-CN" w:bidi="ar"/>
        </w:rPr>
        <w:t>总</w:t>
      </w:r>
      <w:r>
        <w:rPr>
          <w:rFonts w:hint="eastAsia" w:ascii="宋体" w:hAnsi="宋体" w:eastAsia="宋体" w:cs="宋体"/>
          <w:color w:val="auto"/>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color w:val="auto"/>
          <w:szCs w:val="21"/>
          <w:highlight w:val="none"/>
          <w:u w:val="single"/>
          <w:lang w:val="en-US" w:eastAsia="zh-CN"/>
        </w:rPr>
        <w:t>综合评估法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9.</w:t>
      </w:r>
      <w:bookmarkStart w:id="77" w:name="_Toc247527563"/>
      <w:bookmarkEnd w:id="77"/>
      <w:bookmarkStart w:id="78" w:name="_Toc296602429"/>
      <w:bookmarkEnd w:id="78"/>
      <w:bookmarkStart w:id="79" w:name="_Toc152045539"/>
      <w:bookmarkEnd w:id="79"/>
      <w:bookmarkStart w:id="80" w:name="_Toc247513962"/>
      <w:bookmarkEnd w:id="80"/>
      <w:bookmarkStart w:id="81" w:name="_Toc144974507"/>
      <w:bookmarkEnd w:id="81"/>
      <w:bookmarkStart w:id="82" w:name="_Toc152042315"/>
      <w:bookmarkEnd w:id="82"/>
      <w:bookmarkStart w:id="83"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color w:val="auto"/>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招标人</w:t>
      </w:r>
      <w:r>
        <w:rPr>
          <w:rFonts w:hint="eastAsia" w:ascii="宋体"/>
          <w:color w:val="auto"/>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12.1 </w:t>
      </w:r>
      <w:r>
        <w:rPr>
          <w:rFonts w:hint="eastAsia" w:ascii="宋体" w:hAnsi="宋体" w:eastAsia="宋体" w:cs="宋体"/>
          <w:color w:val="auto"/>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auto"/>
          <w:szCs w:val="21"/>
          <w:highlight w:val="none"/>
        </w:rPr>
      </w:pPr>
      <w:bookmarkStart w:id="84" w:name="_Toc10668_WPSOffice_Level3"/>
      <w:bookmarkEnd w:id="84"/>
      <w:bookmarkStart w:id="85" w:name="_Toc24655"/>
      <w:bookmarkEnd w:id="85"/>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3</w:t>
      </w:r>
      <w:r>
        <w:rPr>
          <w:rFonts w:hint="eastAsia" w:ascii="宋体"/>
          <w:color w:val="auto"/>
          <w:szCs w:val="21"/>
          <w:highlight w:val="none"/>
        </w:rPr>
        <w:t xml:space="preserve"> 单位负责人为同一人或者存在直接控股、管理关系的不同</w:t>
      </w:r>
      <w:r>
        <w:rPr>
          <w:rFonts w:hint="eastAsia" w:ascii="宋体"/>
          <w:color w:val="auto"/>
          <w:szCs w:val="21"/>
          <w:highlight w:val="none"/>
          <w:lang w:eastAsia="zh-CN"/>
        </w:rPr>
        <w:t>投标人</w:t>
      </w:r>
      <w:r>
        <w:rPr>
          <w:rFonts w:hint="eastAsia" w:ascii="宋体"/>
          <w:color w:val="auto"/>
          <w:szCs w:val="21"/>
          <w:highlight w:val="none"/>
        </w:rPr>
        <w:t>，不得参加同一合同项下的采购活动。</w:t>
      </w:r>
    </w:p>
    <w:p w14:paraId="5C0E54DC">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4</w:t>
      </w:r>
      <w:r>
        <w:rPr>
          <w:rFonts w:hint="eastAsia" w:ascii="宋体"/>
          <w:color w:val="auto"/>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auto"/>
          <w:szCs w:val="21"/>
          <w:highlight w:val="none"/>
        </w:rPr>
      </w:pPr>
      <w:r>
        <w:rPr>
          <w:rFonts w:hint="eastAsia" w:ascii="宋体"/>
          <w:color w:val="auto"/>
          <w:szCs w:val="21"/>
          <w:highlight w:val="none"/>
        </w:rPr>
        <w:t>（2）安徽省及滁州市等有关管理部门的相关规定；</w:t>
      </w:r>
    </w:p>
    <w:p w14:paraId="71F8EB8B">
      <w:pPr>
        <w:spacing w:line="440" w:lineRule="exact"/>
        <w:ind w:firstLine="409" w:firstLineChars="195"/>
        <w:rPr>
          <w:rFonts w:hint="eastAsia" w:ascii="宋体"/>
          <w:color w:val="auto"/>
          <w:szCs w:val="21"/>
          <w:highlight w:val="none"/>
        </w:rPr>
      </w:pPr>
      <w:r>
        <w:rPr>
          <w:rFonts w:hint="eastAsia" w:ascii="宋体"/>
          <w:color w:val="auto"/>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auto"/>
          <w:szCs w:val="21"/>
          <w:highlight w:val="none"/>
        </w:rPr>
      </w:pPr>
      <w:r>
        <w:rPr>
          <w:rFonts w:hint="eastAsia" w:ascii="宋体"/>
          <w:color w:val="auto"/>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14.保密</w:t>
      </w:r>
    </w:p>
    <w:p w14:paraId="2E1D6A97">
      <w:pPr>
        <w:spacing w:line="400" w:lineRule="exact"/>
        <w:ind w:firstLine="315" w:firstLineChars="150"/>
        <w:rPr>
          <w:rFonts w:hint="eastAsia"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auto"/>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lang w:val="en-US" w:eastAsia="zh-CN"/>
        </w:rPr>
        <w:t>采购需求</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color w:val="auto"/>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auto"/>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auto"/>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auto"/>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auto"/>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21.1投标文件</w:t>
      </w:r>
      <w:r>
        <w:rPr>
          <w:rFonts w:hint="default" w:ascii="宋体" w:hAnsi="宋体" w:eastAsia="宋体" w:cs="宋体"/>
          <w:bCs/>
          <w:color w:val="auto"/>
          <w:kern w:val="0"/>
          <w:sz w:val="21"/>
          <w:szCs w:val="21"/>
          <w:highlight w:val="none"/>
          <w:u w:color="000000"/>
          <w:lang w:val="en-US" w:eastAsia="zh-CN" w:bidi="ar"/>
        </w:rPr>
        <w:t>须</w:t>
      </w:r>
      <w:r>
        <w:rPr>
          <w:rFonts w:hint="eastAsia" w:ascii="宋体" w:hAnsi="宋体" w:eastAsia="宋体" w:cs="宋体"/>
          <w:bCs/>
          <w:color w:val="auto"/>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22.2投标人只允许有一个方案、一个报价。</w:t>
      </w:r>
    </w:p>
    <w:p w14:paraId="6ACA085A">
      <w:pPr>
        <w:spacing w:line="420" w:lineRule="exact"/>
        <w:ind w:left="10" w:right="-94" w:rightChars="-45" w:firstLine="420" w:firstLineChars="200"/>
        <w:rPr>
          <w:rFonts w:hint="eastAsia" w:ascii="宋体" w:hAnsi="宋体" w:cs="宋体"/>
          <w:color w:val="auto"/>
          <w:szCs w:val="21"/>
          <w:highlight w:val="none"/>
        </w:rPr>
      </w:pPr>
      <w:r>
        <w:rPr>
          <w:rFonts w:hint="eastAsia" w:ascii="宋体" w:hAnsi="宋体" w:eastAsia="宋体" w:cs="宋体"/>
          <w:bCs/>
          <w:color w:val="auto"/>
          <w:kern w:val="0"/>
          <w:sz w:val="21"/>
          <w:szCs w:val="21"/>
          <w:highlight w:val="none"/>
          <w:u w:color="000000"/>
          <w:lang w:val="en-US" w:eastAsia="zh-CN" w:bidi="ar"/>
        </w:rPr>
        <w:t>22.3投标报价包括完成本项目全部供货及服务的一切费用：</w:t>
      </w:r>
      <w:r>
        <w:rPr>
          <w:rFonts w:hint="eastAsia" w:ascii="宋体" w:hAnsi="宋体" w:cs="宋体"/>
          <w:color w:val="auto"/>
          <w:szCs w:val="21"/>
          <w:highlight w:val="none"/>
        </w:rPr>
        <w:t>投标报价包含完成本次招标范围内的</w:t>
      </w:r>
      <w:r>
        <w:rPr>
          <w:rFonts w:hint="eastAsia" w:ascii="宋体" w:hAnsi="宋体" w:cs="宋体"/>
          <w:color w:val="auto"/>
          <w:szCs w:val="21"/>
          <w:highlight w:val="none"/>
          <w:lang w:val="en-US" w:eastAsia="zh-CN"/>
        </w:rPr>
        <w:t>设计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等所需的全部人员费用（如人员工资、保险、加班、差旅等一切费用）、设备费用、材料费用、机械费、报告编制费、专家评审费、招标代理费、会务费、管理费、利润、国家对征收的各种税费及完成本项目服务所需的所有的费用，招标人不再另行支付。</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22.4</w:t>
      </w:r>
      <w:r>
        <w:rPr>
          <w:rFonts w:hint="eastAsia" w:ascii="宋体" w:hAnsi="宋体" w:eastAsia="宋体" w:cs="宋体"/>
          <w:color w:val="auto"/>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价即为履行合同的固定</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22.7投标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22.8投标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auto"/>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0" w:name="_Toc490"/>
      <w:bookmarkEnd w:id="90"/>
      <w:bookmarkStart w:id="91" w:name="_Toc30407_WPSOffice_Level3"/>
      <w:bookmarkEnd w:id="91"/>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26.1 </w:t>
      </w:r>
      <w:r>
        <w:rPr>
          <w:rFonts w:hint="eastAsia" w:ascii="宋体" w:hAnsi="宋体" w:eastAsia="宋体" w:cs="宋体"/>
          <w:color w:val="auto"/>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lang w:val="en-US" w:eastAsia="zh-CN"/>
        </w:rPr>
        <w:fldChar w:fldCharType="begin"/>
      </w:r>
      <w:r>
        <w:rPr>
          <w:rFonts w:hint="eastAsia" w:ascii="宋体" w:hAnsi="宋体" w:eastAsia="宋体" w:cs="宋体"/>
          <w:color w:val="auto"/>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lang w:val="en-US" w:eastAsia="zh-CN"/>
        </w:rPr>
        <w:fldChar w:fldCharType="separate"/>
      </w:r>
      <w:r>
        <w:rPr>
          <w:rFonts w:hint="eastAsia" w:ascii="宋体" w:hAnsi="宋体" w:eastAsia="宋体" w:cs="宋体"/>
          <w:color w:val="auto"/>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color w:val="auto"/>
          <w:highlight w:val="none"/>
          <w:lang w:val="en-US" w:eastAsia="zh-CN"/>
        </w:rPr>
        <w:fldChar w:fldCharType="end"/>
      </w:r>
      <w:r>
        <w:rPr>
          <w:rFonts w:hint="eastAsia" w:ascii="宋体" w:hAnsi="宋体" w:eastAsia="宋体" w:cs="宋体"/>
          <w:color w:val="auto"/>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auto"/>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spacing w:val="-8"/>
          <w:highlight w:val="none"/>
          <w:lang w:val="en-US"/>
        </w:rPr>
      </w:pPr>
      <w:bookmarkStart w:id="94" w:name="_Toc15542_WPSOffice_Level3"/>
      <w:bookmarkEnd w:id="94"/>
      <w:r>
        <w:rPr>
          <w:rFonts w:hint="eastAsia" w:ascii="宋体" w:hAnsi="宋体" w:eastAsia="宋体" w:cs="宋体"/>
          <w:color w:val="auto"/>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auto"/>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30.4</w:t>
      </w:r>
      <w:r>
        <w:rPr>
          <w:rFonts w:hint="eastAsia" w:ascii="宋体" w:hAnsi="宋体" w:eastAsia="宋体" w:cs="宋体"/>
          <w:b/>
          <w:bCs/>
          <w:color w:val="auto"/>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bookmarkStart w:id="95" w:name="_Toc5272_WPSOffice_Level3"/>
      <w:bookmarkEnd w:id="95"/>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color w:val="auto"/>
          <w:szCs w:val="21"/>
          <w:highlight w:val="none"/>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3</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4</w:t>
      </w:r>
      <w:r>
        <w:rPr>
          <w:rFonts w:hint="eastAsia" w:ascii="宋体" w:hAnsi="宋体" w:eastAsia="宋体" w:cs="宋体"/>
          <w:b/>
          <w:color w:val="auto"/>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5</w:t>
      </w:r>
      <w:r>
        <w:rPr>
          <w:rFonts w:hint="eastAsia" w:ascii="宋体" w:hAnsi="宋体" w:eastAsia="宋体" w:cs="宋体"/>
          <w:b/>
          <w:color w:val="auto"/>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6</w:t>
      </w:r>
      <w:r>
        <w:rPr>
          <w:rFonts w:hint="eastAsia" w:ascii="宋体" w:hAnsi="宋体" w:eastAsia="宋体" w:cs="宋体"/>
          <w:b/>
          <w:color w:val="auto"/>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96" w:name="_Toc7247"/>
      <w:bookmarkEnd w:id="96"/>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7</w:t>
      </w:r>
      <w:r>
        <w:rPr>
          <w:rFonts w:hint="eastAsia" w:ascii="宋体" w:hAnsi="宋体" w:eastAsia="宋体" w:cs="宋体"/>
          <w:b/>
          <w:color w:val="auto"/>
          <w:kern w:val="0"/>
          <w:szCs w:val="21"/>
          <w:highlight w:val="none"/>
          <w:u w:color="000000"/>
          <w:lang w:bidi="ar"/>
        </w:rPr>
        <w:t>.</w:t>
      </w:r>
      <w:bookmarkStart w:id="97" w:name="_Toc217446068"/>
      <w:r>
        <w:rPr>
          <w:rFonts w:hint="eastAsia" w:ascii="宋体" w:hAnsi="宋体" w:eastAsia="宋体" w:cs="宋体"/>
          <w:b/>
          <w:color w:val="auto"/>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color w:val="auto"/>
          <w:szCs w:val="21"/>
          <w:highlight w:val="none"/>
        </w:rPr>
      </w:pPr>
      <w:bookmarkStart w:id="98" w:name="_Toc316_WPSOffice_Level3"/>
      <w:bookmarkEnd w:id="98"/>
      <w:bookmarkStart w:id="99"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w:t>
      </w:r>
      <w:bookmarkEnd w:id="99"/>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.1项要求提交履约担保的，视为放弃中标，给招标人造成损失的，中标人还应</w:t>
      </w:r>
      <w:r>
        <w:rPr>
          <w:rFonts w:hint="eastAsia" w:ascii="宋体" w:hAnsi="Times New Roman" w:eastAsia="宋体" w:cs="Times New Roman"/>
          <w:color w:val="auto"/>
          <w:szCs w:val="21"/>
          <w:highlight w:val="none"/>
          <w:lang w:val="en-US" w:eastAsia="zh-CN"/>
        </w:rPr>
        <w:t>当</w:t>
      </w:r>
      <w:r>
        <w:rPr>
          <w:rFonts w:hint="eastAsia" w:ascii="宋体" w:hAnsi="Times New Roman" w:eastAsia="宋体" w:cs="Times New Roman"/>
          <w:color w:val="auto"/>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8</w:t>
      </w:r>
      <w:r>
        <w:rPr>
          <w:rFonts w:hint="eastAsia" w:ascii="宋体" w:hAnsi="宋体" w:eastAsia="宋体" w:cs="宋体"/>
          <w:b/>
          <w:color w:val="auto"/>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39</w:t>
      </w:r>
      <w:r>
        <w:rPr>
          <w:rFonts w:hint="eastAsia" w:ascii="宋体" w:hAnsi="宋体" w:eastAsia="宋体" w:cs="宋体"/>
          <w:b/>
          <w:color w:val="auto"/>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39</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0</w:t>
      </w:r>
      <w:r>
        <w:rPr>
          <w:rFonts w:hint="eastAsia" w:ascii="宋体" w:hAnsi="宋体" w:eastAsia="宋体" w:cs="宋体"/>
          <w:b/>
          <w:color w:val="auto"/>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color w:val="auto"/>
          <w:sz w:val="28"/>
          <w:szCs w:val="28"/>
          <w:highlight w:val="none"/>
          <w:lang w:val="en-US"/>
        </w:rPr>
      </w:pPr>
      <w:r>
        <w:rPr>
          <w:rFonts w:hint="eastAsia" w:ascii="宋体" w:hAnsi="宋体" w:eastAsia="宋体" w:cs="宋体"/>
          <w:b/>
          <w:bCs w:val="0"/>
          <w:color w:val="auto"/>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color w:val="auto"/>
          <w:szCs w:val="21"/>
          <w:highlight w:val="none"/>
        </w:rPr>
      </w:pPr>
    </w:p>
    <w:p w14:paraId="146D6C50">
      <w:pPr>
        <w:pageBreakBefore/>
        <w:spacing w:beforeLines="80" w:afterLines="80" w:line="440" w:lineRule="exact"/>
        <w:jc w:val="center"/>
        <w:outlineLvl w:val="1"/>
        <w:rPr>
          <w:rFonts w:ascii="宋体"/>
          <w:b/>
          <w:color w:val="auto"/>
          <w:sz w:val="32"/>
          <w:szCs w:val="32"/>
          <w:highlight w:val="none"/>
        </w:rPr>
      </w:pPr>
      <w:bookmarkStart w:id="100" w:name="_Toc78803375"/>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章  资格审查</w:t>
      </w:r>
      <w:bookmarkEnd w:id="71"/>
      <w:r>
        <w:rPr>
          <w:rFonts w:hint="eastAsia" w:ascii="宋体"/>
          <w:b/>
          <w:color w:val="auto"/>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auto"/>
          <w:sz w:val="28"/>
          <w:szCs w:val="28"/>
          <w:highlight w:val="none"/>
        </w:rPr>
      </w:pPr>
      <w:bookmarkStart w:id="101" w:name="_Toc506107323"/>
      <w:bookmarkStart w:id="102" w:name="_Toc35424945"/>
      <w:bookmarkStart w:id="103" w:name="_Toc35425111"/>
      <w:bookmarkStart w:id="104" w:name="_Toc15058912"/>
      <w:r>
        <w:rPr>
          <w:rFonts w:hint="eastAsia" w:ascii="宋体" w:hAnsi="Times New Roman" w:eastAsia="宋体" w:cs="Times New Roman"/>
          <w:b/>
          <w:color w:val="auto"/>
          <w:sz w:val="28"/>
          <w:szCs w:val="28"/>
          <w:highlight w:val="none"/>
        </w:rPr>
        <w:t>（一）资格审查办法前附表</w:t>
      </w:r>
    </w:p>
    <w:p w14:paraId="1CEBE11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4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73A21C8">
            <w:pPr>
              <w:spacing w:line="320" w:lineRule="exact"/>
              <w:jc w:val="center"/>
              <w:rPr>
                <w:color w:val="auto"/>
                <w:highlight w:val="none"/>
              </w:rPr>
            </w:pPr>
            <w:r>
              <w:rPr>
                <w:rFonts w:hint="eastAsia" w:ascii="宋体" w:hAnsi="宋体"/>
                <w:color w:val="auto"/>
                <w:szCs w:val="21"/>
                <w:highlight w:val="none"/>
              </w:rPr>
              <w:t>评审因素</w:t>
            </w:r>
          </w:p>
        </w:tc>
        <w:tc>
          <w:tcPr>
            <w:tcW w:w="3929" w:type="dxa"/>
            <w:vAlign w:val="center"/>
          </w:tcPr>
          <w:p w14:paraId="54D724EC">
            <w:pPr>
              <w:spacing w:line="320" w:lineRule="exact"/>
              <w:jc w:val="center"/>
              <w:rPr>
                <w:color w:val="auto"/>
                <w:highlight w:val="none"/>
              </w:rPr>
            </w:pPr>
            <w:r>
              <w:rPr>
                <w:rFonts w:hint="eastAsia" w:ascii="宋体" w:hAnsi="宋体"/>
                <w:color w:val="auto"/>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20257B59">
            <w:pPr>
              <w:spacing w:line="320" w:lineRule="exact"/>
              <w:jc w:val="center"/>
              <w:rPr>
                <w:rFonts w:ascii="宋体" w:hAnsi="宋体"/>
                <w:color w:val="auto"/>
                <w:szCs w:val="21"/>
                <w:highlight w:val="none"/>
              </w:rPr>
            </w:pPr>
            <w:r>
              <w:rPr>
                <w:rFonts w:hint="eastAsia" w:ascii="宋体"/>
                <w:color w:val="auto"/>
                <w:szCs w:val="21"/>
                <w:highlight w:val="none"/>
              </w:rPr>
              <w:t>重要要求</w:t>
            </w:r>
          </w:p>
        </w:tc>
        <w:tc>
          <w:tcPr>
            <w:tcW w:w="3008" w:type="dxa"/>
            <w:vAlign w:val="center"/>
          </w:tcPr>
          <w:p w14:paraId="2B4DC8B6">
            <w:pPr>
              <w:spacing w:line="320" w:lineRule="exact"/>
              <w:jc w:val="left"/>
              <w:rPr>
                <w:rFonts w:ascii="宋体" w:hAnsi="宋体"/>
                <w:color w:val="auto"/>
                <w:szCs w:val="21"/>
                <w:highlight w:val="none"/>
              </w:rPr>
            </w:pPr>
            <w:r>
              <w:rPr>
                <w:rFonts w:hint="eastAsia"/>
                <w:color w:val="auto"/>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auto"/>
                <w:szCs w:val="21"/>
                <w:highlight w:val="none"/>
              </w:rPr>
            </w:pPr>
            <w:r>
              <w:rPr>
                <w:rFonts w:hint="eastAsia"/>
                <w:color w:val="auto"/>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170C2FA5">
            <w:pPr>
              <w:spacing w:line="320" w:lineRule="exact"/>
              <w:rPr>
                <w:rFonts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评审核验电子标书中的下列证书、证明材料：</w:t>
            </w:r>
          </w:p>
          <w:p w14:paraId="4FE89A7E">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4060B20C">
            <w:pPr>
              <w:spacing w:line="320" w:lineRule="exact"/>
              <w:jc w:val="center"/>
              <w:rPr>
                <w:rFonts w:ascii="宋体" w:hAnsi="宋体"/>
                <w:color w:val="auto"/>
                <w:szCs w:val="21"/>
                <w:highlight w:val="none"/>
              </w:rPr>
            </w:pPr>
          </w:p>
        </w:tc>
        <w:tc>
          <w:tcPr>
            <w:tcW w:w="1235" w:type="dxa"/>
            <w:vMerge w:val="continue"/>
            <w:vAlign w:val="center"/>
          </w:tcPr>
          <w:p w14:paraId="3221AF15">
            <w:pPr>
              <w:spacing w:line="320" w:lineRule="exact"/>
              <w:rPr>
                <w:rFonts w:ascii="宋体" w:hAnsi="宋体"/>
                <w:color w:val="auto"/>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）诚信投标承诺书</w:t>
            </w:r>
          </w:p>
        </w:tc>
        <w:tc>
          <w:tcPr>
            <w:tcW w:w="3929" w:type="dxa"/>
            <w:vAlign w:val="center"/>
          </w:tcPr>
          <w:p w14:paraId="1B6F7B2F">
            <w:pPr>
              <w:spacing w:line="360" w:lineRule="exact"/>
              <w:jc w:val="left"/>
              <w:rPr>
                <w:rFonts w:ascii="宋体"/>
                <w:b/>
                <w:color w:val="auto"/>
                <w:szCs w:val="21"/>
                <w:highlight w:val="none"/>
              </w:rPr>
            </w:pPr>
            <w:r>
              <w:rPr>
                <w:rFonts w:hint="eastAsia"/>
                <w:color w:val="auto"/>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auto"/>
                <w:szCs w:val="21"/>
                <w:highlight w:val="none"/>
              </w:rPr>
            </w:pPr>
          </w:p>
        </w:tc>
        <w:tc>
          <w:tcPr>
            <w:tcW w:w="1235" w:type="dxa"/>
            <w:vMerge w:val="continue"/>
            <w:vAlign w:val="center"/>
          </w:tcPr>
          <w:p w14:paraId="40531A6E">
            <w:pPr>
              <w:spacing w:line="320" w:lineRule="exact"/>
              <w:rPr>
                <w:rFonts w:ascii="宋体" w:hAnsi="宋体"/>
                <w:color w:val="auto"/>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）服务承诺书</w:t>
            </w:r>
          </w:p>
        </w:tc>
        <w:tc>
          <w:tcPr>
            <w:tcW w:w="3929" w:type="dxa"/>
            <w:vAlign w:val="center"/>
          </w:tcPr>
          <w:p w14:paraId="0043AD0E">
            <w:pPr>
              <w:spacing w:line="360" w:lineRule="exact"/>
              <w:jc w:val="left"/>
              <w:rPr>
                <w:rFonts w:ascii="宋体"/>
                <w:color w:val="auto"/>
                <w:szCs w:val="21"/>
                <w:highlight w:val="none"/>
              </w:rPr>
            </w:pPr>
            <w:r>
              <w:rPr>
                <w:rFonts w:hint="eastAsia"/>
                <w:color w:val="auto"/>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5" w:name="_Toc506107320"/>
      <w:bookmarkStart w:id="106" w:name="_Toc15058909"/>
      <w:bookmarkStart w:id="107" w:name="_Toc60061492"/>
      <w:bookmarkStart w:id="108" w:name="_Toc95223395"/>
      <w:r>
        <w:rPr>
          <w:rFonts w:hint="eastAsia" w:ascii="Times New Roman" w:hAnsi="Times New Roman" w:eastAsia="宋体" w:cs="Times New Roman"/>
          <w:color w:val="auto"/>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9" w:name="_Toc15058910"/>
      <w:bookmarkStart w:id="110" w:name="_Toc324404868"/>
      <w:bookmarkStart w:id="111" w:name="_Toc506107321"/>
      <w:bookmarkStart w:id="112" w:name="_Toc60061493"/>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3" w:name="_Toc95223396"/>
      <w:r>
        <w:rPr>
          <w:rFonts w:hint="eastAsia" w:ascii="Times New Roman" w:hAnsi="Times New Roman" w:eastAsia="宋体" w:cs="Times New Roman"/>
          <w:color w:val="auto"/>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4" w:name="_Toc15058911"/>
      <w:bookmarkStart w:id="115" w:name="_Toc506107322"/>
      <w:bookmarkStart w:id="116" w:name="_Toc95223397"/>
      <w:bookmarkStart w:id="117" w:name="_Toc60061494"/>
      <w:bookmarkStart w:id="118" w:name="_Toc324404869"/>
      <w:r>
        <w:rPr>
          <w:rFonts w:hint="eastAsia" w:ascii="Times New Roman" w:hAnsi="Times New Roman" w:eastAsia="宋体" w:cs="Times New Roman"/>
          <w:color w:val="auto"/>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只有通过资格审查的投标人才能进入下一步的评标程序。</w:t>
      </w:r>
    </w:p>
    <w:p w14:paraId="500CB5F4">
      <w:pPr>
        <w:pStyle w:val="2"/>
        <w:spacing w:beforeLines="50" w:afterLines="50"/>
        <w:rPr>
          <w:color w:val="auto"/>
          <w:highlight w:val="none"/>
        </w:rPr>
      </w:pPr>
      <w:r>
        <w:rPr>
          <w:rFonts w:hint="eastAsia"/>
          <w:color w:val="auto"/>
          <w:highlight w:val="none"/>
        </w:rPr>
        <w:br w:type="page"/>
      </w:r>
      <w:bookmarkStart w:id="119" w:name="_Toc78803380"/>
      <w:r>
        <w:rPr>
          <w:rFonts w:hint="eastAsia" w:ascii="Arial" w:hAnsi="Arial"/>
          <w:color w:val="auto"/>
          <w:kern w:val="0"/>
          <w:sz w:val="32"/>
          <w:szCs w:val="32"/>
          <w:highlight w:val="none"/>
        </w:rPr>
        <w:t>第</w:t>
      </w:r>
      <w:r>
        <w:rPr>
          <w:rFonts w:hint="eastAsia" w:ascii="Arial" w:hAnsi="Arial"/>
          <w:color w:val="auto"/>
          <w:kern w:val="0"/>
          <w:sz w:val="32"/>
          <w:szCs w:val="32"/>
          <w:highlight w:val="none"/>
          <w:lang w:val="en-US" w:eastAsia="zh-CN"/>
        </w:rPr>
        <w:t>四</w:t>
      </w:r>
      <w:r>
        <w:rPr>
          <w:rFonts w:hint="eastAsia" w:ascii="Arial" w:hAnsi="Arial"/>
          <w:color w:val="auto"/>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color w:val="auto"/>
          <w:sz w:val="28"/>
          <w:szCs w:val="28"/>
          <w:highlight w:val="none"/>
        </w:rPr>
      </w:pPr>
      <w:bookmarkStart w:id="120" w:name="_Toc35425112"/>
      <w:bookmarkStart w:id="121" w:name="_Toc35424946"/>
      <w:r>
        <w:rPr>
          <w:rFonts w:hint="eastAsia" w:ascii="宋体" w:hAnsi="宋体" w:cs="宋体"/>
          <w:b/>
          <w:bCs/>
          <w:color w:val="auto"/>
          <w:sz w:val="28"/>
          <w:szCs w:val="28"/>
          <w:highlight w:val="none"/>
        </w:rPr>
        <w:t>评标办法前附表</w:t>
      </w:r>
      <w:bookmarkEnd w:id="120"/>
      <w:bookmarkEnd w:id="121"/>
    </w:p>
    <w:p w14:paraId="0701628E">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（一）资信标评分细则（</w:t>
      </w:r>
      <w:r>
        <w:rPr>
          <w:rFonts w:hint="eastAsia" w:cs="Times New Roman"/>
          <w:b/>
          <w:color w:val="auto"/>
          <w:sz w:val="28"/>
          <w:szCs w:val="21"/>
          <w:highlight w:val="none"/>
          <w:lang w:val="en-US" w:eastAsia="zh-CN"/>
        </w:rPr>
        <w:t>1</w:t>
      </w:r>
      <w:r>
        <w:rPr>
          <w:rFonts w:hint="eastAsia" w:ascii="Times New Roman" w:hAnsi="Times New Roman" w:eastAsia="宋体" w:cs="Times New Roman"/>
          <w:b/>
          <w:color w:val="auto"/>
          <w:sz w:val="28"/>
          <w:szCs w:val="21"/>
          <w:highlight w:val="none"/>
          <w:lang w:val="en-US" w:eastAsia="zh-CN"/>
        </w:rPr>
        <w:t>0分）</w:t>
      </w:r>
    </w:p>
    <w:tbl>
      <w:tblPr>
        <w:tblStyle w:val="49"/>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color w:val="auto"/>
                <w:spacing w:val="-2"/>
                <w:position w:val="11"/>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企业业绩（</w:t>
            </w:r>
            <w:r>
              <w:rPr>
                <w:rFonts w:hint="eastAsia" w:ascii="宋体" w:hAnsi="宋体" w:cs="宋体"/>
                <w:color w:val="auto"/>
                <w:spacing w:val="-2"/>
                <w:position w:val="11"/>
                <w:sz w:val="21"/>
                <w:szCs w:val="21"/>
                <w:highlight w:val="none"/>
                <w:lang w:val="en-US" w:eastAsia="zh-CN"/>
              </w:rPr>
              <w:t>1</w:t>
            </w:r>
            <w:r>
              <w:rPr>
                <w:rFonts w:hint="eastAsia" w:ascii="宋体" w:hAnsi="宋体" w:eastAsia="宋体" w:cs="宋体"/>
                <w:color w:val="auto"/>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展馆类(含布展)设计与施工一体化业绩的</w:t>
            </w:r>
            <w:r>
              <w:rPr>
                <w:rFonts w:hint="eastAsia" w:ascii="宋体" w:hAnsi="宋体" w:eastAsia="宋体" w:cs="宋体"/>
                <w:b w:val="0"/>
                <w:bCs/>
                <w:color w:val="auto"/>
                <w:sz w:val="21"/>
                <w:szCs w:val="21"/>
                <w:highlight w:val="none"/>
                <w:lang w:val="en-US" w:eastAsia="zh-CN"/>
              </w:rPr>
              <w:t>得</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廉洁文化教育基地室内展厅设计与施工一体化业绩的</w:t>
            </w:r>
            <w:r>
              <w:rPr>
                <w:rFonts w:hint="eastAsia" w:ascii="宋体" w:hAnsi="宋体" w:eastAsia="宋体" w:cs="宋体"/>
                <w:b w:val="0"/>
                <w:bCs/>
                <w:color w:val="auto"/>
                <w:sz w:val="21"/>
                <w:szCs w:val="21"/>
                <w:highlight w:val="none"/>
                <w:lang w:val="en-US" w:eastAsia="zh-CN"/>
              </w:rPr>
              <w:t>得10分；其他的不得分，本项满分10分。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095437D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注：①展馆类指:文化馆、艺术馆、博物馆、科技馆、展览馆、党史馆此类展馆(不</w:t>
            </w:r>
          </w:p>
          <w:p w14:paraId="1BAEBB6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包括临时性展览馆或展示厅)</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否则不予认可。</w:t>
            </w:r>
          </w:p>
          <w:p w14:paraId="2857C80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②廉洁文化教育基地</w:t>
            </w:r>
            <w:r>
              <w:rPr>
                <w:rFonts w:hint="eastAsia" w:ascii="宋体" w:hAnsi="宋体" w:cs="宋体"/>
                <w:b w:val="0"/>
                <w:bCs/>
                <w:color w:val="auto"/>
                <w:sz w:val="21"/>
                <w:szCs w:val="21"/>
                <w:highlight w:val="none"/>
                <w:lang w:val="en-US" w:eastAsia="zh-CN"/>
              </w:rPr>
              <w:t>指</w:t>
            </w:r>
            <w:r>
              <w:rPr>
                <w:rFonts w:hint="eastAsia" w:ascii="宋体" w:hAnsi="宋体" w:eastAsia="宋体" w:cs="宋体"/>
                <w:b w:val="0"/>
                <w:bCs/>
                <w:color w:val="auto"/>
                <w:sz w:val="21"/>
                <w:szCs w:val="21"/>
                <w:highlight w:val="none"/>
                <w:lang w:val="en-US" w:eastAsia="zh-CN"/>
              </w:rPr>
              <w:t>:为党委政府、纪检监察机关建设的相关业绩，否则不予认可。</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w:t>
      </w:r>
      <w:r>
        <w:rPr>
          <w:rFonts w:hint="eastAsia" w:cs="Times New Roman"/>
          <w:b/>
          <w:color w:val="auto"/>
          <w:sz w:val="28"/>
          <w:szCs w:val="21"/>
          <w:highlight w:val="none"/>
          <w:lang w:val="en-US" w:eastAsia="zh-CN"/>
        </w:rPr>
        <w:t>二</w:t>
      </w:r>
      <w:r>
        <w:rPr>
          <w:rFonts w:hint="eastAsia" w:ascii="Times New Roman" w:hAnsi="Times New Roman" w:eastAsia="宋体" w:cs="Times New Roman"/>
          <w:b/>
          <w:color w:val="auto"/>
          <w:sz w:val="28"/>
          <w:szCs w:val="21"/>
          <w:highlight w:val="none"/>
          <w:lang w:val="en-US" w:eastAsia="zh-CN"/>
        </w:rPr>
        <w:t>）技术标评分细则（</w:t>
      </w:r>
      <w:r>
        <w:rPr>
          <w:rFonts w:hint="eastAsia" w:cs="Times New Roman"/>
          <w:b/>
          <w:color w:val="auto"/>
          <w:sz w:val="28"/>
          <w:szCs w:val="21"/>
          <w:highlight w:val="none"/>
          <w:lang w:val="en-US" w:eastAsia="zh-CN"/>
        </w:rPr>
        <w:t>5</w:t>
      </w:r>
      <w:r>
        <w:rPr>
          <w:rFonts w:hint="eastAsia" w:ascii="Times New Roman" w:hAnsi="Times New Roman" w:cs="Times New Roman"/>
          <w:b/>
          <w:color w:val="auto"/>
          <w:sz w:val="28"/>
          <w:szCs w:val="21"/>
          <w:highlight w:val="none"/>
          <w:lang w:val="en-US" w:eastAsia="zh-CN"/>
        </w:rPr>
        <w:t>0</w:t>
      </w:r>
      <w:r>
        <w:rPr>
          <w:rFonts w:hint="eastAsia" w:ascii="Times New Roman" w:hAnsi="Times New Roman" w:eastAsia="宋体" w:cs="Times New Roman"/>
          <w:b/>
          <w:color w:val="auto"/>
          <w:sz w:val="28"/>
          <w:szCs w:val="21"/>
          <w:highlight w:val="none"/>
          <w:lang w:val="en-US" w:eastAsia="zh-CN"/>
        </w:rPr>
        <w:t>分）</w:t>
      </w:r>
    </w:p>
    <w:tbl>
      <w:tblPr>
        <w:tblStyle w:val="48"/>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609C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2170E8F6">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61FADFCE">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57803B8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72EE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759DB080">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1C037FD4">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042F5CA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56FC6F36">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5BD6917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6929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7670AE4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3EB4FE53">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38BA1A1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367274B9">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704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52FED09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54857E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6D267C8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3AE3779F">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1ABD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7B8BDF9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ADDFA12">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147488E3">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6EB34C6C">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C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restart"/>
            <w:noWrap w:val="0"/>
            <w:vAlign w:val="center"/>
          </w:tcPr>
          <w:p w14:paraId="3E80C7B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41" w:type="dxa"/>
            <w:gridSpan w:val="2"/>
            <w:vMerge w:val="restart"/>
            <w:noWrap w:val="0"/>
            <w:vAlign w:val="center"/>
          </w:tcPr>
          <w:p w14:paraId="3C7F98B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技术标评分标准</w:t>
            </w:r>
          </w:p>
        </w:tc>
        <w:tc>
          <w:tcPr>
            <w:tcW w:w="2239" w:type="dxa"/>
            <w:noWrap w:val="0"/>
            <w:vAlign w:val="center"/>
          </w:tcPr>
          <w:p w14:paraId="6B3DCE2D">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设计方案（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492C67CE">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（1）项目整体创意概念（</w:t>
            </w:r>
            <w:r>
              <w:rPr>
                <w:rFonts w:hint="eastAsia" w:ascii="宋体" w:hAnsi="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lang w:val="en-US" w:eastAsia="zh-CN"/>
              </w:rPr>
              <w:t>分）</w:t>
            </w:r>
          </w:p>
          <w:p w14:paraId="1AE32AF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艺术创意是否新颖，设计内容是否能够全面展示立意，是否突出主题，让参观者很好的带入到场景中去，获得强烈的体验感：</w:t>
            </w: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p w14:paraId="4EA6FBB8">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（2）文化内涵（</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7D16E5E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布局和空间利用是否科学合理，富有创意，是否有序流畅，内容是否能够在空间内充分展示：</w:t>
            </w:r>
          </w:p>
          <w:p w14:paraId="7F29C7A2">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AD334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（3）设计绘图效果</w:t>
            </w:r>
            <w:r>
              <w:rPr>
                <w:rFonts w:hint="eastAsia" w:ascii="宋体" w:hAnsi="宋体" w:cs="宋体"/>
                <w:b/>
                <w:bCs w:val="0"/>
                <w:color w:val="auto"/>
                <w:sz w:val="21"/>
                <w:szCs w:val="21"/>
                <w:highlight w:val="none"/>
                <w:lang w:val="en-US" w:eastAsia="zh-CN"/>
              </w:rPr>
              <w:t>及展示手法</w:t>
            </w:r>
            <w:r>
              <w:rPr>
                <w:rFonts w:hint="eastAsia" w:ascii="宋体" w:hAnsi="宋体" w:eastAsia="宋体" w:cs="宋体"/>
                <w:b/>
                <w:bCs w:val="0"/>
                <w:color w:val="auto"/>
                <w:sz w:val="21"/>
                <w:szCs w:val="21"/>
                <w:highlight w:val="none"/>
                <w:lang w:val="en-US" w:eastAsia="zh-CN"/>
              </w:rPr>
              <w:t>（10分）</w:t>
            </w:r>
          </w:p>
          <w:p w14:paraId="24790F1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设计效果表现是否熟练，技法是否高超，图纸是否完整，层次是否分明，画面是否很好的传达设计意图和展示内容</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展示手法是否全具有全面性、科学性、合理性，是否能够把不断发展的高新技术与展示内容完美结合：</w:t>
            </w:r>
          </w:p>
          <w:p w14:paraId="1240A5DE">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tc>
      </w:tr>
      <w:tr w14:paraId="1F42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D4B3054">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270033A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62D2EF4D">
            <w:pPr>
              <w:spacing w:before="69"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lang w:val="en-US" w:eastAsia="zh-CN"/>
              </w:rPr>
              <w:t>施工方案（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7D85FC26">
            <w:pPr>
              <w:numPr>
                <w:ilvl w:val="0"/>
                <w:numId w:val="0"/>
              </w:num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（1）质量、进度、安全管控措施（</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16CF01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结合投标人针对本项目编制的质量管理体系、工期统筹排布、重难点施工管控、安全文明施工及隐患防控方案等：</w:t>
            </w:r>
          </w:p>
          <w:p w14:paraId="4F37471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9C05C89">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（2）主材选型、材质标准及耐久性保障（</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5A4A5A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根据投标人项目所用主材、辅材规格选型、执行标准、材质性能、防腐防潮、抗老化、成品防护等耐久性配套工艺方案，选材贴合项目工况及其长效耐用保障措施等：</w:t>
            </w:r>
          </w:p>
          <w:p w14:paraId="42899D67">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37DCAC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（3）施工实施及质保服务保障措施（5分）</w:t>
            </w:r>
          </w:p>
          <w:p w14:paraId="48110F8A">
            <w:p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根据投标人提供的</w:t>
            </w:r>
            <w:r>
              <w:rPr>
                <w:rFonts w:hint="eastAsia" w:ascii="宋体" w:hAnsi="宋体" w:eastAsia="宋体" w:cs="宋体"/>
                <w:color w:val="auto"/>
                <w:sz w:val="21"/>
                <w:szCs w:val="21"/>
                <w:highlight w:val="none"/>
              </w:rPr>
              <w:t>完工后巡检、故障报修响应时限、现场维修处置流程、备品备件储备、问题整改时限等全周期服务</w:t>
            </w:r>
            <w:r>
              <w:rPr>
                <w:rFonts w:hint="eastAsia" w:ascii="宋体" w:hAnsi="宋体" w:cs="宋体"/>
                <w:color w:val="auto"/>
                <w:sz w:val="21"/>
                <w:szCs w:val="21"/>
                <w:highlight w:val="none"/>
                <w:lang w:val="en-US" w:eastAsia="zh-CN"/>
              </w:rPr>
              <w:t>保障措施进行综合评审：</w:t>
            </w:r>
          </w:p>
          <w:p w14:paraId="2BE2F882">
            <w:pPr>
              <w:jc w:val="left"/>
              <w:rPr>
                <w:rFonts w:hint="default" w:ascii="宋体" w:hAnsi="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该项由专家评委评审打分，取所有评委评分的平均值为最终得分，保留两位小数点，第三位四舍五入</w:t>
      </w:r>
      <w:r>
        <w:rPr>
          <w:rFonts w:hint="eastAsia" w:ascii="宋体" w:hAnsi="宋体" w:cs="宋体"/>
          <w:b/>
          <w:bCs/>
          <w:color w:val="auto"/>
          <w:szCs w:val="21"/>
          <w:highlight w:val="none"/>
          <w:lang w:eastAsia="zh-CN"/>
        </w:rPr>
        <w:t>。</w:t>
      </w:r>
    </w:p>
    <w:p w14:paraId="0B4C772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（三）商务标评审（</w:t>
      </w:r>
      <w:r>
        <w:rPr>
          <w:rFonts w:hint="eastAsia" w:cs="Times New Roman"/>
          <w:b/>
          <w:color w:val="auto"/>
          <w:sz w:val="28"/>
          <w:szCs w:val="21"/>
          <w:highlight w:val="none"/>
          <w:lang w:val="en-US" w:eastAsia="zh-CN"/>
        </w:rPr>
        <w:t>4</w:t>
      </w:r>
      <w:r>
        <w:rPr>
          <w:rFonts w:hint="eastAsia" w:ascii="Times New Roman" w:hAnsi="Times New Roman" w:eastAsia="宋体" w:cs="Times New Roman"/>
          <w:b/>
          <w:color w:val="auto"/>
          <w:sz w:val="28"/>
          <w:szCs w:val="21"/>
          <w:highlight w:val="none"/>
          <w:lang w:val="en-US" w:eastAsia="zh-CN"/>
        </w:rPr>
        <w:t>0分）</w:t>
      </w: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2158" w:type="dxa"/>
            <w:noWrap/>
            <w:vAlign w:val="center"/>
          </w:tcPr>
          <w:p w14:paraId="1CF92DDF">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5008" w:type="dxa"/>
            <w:noWrap/>
            <w:vAlign w:val="center"/>
          </w:tcPr>
          <w:p w14:paraId="10027A3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形式评审标准</w:t>
            </w:r>
          </w:p>
        </w:tc>
        <w:tc>
          <w:tcPr>
            <w:tcW w:w="2158" w:type="dxa"/>
            <w:noWrap/>
            <w:vAlign w:val="center"/>
          </w:tcPr>
          <w:p w14:paraId="73517A2E">
            <w:pPr>
              <w:spacing w:line="440" w:lineRule="exact"/>
              <w:rPr>
                <w:rFonts w:ascii="宋体" w:hAnsi="宋体" w:cs="宋体"/>
                <w:color w:val="auto"/>
                <w:szCs w:val="21"/>
                <w:highlight w:val="none"/>
              </w:rPr>
            </w:pPr>
            <w:r>
              <w:rPr>
                <w:rFonts w:hint="eastAsia" w:ascii="宋体" w:hAnsi="宋体" w:cs="宋体"/>
                <w:color w:val="auto"/>
                <w:szCs w:val="21"/>
                <w:highlight w:val="none"/>
              </w:rPr>
              <w:t>投标函签字盖章</w:t>
            </w:r>
          </w:p>
        </w:tc>
        <w:tc>
          <w:tcPr>
            <w:tcW w:w="5008" w:type="dxa"/>
            <w:noWrap/>
          </w:tcPr>
          <w:p w14:paraId="2DBE6DD3">
            <w:pPr>
              <w:spacing w:line="440" w:lineRule="exact"/>
              <w:rPr>
                <w:rFonts w:ascii="宋体" w:hAnsi="宋体" w:cs="宋体"/>
                <w:color w:val="auto"/>
                <w:szCs w:val="21"/>
                <w:highlight w:val="none"/>
              </w:rPr>
            </w:pPr>
            <w:r>
              <w:rPr>
                <w:rFonts w:hint="eastAsia" w:ascii="宋体" w:hAnsi="宋体" w:cs="宋体"/>
                <w:color w:val="auto"/>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color w:val="auto"/>
                <w:szCs w:val="21"/>
                <w:highlight w:val="none"/>
              </w:rPr>
            </w:pPr>
          </w:p>
        </w:tc>
        <w:tc>
          <w:tcPr>
            <w:tcW w:w="1860" w:type="dxa"/>
            <w:gridSpan w:val="2"/>
            <w:vMerge w:val="continue"/>
            <w:noWrap/>
          </w:tcPr>
          <w:p w14:paraId="7570E8C7">
            <w:pPr>
              <w:spacing w:line="440" w:lineRule="exact"/>
              <w:rPr>
                <w:rFonts w:ascii="宋体" w:hAnsi="宋体" w:cs="宋体"/>
                <w:color w:val="auto"/>
                <w:szCs w:val="21"/>
                <w:highlight w:val="none"/>
              </w:rPr>
            </w:pPr>
          </w:p>
        </w:tc>
        <w:tc>
          <w:tcPr>
            <w:tcW w:w="2158" w:type="dxa"/>
            <w:noWrap/>
            <w:vAlign w:val="center"/>
          </w:tcPr>
          <w:p w14:paraId="45179B0C">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投标文件格式</w:t>
            </w:r>
          </w:p>
        </w:tc>
        <w:tc>
          <w:tcPr>
            <w:tcW w:w="5008" w:type="dxa"/>
            <w:noWrap/>
          </w:tcPr>
          <w:p w14:paraId="24166B6D">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符合第</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color w:val="auto"/>
                <w:szCs w:val="21"/>
                <w:highlight w:val="none"/>
              </w:rPr>
            </w:pPr>
          </w:p>
        </w:tc>
        <w:tc>
          <w:tcPr>
            <w:tcW w:w="1860" w:type="dxa"/>
            <w:gridSpan w:val="2"/>
            <w:vMerge w:val="continue"/>
            <w:noWrap/>
          </w:tcPr>
          <w:p w14:paraId="083A6289">
            <w:pPr>
              <w:spacing w:line="440" w:lineRule="exact"/>
              <w:rPr>
                <w:rFonts w:ascii="宋体" w:hAnsi="宋体" w:cs="宋体"/>
                <w:color w:val="auto"/>
                <w:szCs w:val="21"/>
                <w:highlight w:val="none"/>
              </w:rPr>
            </w:pPr>
          </w:p>
        </w:tc>
        <w:tc>
          <w:tcPr>
            <w:tcW w:w="2158" w:type="dxa"/>
            <w:noWrap/>
            <w:vAlign w:val="center"/>
          </w:tcPr>
          <w:p w14:paraId="5EC25201">
            <w:pPr>
              <w:spacing w:line="440" w:lineRule="exact"/>
              <w:rPr>
                <w:rFonts w:ascii="宋体" w:hAnsi="宋体" w:cs="宋体"/>
                <w:color w:val="auto"/>
                <w:szCs w:val="21"/>
                <w:highlight w:val="none"/>
              </w:rPr>
            </w:pPr>
            <w:r>
              <w:rPr>
                <w:rFonts w:hint="eastAsia" w:ascii="宋体" w:hAnsi="宋体" w:cs="宋体"/>
                <w:color w:val="auto"/>
                <w:szCs w:val="21"/>
                <w:highlight w:val="none"/>
              </w:rPr>
              <w:t>报价唯一</w:t>
            </w:r>
          </w:p>
        </w:tc>
        <w:tc>
          <w:tcPr>
            <w:tcW w:w="5008" w:type="dxa"/>
            <w:noWrap/>
          </w:tcPr>
          <w:p w14:paraId="1080A4B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4.2.2</w:t>
            </w:r>
          </w:p>
        </w:tc>
        <w:tc>
          <w:tcPr>
            <w:tcW w:w="1860" w:type="dxa"/>
            <w:gridSpan w:val="2"/>
            <w:vMerge w:val="restart"/>
            <w:noWrap/>
            <w:vAlign w:val="center"/>
          </w:tcPr>
          <w:p w14:paraId="477FB6B5">
            <w:pPr>
              <w:spacing w:line="440" w:lineRule="exact"/>
              <w:rPr>
                <w:rFonts w:ascii="宋体" w:hAnsi="宋体" w:cs="宋体"/>
                <w:color w:val="auto"/>
                <w:szCs w:val="21"/>
                <w:highlight w:val="none"/>
              </w:rPr>
            </w:pPr>
            <w:r>
              <w:rPr>
                <w:rFonts w:hint="eastAsia" w:ascii="宋体" w:hAnsi="宋体" w:cs="宋体"/>
                <w:color w:val="auto"/>
                <w:szCs w:val="21"/>
                <w:highlight w:val="none"/>
              </w:rPr>
              <w:t>响应性评审标准</w:t>
            </w:r>
          </w:p>
        </w:tc>
        <w:tc>
          <w:tcPr>
            <w:tcW w:w="2158" w:type="dxa"/>
            <w:noWrap/>
            <w:vAlign w:val="center"/>
          </w:tcPr>
          <w:p w14:paraId="341144D6">
            <w:pPr>
              <w:spacing w:line="440" w:lineRule="exact"/>
              <w:rPr>
                <w:rFonts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w:t>
            </w:r>
          </w:p>
        </w:tc>
        <w:tc>
          <w:tcPr>
            <w:tcW w:w="5008" w:type="dxa"/>
            <w:noWrap/>
            <w:vAlign w:val="center"/>
          </w:tcPr>
          <w:p w14:paraId="37215412">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color w:val="auto"/>
                <w:szCs w:val="21"/>
                <w:highlight w:val="none"/>
              </w:rPr>
            </w:pPr>
          </w:p>
        </w:tc>
        <w:tc>
          <w:tcPr>
            <w:tcW w:w="1860" w:type="dxa"/>
            <w:gridSpan w:val="2"/>
            <w:vMerge w:val="continue"/>
            <w:noWrap/>
          </w:tcPr>
          <w:p w14:paraId="7B4C01AA">
            <w:pPr>
              <w:spacing w:line="440" w:lineRule="exact"/>
              <w:rPr>
                <w:rFonts w:ascii="宋体" w:hAnsi="宋体" w:cs="宋体"/>
                <w:color w:val="auto"/>
                <w:szCs w:val="21"/>
                <w:highlight w:val="none"/>
              </w:rPr>
            </w:pPr>
          </w:p>
        </w:tc>
        <w:tc>
          <w:tcPr>
            <w:tcW w:w="2158" w:type="dxa"/>
            <w:noWrap/>
            <w:vAlign w:val="center"/>
          </w:tcPr>
          <w:p w14:paraId="1A3A3F53">
            <w:pPr>
              <w:spacing w:line="440" w:lineRule="exact"/>
              <w:rPr>
                <w:rFonts w:ascii="宋体" w:hAnsi="宋体" w:cs="宋体"/>
                <w:color w:val="auto"/>
                <w:szCs w:val="21"/>
                <w:highlight w:val="none"/>
              </w:rPr>
            </w:pPr>
            <w:r>
              <w:rPr>
                <w:rFonts w:hint="eastAsia" w:ascii="宋体" w:hAnsi="宋体" w:cs="宋体"/>
                <w:color w:val="auto"/>
                <w:szCs w:val="21"/>
                <w:highlight w:val="none"/>
              </w:rPr>
              <w:t>投标有效期</w:t>
            </w:r>
          </w:p>
        </w:tc>
        <w:tc>
          <w:tcPr>
            <w:tcW w:w="5008" w:type="dxa"/>
            <w:noWrap/>
            <w:vAlign w:val="center"/>
          </w:tcPr>
          <w:p w14:paraId="4CC287BA">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color w:val="auto"/>
                <w:szCs w:val="21"/>
                <w:highlight w:val="none"/>
              </w:rPr>
            </w:pPr>
          </w:p>
        </w:tc>
        <w:tc>
          <w:tcPr>
            <w:tcW w:w="1860" w:type="dxa"/>
            <w:gridSpan w:val="2"/>
            <w:vMerge w:val="continue"/>
            <w:noWrap/>
          </w:tcPr>
          <w:p w14:paraId="6058B882">
            <w:pPr>
              <w:spacing w:line="440" w:lineRule="exact"/>
              <w:rPr>
                <w:rFonts w:ascii="宋体" w:hAnsi="宋体" w:cs="宋体"/>
                <w:color w:val="auto"/>
                <w:szCs w:val="21"/>
                <w:highlight w:val="none"/>
              </w:rPr>
            </w:pPr>
          </w:p>
        </w:tc>
        <w:tc>
          <w:tcPr>
            <w:tcW w:w="2158" w:type="dxa"/>
            <w:noWrap/>
            <w:vAlign w:val="center"/>
          </w:tcPr>
          <w:p w14:paraId="59243F41">
            <w:pPr>
              <w:spacing w:line="440" w:lineRule="exact"/>
              <w:rPr>
                <w:rFonts w:ascii="宋体" w:hAnsi="宋体" w:cs="宋体"/>
                <w:color w:val="auto"/>
                <w:szCs w:val="21"/>
                <w:highlight w:val="none"/>
              </w:rPr>
            </w:pPr>
            <w:r>
              <w:rPr>
                <w:rFonts w:hint="eastAsia" w:ascii="宋体" w:hAnsi="宋体" w:cs="宋体"/>
                <w:color w:val="auto"/>
                <w:szCs w:val="21"/>
                <w:highlight w:val="none"/>
              </w:rPr>
              <w:t>工程质量</w:t>
            </w:r>
          </w:p>
        </w:tc>
        <w:tc>
          <w:tcPr>
            <w:tcW w:w="5008" w:type="dxa"/>
            <w:noWrap/>
            <w:vAlign w:val="center"/>
          </w:tcPr>
          <w:p w14:paraId="6B69FB9B">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color w:val="auto"/>
                <w:szCs w:val="21"/>
                <w:highlight w:val="none"/>
              </w:rPr>
            </w:pPr>
          </w:p>
        </w:tc>
        <w:tc>
          <w:tcPr>
            <w:tcW w:w="1860" w:type="dxa"/>
            <w:gridSpan w:val="2"/>
            <w:vMerge w:val="continue"/>
            <w:noWrap/>
          </w:tcPr>
          <w:p w14:paraId="03CDB8FB">
            <w:pPr>
              <w:spacing w:line="440" w:lineRule="exact"/>
              <w:rPr>
                <w:rFonts w:ascii="宋体" w:hAnsi="宋体" w:cs="宋体"/>
                <w:color w:val="auto"/>
                <w:szCs w:val="21"/>
                <w:highlight w:val="none"/>
              </w:rPr>
            </w:pPr>
          </w:p>
        </w:tc>
        <w:tc>
          <w:tcPr>
            <w:tcW w:w="2158" w:type="dxa"/>
            <w:noWrap/>
            <w:vAlign w:val="center"/>
          </w:tcPr>
          <w:p w14:paraId="68CD3BA7">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投标文件内容</w:t>
            </w:r>
          </w:p>
        </w:tc>
        <w:tc>
          <w:tcPr>
            <w:tcW w:w="5008" w:type="dxa"/>
            <w:noWrap/>
            <w:vAlign w:val="center"/>
          </w:tcPr>
          <w:p w14:paraId="7A7D463D">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color w:val="auto"/>
                <w:szCs w:val="21"/>
                <w:highlight w:val="none"/>
              </w:rPr>
            </w:pPr>
          </w:p>
        </w:tc>
        <w:tc>
          <w:tcPr>
            <w:tcW w:w="1860" w:type="dxa"/>
            <w:gridSpan w:val="2"/>
            <w:vMerge w:val="continue"/>
            <w:noWrap/>
          </w:tcPr>
          <w:p w14:paraId="6C3BBE5A">
            <w:pPr>
              <w:spacing w:line="440" w:lineRule="exact"/>
              <w:rPr>
                <w:rFonts w:ascii="宋体" w:hAnsi="宋体" w:cs="宋体"/>
                <w:color w:val="auto"/>
                <w:szCs w:val="21"/>
                <w:highlight w:val="none"/>
              </w:rPr>
            </w:pPr>
          </w:p>
        </w:tc>
        <w:tc>
          <w:tcPr>
            <w:tcW w:w="2158" w:type="dxa"/>
            <w:noWrap/>
            <w:vAlign w:val="center"/>
          </w:tcPr>
          <w:p w14:paraId="7B8E7F30">
            <w:pPr>
              <w:spacing w:line="440" w:lineRule="exact"/>
              <w:rPr>
                <w:rFonts w:ascii="宋体" w:hAnsi="宋体" w:cs="宋体"/>
                <w:color w:val="auto"/>
                <w:szCs w:val="21"/>
                <w:highlight w:val="none"/>
              </w:rPr>
            </w:pPr>
            <w:r>
              <w:rPr>
                <w:rFonts w:hint="eastAsia" w:ascii="宋体" w:hAnsi="宋体" w:cs="宋体"/>
                <w:color w:val="auto"/>
                <w:szCs w:val="21"/>
                <w:highlight w:val="none"/>
              </w:rPr>
              <w:t>投标报价</w:t>
            </w:r>
          </w:p>
        </w:tc>
        <w:tc>
          <w:tcPr>
            <w:tcW w:w="5008" w:type="dxa"/>
            <w:noWrap/>
            <w:vAlign w:val="center"/>
          </w:tcPr>
          <w:p w14:paraId="2BF22B2C">
            <w:pPr>
              <w:spacing w:line="440" w:lineRule="exact"/>
              <w:rPr>
                <w:rFonts w:ascii="宋体" w:hAnsi="宋体" w:cs="宋体"/>
                <w:color w:val="auto"/>
                <w:szCs w:val="21"/>
                <w:highlight w:val="none"/>
              </w:rPr>
            </w:pPr>
            <w:r>
              <w:rPr>
                <w:rFonts w:hint="eastAsia" w:ascii="宋体" w:hAnsi="宋体" w:cs="宋体"/>
                <w:color w:val="auto"/>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39CA59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商务标评分按下列步骤计算：</w:t>
            </w:r>
          </w:p>
          <w:p w14:paraId="516D4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第一步：计算B值。</w:t>
            </w:r>
          </w:p>
          <w:p w14:paraId="1AEB2B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①B值为计算范围内有效投标人报价的算术平均值。</w:t>
            </w:r>
          </w:p>
          <w:p w14:paraId="073DE1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第二步：计算评标基准价F值。</w:t>
            </w:r>
          </w:p>
          <w:p w14:paraId="214923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①F=B×（1-K），其中K为调整系数，K的取值为-0.5%（1号），0%（2号），0.5%（3号），1.0%（4号），1.5%（5号）。</w:t>
            </w:r>
          </w:p>
          <w:p w14:paraId="481028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第三步：计算报价偏差率。</w:t>
            </w:r>
          </w:p>
          <w:p w14:paraId="7CEE52D0">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cs="宋体"/>
                <w:color w:val="auto"/>
                <w:szCs w:val="21"/>
                <w:highlight w:val="none"/>
              </w:rPr>
              <w:t>①偏差率=|（投标报价-评标基</w:t>
            </w:r>
            <w:r>
              <w:rPr>
                <w:rFonts w:hint="eastAsia" w:ascii="宋体" w:hAnsi="宋体" w:eastAsia="宋体" w:cs="宋体"/>
                <w:color w:val="auto"/>
                <w:szCs w:val="21"/>
                <w:highlight w:val="none"/>
              </w:rPr>
              <w:t>准价）/评标基准价|×100%</w:t>
            </w:r>
          </w:p>
          <w:p w14:paraId="195C60D7">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第四步：计算报价得分</w:t>
            </w:r>
          </w:p>
          <w:p w14:paraId="4C3BFD79">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①投标报价等于评标基准价的得满分。</w:t>
            </w:r>
          </w:p>
          <w:p w14:paraId="6321492A">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②投标报价高于评标基准价的，投标报价得分=报价满分值-偏差率×100×</w:t>
            </w:r>
            <w:r>
              <w:rPr>
                <w:rFonts w:hint="eastAsia" w:ascii="宋体" w:hAnsi="宋体" w:cs="宋体"/>
                <w:color w:val="auto"/>
                <w:szCs w:val="21"/>
                <w:highlight w:val="none"/>
                <w:lang w:val="en-US" w:eastAsia="zh-CN"/>
              </w:rPr>
              <w:t>0.2</w:t>
            </w:r>
          </w:p>
          <w:p w14:paraId="75D935DE">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③投标报价低于评标基准价的，投标报价得分=报价满分值-偏差率×100×0.</w:t>
            </w:r>
            <w:r>
              <w:rPr>
                <w:rFonts w:hint="eastAsia" w:ascii="宋体" w:hAnsi="宋体" w:cs="宋体"/>
                <w:color w:val="auto"/>
                <w:szCs w:val="21"/>
                <w:highlight w:val="none"/>
                <w:lang w:val="en-US" w:eastAsia="zh-CN"/>
              </w:rPr>
              <w:t>1</w:t>
            </w:r>
          </w:p>
          <w:p w14:paraId="066E3DCE">
            <w:pPr>
              <w:jc w:val="left"/>
              <w:rPr>
                <w:color w:val="auto"/>
                <w:highlight w:val="none"/>
              </w:rPr>
            </w:pPr>
            <w:r>
              <w:rPr>
                <w:rFonts w:hint="eastAsia" w:ascii="宋体" w:hAnsi="宋体" w:cs="宋体"/>
                <w:b/>
                <w:color w:val="auto"/>
                <w:szCs w:val="21"/>
                <w:highlight w:val="none"/>
              </w:rPr>
              <w:t>注：</w:t>
            </w:r>
            <w:r>
              <w:rPr>
                <w:rFonts w:hint="eastAsia" w:ascii="宋体" w:hAnsi="宋体" w:cs="宋体"/>
                <w:b/>
                <w:color w:val="auto"/>
                <w:szCs w:val="21"/>
                <w:highlight w:val="none"/>
                <w:lang w:val="en-US" w:eastAsia="zh-CN"/>
              </w:rPr>
              <w:t>该部分</w:t>
            </w:r>
            <w:r>
              <w:rPr>
                <w:rFonts w:hint="eastAsia" w:ascii="宋体" w:hAnsi="宋体" w:cs="宋体"/>
                <w:b/>
                <w:color w:val="auto"/>
                <w:szCs w:val="21"/>
                <w:highlight w:val="none"/>
              </w:rPr>
              <w:t>计算过程中，B值、评标基准价F值、偏差率、报价得分均保留两位小数，小数点后第三位四舍五入。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144974556"/>
      <w:bookmarkStart w:id="123" w:name="_Toc246996232"/>
      <w:bookmarkStart w:id="124" w:name="_Toc506107324"/>
      <w:bookmarkStart w:id="125" w:name="_Toc179632607"/>
      <w:bookmarkStart w:id="126" w:name="_Toc246996975"/>
      <w:bookmarkStart w:id="127" w:name="_Toc35424947"/>
      <w:bookmarkStart w:id="128" w:name="_Toc6491"/>
      <w:bookmarkStart w:id="129" w:name="_Toc247085747"/>
      <w:bookmarkStart w:id="130" w:name="_Toc152042366"/>
      <w:bookmarkStart w:id="131" w:name="_Toc15058913"/>
      <w:bookmarkStart w:id="132" w:name="_Toc35425113"/>
      <w:bookmarkStart w:id="133" w:name="_Toc324404872"/>
      <w:bookmarkStart w:id="134" w:name="_Toc78803381"/>
      <w:bookmarkStart w:id="135" w:name="_Toc152045589"/>
      <w:r>
        <w:rPr>
          <w:rFonts w:hint="eastAsia" w:ascii="黑体" w:hAnsi="黑体" w:eastAsia="黑体" w:cs="黑体"/>
          <w:b/>
          <w:color w:val="auto"/>
          <w:szCs w:val="21"/>
          <w:highlight w:val="none"/>
        </w:rPr>
        <w:t>商务标评审表注：</w:t>
      </w:r>
    </w:p>
    <w:p w14:paraId="198E3E65">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、只有通过详细评审的投标人才能参加评分。</w:t>
      </w:r>
    </w:p>
    <w:p w14:paraId="3E333F4A">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、本表所称投标报价是指按招标文件规定修正后的投标总报价（多算投标报价、多报费用不扣减）。</w:t>
      </w:r>
    </w:p>
    <w:p w14:paraId="2D0AEB4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、B值计算方法：</w:t>
      </w:r>
    </w:p>
    <w:p w14:paraId="0154275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（1）本项目T取值为10。</w:t>
      </w:r>
    </w:p>
    <w:p w14:paraId="1B8F82AD">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（2）资信技术合计分值大于等于所有通过（资信、技术、商务）详细评审有效投标人资信技术平均分值的投标人数量为M。</w:t>
      </w:r>
    </w:p>
    <w:p w14:paraId="1C22B4CB">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（3）若M 未超过 T 时，B 值为符合上述条件的 M 个投标人投标报价的算术平均值。</w:t>
      </w:r>
    </w:p>
    <w:p w14:paraId="7777302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（4）若M 超过 T 时，B 值为符合上述条件的 M 个投标人投标报价中去除(M-T)/2【M-T 为奇数时，则为(M-T+1)/2】个最高价和(M-T)/2【M-T 为奇数时，则为(M-T-1)/2】个最低价后，剩余有效投标报价的算术平均值（如去高去低的最后一名存在报价相同的，则通过随机抽取确定被去除的投标人。只保留T个投标人的投标报价）。</w:t>
      </w:r>
    </w:p>
    <w:p w14:paraId="3BB1641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、K值（评标基准价系数）的抽取：资信标、技术标、商务标评审完成后，招标人</w:t>
      </w:r>
      <w:r>
        <w:rPr>
          <w:rFonts w:hint="eastAsia" w:ascii="宋体" w:hAnsi="宋体" w:eastAsia="宋体" w:cs="宋体"/>
          <w:color w:val="auto"/>
          <w:szCs w:val="21"/>
          <w:highlight w:val="none"/>
          <w:lang w:val="en-US" w:eastAsia="zh-CN"/>
        </w:rPr>
        <w:t>现场</w:t>
      </w:r>
      <w:r>
        <w:rPr>
          <w:rFonts w:hint="eastAsia" w:ascii="宋体" w:hAnsi="宋体" w:eastAsia="宋体" w:cs="宋体"/>
          <w:color w:val="auto"/>
          <w:szCs w:val="21"/>
          <w:highlight w:val="none"/>
        </w:rPr>
        <w:t>抽取K值，并根据抽取的K值计算F值，评标办法中的评标基准价计算出来后，除数字计算错误外，其他情况均不再调整。</w:t>
      </w:r>
    </w:p>
    <w:p w14:paraId="59E5148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color w:val="auto"/>
          <w:szCs w:val="21"/>
          <w:highlight w:val="none"/>
        </w:rPr>
      </w:pPr>
      <w:bookmarkStart w:id="136" w:name="_Toc324404873"/>
      <w:bookmarkStart w:id="137" w:name="_Toc246996976"/>
      <w:bookmarkStart w:id="138" w:name="_Toc152045590"/>
      <w:bookmarkStart w:id="139" w:name="_Toc152042367"/>
      <w:bookmarkStart w:id="140" w:name="_Toc144974557"/>
      <w:bookmarkStart w:id="141" w:name="_Toc247085748"/>
      <w:bookmarkStart w:id="142" w:name="_Toc246996233"/>
      <w:bookmarkStart w:id="143" w:name="_Toc179632608"/>
      <w:bookmarkStart w:id="144" w:name="_Toc296602478"/>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w:t>
      </w:r>
      <w:r>
        <w:rPr>
          <w:rFonts w:hint="eastAsia" w:ascii="宋体" w:hAnsi="宋体" w:cs="宋体"/>
          <w:color w:val="auto"/>
          <w:szCs w:val="21"/>
          <w:highlight w:val="none"/>
          <w:lang w:val="en-US" w:eastAsia="zh-CN"/>
        </w:rPr>
        <w:t>资信分+</w:t>
      </w:r>
      <w:r>
        <w:rPr>
          <w:rFonts w:hint="eastAsia" w:ascii="宋体" w:hAnsi="宋体" w:cs="宋体"/>
          <w:color w:val="auto"/>
          <w:szCs w:val="21"/>
          <w:highlight w:val="none"/>
        </w:rPr>
        <w:t>技术分+商务分）由高到低顺序推荐中标候选人</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名，并标明排序，但投标报价低于其成本的除外。总评分相等时，以投标报价低的优先；若投标报价也相等，由招标人抽签确定。</w:t>
      </w:r>
    </w:p>
    <w:p w14:paraId="3F12DD3B">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45" w:name="_Toc35424948"/>
      <w:bookmarkStart w:id="146" w:name="_Toc35425114"/>
      <w:bookmarkStart w:id="147" w:name="_Toc15058914"/>
      <w:bookmarkStart w:id="148" w:name="_Toc78803382"/>
      <w:bookmarkStart w:id="149" w:name="_Toc11945"/>
      <w:bookmarkStart w:id="150" w:name="_Toc506107325"/>
      <w:r>
        <w:rPr>
          <w:rFonts w:hint="eastAsia" w:ascii="宋体" w:hAnsi="宋体" w:eastAsia="宋体" w:cs="宋体"/>
          <w:color w:val="auto"/>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bookmarkStart w:id="151" w:name="_Toc78803383"/>
      <w:r>
        <w:rPr>
          <w:rFonts w:hint="eastAsia" w:ascii="宋体" w:hAnsi="宋体" w:cs="宋体"/>
          <w:color w:val="auto"/>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52" w:name="_Toc78803384"/>
      <w:bookmarkStart w:id="153" w:name="_Toc35424949"/>
      <w:bookmarkStart w:id="154" w:name="_Toc324404874"/>
      <w:bookmarkStart w:id="155" w:name="_Toc35425115"/>
      <w:bookmarkStart w:id="156" w:name="_Toc17377"/>
      <w:bookmarkStart w:id="157" w:name="_Toc506107326"/>
      <w:bookmarkStart w:id="158" w:name="_Toc15058915"/>
      <w:r>
        <w:rPr>
          <w:rFonts w:hint="eastAsia" w:ascii="宋体" w:hAnsi="宋体" w:eastAsia="宋体" w:cs="宋体"/>
          <w:color w:val="auto"/>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评标先做准备工作，先进行</w:t>
      </w:r>
      <w:r>
        <w:rPr>
          <w:rFonts w:hint="eastAsia" w:ascii="宋体" w:hAnsi="宋体" w:eastAsia="宋体" w:cs="宋体"/>
          <w:color w:val="auto"/>
          <w:szCs w:val="21"/>
          <w:highlight w:val="none"/>
          <w:lang w:val="en-US" w:eastAsia="zh-CN"/>
        </w:rPr>
        <w:t>资格审查</w:t>
      </w:r>
      <w:r>
        <w:rPr>
          <w:rFonts w:hint="eastAsia" w:ascii="宋体" w:hAnsi="宋体" w:eastAsia="宋体" w:cs="宋体"/>
          <w:color w:val="auto"/>
          <w:szCs w:val="21"/>
          <w:highlight w:val="none"/>
        </w:rPr>
        <w:t>，然后进行技术标评审，最后进行商务标评审。</w:t>
      </w:r>
    </w:p>
    <w:p w14:paraId="6E98093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59" w:name="_Toc78803385"/>
      <w:bookmarkStart w:id="160" w:name="_Toc35425116"/>
      <w:bookmarkStart w:id="161" w:name="_Toc15058916"/>
      <w:bookmarkStart w:id="162" w:name="_Toc35424950"/>
      <w:bookmarkStart w:id="163" w:name="_Toc27389"/>
      <w:r>
        <w:rPr>
          <w:rFonts w:hint="eastAsia" w:ascii="宋体" w:hAnsi="宋体" w:eastAsia="宋体" w:cs="宋体"/>
          <w:color w:val="auto"/>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136FCFB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64" w:name="_Toc35425117"/>
      <w:bookmarkStart w:id="165" w:name="_Toc78803386"/>
      <w:bookmarkStart w:id="166" w:name="_Toc1299"/>
      <w:bookmarkStart w:id="167" w:name="_Toc35424951"/>
      <w:bookmarkStart w:id="168" w:name="_Toc15058917"/>
      <w:bookmarkStart w:id="169" w:name="_Toc24650"/>
      <w:bookmarkStart w:id="170" w:name="_Toc12200"/>
      <w:bookmarkStart w:id="171" w:name="_Toc324404875"/>
      <w:bookmarkStart w:id="172" w:name="_Toc15058919"/>
      <w:bookmarkStart w:id="173" w:name="_Toc35424954"/>
      <w:bookmarkStart w:id="174" w:name="_Toc506107327"/>
      <w:bookmarkStart w:id="175" w:name="_Toc35425120"/>
      <w:r>
        <w:rPr>
          <w:rFonts w:hint="eastAsia" w:ascii="宋体" w:hAnsi="宋体" w:eastAsia="宋体" w:cs="宋体"/>
          <w:color w:val="auto"/>
          <w:highlight w:val="none"/>
        </w:rPr>
        <w:t>3.2</w:t>
      </w:r>
      <w:r>
        <w:rPr>
          <w:rFonts w:hint="eastAsia" w:ascii="宋体" w:hAnsi="宋体" w:eastAsia="宋体" w:cs="宋体"/>
          <w:color w:val="auto"/>
          <w:highlight w:val="none"/>
          <w:lang w:val="en-US" w:eastAsia="zh-CN"/>
        </w:rPr>
        <w:t>资信</w:t>
      </w:r>
      <w:r>
        <w:rPr>
          <w:rFonts w:hint="eastAsia" w:ascii="宋体" w:hAnsi="宋体" w:eastAsia="宋体" w:cs="宋体"/>
          <w:color w:val="auto"/>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rPr>
        <w:t>详见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13E391E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详见技术标评审表。</w:t>
      </w:r>
    </w:p>
    <w:p w14:paraId="3DC15C5A">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76" w:name="_Toc11990"/>
      <w:bookmarkStart w:id="177" w:name="_Toc35425118"/>
      <w:bookmarkStart w:id="178" w:name="_Toc35424952"/>
      <w:bookmarkStart w:id="179" w:name="_Toc17468"/>
      <w:bookmarkStart w:id="180" w:name="_Toc15058918"/>
      <w:bookmarkStart w:id="181" w:name="_Toc78803387"/>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18087"/>
      <w:bookmarkStart w:id="183" w:name="_Toc26895"/>
      <w:bookmarkStart w:id="184" w:name="_Toc35425119"/>
      <w:bookmarkStart w:id="185" w:name="_Toc78803388"/>
      <w:bookmarkStart w:id="186" w:name="_Toc35424953"/>
      <w:r>
        <w:rPr>
          <w:rStyle w:val="198"/>
          <w:rFonts w:hint="eastAsia" w:ascii="宋体" w:hAnsi="宋体" w:eastAsia="宋体" w:cs="宋体"/>
          <w:color w:val="auto"/>
          <w:highlight w:val="none"/>
        </w:rPr>
        <w:t>3.</w:t>
      </w:r>
      <w:r>
        <w:rPr>
          <w:rStyle w:val="198"/>
          <w:rFonts w:hint="eastAsia" w:ascii="宋体" w:hAnsi="宋体" w:cs="宋体"/>
          <w:color w:val="auto"/>
          <w:highlight w:val="none"/>
          <w:lang w:val="en-US"/>
        </w:rPr>
        <w:t>5</w:t>
      </w:r>
      <w:r>
        <w:rPr>
          <w:rStyle w:val="198"/>
          <w:rFonts w:hint="eastAsia" w:ascii="宋体" w:hAnsi="宋体" w:eastAsia="宋体" w:cs="宋体"/>
          <w:color w:val="auto"/>
          <w:highlight w:val="none"/>
        </w:rPr>
        <w:t>推荐中标候选人</w:t>
      </w:r>
      <w:bookmarkEnd w:id="182"/>
      <w:bookmarkEnd w:id="183"/>
      <w:bookmarkEnd w:id="184"/>
      <w:bookmarkEnd w:id="185"/>
      <w:bookmarkEnd w:id="186"/>
      <w:r>
        <w:rPr>
          <w:rFonts w:hint="eastAsia" w:ascii="宋体" w:hAnsi="宋体" w:cs="宋体"/>
          <w:b/>
          <w:bCs/>
          <w:color w:val="auto"/>
          <w:highlight w:val="none"/>
        </w:rPr>
        <w:t>：</w:t>
      </w:r>
      <w:r>
        <w:rPr>
          <w:rFonts w:hint="eastAsia" w:ascii="宋体" w:hAnsi="宋体" w:cs="宋体"/>
          <w:color w:val="auto"/>
          <w:highlight w:val="none"/>
        </w:rPr>
        <w:t>资</w:t>
      </w:r>
      <w:r>
        <w:rPr>
          <w:rFonts w:hint="eastAsia" w:ascii="宋体" w:hAnsi="宋体" w:cs="宋体"/>
          <w:color w:val="auto"/>
          <w:highlight w:val="none"/>
          <w:lang w:val="en-US" w:eastAsia="zh-CN"/>
        </w:rPr>
        <w:t>格审查</w:t>
      </w:r>
      <w:r>
        <w:rPr>
          <w:rFonts w:hint="eastAsia" w:ascii="宋体" w:hAnsi="宋体" w:cs="宋体"/>
          <w:color w:val="auto"/>
          <w:highlight w:val="none"/>
        </w:rPr>
        <w:t>、技术标评审、商务标评审后，推荐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87" w:name="_Toc78803389"/>
      <w:r>
        <w:rPr>
          <w:rFonts w:hint="eastAsia" w:ascii="宋体" w:hAnsi="宋体" w:eastAsia="宋体" w:cs="宋体"/>
          <w:color w:val="auto"/>
          <w:highlight w:val="none"/>
        </w:rPr>
        <w:t>4.评审内容</w:t>
      </w:r>
      <w:bookmarkEnd w:id="170"/>
      <w:bookmarkEnd w:id="171"/>
      <w:bookmarkEnd w:id="172"/>
      <w:bookmarkEnd w:id="173"/>
      <w:bookmarkEnd w:id="174"/>
      <w:bookmarkEnd w:id="175"/>
      <w:bookmarkEnd w:id="187"/>
    </w:p>
    <w:p w14:paraId="0F1392E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88" w:name="_Toc9630"/>
      <w:bookmarkStart w:id="189" w:name="_Toc78803390"/>
      <w:r>
        <w:rPr>
          <w:rFonts w:hint="eastAsia" w:ascii="宋体" w:hAnsi="宋体" w:eastAsia="宋体" w:cs="宋体"/>
          <w:color w:val="auto"/>
          <w:highlight w:val="none"/>
        </w:rPr>
        <w:t>4.1</w:t>
      </w:r>
      <w:bookmarkEnd w:id="188"/>
      <w:bookmarkEnd w:id="189"/>
      <w:bookmarkStart w:id="190" w:name="_Toc35425122"/>
      <w:bookmarkStart w:id="191" w:name="_Toc3531"/>
      <w:bookmarkStart w:id="192" w:name="_Toc78803391"/>
      <w:bookmarkStart w:id="193" w:name="_Toc35424956"/>
      <w:bookmarkStart w:id="194" w:name="_Toc15058921"/>
      <w:bookmarkStart w:id="195" w:name="_Toc324404876"/>
      <w:r>
        <w:rPr>
          <w:rFonts w:hint="eastAsia" w:ascii="宋体" w:hAnsi="宋体" w:eastAsia="宋体" w:cs="宋体"/>
          <w:color w:val="auto"/>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96" w:name="_Toc35425123"/>
      <w:bookmarkStart w:id="197" w:name="_Toc13125"/>
      <w:bookmarkStart w:id="198" w:name="_Toc506107328"/>
      <w:bookmarkStart w:id="199" w:name="_Toc35424957"/>
      <w:bookmarkStart w:id="200" w:name="_Toc15058922"/>
      <w:bookmarkStart w:id="201" w:name="_Toc78803392"/>
      <w:r>
        <w:rPr>
          <w:rFonts w:hint="eastAsia" w:ascii="宋体" w:hAnsi="宋体" w:eastAsia="宋体" w:cs="宋体"/>
          <w:color w:val="auto"/>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）法律、法规规定的其他情形。</w:t>
      </w:r>
    </w:p>
    <w:p w14:paraId="6C2FB7F4">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2" w:name="_Toc27846"/>
      <w:bookmarkStart w:id="203" w:name="_Toc78803393"/>
      <w:bookmarkStart w:id="204" w:name="_Toc506107329"/>
      <w:bookmarkStart w:id="205" w:name="_Toc324404877"/>
      <w:bookmarkStart w:id="206" w:name="_Toc35425124"/>
      <w:bookmarkStart w:id="207" w:name="_Toc35424958"/>
      <w:bookmarkStart w:id="208" w:name="_Toc15058923"/>
      <w:r>
        <w:rPr>
          <w:rFonts w:hint="eastAsia" w:ascii="宋体" w:hAnsi="宋体" w:eastAsia="宋体" w:cs="宋体"/>
          <w:color w:val="auto"/>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9" w:name="_Toc35425125"/>
      <w:bookmarkStart w:id="210" w:name="_Toc15058924"/>
      <w:bookmarkStart w:id="211" w:name="_Toc35424959"/>
      <w:bookmarkStart w:id="212" w:name="_Toc324404878"/>
      <w:bookmarkStart w:id="213" w:name="_Toc506107330"/>
      <w:bookmarkStart w:id="214" w:name="_Toc78803394"/>
      <w:bookmarkStart w:id="215" w:name="_Toc13990"/>
      <w:r>
        <w:rPr>
          <w:rFonts w:hint="eastAsia" w:ascii="宋体" w:hAnsi="宋体" w:eastAsia="宋体" w:cs="宋体"/>
          <w:color w:val="auto"/>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bookmarkStart w:id="216" w:name="_Toc78803395"/>
      <w:bookmarkStart w:id="217" w:name="_Toc22863"/>
      <w:bookmarkStart w:id="218" w:name="_Toc15058925"/>
      <w:bookmarkStart w:id="219" w:name="_Toc506107331"/>
      <w:bookmarkStart w:id="220" w:name="_Toc35425126"/>
      <w:bookmarkStart w:id="221" w:name="_Toc324404879"/>
      <w:bookmarkStart w:id="222" w:name="_Toc35424960"/>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标评分标准：见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商务标评分标准：见商务标评审表。</w:t>
      </w:r>
    </w:p>
    <w:p w14:paraId="26B2972C">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23" w:name="_Toc78803396"/>
      <w:bookmarkStart w:id="224" w:name="_Toc324404880"/>
      <w:bookmarkStart w:id="225" w:name="_Toc15058926"/>
      <w:bookmarkStart w:id="226" w:name="_Toc35425127"/>
      <w:bookmarkStart w:id="227" w:name="_Toc506107332"/>
      <w:bookmarkStart w:id="228" w:name="_Toc35424961"/>
      <w:bookmarkStart w:id="229" w:name="_Toc1576"/>
      <w:r>
        <w:rPr>
          <w:rFonts w:hint="eastAsia" w:ascii="宋体" w:hAnsi="宋体" w:eastAsia="宋体" w:cs="宋体"/>
          <w:color w:val="auto"/>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color w:val="auto"/>
          <w:highlight w:val="none"/>
        </w:rPr>
      </w:pPr>
      <w:r>
        <w:rPr>
          <w:rFonts w:hint="eastAsia" w:ascii="宋体" w:hAnsi="宋体" w:cs="宋体"/>
          <w:color w:val="auto"/>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246996995"/>
      <w:bookmarkStart w:id="231" w:name="_Toc152042387"/>
      <w:bookmarkStart w:id="232" w:name="_Toc246996252"/>
      <w:bookmarkStart w:id="233" w:name="_Toc152045609"/>
      <w:bookmarkStart w:id="234" w:name="_Toc417623601"/>
      <w:bookmarkStart w:id="235" w:name="_Toc324404881"/>
      <w:bookmarkStart w:id="236" w:name="_Toc179632627"/>
      <w:bookmarkStart w:id="237" w:name="_Toc247085767"/>
      <w:bookmarkStart w:id="238" w:name="_Toc144974577"/>
    </w:p>
    <w:bookmarkEnd w:id="230"/>
    <w:bookmarkEnd w:id="231"/>
    <w:bookmarkEnd w:id="232"/>
    <w:bookmarkEnd w:id="233"/>
    <w:bookmarkEnd w:id="234"/>
    <w:bookmarkEnd w:id="235"/>
    <w:bookmarkEnd w:id="236"/>
    <w:bookmarkEnd w:id="237"/>
    <w:bookmarkEnd w:id="238"/>
    <w:p w14:paraId="01EE8AAD">
      <w:pPr>
        <w:rPr>
          <w:color w:val="auto"/>
          <w:highlight w:val="none"/>
        </w:rPr>
      </w:pPr>
      <w:bookmarkStart w:id="239" w:name="_Toc35425128"/>
      <w:bookmarkStart w:id="240" w:name="_Toc35424962"/>
      <w:bookmarkStart w:id="241" w:name="_Toc506107333"/>
      <w:bookmarkStart w:id="242" w:name="_Toc15058927"/>
      <w:bookmarkStart w:id="243" w:name="_Toc152042546"/>
      <w:bookmarkStart w:id="244" w:name="_Toc144974826"/>
      <w:bookmarkStart w:id="245" w:name="_Toc179632785"/>
      <w:bookmarkStart w:id="246" w:name="_Toc152045767"/>
    </w:p>
    <w:p w14:paraId="65923B12">
      <w:pPr>
        <w:rPr>
          <w:rFonts w:hint="eastAsia"/>
          <w:color w:val="auto"/>
          <w:highlight w:val="none"/>
        </w:rPr>
      </w:pPr>
      <w:r>
        <w:rPr>
          <w:rFonts w:hint="eastAsia"/>
          <w:color w:val="auto"/>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5"/>
        <w:spacing w:beforeLines="50" w:afterLines="50" w:line="440" w:lineRule="exact"/>
        <w:rPr>
          <w:rFonts w:hint="eastAsia" w:eastAsia="宋体" w:cs="Times New Roman"/>
          <w:bCs/>
          <w:color w:val="auto"/>
          <w:szCs w:val="32"/>
          <w:highlight w:val="none"/>
          <w:lang w:val="en-US" w:eastAsia="zh-CN"/>
        </w:rPr>
      </w:pPr>
      <w:bookmarkStart w:id="248" w:name="_Toc506107340"/>
      <w:bookmarkStart w:id="249" w:name="_Toc152045786"/>
      <w:bookmarkStart w:id="250" w:name="_Toc247085872"/>
      <w:bookmarkStart w:id="251" w:name="_Toc35424970"/>
      <w:bookmarkStart w:id="252" w:name="_Toc144974855"/>
      <w:bookmarkStart w:id="253" w:name="_Toc179632806"/>
      <w:bookmarkStart w:id="254" w:name="_Toc152042575"/>
      <w:bookmarkStart w:id="255" w:name="_Toc35425136"/>
      <w:bookmarkStart w:id="256" w:name="_Toc246996354"/>
      <w:bookmarkStart w:id="257" w:name="_Toc15058934"/>
      <w:bookmarkStart w:id="258" w:name="_Toc324404888"/>
      <w:bookmarkStart w:id="259" w:name="_Toc246997097"/>
      <w:bookmarkStart w:id="260" w:name="_Toc78803398"/>
      <w:r>
        <w:rPr>
          <w:rFonts w:hint="eastAsia" w:eastAsia="宋体" w:cs="Times New Roman"/>
          <w:bCs/>
          <w:color w:val="auto"/>
          <w:szCs w:val="32"/>
          <w:highlight w:val="none"/>
        </w:rPr>
        <w:t>第</w:t>
      </w:r>
      <w:r>
        <w:rPr>
          <w:rFonts w:hint="eastAsia" w:eastAsia="宋体" w:cs="Times New Roman"/>
          <w:bCs/>
          <w:color w:val="auto"/>
          <w:szCs w:val="32"/>
          <w:highlight w:val="none"/>
          <w:lang w:val="en-US" w:eastAsia="zh-CN"/>
        </w:rPr>
        <w:t>五</w:t>
      </w:r>
      <w:r>
        <w:rPr>
          <w:rFonts w:hint="eastAsia" w:eastAsia="宋体" w:cs="Times New Roman"/>
          <w:bCs/>
          <w:color w:val="auto"/>
          <w:szCs w:val="32"/>
          <w:highlight w:val="none"/>
        </w:rPr>
        <w:t xml:space="preserve">章 </w:t>
      </w:r>
      <w:r>
        <w:rPr>
          <w:rFonts w:hint="eastAsia" w:cs="Times New Roman"/>
          <w:bCs/>
          <w:color w:val="auto"/>
          <w:szCs w:val="32"/>
          <w:highlight w:val="none"/>
          <w:lang w:val="en-US" w:eastAsia="zh-CN"/>
        </w:rPr>
        <w:t>采购需求</w:t>
      </w:r>
    </w:p>
    <w:p w14:paraId="66BF3B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一、项目概况</w:t>
      </w:r>
    </w:p>
    <w:p w14:paraId="13FF67A2">
      <w:pPr>
        <w:widowControl/>
        <w:spacing w:line="480" w:lineRule="exact"/>
        <w:ind w:firstLine="420" w:firstLineChars="200"/>
        <w:jc w:val="left"/>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本项目为滁州至南京城际铁路（滁州段）廉洁主题营造</w:t>
      </w:r>
      <w:r>
        <w:rPr>
          <w:rStyle w:val="51"/>
          <w:rFonts w:ascii="宋体" w:hAnsi="宋体" w:eastAsia="宋体" w:cs="宋体"/>
          <w:color w:val="auto"/>
          <w:kern w:val="0"/>
          <w:szCs w:val="21"/>
          <w:highlight w:val="none"/>
          <w:lang w:bidi="ar"/>
        </w:rPr>
        <w:t>设计施工一体化</w:t>
      </w:r>
      <w:r>
        <w:rPr>
          <w:rFonts w:ascii="宋体" w:hAnsi="宋体" w:eastAsia="宋体" w:cs="宋体"/>
          <w:color w:val="auto"/>
          <w:kern w:val="0"/>
          <w:szCs w:val="21"/>
          <w:highlight w:val="none"/>
          <w:lang w:bidi="ar"/>
        </w:rPr>
        <w:t>项目。整体采用</w:t>
      </w:r>
      <w:r>
        <w:rPr>
          <w:rStyle w:val="51"/>
          <w:rFonts w:ascii="宋体" w:hAnsi="宋体" w:eastAsia="宋体" w:cs="宋体"/>
          <w:color w:val="auto"/>
          <w:kern w:val="0"/>
          <w:szCs w:val="21"/>
          <w:highlight w:val="none"/>
          <w:lang w:bidi="ar"/>
        </w:rPr>
        <w:t>点线面全域布局模式</w:t>
      </w:r>
      <w:r>
        <w:rPr>
          <w:rFonts w:ascii="宋体" w:hAnsi="宋体" w:eastAsia="宋体" w:cs="宋体"/>
          <w:b/>
          <w:bCs/>
          <w:color w:val="auto"/>
          <w:kern w:val="0"/>
          <w:szCs w:val="21"/>
          <w:highlight w:val="none"/>
          <w:lang w:bidi="ar"/>
        </w:rPr>
        <w:t>，以苏滁商务中心站为核心主展示点位，汊河站、高铁站、滁州政务中心站、琅琊山站为</w:t>
      </w:r>
      <w:r>
        <w:rPr>
          <w:rFonts w:hint="eastAsia" w:ascii="宋体" w:hAnsi="宋体" w:eastAsia="宋体" w:cs="宋体"/>
          <w:b/>
          <w:bCs/>
          <w:color w:val="auto"/>
          <w:kern w:val="0"/>
          <w:szCs w:val="21"/>
          <w:highlight w:val="none"/>
          <w:lang w:bidi="ar"/>
        </w:rPr>
        <w:t>轻量化点缀展示</w:t>
      </w:r>
      <w:r>
        <w:rPr>
          <w:rFonts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bidi="ar"/>
        </w:rPr>
        <w:t>结合一列主题列车，</w:t>
      </w:r>
      <w:r>
        <w:rPr>
          <w:rFonts w:ascii="宋体" w:hAnsi="宋体" w:eastAsia="宋体" w:cs="宋体"/>
          <w:b/>
          <w:bCs/>
          <w:color w:val="auto"/>
          <w:kern w:val="0"/>
          <w:szCs w:val="21"/>
          <w:highlight w:val="none"/>
          <w:lang w:bidi="ar"/>
        </w:rPr>
        <w:t>串联形成轨道廉洁文化展示</w:t>
      </w:r>
      <w:r>
        <w:rPr>
          <w:rFonts w:hint="eastAsia" w:ascii="宋体" w:hAnsi="宋体" w:eastAsia="宋体" w:cs="宋体"/>
          <w:b/>
          <w:bCs/>
          <w:color w:val="auto"/>
          <w:kern w:val="0"/>
          <w:szCs w:val="21"/>
          <w:highlight w:val="none"/>
          <w:lang w:bidi="ar"/>
        </w:rPr>
        <w:t>空间</w:t>
      </w:r>
      <w:r>
        <w:rPr>
          <w:rFonts w:ascii="宋体" w:hAnsi="宋体" w:eastAsia="宋体" w:cs="宋体"/>
          <w:b/>
          <w:bCs/>
          <w:color w:val="auto"/>
          <w:kern w:val="0"/>
          <w:szCs w:val="21"/>
          <w:highlight w:val="none"/>
          <w:lang w:bidi="ar"/>
        </w:rPr>
        <w:t>；</w:t>
      </w:r>
      <w:r>
        <w:rPr>
          <w:rFonts w:ascii="宋体" w:hAnsi="宋体" w:eastAsia="宋体" w:cs="宋体"/>
          <w:color w:val="auto"/>
          <w:kern w:val="0"/>
          <w:szCs w:val="21"/>
          <w:highlight w:val="none"/>
          <w:lang w:bidi="ar"/>
        </w:rPr>
        <w:t>深度挖掘滁州本土历史人文、地域特色与清流河生态底蕴，结合</w:t>
      </w:r>
      <w:r>
        <w:rPr>
          <w:rFonts w:hint="eastAsia" w:ascii="宋体" w:hAnsi="宋体" w:eastAsia="宋体" w:cs="宋体"/>
          <w:color w:val="auto"/>
          <w:kern w:val="0"/>
          <w:szCs w:val="21"/>
          <w:highlight w:val="none"/>
          <w:lang w:bidi="ar"/>
        </w:rPr>
        <w:t>轨道交通</w:t>
      </w:r>
      <w:r>
        <w:rPr>
          <w:rFonts w:ascii="宋体" w:hAnsi="宋体" w:eastAsia="宋体" w:cs="宋体"/>
          <w:color w:val="auto"/>
          <w:kern w:val="0"/>
          <w:szCs w:val="21"/>
          <w:highlight w:val="none"/>
          <w:lang w:bidi="ar"/>
        </w:rPr>
        <w:t>空间打造沉浸式、开放式廉洁文化宣教阵地。面向市民、公职人员、青少年</w:t>
      </w:r>
      <w:r>
        <w:rPr>
          <w:rFonts w:hint="eastAsia" w:ascii="宋体" w:hAnsi="宋体" w:eastAsia="宋体" w:cs="宋体"/>
          <w:color w:val="auto"/>
          <w:kern w:val="0"/>
          <w:szCs w:val="21"/>
          <w:highlight w:val="none"/>
          <w:lang w:bidi="ar"/>
        </w:rPr>
        <w:t>等多</w:t>
      </w:r>
      <w:r>
        <w:rPr>
          <w:rFonts w:ascii="宋体" w:hAnsi="宋体" w:eastAsia="宋体" w:cs="宋体"/>
          <w:color w:val="auto"/>
          <w:kern w:val="0"/>
          <w:szCs w:val="21"/>
          <w:highlight w:val="none"/>
          <w:lang w:bidi="ar"/>
        </w:rPr>
        <w:t>群体，构建多点联动、全域渗透的流动廉政教育空间，彰显滁州清正的政治生态与深厚城市文化底蕴。</w:t>
      </w:r>
    </w:p>
    <w:p w14:paraId="74343F5A">
      <w:pPr>
        <w:widowControl/>
        <w:spacing w:line="48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主题：</w:t>
      </w:r>
      <w:r>
        <w:rPr>
          <w:rFonts w:ascii="宋体" w:hAnsi="宋体" w:eastAsia="宋体" w:cs="宋体"/>
          <w:color w:val="auto"/>
          <w:kern w:val="0"/>
          <w:szCs w:val="21"/>
          <w:highlight w:val="none"/>
          <w:lang w:bidi="ar"/>
        </w:rPr>
        <w:t>廉润清流，廉伴同行</w:t>
      </w:r>
      <w:r>
        <w:rPr>
          <w:rFonts w:hint="eastAsia" w:ascii="宋体" w:hAnsi="宋体" w:eastAsia="宋体" w:cs="宋体"/>
          <w:color w:val="auto"/>
          <w:kern w:val="0"/>
          <w:szCs w:val="21"/>
          <w:highlight w:val="none"/>
          <w:lang w:bidi="ar"/>
        </w:rPr>
        <w:t>。</w:t>
      </w:r>
    </w:p>
    <w:p w14:paraId="73F02E43">
      <w:pPr>
        <w:widowControl/>
        <w:spacing w:line="480" w:lineRule="exact"/>
        <w:ind w:firstLine="420" w:firstLineChars="200"/>
        <w:jc w:val="left"/>
        <w:rPr>
          <w:rFonts w:hint="eastAsia"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项目预算：</w:t>
      </w:r>
      <w:r>
        <w:rPr>
          <w:rFonts w:hint="eastAsia" w:ascii="宋体" w:hAnsi="宋体" w:eastAsia="宋体" w:cs="宋体"/>
          <w:color w:val="auto"/>
          <w:kern w:val="0"/>
          <w:szCs w:val="21"/>
          <w:highlight w:val="none"/>
          <w:lang w:bidi="ar"/>
        </w:rPr>
        <w:t>6</w:t>
      </w:r>
      <w:r>
        <w:rPr>
          <w:rFonts w:ascii="宋体" w:hAnsi="宋体" w:eastAsia="宋体" w:cs="宋体"/>
          <w:color w:val="auto"/>
          <w:kern w:val="0"/>
          <w:szCs w:val="21"/>
          <w:highlight w:val="none"/>
          <w:lang w:bidi="ar"/>
        </w:rPr>
        <w:t>0万元整。</w:t>
      </w:r>
    </w:p>
    <w:p w14:paraId="560882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二、总体设计要求</w:t>
      </w:r>
    </w:p>
    <w:p w14:paraId="242CE2E3">
      <w:pPr>
        <w:pStyle w:val="4"/>
        <w:widowControl/>
        <w:spacing w:beforeAutospacing="0" w:afterAutospacing="0" w:line="480" w:lineRule="exact"/>
        <w:ind w:firstLine="422" w:firstLineChars="200"/>
        <w:rPr>
          <w:rFonts w:hint="default"/>
          <w:color w:val="auto"/>
          <w:sz w:val="21"/>
          <w:szCs w:val="21"/>
          <w:highlight w:val="none"/>
        </w:rPr>
      </w:pPr>
      <w:r>
        <w:rPr>
          <w:color w:val="auto"/>
          <w:sz w:val="21"/>
          <w:szCs w:val="21"/>
          <w:highlight w:val="none"/>
        </w:rPr>
        <w:t>（一）设计定位</w:t>
      </w:r>
    </w:p>
    <w:p w14:paraId="65446A68">
      <w:pPr>
        <w:widowControl/>
        <w:spacing w:line="480" w:lineRule="exact"/>
        <w:ind w:firstLine="420" w:firstLineChars="200"/>
        <w:rPr>
          <w:rFonts w:ascii="宋体" w:hAnsi="宋体" w:eastAsia="宋体"/>
          <w:color w:val="auto"/>
          <w:szCs w:val="21"/>
          <w:highlight w:val="none"/>
        </w:rPr>
      </w:pPr>
      <w:r>
        <w:rPr>
          <w:rFonts w:ascii="宋体" w:hAnsi="宋体" w:eastAsia="宋体"/>
          <w:color w:val="auto"/>
          <w:szCs w:val="21"/>
          <w:highlight w:val="none"/>
        </w:rPr>
        <w:t>1.使用功能：本项目设计成果用于打造全域廉洁教育基地，投标人需统筹规划</w:t>
      </w:r>
      <w:r>
        <w:rPr>
          <w:rStyle w:val="51"/>
          <w:rFonts w:ascii="宋体" w:hAnsi="宋体" w:eastAsia="宋体"/>
          <w:color w:val="auto"/>
          <w:szCs w:val="21"/>
          <w:highlight w:val="none"/>
        </w:rPr>
        <w:t>主站深度参观动线 + 各分站</w:t>
      </w:r>
      <w:r>
        <w:rPr>
          <w:rStyle w:val="51"/>
          <w:rFonts w:hint="eastAsia" w:ascii="宋体" w:hAnsi="宋体" w:eastAsia="宋体"/>
          <w:color w:val="auto"/>
          <w:szCs w:val="21"/>
          <w:highlight w:val="none"/>
        </w:rPr>
        <w:t>点轻量化点缀展示</w:t>
      </w:r>
      <w:r>
        <w:rPr>
          <w:rFonts w:ascii="宋体" w:hAnsi="宋体" w:eastAsia="宋体"/>
          <w:color w:val="auto"/>
          <w:szCs w:val="21"/>
          <w:highlight w:val="none"/>
        </w:rPr>
        <w:t>，</w:t>
      </w:r>
      <w:r>
        <w:rPr>
          <w:rFonts w:hint="eastAsia" w:ascii="宋体" w:hAnsi="宋体" w:eastAsia="宋体"/>
          <w:color w:val="auto"/>
          <w:szCs w:val="21"/>
          <w:highlight w:val="none"/>
        </w:rPr>
        <w:t>逻辑合理</w:t>
      </w:r>
      <w:r>
        <w:rPr>
          <w:rFonts w:ascii="宋体" w:hAnsi="宋体" w:eastAsia="宋体"/>
          <w:color w:val="auto"/>
          <w:szCs w:val="21"/>
          <w:highlight w:val="none"/>
        </w:rPr>
        <w:t>清晰、内容层次丰富、节奏舒缓自然，避免生硬宣讲式布局。</w:t>
      </w:r>
      <w:r>
        <w:rPr>
          <w:rFonts w:hint="eastAsia" w:ascii="宋体" w:hAnsi="宋体" w:eastAsia="宋体"/>
          <w:color w:val="auto"/>
          <w:szCs w:val="21"/>
          <w:highlight w:val="none"/>
        </w:rPr>
        <w:t>功能上要</w:t>
      </w:r>
      <w:r>
        <w:rPr>
          <w:rFonts w:ascii="宋体" w:hAnsi="宋体" w:eastAsia="宋体"/>
          <w:color w:val="auto"/>
          <w:szCs w:val="21"/>
          <w:highlight w:val="none"/>
        </w:rPr>
        <w:t>覆盖市民、公职人员、游客、青少年全人群观赏、研学、科普</w:t>
      </w:r>
      <w:r>
        <w:rPr>
          <w:rFonts w:hint="eastAsia" w:ascii="宋体" w:hAnsi="宋体" w:eastAsia="宋体"/>
          <w:color w:val="auto"/>
          <w:szCs w:val="21"/>
          <w:highlight w:val="none"/>
        </w:rPr>
        <w:t>、教育</w:t>
      </w:r>
      <w:r>
        <w:rPr>
          <w:rFonts w:ascii="宋体" w:hAnsi="宋体" w:eastAsia="宋体"/>
          <w:color w:val="auto"/>
          <w:szCs w:val="21"/>
          <w:highlight w:val="none"/>
        </w:rPr>
        <w:t>需求，构建多点联动的开放式公共廉洁文化空间。</w:t>
      </w:r>
    </w:p>
    <w:p w14:paraId="57849D27">
      <w:pPr>
        <w:widowControl/>
        <w:spacing w:line="480" w:lineRule="exact"/>
        <w:ind w:firstLine="420" w:firstLineChars="200"/>
        <w:rPr>
          <w:rFonts w:ascii="宋体" w:hAnsi="宋体" w:eastAsia="宋体"/>
          <w:color w:val="auto"/>
          <w:szCs w:val="21"/>
          <w:highlight w:val="none"/>
        </w:rPr>
      </w:pPr>
      <w:r>
        <w:rPr>
          <w:rFonts w:hint="eastAsia" w:ascii="宋体" w:hAnsi="宋体" w:eastAsia="宋体" w:cs="宋体"/>
          <w:color w:val="auto"/>
          <w:kern w:val="0"/>
          <w:szCs w:val="21"/>
          <w:highlight w:val="none"/>
          <w:lang w:bidi="ar"/>
        </w:rPr>
        <w:t>2.设计元素：有机融合滁州本土历史文脉、名人廉吏典故、城乡生态人文、特色非遗凤画，</w:t>
      </w:r>
      <w:r>
        <w:rPr>
          <w:rFonts w:ascii="宋体" w:hAnsi="宋体" w:eastAsia="宋体" w:cs="宋体"/>
          <w:color w:val="auto"/>
          <w:kern w:val="0"/>
          <w:szCs w:val="21"/>
          <w:highlight w:val="none"/>
          <w:lang w:bidi="ar"/>
        </w:rPr>
        <w:t>弱化直白说教式标语陈列，坚持润物无声、潜移默化的表达逻辑。深挖</w:t>
      </w:r>
      <w:r>
        <w:rPr>
          <w:rFonts w:hint="eastAsia" w:ascii="宋体" w:hAnsi="宋体" w:eastAsia="宋体" w:cs="宋体"/>
          <w:color w:val="auto"/>
          <w:kern w:val="0"/>
          <w:szCs w:val="21"/>
          <w:highlight w:val="none"/>
          <w:lang w:bidi="ar"/>
        </w:rPr>
        <w:t>廉洁</w:t>
      </w:r>
      <w:r>
        <w:rPr>
          <w:rFonts w:ascii="宋体" w:hAnsi="宋体" w:eastAsia="宋体" w:cs="宋体"/>
          <w:color w:val="auto"/>
          <w:kern w:val="0"/>
          <w:szCs w:val="21"/>
          <w:highlight w:val="none"/>
          <w:lang w:bidi="ar"/>
        </w:rPr>
        <w:t>文化内涵，</w:t>
      </w:r>
      <w:r>
        <w:rPr>
          <w:rFonts w:hint="eastAsia" w:ascii="宋体" w:hAnsi="宋体" w:eastAsia="宋体"/>
          <w:color w:val="auto"/>
          <w:szCs w:val="21"/>
          <w:highlight w:val="none"/>
        </w:rPr>
        <w:t>杜绝千篇一律同质化设计，构建主次分明、轻重适配的轨道廉洁文化空间。</w:t>
      </w:r>
      <w:r>
        <w:rPr>
          <w:rFonts w:hint="eastAsia" w:ascii="宋体" w:hAnsi="宋体" w:eastAsia="宋体" w:cs="宋体"/>
          <w:color w:val="auto"/>
          <w:szCs w:val="21"/>
          <w:highlight w:val="none"/>
        </w:rPr>
        <w:t>各站点设计元素具体要求如下：</w:t>
      </w:r>
    </w:p>
    <w:p w14:paraId="5883F32E">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1）</w:t>
      </w:r>
      <w:r>
        <w:rPr>
          <w:rFonts w:hint="eastAsia" w:ascii="宋体" w:hAnsi="宋体" w:eastAsia="宋体"/>
          <w:b/>
          <w:bCs/>
          <w:color w:val="auto"/>
          <w:szCs w:val="21"/>
          <w:highlight w:val="none"/>
        </w:rPr>
        <w:t>核心主站：苏滁商务中心站（重点深度展示点位）</w:t>
      </w:r>
    </w:p>
    <w:p w14:paraId="600A005E">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作为整套廉洁文化空间的核心枢纽与形象主阵地，承担廉洁文化总展示、研学主打卡、核心叙事载体功能，结合站点地理位置、地域特色，</w:t>
      </w:r>
      <w:r>
        <w:rPr>
          <w:rFonts w:hint="eastAsia" w:ascii="宋体" w:hAnsi="宋体" w:eastAsia="宋体"/>
          <w:b/>
          <w:bCs/>
          <w:color w:val="auto"/>
          <w:szCs w:val="21"/>
          <w:highlight w:val="none"/>
        </w:rPr>
        <w:t>可考虑以清流河为文化基底，</w:t>
      </w:r>
      <w:r>
        <w:rPr>
          <w:rFonts w:hint="eastAsia" w:ascii="宋体" w:hAnsi="宋体" w:eastAsia="宋体"/>
          <w:color w:val="auto"/>
          <w:szCs w:val="21"/>
          <w:highlight w:val="none"/>
        </w:rPr>
        <w:t>做全维度、体系化深度设计，设置完整参观动线、多层次艺术装置、沉浸式叙事展陈、打卡互动区域，内容体系完整、视觉形象统一，是全线廉洁文化的集中展示窗口。</w:t>
      </w:r>
    </w:p>
    <w:p w14:paraId="25C75CC9">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2）</w:t>
      </w:r>
      <w:r>
        <w:rPr>
          <w:rFonts w:hint="eastAsia" w:ascii="宋体" w:hAnsi="宋体" w:eastAsia="宋体"/>
          <w:b/>
          <w:bCs/>
          <w:color w:val="auto"/>
          <w:szCs w:val="21"/>
          <w:highlight w:val="none"/>
        </w:rPr>
        <w:t>四大点缀特色站点（轻量化差异化点缀展示）</w:t>
      </w:r>
    </w:p>
    <w:p w14:paraId="036A2A20">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汊河站、高铁站、滁州政务中心站、琅琊山站均定位特色点缀，不做大规模成套展列，可适当增加互动打卡点，以轻量化载体为主，</w:t>
      </w:r>
      <w:r>
        <w:rPr>
          <w:rFonts w:hint="eastAsia" w:ascii="宋体" w:hAnsi="宋体" w:eastAsia="宋体"/>
          <w:b/>
          <w:bCs/>
          <w:color w:val="auto"/>
          <w:szCs w:val="21"/>
          <w:highlight w:val="none"/>
        </w:rPr>
        <w:t>结合所属站点地理位置、地域特色</w:t>
      </w:r>
      <w:r>
        <w:rPr>
          <w:rFonts w:hint="eastAsia" w:ascii="宋体" w:hAnsi="宋体" w:eastAsia="宋体"/>
          <w:color w:val="auto"/>
          <w:szCs w:val="21"/>
          <w:highlight w:val="none"/>
        </w:rPr>
        <w:t>，打造专属廉洁表达，各站各有侧重、特色互不重复。</w:t>
      </w:r>
    </w:p>
    <w:p w14:paraId="532C08FC">
      <w:pPr>
        <w:widowControl/>
        <w:spacing w:line="480" w:lineRule="exact"/>
        <w:ind w:firstLine="422" w:firstLineChars="200"/>
        <w:rPr>
          <w:rStyle w:val="51"/>
          <w:rFonts w:ascii="宋体" w:hAnsi="宋体" w:eastAsia="宋体" w:cs="宋体"/>
          <w:color w:val="auto"/>
          <w:szCs w:val="21"/>
          <w:highlight w:val="none"/>
        </w:rPr>
      </w:pPr>
      <w:r>
        <w:rPr>
          <w:rStyle w:val="51"/>
          <w:rFonts w:hint="eastAsia" w:ascii="宋体" w:hAnsi="宋体" w:eastAsia="宋体" w:cs="宋体"/>
          <w:color w:val="auto"/>
          <w:szCs w:val="21"/>
          <w:highlight w:val="none"/>
          <w:lang w:eastAsia="zh-CN"/>
        </w:rPr>
        <w:t>（</w:t>
      </w:r>
      <w:r>
        <w:rPr>
          <w:rStyle w:val="51"/>
          <w:rFonts w:hint="eastAsia" w:ascii="宋体" w:hAnsi="宋体" w:eastAsia="宋体" w:cs="宋体"/>
          <w:color w:val="auto"/>
          <w:szCs w:val="21"/>
          <w:highlight w:val="none"/>
          <w:lang w:val="en-US" w:eastAsia="zh-CN"/>
        </w:rPr>
        <w:t>3）</w:t>
      </w:r>
      <w:r>
        <w:rPr>
          <w:rStyle w:val="51"/>
          <w:rFonts w:ascii="宋体" w:hAnsi="宋体" w:eastAsia="宋体" w:cs="宋体"/>
          <w:color w:val="auto"/>
          <w:szCs w:val="21"/>
          <w:highlight w:val="none"/>
        </w:rPr>
        <w:t>流动配套载体：廉洁主题列车（移动轻量化流动展厅）</w:t>
      </w:r>
    </w:p>
    <w:p w14:paraId="738DFA6C">
      <w:pPr>
        <w:widowControl/>
        <w:spacing w:line="48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将</w:t>
      </w:r>
      <w:r>
        <w:rPr>
          <w:rFonts w:hint="eastAsia" w:ascii="宋体" w:hAnsi="宋体" w:eastAsia="宋体" w:cs="宋体"/>
          <w:b/>
          <w:bCs/>
          <w:color w:val="auto"/>
          <w:szCs w:val="21"/>
          <w:highlight w:val="none"/>
        </w:rPr>
        <w:t>一列</w:t>
      </w:r>
      <w:r>
        <w:rPr>
          <w:rFonts w:ascii="宋体" w:hAnsi="宋体" w:eastAsia="宋体" w:cs="宋体"/>
          <w:b/>
          <w:bCs/>
          <w:color w:val="auto"/>
          <w:szCs w:val="21"/>
          <w:highlight w:val="none"/>
        </w:rPr>
        <w:t>列车</w:t>
      </w:r>
      <w:r>
        <w:rPr>
          <w:rFonts w:ascii="宋体" w:hAnsi="宋体" w:eastAsia="宋体" w:cs="宋体"/>
          <w:color w:val="auto"/>
          <w:szCs w:val="21"/>
          <w:highlight w:val="none"/>
        </w:rPr>
        <w:t>打造为廉洁文化宣传载体，作为五大固定站点的动态补充。车厢内</w:t>
      </w:r>
      <w:r>
        <w:rPr>
          <w:rFonts w:hint="eastAsia" w:ascii="宋体" w:hAnsi="宋体" w:eastAsia="宋体" w:cs="宋体"/>
          <w:color w:val="auto"/>
          <w:szCs w:val="21"/>
          <w:highlight w:val="none"/>
        </w:rPr>
        <w:t>装饰</w:t>
      </w:r>
      <w:r>
        <w:rPr>
          <w:rFonts w:ascii="宋体" w:hAnsi="宋体" w:eastAsia="宋体" w:cs="宋体"/>
          <w:color w:val="auto"/>
          <w:szCs w:val="21"/>
          <w:highlight w:val="none"/>
        </w:rPr>
        <w:t>不</w:t>
      </w:r>
      <w:r>
        <w:rPr>
          <w:rFonts w:hint="eastAsia" w:ascii="宋体" w:hAnsi="宋体" w:eastAsia="宋体" w:cs="宋体"/>
          <w:color w:val="auto"/>
          <w:szCs w:val="21"/>
          <w:highlight w:val="none"/>
        </w:rPr>
        <w:t>可</w:t>
      </w:r>
      <w:r>
        <w:rPr>
          <w:rFonts w:ascii="宋体" w:hAnsi="宋体" w:eastAsia="宋体" w:cs="宋体"/>
          <w:color w:val="auto"/>
          <w:szCs w:val="21"/>
          <w:highlight w:val="none"/>
        </w:rPr>
        <w:t>影响乘车通行</w:t>
      </w:r>
      <w:r>
        <w:rPr>
          <w:rFonts w:hint="eastAsia" w:ascii="宋体" w:hAnsi="宋体" w:eastAsia="宋体" w:cs="宋体"/>
          <w:color w:val="auto"/>
          <w:szCs w:val="21"/>
          <w:highlight w:val="none"/>
        </w:rPr>
        <w:t>，同样以轻量化载体为主，</w:t>
      </w:r>
      <w:r>
        <w:rPr>
          <w:rFonts w:ascii="宋体" w:hAnsi="宋体" w:eastAsia="宋体" w:cs="宋体"/>
          <w:color w:val="auto"/>
          <w:szCs w:val="21"/>
          <w:highlight w:val="none"/>
        </w:rPr>
        <w:t>形成 “固定站点静态展示 + 主题列车动态传播” 互补格局。</w:t>
      </w:r>
    </w:p>
    <w:p w14:paraId="1F6D10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cs="宋体"/>
          <w:b/>
          <w:bCs/>
          <w:color w:val="auto"/>
          <w:kern w:val="0"/>
          <w:sz w:val="21"/>
          <w:szCs w:val="21"/>
          <w:highlight w:val="none"/>
          <w:lang w:val="en-US" w:eastAsia="zh-CN" w:bidi="ar"/>
        </w:rPr>
        <w:t>二</w:t>
      </w:r>
      <w:r>
        <w:rPr>
          <w:rFonts w:hint="eastAsia" w:ascii="宋体" w:hAnsi="宋体" w:eastAsia="宋体" w:cs="宋体"/>
          <w:b/>
          <w:bCs/>
          <w:color w:val="auto"/>
          <w:kern w:val="0"/>
          <w:sz w:val="21"/>
          <w:szCs w:val="21"/>
          <w:highlight w:val="none"/>
          <w:lang w:val="en-US" w:eastAsia="zh-CN" w:bidi="ar"/>
        </w:rPr>
        <w:t>）设计原则</w:t>
      </w:r>
    </w:p>
    <w:p w14:paraId="6FF8F17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实用性原则：方案适配苏滁商务中心站、汊河站、高铁站、滁州政务中心站、琅琊山站</w:t>
      </w:r>
      <w:r>
        <w:rPr>
          <w:rFonts w:hint="eastAsia" w:ascii="宋体" w:hAnsi="宋体" w:eastAsia="宋体"/>
          <w:color w:val="auto"/>
          <w:szCs w:val="21"/>
          <w:highlight w:val="none"/>
        </w:rPr>
        <w:t>及一列列车</w:t>
      </w:r>
      <w:r>
        <w:rPr>
          <w:rFonts w:ascii="宋体" w:hAnsi="宋体" w:eastAsia="宋体"/>
          <w:color w:val="auto"/>
          <w:szCs w:val="21"/>
          <w:highlight w:val="none"/>
        </w:rPr>
        <w:t>全部站点空间，所有设计不得遮挡通行通道、设备、消防及标识标牌，优先保障轨道交通正常通行运营；各站点根据空间大小、客流属性差异化规划展示体量。</w:t>
      </w:r>
    </w:p>
    <w:p w14:paraId="50E79CE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落地适配原则：</w:t>
      </w:r>
      <w:r>
        <w:rPr>
          <w:rFonts w:hint="eastAsia" w:ascii="宋体" w:hAnsi="宋体" w:eastAsia="宋体" w:cs="宋体"/>
          <w:color w:val="auto"/>
          <w:szCs w:val="21"/>
          <w:highlight w:val="none"/>
        </w:rPr>
        <w:t>全线所有站点、主题列车的设计方案均不得破坏车站及车厢原有设备、饰面、装修与固定装置，全部装饰采用无损安装形式。</w:t>
      </w:r>
      <w:r>
        <w:rPr>
          <w:rFonts w:ascii="宋体" w:hAnsi="宋体" w:eastAsia="宋体"/>
          <w:color w:val="auto"/>
          <w:szCs w:val="21"/>
          <w:highlight w:val="none"/>
        </w:rPr>
        <w:t>设计阶段充分考虑车站</w:t>
      </w:r>
      <w:r>
        <w:rPr>
          <w:rFonts w:hint="eastAsia" w:ascii="宋体" w:hAnsi="宋体" w:eastAsia="宋体"/>
          <w:color w:val="auto"/>
          <w:szCs w:val="21"/>
          <w:highlight w:val="none"/>
        </w:rPr>
        <w:t>车内</w:t>
      </w:r>
      <w:r>
        <w:rPr>
          <w:rFonts w:ascii="宋体" w:hAnsi="宋体" w:eastAsia="宋体"/>
          <w:color w:val="auto"/>
          <w:szCs w:val="21"/>
          <w:highlight w:val="none"/>
        </w:rPr>
        <w:t>人流密集、多尘、潮湿、易磕碰的运营环境，创意造型、材料选型需预留耐久、易维护落地方案；若设计方案选材、造型无法满足车站长期运维标准，甲方有权要求中标方无偿优化调整设计，不产生额外费用。</w:t>
      </w:r>
    </w:p>
    <w:p w14:paraId="002D917A">
      <w:pPr>
        <w:widowControl/>
        <w:numPr>
          <w:ilvl w:val="0"/>
          <w:numId w:val="1"/>
        </w:numPr>
        <w:spacing w:line="480" w:lineRule="exact"/>
        <w:ind w:left="0" w:firstLine="420" w:firstLineChars="200"/>
        <w:rPr>
          <w:rFonts w:hint="eastAsia" w:ascii="宋体" w:hAnsi="宋体" w:eastAsia="宋体"/>
          <w:color w:val="auto"/>
          <w:szCs w:val="21"/>
          <w:highlight w:val="none"/>
        </w:rPr>
      </w:pPr>
      <w:r>
        <w:rPr>
          <w:rFonts w:ascii="宋体" w:hAnsi="宋体" w:eastAsia="宋体"/>
          <w:color w:val="auto"/>
          <w:szCs w:val="21"/>
          <w:highlight w:val="none"/>
        </w:rPr>
        <w:t>经济性原则：创意表达优先，合理</w:t>
      </w:r>
      <w:r>
        <w:rPr>
          <w:rFonts w:hint="eastAsia" w:ascii="宋体" w:hAnsi="宋体" w:eastAsia="宋体"/>
          <w:color w:val="auto"/>
          <w:szCs w:val="21"/>
          <w:highlight w:val="none"/>
        </w:rPr>
        <w:t>分配各站点施工预算，有效把控</w:t>
      </w:r>
      <w:r>
        <w:rPr>
          <w:rFonts w:ascii="宋体" w:hAnsi="宋体" w:eastAsia="宋体"/>
          <w:color w:val="auto"/>
          <w:szCs w:val="21"/>
          <w:highlight w:val="none"/>
        </w:rPr>
        <w:t>落地造价，杜绝过度堆砌、奢华造型，兼顾文化表现力、落地实用性与成本管控平衡。</w:t>
      </w:r>
    </w:p>
    <w:p w14:paraId="30436D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三、施工要求</w:t>
      </w:r>
    </w:p>
    <w:p w14:paraId="25D6464E">
      <w:pPr>
        <w:widowControl/>
        <w:spacing w:line="560" w:lineRule="exact"/>
        <w:ind w:firstLine="420" w:firstLineChars="200"/>
        <w:jc w:val="left"/>
        <w:rPr>
          <w:rFonts w:ascii="宋体" w:hAnsi="宋体" w:eastAsia="宋体"/>
          <w:color w:val="auto"/>
          <w:szCs w:val="21"/>
          <w:highlight w:val="none"/>
        </w:rPr>
      </w:pPr>
      <w:r>
        <w:rPr>
          <w:rFonts w:ascii="宋体" w:hAnsi="宋体" w:eastAsia="宋体" w:cs="宋体"/>
          <w:color w:val="auto"/>
          <w:kern w:val="0"/>
          <w:szCs w:val="21"/>
          <w:highlight w:val="none"/>
          <w:lang w:bidi="ar"/>
        </w:rPr>
        <w:t>材质选型、规格参数、工艺标准、详细报价为本次施工</w:t>
      </w:r>
      <w:r>
        <w:rPr>
          <w:rStyle w:val="51"/>
          <w:rFonts w:ascii="宋体" w:hAnsi="宋体" w:eastAsia="宋体" w:cs="宋体"/>
          <w:color w:val="auto"/>
          <w:kern w:val="0"/>
          <w:szCs w:val="21"/>
          <w:highlight w:val="none"/>
          <w:lang w:bidi="ar"/>
        </w:rPr>
        <w:t>核心评审要素</w:t>
      </w:r>
      <w:r>
        <w:rPr>
          <w:rFonts w:ascii="宋体" w:hAnsi="宋体" w:eastAsia="宋体" w:cs="宋体"/>
          <w:color w:val="auto"/>
          <w:kern w:val="0"/>
          <w:szCs w:val="21"/>
          <w:highlight w:val="none"/>
          <w:lang w:bidi="ar"/>
        </w:rPr>
        <w:t>，所有材质需适配轨道交通公共空间高频使用、长期运维场景，兼顾耐久性、安全性、经济性、美观性。</w:t>
      </w:r>
    </w:p>
    <w:p w14:paraId="2853D2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（一）通用材质核心要求</w:t>
      </w:r>
    </w:p>
    <w:p w14:paraId="32CD286D">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耐久性：所有材质必须满足防潮、防霉变、耐磨擦、防刮花、抗老化、易清洁、耐灰尘、抗轻微磕碰要求，适配车站常年恒温、封闭、人流密集的使用环境，质保期内无褪色、变形、起皮、开裂、脱落问题。若</w:t>
      </w:r>
      <w:r>
        <w:rPr>
          <w:rFonts w:hint="eastAsia" w:ascii="宋体" w:hAnsi="宋体" w:eastAsia="宋体" w:cs="宋体"/>
          <w:color w:val="auto"/>
          <w:kern w:val="0"/>
          <w:szCs w:val="21"/>
          <w:highlight w:val="none"/>
          <w:lang w:val="en-US" w:eastAsia="zh-CN" w:bidi="ar"/>
        </w:rPr>
        <w:t>招标人</w:t>
      </w:r>
      <w:r>
        <w:rPr>
          <w:rFonts w:ascii="宋体" w:hAnsi="宋体" w:eastAsia="宋体" w:cs="宋体"/>
          <w:color w:val="auto"/>
          <w:kern w:val="0"/>
          <w:szCs w:val="21"/>
          <w:highlight w:val="none"/>
          <w:lang w:bidi="ar"/>
        </w:rPr>
        <w:t>核验材质不满足耐久性、安全性使用标准，</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必须无偿调整更换、重新施工，不得增加任何合同费用。</w:t>
      </w:r>
    </w:p>
    <w:p w14:paraId="0394A3A9">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安全性：所有材质符合国家公共建筑、轨道交通消防规范，达到阻燃、防火、环保E0级标准，无异味、无有害挥发物质，安全无毒、稳固耐用。</w:t>
      </w:r>
    </w:p>
    <w:p w14:paraId="78573780">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适配性：材质轻薄、贴合度高，不破坏原有建筑墙体、立柱、天顶、机电设备结构，便于后期运维清洁、内容更新。</w:t>
      </w:r>
    </w:p>
    <w:p w14:paraId="44F91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（二）项目实施及验收要求</w:t>
      </w:r>
    </w:p>
    <w:p w14:paraId="22019B56">
      <w:pPr>
        <w:widowControl/>
        <w:spacing w:line="560" w:lineRule="exact"/>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实施要求：施工全过程服从车站运营管理规定，错峰施工、安全施工，做好现场防护，保护原有设施设备，施工完毕及时清理现场，不影响车站正常运营。</w:t>
      </w:r>
    </w:p>
    <w:p w14:paraId="32B0E79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验收标准：严格按照投标方案、材质规格、设计图纸、国家公共建筑及轨道交通相关规范验收，文化效果、材质质量、施工工艺、安全性能全部达标方可通过验收。</w:t>
      </w:r>
    </w:p>
    <w:p w14:paraId="47B1724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质保要求：项目整体质保期不少于2年</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自项目竣工验收合格之日起算）</w:t>
      </w:r>
      <w:r>
        <w:rPr>
          <w:rFonts w:ascii="宋体" w:hAnsi="宋体" w:eastAsia="宋体" w:cs="宋体"/>
          <w:color w:val="auto"/>
          <w:kern w:val="0"/>
          <w:szCs w:val="21"/>
          <w:highlight w:val="none"/>
          <w:lang w:bidi="ar"/>
        </w:rPr>
        <w:t>，质保期内出现褪色、变形、损坏、脱落、灯光故障等问题，</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须24小时响应，无偿维修、更换。</w:t>
      </w:r>
    </w:p>
    <w:p w14:paraId="696FDB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四、其他说明</w:t>
      </w:r>
    </w:p>
    <w:p w14:paraId="615853F4">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本项目核心评审要点：点线面整体规划逻辑、滁州本土人文特色融合创意、主题表达、软性润物无声的叙事设计、分站点差异化创意、设计施工落地可行性、一体化总价造价合理性、施工方案完善性。</w:t>
      </w:r>
    </w:p>
    <w:p w14:paraId="6E2901B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统一组织现场踏勘，踏勘集合时间、地点详见投标人须知前附表；投标人须自行安排交通、人员，所有踏勘产生的交通、食宿、安全等全部费用由投标人自行承担。踏勘期间投标人须遵守现场安全管理规定，佩戴安全防护用品，服从现场管理人员指挥，严禁擅自进入危险区域、私自触碰设备管线；踏勘途中发生人身伤害、财产损失，全部由投标人自行负责。</w:t>
      </w:r>
    </w:p>
    <w:p w14:paraId="6463778B">
      <w:pPr>
        <w:widowControl/>
        <w:numPr>
          <w:ilvl w:val="0"/>
          <w:numId w:val="2"/>
        </w:numPr>
        <w:spacing w:line="480" w:lineRule="exact"/>
        <w:ind w:left="0" w:firstLine="420" w:firstLineChars="200"/>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投标人递交投标文件，即视为已完全熟知项目现场全部现状、潜在风险，后续不得以现场情况不清、踏勘信息不全为由，提出调整报价、延长工期、增加费用等诉求。未参加统一现场踏勘的投标人，不丧失投标资格；未踏勘造成对现场情况判断失误、报价漏项、方案不合理等一切后果，均由投标人自行承担，招标人不承担任何补偿、免责责任。</w:t>
      </w:r>
    </w:p>
    <w:p w14:paraId="320A6D7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拥有方案最终审核与调整权限，中标后</w:t>
      </w:r>
      <w:r>
        <w:rPr>
          <w:rFonts w:hint="eastAsia" w:ascii="宋体" w:hAnsi="宋体" w:eastAsia="宋体" w:cs="Times New Roman"/>
          <w:color w:val="auto"/>
          <w:szCs w:val="21"/>
          <w:highlight w:val="none"/>
          <w:lang w:val="en-US" w:eastAsia="zh-CN"/>
        </w:rPr>
        <w:t>中标人</w:t>
      </w:r>
      <w:r>
        <w:rPr>
          <w:rFonts w:ascii="宋体" w:hAnsi="宋体" w:eastAsia="宋体" w:cs="Times New Roman"/>
          <w:color w:val="auto"/>
          <w:szCs w:val="21"/>
          <w:highlight w:val="none"/>
        </w:rPr>
        <w:t>需根据评审意见无偿优化整体规划、单站创意、材质选型、叙事表达等全部设计内容，直至满足验收标准。</w:t>
      </w:r>
    </w:p>
    <w:p w14:paraId="1CFF9C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五、报价要求</w:t>
      </w:r>
    </w:p>
    <w:p w14:paraId="18B9B633">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报价为设计施工一体化全包总价，包含</w:t>
      </w:r>
      <w:r>
        <w:rPr>
          <w:rFonts w:hint="eastAsia" w:ascii="宋体" w:hAnsi="宋体" w:eastAsia="宋体" w:cs="Times New Roman"/>
          <w:color w:val="auto"/>
          <w:szCs w:val="21"/>
          <w:highlight w:val="none"/>
        </w:rPr>
        <w:t>五个站点及一列列车全域统筹规划、分站点创意设计、全套效果图、施工图纸、材质工艺设计、现场踏勘、多轮方案汇报修改、材料采购加工、运输、现场无损安装、错峰施工防护、成品保护、竣工清场、技术交底、竣工验收配合、2年质保维修、后期整改优化、人工、机械、辅材、垃圾清运、全套检测资料等全部费用，总价包干，无任何隐形增项、后期加价。</w:t>
      </w:r>
    </w:p>
    <w:p w14:paraId="793A6EFE">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投标文件须提供完整五站配套材质清单、规格参数、落地工艺说明、创意效果图、站点尺寸详图、施工组织方案，全部设计及施工内容作为合同履约、成果验收核心依据。</w:t>
      </w:r>
    </w:p>
    <w:p w14:paraId="03686959">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全套创意设计、材料选型、施工工艺完全满足轨道交通站点长期耐久、安全运维要求；若后期施工验收、质保运营阶段出现材质缺陷、工艺不达标、装置损坏脱落等问题，</w:t>
      </w:r>
      <w:r>
        <w:rPr>
          <w:rFonts w:hint="eastAsia" w:ascii="宋体" w:hAnsi="宋体" w:eastAsia="宋体" w:cs="Times New Roman"/>
          <w:color w:val="auto"/>
          <w:szCs w:val="21"/>
          <w:highlight w:val="none"/>
          <w:lang w:val="en-US" w:eastAsia="zh-CN"/>
        </w:rPr>
        <w:t>中标人</w:t>
      </w:r>
      <w:r>
        <w:rPr>
          <w:rFonts w:hint="eastAsia" w:ascii="宋体" w:hAnsi="宋体" w:eastAsia="宋体" w:cs="Times New Roman"/>
          <w:color w:val="auto"/>
          <w:szCs w:val="21"/>
          <w:highlight w:val="none"/>
        </w:rPr>
        <w:t>须无偿重新优化全套设计方案，并承担全部拆除、重做、材料、人工、工期损失等全部整改责任与费用。</w:t>
      </w:r>
    </w:p>
    <w:p w14:paraId="75675B85">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ascii="宋体" w:hAnsi="宋体" w:eastAsia="宋体" w:cs="Times New Roman"/>
          <w:color w:val="auto"/>
          <w:szCs w:val="21"/>
          <w:highlight w:val="none"/>
        </w:rPr>
        <w:t>投标人须在投标文件中明确完整实施总工期，细分方案设计周期、整体施工周期，明确项目完工交付时间，满足</w:t>
      </w: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廉政教育阵地启用时间节点要求。</w:t>
      </w:r>
    </w:p>
    <w:p w14:paraId="27C5ACC4">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考虑本次投标单位在投标过程中投标成本较高，经招标人研究决定，中标人因承担了本项目设计业务，不予补偿，未中标的中标候选人分别给予方案补偿（其中第二中标候选人给予人民币2000元的方案补偿；第三中标候选人给予人民币1000元的方案补偿；此费用中标人在中标通知书发出之日起10日内支付，含在投标报价中），上述费用应含在投标报价中，投标人在投标报价让利中考虑上述费用。</w:t>
      </w:r>
    </w:p>
    <w:p w14:paraId="48288666">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未中标的中标候选人的设计成果文件归招标人所有。其他投标人不进行任何设计补偿和奖励。</w:t>
      </w:r>
    </w:p>
    <w:p w14:paraId="55A19700">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auto"/>
          <w:sz w:val="44"/>
          <w:szCs w:val="44"/>
          <w:highlight w:val="none"/>
          <w:lang w:eastAsia="zh-CN"/>
        </w:rPr>
      </w:pPr>
    </w:p>
    <w:p w14:paraId="00B887B0">
      <w:pPr>
        <w:spacing w:line="360" w:lineRule="auto"/>
        <w:jc w:val="center"/>
        <w:rPr>
          <w:rFonts w:ascii="Times New Roman" w:hAnsi="Times New Roman" w:eastAsia="微软雅黑" w:cs="Times New Roman"/>
          <w:b/>
          <w:bCs/>
          <w:color w:val="auto"/>
          <w:sz w:val="44"/>
          <w:szCs w:val="44"/>
          <w:highlight w:val="none"/>
        </w:rPr>
      </w:pPr>
      <w:r>
        <w:rPr>
          <w:rFonts w:hint="eastAsia" w:eastAsia="微软雅黑" w:cs="Times New Roman"/>
          <w:b/>
          <w:bCs/>
          <w:color w:val="auto"/>
          <w:sz w:val="44"/>
          <w:szCs w:val="44"/>
          <w:highlight w:val="none"/>
          <w:lang w:eastAsia="zh-CN"/>
        </w:rPr>
        <w:t>滁州至南京城际铁路（滁州段）多站点廉洁主题设计施工一体化项目</w:t>
      </w:r>
      <w:r>
        <w:rPr>
          <w:rFonts w:ascii="Times New Roman" w:hAnsi="Times New Roman" w:eastAsia="微软雅黑" w:cs="Times New Roman"/>
          <w:b/>
          <w:bCs/>
          <w:color w:val="auto"/>
          <w:sz w:val="44"/>
          <w:szCs w:val="44"/>
          <w:highlight w:val="none"/>
        </w:rPr>
        <w:t>合同</w:t>
      </w:r>
    </w:p>
    <w:p w14:paraId="5608024F">
      <w:pPr>
        <w:spacing w:line="360" w:lineRule="auto"/>
        <w:rPr>
          <w:rFonts w:ascii="Times New Roman" w:hAnsi="Times New Roman"/>
          <w:color w:val="auto"/>
          <w:sz w:val="32"/>
          <w:szCs w:val="32"/>
          <w:highlight w:val="none"/>
        </w:rPr>
      </w:pPr>
    </w:p>
    <w:p w14:paraId="5CECB9EC">
      <w:pPr>
        <w:spacing w:line="360" w:lineRule="auto"/>
        <w:rPr>
          <w:rFonts w:hint="eastAsia" w:ascii="宋体" w:hAnsi="宋体" w:eastAsia="宋体" w:cs="宋体"/>
          <w:color w:val="auto"/>
          <w:sz w:val="21"/>
          <w:szCs w:val="21"/>
          <w:highlight w:val="none"/>
        </w:rPr>
      </w:pPr>
    </w:p>
    <w:p w14:paraId="0A312FF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合同编号：</w:t>
      </w:r>
    </w:p>
    <w:p w14:paraId="2EE8AB6F">
      <w:pPr>
        <w:spacing w:line="360" w:lineRule="auto"/>
        <w:jc w:val="center"/>
        <w:rPr>
          <w:rFonts w:hint="eastAsia" w:ascii="宋体" w:hAnsi="宋体" w:eastAsia="宋体" w:cs="宋体"/>
          <w:b/>
          <w:bCs/>
          <w:color w:val="auto"/>
          <w:sz w:val="21"/>
          <w:szCs w:val="21"/>
          <w:highlight w:val="none"/>
        </w:rPr>
      </w:pPr>
    </w:p>
    <w:p w14:paraId="53C636B6">
      <w:pPr>
        <w:rPr>
          <w:rFonts w:hint="eastAsia" w:ascii="宋体" w:hAnsi="宋体" w:eastAsia="宋体" w:cs="宋体"/>
          <w:color w:val="auto"/>
          <w:sz w:val="21"/>
          <w:szCs w:val="21"/>
          <w:highlight w:val="none"/>
        </w:rPr>
      </w:pPr>
    </w:p>
    <w:p w14:paraId="188BD0FD">
      <w:pPr>
        <w:rPr>
          <w:rFonts w:hint="eastAsia" w:ascii="宋体" w:hAnsi="宋体" w:eastAsia="宋体" w:cs="宋体"/>
          <w:color w:val="auto"/>
          <w:sz w:val="21"/>
          <w:szCs w:val="21"/>
          <w:highlight w:val="none"/>
        </w:rPr>
      </w:pPr>
    </w:p>
    <w:p w14:paraId="1B88EA96">
      <w:pPr>
        <w:rPr>
          <w:rFonts w:hint="eastAsia" w:ascii="宋体" w:hAnsi="宋体" w:eastAsia="宋体" w:cs="宋体"/>
          <w:color w:val="auto"/>
          <w:sz w:val="21"/>
          <w:szCs w:val="21"/>
          <w:highlight w:val="none"/>
        </w:rPr>
      </w:pPr>
    </w:p>
    <w:p w14:paraId="3F5368E1">
      <w:pPr>
        <w:pStyle w:val="3"/>
        <w:rPr>
          <w:rFonts w:hint="eastAsia" w:ascii="宋体" w:hAnsi="宋体" w:eastAsia="宋体" w:cs="宋体"/>
          <w:color w:val="auto"/>
          <w:sz w:val="21"/>
          <w:szCs w:val="21"/>
          <w:highlight w:val="none"/>
        </w:rPr>
      </w:pPr>
    </w:p>
    <w:p w14:paraId="1B6934B1">
      <w:pPr>
        <w:rPr>
          <w:rFonts w:hint="eastAsia" w:ascii="宋体" w:hAnsi="宋体" w:eastAsia="宋体" w:cs="宋体"/>
          <w:color w:val="auto"/>
          <w:sz w:val="21"/>
          <w:szCs w:val="21"/>
          <w:highlight w:val="none"/>
        </w:rPr>
      </w:pPr>
    </w:p>
    <w:p w14:paraId="58CAA80B">
      <w:pPr>
        <w:pStyle w:val="3"/>
        <w:rPr>
          <w:rFonts w:hint="eastAsia" w:ascii="宋体" w:hAnsi="宋体" w:eastAsia="宋体" w:cs="宋体"/>
          <w:color w:val="auto"/>
          <w:sz w:val="21"/>
          <w:szCs w:val="21"/>
          <w:highlight w:val="none"/>
        </w:rPr>
      </w:pPr>
    </w:p>
    <w:p w14:paraId="00F36ACC">
      <w:pPr>
        <w:rPr>
          <w:rFonts w:hint="eastAsia" w:ascii="宋体" w:hAnsi="宋体" w:eastAsia="宋体" w:cs="宋体"/>
          <w:color w:val="auto"/>
          <w:sz w:val="21"/>
          <w:szCs w:val="21"/>
          <w:highlight w:val="none"/>
        </w:rPr>
      </w:pPr>
    </w:p>
    <w:p w14:paraId="48C80488">
      <w:pPr>
        <w:rPr>
          <w:rFonts w:hint="eastAsia" w:ascii="宋体" w:hAnsi="宋体" w:eastAsia="宋体" w:cs="宋体"/>
          <w:color w:val="auto"/>
          <w:sz w:val="21"/>
          <w:szCs w:val="21"/>
          <w:highlight w:val="none"/>
        </w:rPr>
      </w:pPr>
    </w:p>
    <w:p w14:paraId="02FBAB6D">
      <w:pPr>
        <w:rPr>
          <w:rFonts w:hint="eastAsia" w:ascii="宋体" w:hAnsi="宋体" w:eastAsia="宋体" w:cs="宋体"/>
          <w:color w:val="auto"/>
          <w:sz w:val="21"/>
          <w:szCs w:val="21"/>
          <w:highlight w:val="none"/>
        </w:rPr>
      </w:pPr>
    </w:p>
    <w:p w14:paraId="186A2F9F">
      <w:pPr>
        <w:rPr>
          <w:rFonts w:hint="eastAsia" w:ascii="宋体" w:hAnsi="宋体" w:eastAsia="宋体" w:cs="宋体"/>
          <w:color w:val="auto"/>
          <w:sz w:val="21"/>
          <w:szCs w:val="21"/>
          <w:highlight w:val="none"/>
        </w:rPr>
      </w:pPr>
    </w:p>
    <w:p w14:paraId="11308ED5">
      <w:pPr>
        <w:rPr>
          <w:rFonts w:hint="eastAsia" w:ascii="宋体" w:hAnsi="宋体" w:eastAsia="宋体" w:cs="宋体"/>
          <w:color w:val="auto"/>
          <w:sz w:val="21"/>
          <w:szCs w:val="21"/>
          <w:highlight w:val="none"/>
        </w:rPr>
      </w:pPr>
    </w:p>
    <w:p w14:paraId="45DAB94D">
      <w:pPr>
        <w:rPr>
          <w:rFonts w:hint="eastAsia" w:ascii="宋体" w:hAnsi="宋体" w:eastAsia="宋体" w:cs="宋体"/>
          <w:color w:val="auto"/>
          <w:sz w:val="21"/>
          <w:szCs w:val="21"/>
          <w:highlight w:val="none"/>
        </w:rPr>
      </w:pPr>
    </w:p>
    <w:p w14:paraId="5725CD8C">
      <w:pPr>
        <w:rPr>
          <w:rFonts w:hint="eastAsia" w:ascii="宋体" w:hAnsi="宋体" w:eastAsia="宋体" w:cs="宋体"/>
          <w:color w:val="auto"/>
          <w:sz w:val="21"/>
          <w:szCs w:val="21"/>
          <w:highlight w:val="none"/>
        </w:rPr>
      </w:pPr>
    </w:p>
    <w:p w14:paraId="7BED9A09">
      <w:pPr>
        <w:pStyle w:val="3"/>
        <w:rPr>
          <w:rFonts w:hint="eastAsia"/>
          <w:color w:val="auto"/>
          <w:highlight w:val="none"/>
        </w:rPr>
      </w:pPr>
    </w:p>
    <w:p w14:paraId="091E82D9">
      <w:pPr>
        <w:rPr>
          <w:rFonts w:hint="eastAsia" w:ascii="宋体" w:hAnsi="宋体" w:eastAsia="宋体" w:cs="宋体"/>
          <w:color w:val="auto"/>
          <w:sz w:val="21"/>
          <w:szCs w:val="21"/>
          <w:highlight w:val="none"/>
        </w:rPr>
      </w:pPr>
    </w:p>
    <w:p w14:paraId="505E3589">
      <w:pPr>
        <w:rPr>
          <w:rFonts w:hint="eastAsia" w:ascii="宋体" w:hAnsi="宋体" w:eastAsia="宋体" w:cs="宋体"/>
          <w:color w:val="auto"/>
          <w:sz w:val="21"/>
          <w:szCs w:val="21"/>
          <w:highlight w:val="none"/>
        </w:rPr>
      </w:pPr>
    </w:p>
    <w:p w14:paraId="716DC9A8">
      <w:pPr>
        <w:rPr>
          <w:rFonts w:hint="eastAsia" w:ascii="宋体" w:hAnsi="宋体" w:eastAsia="宋体" w:cs="宋体"/>
          <w:color w:val="auto"/>
          <w:sz w:val="21"/>
          <w:szCs w:val="21"/>
          <w:highlight w:val="none"/>
        </w:rPr>
      </w:pPr>
    </w:p>
    <w:p w14:paraId="1E5B900F">
      <w:pPr>
        <w:ind w:firstLine="630" w:firstLineChars="3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p>
    <w:p w14:paraId="241AFB5A">
      <w:pPr>
        <w:jc w:val="center"/>
        <w:rPr>
          <w:rFonts w:hint="eastAsia" w:ascii="宋体" w:hAnsi="宋体" w:eastAsia="宋体" w:cs="宋体"/>
          <w:color w:val="auto"/>
          <w:sz w:val="21"/>
          <w:szCs w:val="21"/>
          <w:highlight w:val="none"/>
        </w:rPr>
      </w:pPr>
    </w:p>
    <w:p w14:paraId="03288366">
      <w:pPr>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p>
    <w:p w14:paraId="748D1A00">
      <w:pPr>
        <w:rPr>
          <w:rFonts w:hint="eastAsia" w:ascii="宋体" w:hAnsi="宋体" w:eastAsia="宋体" w:cs="宋体"/>
          <w:color w:val="auto"/>
          <w:sz w:val="21"/>
          <w:szCs w:val="21"/>
          <w:highlight w:val="none"/>
        </w:rPr>
      </w:pPr>
    </w:p>
    <w:p w14:paraId="6F34CC7F">
      <w:pPr>
        <w:ind w:firstLine="630" w:firstLineChars="3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签订时间：</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   月</w:t>
      </w:r>
      <w:r>
        <w:rPr>
          <w:rFonts w:hint="eastAsia" w:ascii="宋体" w:hAnsi="宋体" w:eastAsia="宋体" w:cs="宋体"/>
          <w:color w:val="auto"/>
          <w:sz w:val="21"/>
          <w:szCs w:val="21"/>
          <w:highlight w:val="none"/>
          <w:lang w:val="en-US" w:eastAsia="zh-CN"/>
        </w:rPr>
        <w:t xml:space="preserve">   日</w:t>
      </w:r>
    </w:p>
    <w:p w14:paraId="1752A8E7">
      <w:pPr>
        <w:jc w:val="center"/>
        <w:rPr>
          <w:rFonts w:hint="eastAsia" w:ascii="宋体" w:hAnsi="宋体" w:eastAsia="宋体" w:cs="宋体"/>
          <w:color w:val="auto"/>
          <w:sz w:val="21"/>
          <w:szCs w:val="21"/>
          <w:highlight w:val="none"/>
        </w:rPr>
      </w:pPr>
    </w:p>
    <w:p w14:paraId="0FFB63B9">
      <w:pPr>
        <w:rPr>
          <w:rStyle w:val="215"/>
          <w:rFonts w:hint="eastAsia" w:ascii="宋体" w:hAnsi="宋体" w:eastAsia="宋体" w:cs="宋体"/>
          <w:color w:val="auto"/>
          <w:sz w:val="21"/>
          <w:szCs w:val="21"/>
          <w:highlight w:val="none"/>
        </w:rPr>
      </w:pPr>
      <w:r>
        <w:rPr>
          <w:rStyle w:val="215"/>
          <w:rFonts w:hint="eastAsia" w:ascii="宋体" w:hAnsi="宋体" w:eastAsia="宋体" w:cs="宋体"/>
          <w:color w:val="auto"/>
          <w:sz w:val="21"/>
          <w:szCs w:val="21"/>
          <w:highlight w:val="none"/>
        </w:rPr>
        <w:br w:type="page"/>
      </w:r>
    </w:p>
    <w:p w14:paraId="0624D0EF">
      <w:pPr>
        <w:spacing w:line="360" w:lineRule="auto"/>
        <w:rPr>
          <w:rFonts w:hint="eastAsia" w:ascii="宋体" w:hAnsi="宋体" w:eastAsia="宋体" w:cs="宋体"/>
          <w:b/>
          <w:color w:val="auto"/>
          <w:sz w:val="21"/>
          <w:szCs w:val="21"/>
          <w:highlight w:val="none"/>
          <w:u w:val="single"/>
          <w:lang w:eastAsia="zh-CN"/>
        </w:rPr>
      </w:pPr>
      <w:r>
        <w:rPr>
          <w:rStyle w:val="215"/>
          <w:rFonts w:hint="eastAsia" w:ascii="宋体" w:hAnsi="宋体" w:eastAsia="宋体" w:cs="宋体"/>
          <w:color w:val="auto"/>
          <w:sz w:val="21"/>
          <w:szCs w:val="21"/>
          <w:highlight w:val="none"/>
        </w:rPr>
        <w:t>甲方（全称）</w:t>
      </w:r>
      <w:r>
        <w:rPr>
          <w:rStyle w:val="215"/>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u w:val="single"/>
          <w:lang w:eastAsia="zh-CN"/>
        </w:rPr>
        <w:t>滁州市滁宁城际铁路开发建设有限公司</w:t>
      </w:r>
    </w:p>
    <w:p w14:paraId="081DB18F">
      <w:pPr>
        <w:spacing w:line="360" w:lineRule="auto"/>
        <w:rPr>
          <w:rFonts w:hint="eastAsia" w:ascii="宋体" w:hAnsi="宋体" w:eastAsia="宋体" w:cs="宋体"/>
          <w:b/>
          <w:color w:val="auto"/>
          <w:sz w:val="21"/>
          <w:szCs w:val="21"/>
          <w:highlight w:val="none"/>
          <w:u w:val="single"/>
        </w:rPr>
      </w:pPr>
      <w:r>
        <w:rPr>
          <w:rStyle w:val="215"/>
          <w:rFonts w:hint="eastAsia" w:ascii="宋体" w:hAnsi="宋体" w:eastAsia="宋体" w:cs="宋体"/>
          <w:color w:val="auto"/>
          <w:sz w:val="21"/>
          <w:szCs w:val="21"/>
          <w:highlight w:val="none"/>
        </w:rPr>
        <w:t>乙方（全称）：</w:t>
      </w:r>
    </w:p>
    <w:p w14:paraId="7C4E167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滁州市滁宁城际铁路开发建设有限公司</w:t>
      </w:r>
      <w:r>
        <w:rPr>
          <w:rFonts w:hint="eastAsia" w:ascii="宋体" w:hAnsi="宋体" w:eastAsia="宋体" w:cs="宋体"/>
          <w:color w:val="auto"/>
          <w:sz w:val="21"/>
          <w:szCs w:val="21"/>
          <w:highlight w:val="none"/>
        </w:rPr>
        <w:t>（以下简称“甲方”）______</w:t>
      </w:r>
      <w:r>
        <w:rPr>
          <w:rFonts w:hint="eastAsia" w:ascii="宋体" w:hAnsi="宋体" w:eastAsia="宋体" w:cs="宋体"/>
          <w:bCs/>
          <w:color w:val="auto"/>
          <w:sz w:val="21"/>
          <w:szCs w:val="21"/>
          <w:highlight w:val="none"/>
        </w:rPr>
        <w:t>（以</w:t>
      </w:r>
      <w:r>
        <w:rPr>
          <w:rFonts w:hint="eastAsia" w:ascii="宋体" w:hAnsi="宋体" w:eastAsia="宋体" w:cs="宋体"/>
          <w:color w:val="auto"/>
          <w:sz w:val="21"/>
          <w:szCs w:val="21"/>
          <w:highlight w:val="none"/>
        </w:rPr>
        <w:t>下简称“乙方”）就</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事宜，依照《中华人民共和国</w:t>
      </w:r>
      <w:r>
        <w:rPr>
          <w:rFonts w:hint="eastAsia" w:ascii="宋体" w:hAnsi="宋体" w:eastAsia="宋体" w:cs="宋体"/>
          <w:color w:val="auto"/>
          <w:sz w:val="21"/>
          <w:szCs w:val="21"/>
          <w:highlight w:val="none"/>
          <w:lang w:val="en-US" w:eastAsia="zh-CN"/>
        </w:rPr>
        <w:t>民法典</w:t>
      </w:r>
      <w:r>
        <w:rPr>
          <w:rFonts w:hint="eastAsia" w:ascii="宋体" w:hAnsi="宋体" w:eastAsia="宋体" w:cs="宋体"/>
          <w:color w:val="auto"/>
          <w:sz w:val="21"/>
          <w:szCs w:val="21"/>
          <w:highlight w:val="none"/>
        </w:rPr>
        <w:t>》及其他有关法律、行政法规，遵循平等、自愿、公平和诚实信用的原则，双方共同达成并订立如下协议。</w:t>
      </w:r>
    </w:p>
    <w:p w14:paraId="6AEF373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b/>
          <w:bCs/>
          <w:color w:val="auto"/>
          <w:sz w:val="21"/>
          <w:szCs w:val="21"/>
          <w:highlight w:val="none"/>
        </w:rPr>
        <w:t>释义</w:t>
      </w:r>
    </w:p>
    <w:p w14:paraId="05867CA0">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w:t>
      </w:r>
      <w:r>
        <w:rPr>
          <w:rFonts w:hint="eastAsia" w:ascii="宋体" w:hAnsi="宋体" w:eastAsia="宋体" w:cs="宋体"/>
          <w:color w:val="auto"/>
          <w:sz w:val="21"/>
          <w:szCs w:val="21"/>
          <w:highlight w:val="none"/>
          <w:lang w:val="en-US" w:eastAsia="zh-CN"/>
        </w:rPr>
        <w:t>标的</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03534269">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auto"/>
          <w:sz w:val="21"/>
          <w:szCs w:val="21"/>
          <w:highlight w:val="none"/>
          <w:lang w:val="en-US" w:eastAsia="zh-CN"/>
        </w:rPr>
        <w:t>担保</w:t>
      </w:r>
      <w:r>
        <w:rPr>
          <w:rFonts w:hint="eastAsia" w:ascii="宋体" w:hAnsi="宋体" w:eastAsia="宋体" w:cs="宋体"/>
          <w:color w:val="auto"/>
          <w:sz w:val="21"/>
          <w:szCs w:val="21"/>
          <w:highlight w:val="none"/>
          <w:lang w:eastAsia="zh-CN"/>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rPr>
        <w:t>二、合同标的、</w:t>
      </w:r>
      <w:r>
        <w:rPr>
          <w:rFonts w:hint="eastAsia" w:ascii="宋体" w:hAnsi="宋体" w:eastAsia="宋体" w:cs="宋体"/>
          <w:b/>
          <w:bCs/>
          <w:color w:val="auto"/>
          <w:sz w:val="21"/>
          <w:szCs w:val="21"/>
          <w:highlight w:val="none"/>
          <w:lang w:val="en-US" w:eastAsia="zh-CN"/>
        </w:rPr>
        <w:t>招标</w:t>
      </w:r>
      <w:r>
        <w:rPr>
          <w:rFonts w:hint="eastAsia" w:ascii="宋体" w:hAnsi="宋体" w:eastAsia="宋体" w:cs="宋体"/>
          <w:b/>
          <w:bCs/>
          <w:color w:val="auto"/>
          <w:sz w:val="21"/>
          <w:szCs w:val="21"/>
          <w:highlight w:val="none"/>
        </w:rPr>
        <w:t>范围、</w:t>
      </w:r>
      <w:r>
        <w:rPr>
          <w:rFonts w:hint="eastAsia" w:ascii="宋体" w:hAnsi="宋体" w:eastAsia="宋体" w:cs="宋体"/>
          <w:b/>
          <w:bCs/>
          <w:color w:val="auto"/>
          <w:sz w:val="21"/>
          <w:szCs w:val="21"/>
          <w:highlight w:val="none"/>
          <w:lang w:val="en-US" w:eastAsia="zh-CN"/>
        </w:rPr>
        <w:t>服务期</w:t>
      </w:r>
    </w:p>
    <w:p w14:paraId="26DA4FFF">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1、合同标的：本合同标的为</w:t>
      </w:r>
      <w:r>
        <w:rPr>
          <w:rFonts w:hint="eastAsia" w:ascii="宋体" w:hAnsi="宋体" w:cs="宋体"/>
          <w:color w:val="auto"/>
          <w:sz w:val="21"/>
          <w:szCs w:val="21"/>
          <w:highlight w:val="none"/>
          <w:lang w:val="en-US"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36C1C789">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2.招标范围：详见采购需求。</w:t>
      </w:r>
    </w:p>
    <w:p w14:paraId="277FEB5C">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3.验收标准：</w:t>
      </w:r>
      <w:r>
        <w:rPr>
          <w:rFonts w:hint="eastAsia" w:ascii="宋体" w:hAnsi="宋体" w:eastAsia="宋体" w:cs="宋体"/>
          <w:color w:val="auto"/>
          <w:sz w:val="21"/>
          <w:szCs w:val="21"/>
          <w:highlight w:val="none"/>
          <w:lang w:val="en-US"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eastAsia="zh-CN"/>
        </w:rPr>
        <w:t>三、计价方式、报酬及支付方式</w:t>
      </w:r>
    </w:p>
    <w:p w14:paraId="5561077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 本项目合同计价方式：</w:t>
      </w:r>
      <w:r>
        <w:rPr>
          <w:rFonts w:hint="eastAsia" w:ascii="宋体" w:hAnsi="宋体" w:cs="宋体"/>
          <w:color w:val="auto"/>
          <w:sz w:val="21"/>
          <w:szCs w:val="21"/>
          <w:highlight w:val="none"/>
          <w:lang w:val="en-US" w:eastAsia="zh-CN"/>
        </w:rPr>
        <w:t>固定总价</w:t>
      </w:r>
      <w:r>
        <w:rPr>
          <w:rFonts w:hint="eastAsia" w:ascii="宋体" w:hAnsi="宋体" w:eastAsia="宋体" w:cs="宋体"/>
          <w:color w:val="auto"/>
          <w:sz w:val="21"/>
          <w:szCs w:val="21"/>
          <w:highlight w:val="none"/>
          <w:lang w:val="en-US" w:eastAsia="zh-CN"/>
        </w:rPr>
        <w:t>。</w:t>
      </w:r>
    </w:p>
    <w:p w14:paraId="3AD913A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 本合同价款：</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665DBEA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5.3支付方式：</w:t>
      </w:r>
    </w:p>
    <w:p w14:paraId="446F54B4">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四、履约保证金</w:t>
      </w:r>
    </w:p>
    <w:p w14:paraId="39C7B9A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w:t>
      </w:r>
    </w:p>
    <w:p w14:paraId="552757F5">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6158446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                 </w:t>
      </w:r>
    </w:p>
    <w:p w14:paraId="635DCB3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                   </w:t>
      </w:r>
    </w:p>
    <w:p w14:paraId="799744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                  </w:t>
      </w:r>
    </w:p>
    <w:p w14:paraId="213AA07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513E866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履约保证金退还时限：中标人在本合同约定的服务期限届满并经招标人验收合格后30日内办理履约保证金（或履约保函）退还手续。</w:t>
      </w:r>
    </w:p>
    <w:p w14:paraId="0FA5C11A">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、合同变更</w:t>
      </w:r>
    </w:p>
    <w:p w14:paraId="4591DB1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1、甲方主体变更</w:t>
      </w:r>
    </w:p>
    <w:p w14:paraId="0503F38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2、乙方的主体变更</w:t>
      </w:r>
    </w:p>
    <w:p w14:paraId="50F60C0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、违约处理</w:t>
      </w:r>
    </w:p>
    <w:p w14:paraId="7E93B80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1、正常终止</w:t>
      </w:r>
    </w:p>
    <w:p w14:paraId="4C3656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本协议约定的服务期限届满。</w:t>
      </w:r>
    </w:p>
    <w:p w14:paraId="5AACB2F3">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甲乙双方应全面地履行本合同，不履行或不完全履行的，视为违约，应承担相应的违约责任。</w:t>
      </w:r>
    </w:p>
    <w:p w14:paraId="3D19D5B9">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10、不可抗力</w:t>
      </w:r>
    </w:p>
    <w:p w14:paraId="2432FAF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10.7如果不可抗力的情况发生并因此根据民法典双方均被解除或进一步履行合同，乙方的履约保证金不被没收。</w:t>
      </w:r>
    </w:p>
    <w:p w14:paraId="65320C1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七、资料</w:t>
      </w:r>
    </w:p>
    <w:p w14:paraId="14F6B46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3、乙方应提交文件的全部费用由乙方自行负责，甲方不另行支付任何费用。</w:t>
      </w:r>
    </w:p>
    <w:p w14:paraId="357445A1">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八、知识产权</w:t>
      </w:r>
    </w:p>
    <w:p w14:paraId="7B694A1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应保证其根据本协议为甲方提供的技术资料具有永久合法使用权，并保证免受第三方提出侵犯其任何专利、注册的设计、版权、商标或商品名称、或其他任何知识产权的起诉和索赔；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3、甲方提供给乙方的企业标识、图片、文字等任何资料、文件的知识产权归属于甲方，乙方仅能在本项目范围内使用。 </w:t>
      </w:r>
    </w:p>
    <w:p w14:paraId="6306C290">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九、税费</w:t>
      </w:r>
    </w:p>
    <w:p w14:paraId="763F1F6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3、在中国境外和香港、澳门及台湾区域发生的与本协议有关的一切税费均由乙方负担。</w:t>
      </w:r>
    </w:p>
    <w:p w14:paraId="4A04EFA3">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十、争议解决</w:t>
      </w:r>
    </w:p>
    <w:p w14:paraId="3F2A6FF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本合同履行过程中产生的纠纷，双方应友好协商解决，协商不成的，任何一方有权向滁州仲裁委员会提起仲裁。</w:t>
      </w:r>
    </w:p>
    <w:p w14:paraId="7B312D48">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、其它</w:t>
      </w:r>
    </w:p>
    <w:p w14:paraId="3A17B2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3.1中标通知书；</w:t>
      </w:r>
    </w:p>
    <w:p w14:paraId="49BDCFA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3.2本合同补充合同（如有)；</w:t>
      </w:r>
    </w:p>
    <w:p w14:paraId="27F98E7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3.3甲乙方承诺文件；</w:t>
      </w:r>
    </w:p>
    <w:p w14:paraId="7C992A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3.4其他合同文件。</w:t>
      </w:r>
    </w:p>
    <w:p w14:paraId="191727F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4、本合同自甲方、乙方签字并加盖各自公司印章后生效。</w:t>
      </w:r>
    </w:p>
    <w:p w14:paraId="58B00B5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5、本合同正本一式拾份，甲方执陆份，乙方执肆份，具有同等法律效力。</w:t>
      </w:r>
    </w:p>
    <w:p w14:paraId="1AFD7F32">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文件送达与签收</w:t>
      </w:r>
    </w:p>
    <w:p w14:paraId="2556834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3、为便于双方执行合同，双方约定本项目联络人如下：</w:t>
      </w:r>
    </w:p>
    <w:p w14:paraId="616D3A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甲方联络人： </w:t>
      </w:r>
    </w:p>
    <w:p w14:paraId="485871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w:t>
      </w:r>
    </w:p>
    <w:p w14:paraId="2F1F0D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邮件地址：</w:t>
      </w:r>
    </w:p>
    <w:p w14:paraId="15E834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乙方联络人：</w:t>
      </w:r>
    </w:p>
    <w:p w14:paraId="5729143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联系电话： </w:t>
      </w:r>
    </w:p>
    <w:p w14:paraId="7002FFC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邮件地址：</w:t>
      </w: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（盖章）</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或授权代表：（签字）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时间：    年    月   日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时间：    年    月    日</w:t>
      </w:r>
    </w:p>
    <w:p w14:paraId="62E9F071">
      <w:pPr>
        <w:rPr>
          <w:rFonts w:hint="eastAsia"/>
          <w:bCs/>
          <w:color w:val="auto"/>
          <w:szCs w:val="32"/>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地址：</w:t>
      </w:r>
      <w:r>
        <w:rPr>
          <w:rFonts w:hint="eastAsia"/>
          <w:bCs/>
          <w:color w:val="auto"/>
          <w:szCs w:val="32"/>
          <w:highlight w:val="none"/>
        </w:rPr>
        <w:br w:type="page"/>
      </w:r>
    </w:p>
    <w:p w14:paraId="3A3DFD1F">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七</w:t>
      </w:r>
      <w:r>
        <w:rPr>
          <w:rFonts w:hint="eastAsia"/>
          <w:bCs/>
          <w:color w:val="auto"/>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color w:val="auto"/>
          <w:highlight w:val="none"/>
        </w:rPr>
      </w:pPr>
    </w:p>
    <w:p w14:paraId="082E4B32">
      <w:pPr>
        <w:rPr>
          <w:color w:val="auto"/>
          <w:highlight w:val="none"/>
        </w:rPr>
      </w:pPr>
    </w:p>
    <w:p w14:paraId="5069B979">
      <w:pPr>
        <w:rPr>
          <w:color w:val="auto"/>
          <w:highlight w:val="none"/>
        </w:rPr>
      </w:pPr>
    </w:p>
    <w:p w14:paraId="56143D65">
      <w:pPr>
        <w:jc w:val="center"/>
        <w:rPr>
          <w:rFonts w:eastAsia="黑体"/>
          <w:color w:val="auto"/>
          <w:sz w:val="20"/>
          <w:szCs w:val="20"/>
          <w:highlight w:val="none"/>
        </w:rPr>
      </w:pPr>
      <w:r>
        <w:rPr>
          <w:rFonts w:eastAsia="黑体"/>
          <w:color w:val="auto"/>
          <w:sz w:val="28"/>
          <w:szCs w:val="28"/>
          <w:highlight w:val="none"/>
        </w:rPr>
        <w:t>（项目名称）</w:t>
      </w:r>
    </w:p>
    <w:p w14:paraId="7576ABA9">
      <w:pPr>
        <w:jc w:val="center"/>
        <w:rPr>
          <w:rFonts w:eastAsia="黑体"/>
          <w:color w:val="auto"/>
          <w:sz w:val="20"/>
          <w:szCs w:val="20"/>
          <w:highlight w:val="none"/>
        </w:rPr>
      </w:pPr>
    </w:p>
    <w:p w14:paraId="7FF06958">
      <w:pPr>
        <w:jc w:val="center"/>
        <w:rPr>
          <w:rFonts w:eastAsia="黑体"/>
          <w:color w:val="auto"/>
          <w:sz w:val="20"/>
          <w:szCs w:val="20"/>
          <w:highlight w:val="none"/>
        </w:rPr>
      </w:pPr>
    </w:p>
    <w:p w14:paraId="3165CB1E">
      <w:pPr>
        <w:jc w:val="center"/>
        <w:rPr>
          <w:rFonts w:eastAsia="黑体"/>
          <w:color w:val="auto"/>
          <w:sz w:val="20"/>
          <w:szCs w:val="20"/>
          <w:highlight w:val="none"/>
        </w:rPr>
      </w:pPr>
    </w:p>
    <w:p w14:paraId="75BA9D51">
      <w:pPr>
        <w:rPr>
          <w:rFonts w:eastAsia="黑体"/>
          <w:color w:val="auto"/>
          <w:sz w:val="20"/>
          <w:szCs w:val="20"/>
          <w:highlight w:val="none"/>
        </w:rPr>
      </w:pPr>
    </w:p>
    <w:p w14:paraId="347DEE05">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0B28D98A">
      <w:pPr>
        <w:jc w:val="center"/>
        <w:rPr>
          <w:rFonts w:eastAsia="黑体"/>
          <w:color w:val="auto"/>
          <w:sz w:val="44"/>
          <w:szCs w:val="44"/>
          <w:highlight w:val="none"/>
        </w:rPr>
      </w:pPr>
      <w:r>
        <w:rPr>
          <w:rFonts w:hint="eastAsia" w:eastAsia="黑体"/>
          <w:color w:val="auto"/>
          <w:sz w:val="44"/>
          <w:szCs w:val="44"/>
          <w:highlight w:val="none"/>
        </w:rPr>
        <w:t>（资信证明文件）</w:t>
      </w:r>
    </w:p>
    <w:p w14:paraId="4404D72F">
      <w:pPr>
        <w:jc w:val="center"/>
        <w:rPr>
          <w:rFonts w:eastAsia="黑体"/>
          <w:color w:val="auto"/>
          <w:sz w:val="44"/>
          <w:szCs w:val="44"/>
          <w:highlight w:val="none"/>
        </w:rPr>
      </w:pPr>
      <w:r>
        <w:rPr>
          <w:rFonts w:hint="eastAsia" w:eastAsia="黑体"/>
          <w:color w:val="auto"/>
          <w:sz w:val="44"/>
          <w:szCs w:val="44"/>
          <w:highlight w:val="none"/>
        </w:rPr>
        <w:t xml:space="preserve"> </w:t>
      </w:r>
    </w:p>
    <w:p w14:paraId="69FD5586">
      <w:pPr>
        <w:rPr>
          <w:rFonts w:eastAsia="黑体"/>
          <w:color w:val="auto"/>
          <w:sz w:val="28"/>
          <w:szCs w:val="28"/>
          <w:highlight w:val="none"/>
        </w:rPr>
      </w:pPr>
    </w:p>
    <w:p w14:paraId="61671114">
      <w:pPr>
        <w:rPr>
          <w:rFonts w:eastAsia="黑体"/>
          <w:color w:val="auto"/>
          <w:sz w:val="28"/>
          <w:szCs w:val="28"/>
          <w:highlight w:val="none"/>
        </w:rPr>
      </w:pPr>
    </w:p>
    <w:p w14:paraId="7707CE46">
      <w:pPr>
        <w:rPr>
          <w:rFonts w:eastAsia="黑体"/>
          <w:color w:val="auto"/>
          <w:sz w:val="28"/>
          <w:szCs w:val="28"/>
          <w:highlight w:val="none"/>
        </w:rPr>
      </w:pPr>
    </w:p>
    <w:p w14:paraId="3E29662A">
      <w:pPr>
        <w:rPr>
          <w:rFonts w:eastAsia="黑体"/>
          <w:color w:val="auto"/>
          <w:sz w:val="28"/>
          <w:szCs w:val="28"/>
          <w:highlight w:val="none"/>
        </w:rPr>
      </w:pPr>
    </w:p>
    <w:p w14:paraId="69D02104">
      <w:pPr>
        <w:pStyle w:val="14"/>
        <w:ind w:firstLine="420"/>
        <w:rPr>
          <w:rFonts w:ascii="Times New Roman"/>
          <w:color w:val="auto"/>
          <w:szCs w:val="24"/>
          <w:highlight w:val="none"/>
        </w:rPr>
      </w:pPr>
    </w:p>
    <w:p w14:paraId="3062FE47">
      <w:pPr>
        <w:rPr>
          <w:rFonts w:ascii="Times New Roman"/>
          <w:color w:val="auto"/>
          <w:szCs w:val="24"/>
          <w:highlight w:val="none"/>
        </w:rPr>
      </w:pPr>
    </w:p>
    <w:p w14:paraId="78F93F73">
      <w:pPr>
        <w:pStyle w:val="14"/>
        <w:rPr>
          <w:rFonts w:ascii="Times New Roman"/>
          <w:color w:val="auto"/>
          <w:szCs w:val="24"/>
          <w:highlight w:val="none"/>
        </w:rPr>
      </w:pPr>
    </w:p>
    <w:p w14:paraId="1E9D0BD8">
      <w:pPr>
        <w:rPr>
          <w:rFonts w:ascii="Times New Roman"/>
          <w:color w:val="auto"/>
          <w:szCs w:val="24"/>
          <w:highlight w:val="none"/>
        </w:rPr>
      </w:pPr>
    </w:p>
    <w:p w14:paraId="13AFD6AD">
      <w:pPr>
        <w:pStyle w:val="14"/>
        <w:rPr>
          <w:color w:val="auto"/>
          <w:highlight w:val="none"/>
        </w:rPr>
      </w:pPr>
    </w:p>
    <w:p w14:paraId="0799C826">
      <w:pPr>
        <w:pStyle w:val="14"/>
        <w:ind w:firstLine="420"/>
        <w:rPr>
          <w:color w:val="auto"/>
          <w:highlight w:val="none"/>
        </w:rPr>
      </w:pPr>
    </w:p>
    <w:p w14:paraId="63F5BB9B">
      <w:pPr>
        <w:rPr>
          <w:rFonts w:eastAsia="黑体"/>
          <w:color w:val="auto"/>
          <w:sz w:val="28"/>
          <w:szCs w:val="28"/>
          <w:highlight w:val="none"/>
        </w:rPr>
      </w:pPr>
    </w:p>
    <w:p w14:paraId="6ECEBDFF">
      <w:pPr>
        <w:rPr>
          <w:rFonts w:eastAsia="黑体"/>
          <w:color w:val="auto"/>
          <w:sz w:val="28"/>
          <w:szCs w:val="28"/>
          <w:highlight w:val="none"/>
        </w:rPr>
      </w:pPr>
    </w:p>
    <w:p w14:paraId="6252277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097218CB">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211A5DCF">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802AEA0">
      <w:pPr>
        <w:rPr>
          <w:color w:val="auto"/>
          <w:highlight w:val="none"/>
        </w:rPr>
      </w:pPr>
      <w:bookmarkStart w:id="261" w:name="_Toc12683"/>
      <w:bookmarkStart w:id="262" w:name="_Toc35424971"/>
      <w:bookmarkStart w:id="263" w:name="_Toc35425137"/>
    </w:p>
    <w:p w14:paraId="5288B7B1">
      <w:pPr>
        <w:spacing w:beforeLines="50" w:afterLines="50" w:line="440" w:lineRule="exact"/>
        <w:ind w:firstLine="643" w:firstLineChars="200"/>
        <w:jc w:val="center"/>
        <w:rPr>
          <w:rStyle w:val="121"/>
          <w:rFonts w:hint="eastAsia" w:ascii="宋体" w:hAnsi="宋体" w:cs="宋体"/>
          <w:color w:val="auto"/>
          <w:sz w:val="32"/>
          <w:highlight w:val="none"/>
        </w:rPr>
      </w:pPr>
      <w:bookmarkStart w:id="264" w:name="_Toc78803399"/>
      <w:r>
        <w:rPr>
          <w:rStyle w:val="121"/>
          <w:rFonts w:hint="eastAsia" w:ascii="宋体" w:hAnsi="宋体" w:cs="宋体"/>
          <w:color w:val="auto"/>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color w:val="auto"/>
          <w:sz w:val="32"/>
          <w:highlight w:val="none"/>
        </w:rPr>
      </w:pPr>
    </w:p>
    <w:p w14:paraId="0EBCA57C">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503196197"/>
      <w:bookmarkStart w:id="266" w:name="_Toc26598"/>
      <w:bookmarkStart w:id="267" w:name="_Toc506107356"/>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color w:val="auto"/>
          <w:highlight w:val="none"/>
        </w:rPr>
      </w:pPr>
      <w:r>
        <w:rPr>
          <w:rFonts w:hint="eastAsia" w:ascii="宋体"/>
          <w:color w:val="auto"/>
          <w:sz w:val="24"/>
          <w:highlight w:val="none"/>
        </w:rPr>
        <w:t>附：</w:t>
      </w:r>
      <w:r>
        <w:rPr>
          <w:rFonts w:hint="eastAsia" w:ascii="宋体"/>
          <w:b/>
          <w:color w:val="auto"/>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盖</w:t>
      </w:r>
      <w:r>
        <w:rPr>
          <w:rFonts w:hint="eastAsia" w:ascii="宋体"/>
          <w:color w:val="auto"/>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color w:val="auto"/>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color w:val="auto"/>
          <w:sz w:val="24"/>
          <w:highlight w:val="none"/>
        </w:rPr>
      </w:pPr>
      <w:r>
        <w:rPr>
          <w:rFonts w:hint="eastAsia" w:ascii="宋体"/>
          <w:color w:val="auto"/>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auto"/>
          <w:sz w:val="28"/>
          <w:szCs w:val="28"/>
          <w:highlight w:val="none"/>
        </w:rPr>
      </w:pPr>
      <w:r>
        <w:rPr>
          <w:rFonts w:hint="eastAsia"/>
          <w:b/>
          <w:color w:val="auto"/>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、保证中标后不转包及使用挂靠</w:t>
      </w:r>
      <w:r>
        <w:rPr>
          <w:rFonts w:hint="eastAsia" w:ascii="宋体" w:hAnsi="宋体"/>
          <w:color w:val="auto"/>
          <w:szCs w:val="21"/>
          <w:highlight w:val="none"/>
          <w:lang w:val="en-US" w:eastAsia="zh-CN"/>
        </w:rPr>
        <w:t>服务</w:t>
      </w:r>
      <w:r>
        <w:rPr>
          <w:rFonts w:hint="eastAsia" w:ascii="宋体" w:hAnsi="宋体"/>
          <w:color w:val="auto"/>
          <w:szCs w:val="21"/>
          <w:highlight w:val="none"/>
        </w:rPr>
        <w:t>队伍，若有分包征得</w:t>
      </w:r>
      <w:r>
        <w:rPr>
          <w:rFonts w:hint="eastAsia" w:ascii="宋体" w:hAnsi="宋体"/>
          <w:color w:val="auto"/>
          <w:szCs w:val="21"/>
          <w:highlight w:val="none"/>
          <w:lang w:val="en-US" w:eastAsia="zh-CN"/>
        </w:rPr>
        <w:t>招标人</w:t>
      </w:r>
      <w:r>
        <w:rPr>
          <w:rFonts w:hint="eastAsia" w:ascii="宋体" w:hAnsi="宋体"/>
          <w:color w:val="auto"/>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、保证中标之后，按照投标文件承诺派驻人员，如有违反，同意接受</w:t>
      </w:r>
      <w:r>
        <w:rPr>
          <w:rFonts w:hint="eastAsia" w:ascii="宋体" w:hAnsi="宋体"/>
          <w:color w:val="auto"/>
          <w:szCs w:val="21"/>
          <w:highlight w:val="none"/>
          <w:lang w:val="en-US" w:eastAsia="zh-CN"/>
        </w:rPr>
        <w:t>招标</w:t>
      </w:r>
      <w:r>
        <w:rPr>
          <w:rFonts w:hint="eastAsia" w:ascii="宋体" w:hAnsi="宋体"/>
          <w:color w:val="auto"/>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auto"/>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olor w:val="auto"/>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208B8A18">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color w:val="auto"/>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color w:val="auto"/>
          <w:sz w:val="28"/>
          <w:szCs w:val="28"/>
          <w:highlight w:val="none"/>
        </w:rPr>
      </w:pPr>
      <w:r>
        <w:rPr>
          <w:rFonts w:hint="eastAsia"/>
          <w:b/>
          <w:bCs/>
          <w:color w:val="auto"/>
          <w:sz w:val="28"/>
          <w:szCs w:val="28"/>
          <w:highlight w:val="none"/>
          <w:lang w:eastAsia="zh-CN"/>
        </w:rPr>
        <w:t>（</w:t>
      </w:r>
      <w:r>
        <w:rPr>
          <w:rFonts w:hint="eastAsia"/>
          <w:b/>
          <w:bCs/>
          <w:color w:val="auto"/>
          <w:sz w:val="28"/>
          <w:szCs w:val="28"/>
          <w:highlight w:val="none"/>
          <w:lang w:val="en-US" w:eastAsia="zh-CN"/>
        </w:rPr>
        <w:t>3）</w:t>
      </w:r>
      <w:r>
        <w:rPr>
          <w:rFonts w:hint="eastAsia"/>
          <w:b/>
          <w:bCs/>
          <w:color w:val="auto"/>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本承诺声明：（投标人名称</w:t>
      </w:r>
      <w:r>
        <w:rPr>
          <w:rFonts w:hint="eastAsia" w:ascii="宋体" w:hAnsi="宋体"/>
          <w:color w:val="auto"/>
          <w:sz w:val="24"/>
          <w:highlight w:val="none"/>
          <w:lang w:eastAsia="zh-CN"/>
        </w:rPr>
        <w:t>）</w:t>
      </w:r>
      <w:r>
        <w:rPr>
          <w:rFonts w:hint="eastAsia" w:ascii="宋体" w:hAnsi="宋体"/>
          <w:color w:val="auto"/>
          <w:sz w:val="24"/>
          <w:highlight w:val="none"/>
        </w:rPr>
        <w:t>对本招标文件所有要求完全响应</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承诺其设计方案无条件供招标人使用。</w:t>
      </w:r>
      <w:r>
        <w:rPr>
          <w:rFonts w:hint="eastAsia" w:ascii="宋体" w:hAnsi="宋体"/>
          <w:color w:val="auto"/>
          <w:sz w:val="24"/>
          <w:highlight w:val="none"/>
        </w:rPr>
        <w:t>若有幸中标将严格按照以上承诺进行服务。</w:t>
      </w:r>
      <w:r>
        <w:rPr>
          <w:rFonts w:hint="eastAsia" w:ascii="宋体" w:hAnsi="宋体"/>
          <w:color w:val="auto"/>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特此声明</w:t>
      </w:r>
      <w:r>
        <w:rPr>
          <w:rFonts w:hint="eastAsia" w:ascii="宋体" w:hAnsi="宋体"/>
          <w:color w:val="auto"/>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u w:val="single"/>
        </w:rPr>
      </w:pPr>
      <w:r>
        <w:rPr>
          <w:rFonts w:hint="eastAsia" w:ascii="宋体" w:hAnsi="宋体"/>
          <w:color w:val="auto"/>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033D7BF9">
      <w:pPr>
        <w:spacing w:line="400" w:lineRule="exact"/>
        <w:ind w:firstLine="482" w:firstLineChars="200"/>
        <w:rPr>
          <w:rFonts w:ascii="宋体" w:hAnsi="宋体"/>
          <w:b/>
          <w:color w:val="auto"/>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auto"/>
          <w:szCs w:val="21"/>
          <w:highlight w:val="none"/>
        </w:rPr>
      </w:pPr>
    </w:p>
    <w:p w14:paraId="2BC6E2D1">
      <w:pPr>
        <w:jc w:val="center"/>
        <w:rPr>
          <w:rFonts w:eastAsia="黑体"/>
          <w:color w:val="auto"/>
          <w:sz w:val="28"/>
          <w:szCs w:val="28"/>
          <w:highlight w:val="none"/>
        </w:rPr>
      </w:pPr>
    </w:p>
    <w:p w14:paraId="66E43672">
      <w:pPr>
        <w:jc w:val="center"/>
        <w:rPr>
          <w:rFonts w:eastAsia="黑体"/>
          <w:color w:val="auto"/>
          <w:sz w:val="28"/>
          <w:szCs w:val="28"/>
          <w:highlight w:val="none"/>
        </w:rPr>
      </w:pPr>
    </w:p>
    <w:p w14:paraId="20447F5C">
      <w:pPr>
        <w:jc w:val="center"/>
        <w:rPr>
          <w:rFonts w:eastAsia="黑体"/>
          <w:color w:val="auto"/>
          <w:sz w:val="20"/>
          <w:szCs w:val="20"/>
          <w:highlight w:val="none"/>
        </w:rPr>
      </w:pPr>
      <w:r>
        <w:rPr>
          <w:rFonts w:eastAsia="黑体"/>
          <w:color w:val="auto"/>
          <w:sz w:val="28"/>
          <w:szCs w:val="28"/>
          <w:highlight w:val="none"/>
        </w:rPr>
        <w:t>（项目名称）</w:t>
      </w:r>
    </w:p>
    <w:p w14:paraId="66B855F2">
      <w:pPr>
        <w:jc w:val="center"/>
        <w:rPr>
          <w:rFonts w:eastAsia="黑体"/>
          <w:color w:val="auto"/>
          <w:sz w:val="20"/>
          <w:szCs w:val="20"/>
          <w:highlight w:val="none"/>
        </w:rPr>
      </w:pPr>
    </w:p>
    <w:p w14:paraId="792DB5BC">
      <w:pPr>
        <w:rPr>
          <w:rFonts w:eastAsia="黑体"/>
          <w:color w:val="auto"/>
          <w:sz w:val="20"/>
          <w:szCs w:val="20"/>
          <w:highlight w:val="none"/>
        </w:rPr>
      </w:pPr>
    </w:p>
    <w:p w14:paraId="60025CC7">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11881936">
      <w:pPr>
        <w:jc w:val="center"/>
        <w:rPr>
          <w:rFonts w:eastAsia="黑体"/>
          <w:color w:val="auto"/>
          <w:sz w:val="44"/>
          <w:szCs w:val="44"/>
          <w:highlight w:val="none"/>
        </w:rPr>
      </w:pPr>
      <w:r>
        <w:rPr>
          <w:rFonts w:hint="eastAsia" w:eastAsia="黑体"/>
          <w:color w:val="auto"/>
          <w:sz w:val="44"/>
          <w:szCs w:val="44"/>
          <w:highlight w:val="none"/>
        </w:rPr>
        <w:t>（技术标文件）</w:t>
      </w:r>
    </w:p>
    <w:p w14:paraId="78C47936">
      <w:pPr>
        <w:rPr>
          <w:rFonts w:eastAsia="黑体"/>
          <w:color w:val="auto"/>
          <w:sz w:val="28"/>
          <w:szCs w:val="28"/>
          <w:highlight w:val="none"/>
        </w:rPr>
      </w:pPr>
    </w:p>
    <w:p w14:paraId="13EF90FD">
      <w:pPr>
        <w:rPr>
          <w:rFonts w:eastAsia="黑体"/>
          <w:color w:val="auto"/>
          <w:sz w:val="28"/>
          <w:szCs w:val="28"/>
          <w:highlight w:val="none"/>
        </w:rPr>
      </w:pPr>
    </w:p>
    <w:p w14:paraId="4307D5B0">
      <w:pPr>
        <w:rPr>
          <w:rFonts w:eastAsia="黑体"/>
          <w:color w:val="auto"/>
          <w:sz w:val="28"/>
          <w:szCs w:val="28"/>
          <w:highlight w:val="none"/>
        </w:rPr>
      </w:pPr>
    </w:p>
    <w:p w14:paraId="6B2C05F0">
      <w:pPr>
        <w:pStyle w:val="14"/>
        <w:ind w:firstLine="560"/>
        <w:rPr>
          <w:rFonts w:eastAsia="黑体"/>
          <w:color w:val="auto"/>
          <w:sz w:val="28"/>
          <w:szCs w:val="28"/>
          <w:highlight w:val="none"/>
        </w:rPr>
      </w:pPr>
    </w:p>
    <w:p w14:paraId="1D0BEC5C">
      <w:pPr>
        <w:rPr>
          <w:rFonts w:eastAsia="黑体"/>
          <w:color w:val="auto"/>
          <w:sz w:val="28"/>
          <w:szCs w:val="28"/>
          <w:highlight w:val="none"/>
        </w:rPr>
      </w:pPr>
    </w:p>
    <w:p w14:paraId="28D93157">
      <w:pPr>
        <w:pStyle w:val="14"/>
        <w:ind w:firstLine="560"/>
        <w:rPr>
          <w:rFonts w:eastAsia="黑体"/>
          <w:color w:val="auto"/>
          <w:sz w:val="28"/>
          <w:szCs w:val="28"/>
          <w:highlight w:val="none"/>
        </w:rPr>
      </w:pPr>
    </w:p>
    <w:p w14:paraId="1FFAD3CF">
      <w:pPr>
        <w:rPr>
          <w:color w:val="auto"/>
          <w:highlight w:val="none"/>
        </w:rPr>
      </w:pPr>
    </w:p>
    <w:p w14:paraId="0D2C3844">
      <w:pPr>
        <w:rPr>
          <w:rFonts w:eastAsia="黑体"/>
          <w:color w:val="auto"/>
          <w:sz w:val="28"/>
          <w:szCs w:val="28"/>
          <w:highlight w:val="none"/>
        </w:rPr>
      </w:pPr>
    </w:p>
    <w:p w14:paraId="3D9426D8">
      <w:pPr>
        <w:rPr>
          <w:rFonts w:eastAsia="黑体"/>
          <w:color w:val="auto"/>
          <w:sz w:val="28"/>
          <w:szCs w:val="28"/>
          <w:highlight w:val="none"/>
        </w:rPr>
      </w:pPr>
    </w:p>
    <w:p w14:paraId="21A6EBE5">
      <w:pPr>
        <w:rPr>
          <w:rFonts w:eastAsia="黑体"/>
          <w:color w:val="auto"/>
          <w:sz w:val="28"/>
          <w:szCs w:val="28"/>
          <w:highlight w:val="none"/>
        </w:rPr>
      </w:pPr>
    </w:p>
    <w:p w14:paraId="02F825C3">
      <w:pPr>
        <w:rPr>
          <w:rFonts w:eastAsia="黑体"/>
          <w:color w:val="auto"/>
          <w:sz w:val="28"/>
          <w:szCs w:val="28"/>
          <w:highlight w:val="none"/>
        </w:rPr>
      </w:pPr>
    </w:p>
    <w:p w14:paraId="65C29CBB">
      <w:pPr>
        <w:rPr>
          <w:rFonts w:eastAsia="黑体"/>
          <w:color w:val="auto"/>
          <w:sz w:val="28"/>
          <w:szCs w:val="28"/>
          <w:highlight w:val="none"/>
        </w:rPr>
      </w:pPr>
    </w:p>
    <w:p w14:paraId="10883D19">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3B6C62B9">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1FCEEEFE">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3CA1B276">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color w:val="auto"/>
          <w:sz w:val="32"/>
          <w:highlight w:val="none"/>
        </w:rPr>
      </w:pPr>
    </w:p>
    <w:p w14:paraId="43AB31C5">
      <w:pPr>
        <w:spacing w:beforeLines="50" w:afterLines="50" w:line="440" w:lineRule="exact"/>
        <w:jc w:val="center"/>
        <w:rPr>
          <w:rStyle w:val="121"/>
          <w:rFonts w:ascii="宋体" w:hAnsi="宋体" w:cs="宋体"/>
          <w:color w:val="auto"/>
          <w:sz w:val="32"/>
          <w:highlight w:val="none"/>
        </w:rPr>
      </w:pPr>
      <w:r>
        <w:rPr>
          <w:rStyle w:val="121"/>
          <w:rFonts w:hint="eastAsia" w:ascii="宋体" w:hAnsi="宋体" w:cs="宋体"/>
          <w:color w:val="auto"/>
          <w:sz w:val="32"/>
          <w:highlight w:val="none"/>
        </w:rPr>
        <w:t>目</w:t>
      </w:r>
      <w:r>
        <w:rPr>
          <w:rStyle w:val="121"/>
          <w:rFonts w:hint="eastAsia" w:ascii="宋体" w:hAnsi="宋体" w:cs="宋体"/>
          <w:color w:val="auto"/>
          <w:sz w:val="32"/>
          <w:highlight w:val="none"/>
          <w:lang w:val="en-US"/>
        </w:rPr>
        <w:t xml:space="preserve">  </w:t>
      </w:r>
      <w:r>
        <w:rPr>
          <w:rStyle w:val="121"/>
          <w:rFonts w:hint="eastAsia" w:ascii="宋体" w:hAnsi="宋体" w:cs="宋体"/>
          <w:color w:val="auto"/>
          <w:sz w:val="32"/>
          <w:highlight w:val="none"/>
        </w:rPr>
        <w:t>录</w:t>
      </w:r>
    </w:p>
    <w:p w14:paraId="5045D6E2">
      <w:pPr>
        <w:numPr>
          <w:ilvl w:val="0"/>
          <w:numId w:val="5"/>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设计方案；</w:t>
      </w:r>
    </w:p>
    <w:p w14:paraId="14093959">
      <w:pPr>
        <w:numPr>
          <w:ilvl w:val="0"/>
          <w:numId w:val="5"/>
        </w:num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cs="Times New Roman"/>
          <w:color w:val="auto"/>
          <w:szCs w:val="21"/>
          <w:highlight w:val="none"/>
          <w:lang w:val="en-US" w:eastAsia="zh-CN"/>
        </w:rPr>
        <w:t>施工方案</w:t>
      </w:r>
      <w:r>
        <w:rPr>
          <w:rFonts w:hint="eastAsia" w:ascii="宋体" w:hAnsi="宋体" w:eastAsia="宋体" w:cs="宋体"/>
          <w:color w:val="auto"/>
          <w:szCs w:val="21"/>
          <w:highlight w:val="none"/>
          <w:lang w:val="en-US" w:eastAsia="zh-CN"/>
        </w:rPr>
        <w:t>。</w:t>
      </w:r>
    </w:p>
    <w:p w14:paraId="3EC023F2">
      <w:pPr>
        <w:spacing w:line="440" w:lineRule="exact"/>
        <w:ind w:firstLine="420" w:firstLineChars="200"/>
        <w:jc w:val="left"/>
        <w:rPr>
          <w:rFonts w:hint="eastAsia" w:ascii="宋体" w:hAnsi="宋体" w:eastAsia="宋体" w:cs="宋体"/>
          <w:color w:val="auto"/>
          <w:szCs w:val="21"/>
          <w:highlight w:val="none"/>
          <w:lang w:eastAsia="zh-CN"/>
        </w:rPr>
      </w:pPr>
    </w:p>
    <w:p w14:paraId="2EEC4B9E">
      <w:pPr>
        <w:pStyle w:val="14"/>
        <w:rPr>
          <w:rFonts w:hint="eastAsia"/>
          <w:color w:val="auto"/>
          <w:highlight w:val="none"/>
        </w:rPr>
      </w:pPr>
    </w:p>
    <w:p w14:paraId="19A10BDE">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537EA8B">
      <w:pPr>
        <w:jc w:val="center"/>
        <w:rPr>
          <w:rFonts w:eastAsia="黑体"/>
          <w:color w:val="auto"/>
          <w:sz w:val="28"/>
          <w:szCs w:val="28"/>
          <w:highlight w:val="none"/>
        </w:rPr>
      </w:pPr>
    </w:p>
    <w:p w14:paraId="22366C21">
      <w:pPr>
        <w:jc w:val="center"/>
        <w:rPr>
          <w:rFonts w:eastAsia="黑体"/>
          <w:color w:val="auto"/>
          <w:sz w:val="28"/>
          <w:szCs w:val="28"/>
          <w:highlight w:val="none"/>
        </w:rPr>
      </w:pPr>
    </w:p>
    <w:p w14:paraId="52F921F7">
      <w:pPr>
        <w:jc w:val="center"/>
        <w:rPr>
          <w:rFonts w:eastAsia="黑体"/>
          <w:color w:val="auto"/>
          <w:sz w:val="20"/>
          <w:szCs w:val="20"/>
          <w:highlight w:val="none"/>
        </w:rPr>
      </w:pPr>
      <w:r>
        <w:rPr>
          <w:rFonts w:eastAsia="黑体"/>
          <w:color w:val="auto"/>
          <w:sz w:val="28"/>
          <w:szCs w:val="28"/>
          <w:highlight w:val="none"/>
        </w:rPr>
        <w:t>（项目名称）</w:t>
      </w:r>
    </w:p>
    <w:p w14:paraId="1CB3AF7F">
      <w:pPr>
        <w:jc w:val="center"/>
        <w:rPr>
          <w:rFonts w:eastAsia="黑体"/>
          <w:color w:val="auto"/>
          <w:sz w:val="20"/>
          <w:szCs w:val="20"/>
          <w:highlight w:val="none"/>
        </w:rPr>
      </w:pPr>
    </w:p>
    <w:p w14:paraId="7F67D925">
      <w:pPr>
        <w:rPr>
          <w:rFonts w:eastAsia="黑体"/>
          <w:color w:val="auto"/>
          <w:sz w:val="20"/>
          <w:szCs w:val="20"/>
          <w:highlight w:val="none"/>
        </w:rPr>
      </w:pPr>
    </w:p>
    <w:p w14:paraId="5AE9D7EA">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三</w:t>
      </w:r>
    </w:p>
    <w:p w14:paraId="4D9A83AD">
      <w:pPr>
        <w:jc w:val="center"/>
        <w:rPr>
          <w:rFonts w:eastAsia="黑体"/>
          <w:color w:val="auto"/>
          <w:sz w:val="44"/>
          <w:szCs w:val="44"/>
          <w:highlight w:val="none"/>
        </w:rPr>
      </w:pPr>
      <w:r>
        <w:rPr>
          <w:rFonts w:hint="eastAsia" w:eastAsia="黑体"/>
          <w:color w:val="auto"/>
          <w:sz w:val="44"/>
          <w:szCs w:val="44"/>
          <w:highlight w:val="none"/>
        </w:rPr>
        <w:t>（商务标文件）</w:t>
      </w:r>
    </w:p>
    <w:p w14:paraId="00AD4571">
      <w:pPr>
        <w:rPr>
          <w:rFonts w:eastAsia="黑体"/>
          <w:color w:val="auto"/>
          <w:sz w:val="28"/>
          <w:szCs w:val="28"/>
          <w:highlight w:val="none"/>
        </w:rPr>
      </w:pPr>
    </w:p>
    <w:p w14:paraId="03FF9373">
      <w:pPr>
        <w:rPr>
          <w:rFonts w:eastAsia="黑体"/>
          <w:color w:val="auto"/>
          <w:sz w:val="28"/>
          <w:szCs w:val="28"/>
          <w:highlight w:val="none"/>
        </w:rPr>
      </w:pPr>
    </w:p>
    <w:p w14:paraId="6F4198FD">
      <w:pPr>
        <w:rPr>
          <w:rFonts w:eastAsia="黑体"/>
          <w:color w:val="auto"/>
          <w:sz w:val="28"/>
          <w:szCs w:val="28"/>
          <w:highlight w:val="none"/>
        </w:rPr>
      </w:pPr>
    </w:p>
    <w:p w14:paraId="18D553B1">
      <w:pPr>
        <w:rPr>
          <w:rFonts w:eastAsia="黑体"/>
          <w:color w:val="auto"/>
          <w:sz w:val="28"/>
          <w:szCs w:val="28"/>
          <w:highlight w:val="none"/>
        </w:rPr>
      </w:pPr>
    </w:p>
    <w:p w14:paraId="0E5FE50F">
      <w:pPr>
        <w:rPr>
          <w:rFonts w:eastAsia="黑体"/>
          <w:color w:val="auto"/>
          <w:sz w:val="28"/>
          <w:szCs w:val="28"/>
          <w:highlight w:val="none"/>
        </w:rPr>
      </w:pPr>
    </w:p>
    <w:p w14:paraId="74AFA9E2">
      <w:pPr>
        <w:rPr>
          <w:rFonts w:eastAsia="黑体"/>
          <w:color w:val="auto"/>
          <w:sz w:val="28"/>
          <w:szCs w:val="28"/>
          <w:highlight w:val="none"/>
        </w:rPr>
      </w:pPr>
    </w:p>
    <w:p w14:paraId="078AB10D">
      <w:pPr>
        <w:rPr>
          <w:rFonts w:eastAsia="黑体"/>
          <w:color w:val="auto"/>
          <w:sz w:val="28"/>
          <w:szCs w:val="28"/>
          <w:highlight w:val="none"/>
        </w:rPr>
      </w:pPr>
    </w:p>
    <w:p w14:paraId="5C03182B">
      <w:pPr>
        <w:rPr>
          <w:rFonts w:eastAsia="黑体"/>
          <w:color w:val="auto"/>
          <w:sz w:val="28"/>
          <w:szCs w:val="28"/>
          <w:highlight w:val="none"/>
        </w:rPr>
      </w:pPr>
    </w:p>
    <w:p w14:paraId="50FB798D">
      <w:pPr>
        <w:rPr>
          <w:rFonts w:eastAsia="黑体"/>
          <w:color w:val="auto"/>
          <w:sz w:val="28"/>
          <w:szCs w:val="28"/>
          <w:highlight w:val="none"/>
        </w:rPr>
      </w:pPr>
    </w:p>
    <w:p w14:paraId="0682BFC9">
      <w:pPr>
        <w:rPr>
          <w:rFonts w:eastAsia="黑体"/>
          <w:color w:val="auto"/>
          <w:sz w:val="28"/>
          <w:szCs w:val="28"/>
          <w:highlight w:val="none"/>
        </w:rPr>
      </w:pPr>
    </w:p>
    <w:p w14:paraId="68117E32">
      <w:pPr>
        <w:rPr>
          <w:rFonts w:eastAsia="黑体"/>
          <w:color w:val="auto"/>
          <w:sz w:val="28"/>
          <w:szCs w:val="28"/>
          <w:highlight w:val="none"/>
        </w:rPr>
      </w:pPr>
    </w:p>
    <w:p w14:paraId="038F9E3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4CAB06D8">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50C1BB2">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0EDBB5CC">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39E86E0">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4E33EC57">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179853A0">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cs="Times New Roman"/>
          <w:color w:val="auto"/>
          <w:szCs w:val="21"/>
          <w:highlight w:val="none"/>
          <w:lang w:val="en-US" w:eastAsia="zh-CN"/>
        </w:rPr>
        <w:t>分项报价清单；</w:t>
      </w:r>
    </w:p>
    <w:p w14:paraId="704909D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3</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D358DCD">
      <w:pPr>
        <w:jc w:val="center"/>
        <w:rPr>
          <w:rFonts w:ascii="宋体" w:hAnsi="宋体"/>
          <w:b/>
          <w:color w:val="auto"/>
          <w:sz w:val="32"/>
          <w:szCs w:val="32"/>
          <w:highlight w:val="none"/>
        </w:rPr>
      </w:pPr>
      <w:r>
        <w:rPr>
          <w:rFonts w:hint="eastAsia" w:ascii="宋体" w:hAnsi="宋体"/>
          <w:b/>
          <w:color w:val="auto"/>
          <w:sz w:val="32"/>
          <w:szCs w:val="32"/>
          <w:highlight w:val="none"/>
        </w:rPr>
        <w:t>（1）投 标 函</w:t>
      </w:r>
    </w:p>
    <w:bookmarkEnd w:id="7"/>
    <w:bookmarkEnd w:id="8"/>
    <w:bookmarkEnd w:id="9"/>
    <w:bookmarkEnd w:id="10"/>
    <w:bookmarkEnd w:id="11"/>
    <w:p w14:paraId="793ADD9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lang w:val="en-US"/>
        </w:rPr>
      </w:pPr>
      <w:bookmarkStart w:id="268" w:name="_Toc35425140"/>
      <w:bookmarkStart w:id="269" w:name="_Toc506107366"/>
      <w:bookmarkStart w:id="270" w:name="_Toc15058950"/>
      <w:bookmarkStart w:id="271" w:name="_Toc35424974"/>
      <w:bookmarkStart w:id="272" w:name="_Toc78803402"/>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(招标人)       </w:t>
      </w:r>
      <w:r>
        <w:rPr>
          <w:rFonts w:hint="eastAsia" w:ascii="宋体" w:hAnsi="宋体" w:eastAsia="宋体" w:cs="宋体"/>
          <w:color w:val="auto"/>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2.我方愿意按照招标文件规定的各项要求，向招标人提供本项目的</w:t>
      </w:r>
      <w:r>
        <w:rPr>
          <w:rFonts w:hint="eastAsia" w:ascii="宋体" w:hAnsi="宋体" w:cs="宋体"/>
          <w:color w:val="auto"/>
          <w:kern w:val="0"/>
          <w:sz w:val="24"/>
          <w:szCs w:val="24"/>
          <w:highlight w:val="none"/>
          <w:u w:color="000000"/>
          <w:lang w:val="en-US" w:eastAsia="zh-CN" w:bidi="ar"/>
        </w:rPr>
        <w:t>设计施工一体化</w:t>
      </w:r>
      <w:r>
        <w:rPr>
          <w:rFonts w:hint="eastAsia" w:ascii="宋体" w:hAnsi="宋体" w:eastAsia="宋体" w:cs="宋体"/>
          <w:color w:val="auto"/>
          <w:kern w:val="0"/>
          <w:sz w:val="24"/>
          <w:szCs w:val="24"/>
          <w:highlight w:val="none"/>
          <w:u w:color="000000"/>
          <w:lang w:val="en-US" w:eastAsia="zh-CN" w:bidi="ar"/>
        </w:rPr>
        <w:t>，投标报价为人民币（大写）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元</w:t>
      </w:r>
      <w:r>
        <w:rPr>
          <w:rFonts w:hint="eastAsia" w:ascii="宋体" w:hAnsi="宋体" w:eastAsia="宋体" w:cs="宋体"/>
          <w:color w:val="auto"/>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cs="宋体"/>
          <w:color w:val="auto"/>
          <w:kern w:val="0"/>
          <w:sz w:val="24"/>
          <w:szCs w:val="24"/>
          <w:highlight w:val="none"/>
          <w:u w:val="single" w:color="auto"/>
          <w:lang w:val="en-US" w:eastAsia="zh-CN" w:bidi="ar"/>
        </w:rPr>
        <w:t>6</w:t>
      </w:r>
      <w:r>
        <w:rPr>
          <w:rFonts w:hint="eastAsia" w:ascii="宋体" w:hAnsi="宋体" w:eastAsia="宋体" w:cs="宋体"/>
          <w:color w:val="auto"/>
          <w:kern w:val="0"/>
          <w:sz w:val="24"/>
          <w:szCs w:val="24"/>
          <w:highlight w:val="none"/>
          <w:u w:val="single" w:color="auto"/>
          <w:lang w:val="en-US" w:eastAsia="zh-CN" w:bidi="ar"/>
        </w:rPr>
        <w:t xml:space="preserve">0 </w:t>
      </w:r>
      <w:r>
        <w:rPr>
          <w:rFonts w:hint="eastAsia" w:ascii="宋体" w:hAnsi="宋体" w:eastAsia="宋体" w:cs="宋体"/>
          <w:color w:val="auto"/>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auto"/>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7.我单位提供如下通讯地址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12C4D7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4BDA05C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20EBE8C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4C120B6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4E52222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1189D42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bookmarkEnd w:id="268"/>
    <w:bookmarkEnd w:id="269"/>
    <w:bookmarkEnd w:id="270"/>
    <w:bookmarkEnd w:id="271"/>
    <w:p w14:paraId="1D237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24B2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3EA83AD1">
      <w:pPr>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br w:type="page"/>
      </w:r>
    </w:p>
    <w:p w14:paraId="6E26D2EF">
      <w:pPr>
        <w:jc w:val="center"/>
        <w:rPr>
          <w:rFonts w:hint="eastAsia" w:ascii="宋体" w:hAnsi="宋体" w:eastAsia="宋体" w:cs="Times New Roman"/>
          <w:b/>
          <w:color w:val="auto"/>
          <w:sz w:val="32"/>
          <w:szCs w:val="32"/>
          <w:highlight w:val="none"/>
          <w:lang w:val="en-US" w:eastAsia="zh-CN"/>
        </w:rPr>
      </w:pPr>
      <w:r>
        <w:rPr>
          <w:rFonts w:hint="eastAsia" w:ascii="宋体" w:hAnsi="宋体" w:eastAsia="宋体" w:cs="Times New Roman"/>
          <w:b/>
          <w:color w:val="auto"/>
          <w:sz w:val="32"/>
          <w:szCs w:val="32"/>
          <w:highlight w:val="none"/>
          <w:lang w:val="en-US" w:eastAsia="zh-CN"/>
        </w:rPr>
        <w:t>（2）分项报价清单</w:t>
      </w:r>
    </w:p>
    <w:tbl>
      <w:tblPr>
        <w:tblStyle w:val="48"/>
        <w:tblW w:w="94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769"/>
        <w:gridCol w:w="1575"/>
        <w:gridCol w:w="1395"/>
        <w:gridCol w:w="1143"/>
        <w:gridCol w:w="945"/>
        <w:gridCol w:w="1010"/>
        <w:gridCol w:w="930"/>
      </w:tblGrid>
      <w:tr w14:paraId="4C99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77121C">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（1）施工制作类</w:t>
            </w:r>
          </w:p>
        </w:tc>
      </w:tr>
      <w:tr w14:paraId="4DC1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E36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3DA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8E8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635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33E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6AF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757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989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56B5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F8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E5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具体装饰位置，如站厅全域、进站通道、立柱、候车层等</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C3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具体采用的装饰名称，如艺术载体、装饰长廊、导视解说等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D3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详细描述结构设计、使用材质、材质标准及尺寸、施工工艺、风格细节等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96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该装饰项目的具体尺寸与规格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842B">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F511">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2BF4">
            <w:pPr>
              <w:jc w:val="center"/>
              <w:rPr>
                <w:rFonts w:hint="eastAsia" w:ascii="宋体" w:hAnsi="宋体" w:eastAsia="宋体" w:cs="宋体"/>
                <w:i w:val="0"/>
                <w:iCs w:val="0"/>
                <w:color w:val="auto"/>
                <w:sz w:val="22"/>
                <w:szCs w:val="22"/>
                <w:highlight w:val="none"/>
                <w:u w:val="none"/>
              </w:rPr>
            </w:pPr>
          </w:p>
        </w:tc>
      </w:tr>
      <w:tr w14:paraId="23F0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34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BD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8302">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97C2">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6981">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1943">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32B7">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CEDB">
            <w:pPr>
              <w:jc w:val="center"/>
              <w:rPr>
                <w:rFonts w:hint="eastAsia" w:ascii="宋体" w:hAnsi="宋体" w:eastAsia="宋体" w:cs="宋体"/>
                <w:i w:val="0"/>
                <w:iCs w:val="0"/>
                <w:color w:val="auto"/>
                <w:sz w:val="22"/>
                <w:szCs w:val="22"/>
                <w:highlight w:val="none"/>
                <w:u w:val="none"/>
              </w:rPr>
            </w:pPr>
          </w:p>
        </w:tc>
      </w:tr>
      <w:tr w14:paraId="1E8E2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4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8A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5D5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1C0C">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502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3A89">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5B0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EF0E">
            <w:pPr>
              <w:jc w:val="center"/>
              <w:rPr>
                <w:rFonts w:hint="eastAsia" w:ascii="宋体" w:hAnsi="宋体" w:eastAsia="宋体" w:cs="宋体"/>
                <w:i w:val="0"/>
                <w:iCs w:val="0"/>
                <w:color w:val="auto"/>
                <w:sz w:val="22"/>
                <w:szCs w:val="22"/>
                <w:highlight w:val="none"/>
                <w:u w:val="none"/>
              </w:rPr>
            </w:pPr>
          </w:p>
        </w:tc>
      </w:tr>
      <w:tr w14:paraId="6547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81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7C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413C">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4100">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ACD7">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BB11">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C655">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B2C3">
            <w:pPr>
              <w:jc w:val="center"/>
              <w:rPr>
                <w:rFonts w:hint="eastAsia" w:ascii="宋体" w:hAnsi="宋体" w:eastAsia="宋体" w:cs="宋体"/>
                <w:i w:val="0"/>
                <w:iCs w:val="0"/>
                <w:color w:val="auto"/>
                <w:sz w:val="22"/>
                <w:szCs w:val="22"/>
                <w:highlight w:val="none"/>
                <w:u w:val="none"/>
              </w:rPr>
            </w:pPr>
          </w:p>
        </w:tc>
      </w:tr>
      <w:tr w14:paraId="7EA3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nil"/>
            </w:tcBorders>
            <w:shd w:val="clear" w:color="auto" w:fill="auto"/>
            <w:vAlign w:val="center"/>
          </w:tcPr>
          <w:p w14:paraId="153506FD">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（2）电力照明类</w:t>
            </w:r>
          </w:p>
        </w:tc>
      </w:tr>
      <w:tr w14:paraId="5E99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865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C62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9FE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C57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03E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C93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9F0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B16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4A30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0C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0A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电力设备使用区域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B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具体设备名称（如基础氛围照明、重点造型补光、控制系统、配电箱等）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54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包括设备款式、具体参数、点位布局、光影效果等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83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该设备的具体尺寸与规格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42E2">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7AA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1B05">
            <w:pPr>
              <w:jc w:val="center"/>
              <w:rPr>
                <w:rFonts w:hint="eastAsia" w:ascii="宋体" w:hAnsi="宋体" w:eastAsia="宋体" w:cs="宋体"/>
                <w:i w:val="0"/>
                <w:iCs w:val="0"/>
                <w:color w:val="auto"/>
                <w:sz w:val="22"/>
                <w:szCs w:val="22"/>
                <w:highlight w:val="none"/>
                <w:u w:val="none"/>
              </w:rPr>
            </w:pPr>
          </w:p>
        </w:tc>
      </w:tr>
      <w:tr w14:paraId="2758C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F7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BC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90B5">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AF5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158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1EE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714A">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7C24">
            <w:pPr>
              <w:jc w:val="center"/>
              <w:rPr>
                <w:rFonts w:hint="eastAsia" w:ascii="宋体" w:hAnsi="宋体" w:eastAsia="宋体" w:cs="宋体"/>
                <w:i w:val="0"/>
                <w:iCs w:val="0"/>
                <w:color w:val="auto"/>
                <w:sz w:val="22"/>
                <w:szCs w:val="22"/>
                <w:highlight w:val="none"/>
                <w:u w:val="none"/>
              </w:rPr>
            </w:pPr>
          </w:p>
        </w:tc>
      </w:tr>
      <w:tr w14:paraId="10D4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9C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60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51DF">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4378">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3FD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7A3D">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20B3">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0BC7">
            <w:pPr>
              <w:jc w:val="center"/>
              <w:rPr>
                <w:rFonts w:hint="eastAsia" w:ascii="宋体" w:hAnsi="宋体" w:eastAsia="宋体" w:cs="宋体"/>
                <w:i w:val="0"/>
                <w:iCs w:val="0"/>
                <w:color w:val="auto"/>
                <w:sz w:val="22"/>
                <w:szCs w:val="22"/>
                <w:highlight w:val="none"/>
                <w:u w:val="none"/>
              </w:rPr>
            </w:pPr>
          </w:p>
        </w:tc>
      </w:tr>
      <w:tr w14:paraId="2E859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1D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17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99A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52F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4779">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E33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0B2E">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172">
            <w:pPr>
              <w:jc w:val="center"/>
              <w:rPr>
                <w:rFonts w:hint="eastAsia" w:ascii="宋体" w:hAnsi="宋体" w:eastAsia="宋体" w:cs="宋体"/>
                <w:i w:val="0"/>
                <w:iCs w:val="0"/>
                <w:color w:val="auto"/>
                <w:sz w:val="22"/>
                <w:szCs w:val="22"/>
                <w:highlight w:val="none"/>
                <w:u w:val="none"/>
              </w:rPr>
            </w:pPr>
          </w:p>
        </w:tc>
      </w:tr>
      <w:tr w14:paraId="2D2C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8160F9">
            <w:pPr>
              <w:keepNext w:val="0"/>
              <w:keepLines w:val="0"/>
              <w:widowControl/>
              <w:suppressLineNumbers w:val="0"/>
              <w:jc w:val="left"/>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总计（元）：</w:t>
            </w:r>
          </w:p>
        </w:tc>
      </w:tr>
    </w:tbl>
    <w:p w14:paraId="6B85566B">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注：1.投标报价清单须包含采购需求的全部内容，投标人可在满足采购需求的基础上进行优化。投标人根据其设计方案和施工方案自行列项、算量、组价，清单项目须完整覆盖采购需求载明的所有内容，漏项、少算工程量、报价等所有风险由投标人自行承担，中标后不再调整合同总价。</w:t>
      </w:r>
    </w:p>
    <w:p w14:paraId="20016B2E">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2.投标报价包含完成本次招标范围内的设计、施工等所需的全部人员费用（如人员工资、保险、加班、差旅等一切费用）、设备费用、材料费用、机械费、报告编制费、专家评审费、招标代理费、会务费、管理费、利润、国家对征收的各种税费及完成本项目服务所需的所有的费用，招标人不再另行支付。</w:t>
      </w:r>
    </w:p>
    <w:p w14:paraId="406D2FF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2EC1D7B9">
      <w:pPr>
        <w:jc w:val="both"/>
        <w:rPr>
          <w:rFonts w:hint="default" w:ascii="宋体" w:hAnsi="宋体" w:eastAsia="宋体" w:cs="Times New Roman"/>
          <w:b/>
          <w:color w:val="auto"/>
          <w:sz w:val="32"/>
          <w:szCs w:val="32"/>
          <w:highlight w:val="none"/>
          <w:lang w:val="en-US" w:eastAsia="zh-CN"/>
        </w:rPr>
      </w:pPr>
    </w:p>
    <w:p w14:paraId="7A0F128F">
      <w:pPr>
        <w:numPr>
          <w:ilvl w:val="0"/>
          <w:numId w:val="0"/>
        </w:numPr>
        <w:jc w:val="both"/>
        <w:rPr>
          <w:rFonts w:hint="eastAsia" w:ascii="宋体" w:hAnsi="宋体" w:eastAsia="宋体" w:cs="Times New Roman"/>
          <w:b/>
          <w:color w:val="auto"/>
          <w:sz w:val="32"/>
          <w:szCs w:val="32"/>
          <w:highlight w:val="none"/>
          <w:lang w:val="en-US" w:eastAsia="zh-CN"/>
        </w:rPr>
      </w:pPr>
    </w:p>
    <w:p w14:paraId="6CB850B0">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5067EBF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3F3593B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0C607E65">
      <w:pPr>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p>
    <w:p w14:paraId="172B3F58">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八</w:t>
      </w:r>
      <w:r>
        <w:rPr>
          <w:rFonts w:hint="eastAsia"/>
          <w:bCs/>
          <w:color w:val="auto"/>
          <w:szCs w:val="32"/>
          <w:highlight w:val="none"/>
        </w:rPr>
        <w:t>章  招标单位、招标代理机构对本招标文件的确认</w:t>
      </w:r>
      <w:bookmarkEnd w:id="272"/>
    </w:p>
    <w:p w14:paraId="7D391125">
      <w:pPr>
        <w:pStyle w:val="20"/>
        <w:rPr>
          <w:color w:val="auto"/>
          <w:highlight w:val="none"/>
        </w:rPr>
      </w:pPr>
    </w:p>
    <w:tbl>
      <w:tblPr>
        <w:tblStyle w:val="48"/>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color w:val="auto"/>
                <w:sz w:val="30"/>
                <w:highlight w:val="none"/>
              </w:rPr>
            </w:pPr>
          </w:p>
          <w:p w14:paraId="3CB446EA">
            <w:pPr>
              <w:wordWrap w:val="0"/>
              <w:spacing w:line="560" w:lineRule="exact"/>
              <w:ind w:firstLine="560" w:firstLineChars="200"/>
              <w:rPr>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滁州至南京城际铁路（滁州段）多站点廉洁主题设计施工一体化项目</w:t>
            </w:r>
            <w:r>
              <w:rPr>
                <w:rFonts w:hint="eastAsia"/>
                <w:color w:val="auto"/>
                <w:sz w:val="28"/>
                <w:szCs w:val="28"/>
                <w:highlight w:val="none"/>
                <w:u w:val="single"/>
              </w:rPr>
              <w:t xml:space="preserve"> </w:t>
            </w:r>
            <w:r>
              <w:rPr>
                <w:rFonts w:hint="eastAsia"/>
                <w:color w:val="auto"/>
                <w:sz w:val="28"/>
                <w:szCs w:val="28"/>
                <w:highlight w:val="none"/>
              </w:rPr>
              <w:t>的招标文件进行确认。</w:t>
            </w:r>
          </w:p>
          <w:p w14:paraId="7EF3D570">
            <w:pPr>
              <w:widowControl/>
              <w:spacing w:line="72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招标人：</w:t>
            </w:r>
            <w:r>
              <w:rPr>
                <w:rFonts w:hint="eastAsia" w:ascii="宋体" w:hAnsi="宋体" w:eastAsia="宋体" w:cs="宋体"/>
                <w:color w:val="auto"/>
                <w:sz w:val="28"/>
                <w:szCs w:val="28"/>
                <w:highlight w:val="none"/>
                <w:u w:color="000000"/>
                <w:lang w:eastAsia="zh-CN" w:bidi="ar"/>
              </w:rPr>
              <w:t>滁州市滁宁城际铁路开发建设有限公司</w:t>
            </w:r>
            <w:r>
              <w:rPr>
                <w:rFonts w:hint="eastAsia" w:ascii="宋体" w:hAnsi="宋体" w:eastAsia="宋体" w:cs="宋体"/>
                <w:color w:val="auto"/>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eastAsia="宋体" w:cs="宋体"/>
                <w:color w:val="auto"/>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联系电话：</w:t>
            </w:r>
            <w:r>
              <w:rPr>
                <w:rFonts w:hint="eastAsia" w:ascii="宋体" w:hAnsi="宋体" w:eastAsia="宋体" w:cs="宋体"/>
                <w:color w:val="auto"/>
                <w:sz w:val="28"/>
                <w:szCs w:val="28"/>
                <w:highlight w:val="none"/>
                <w:u w:color="000000"/>
                <w:lang w:eastAsia="zh-CN" w:bidi="ar"/>
              </w:rPr>
              <w:t>13339207910</w:t>
            </w:r>
          </w:p>
          <w:p w14:paraId="01C406FE">
            <w:pPr>
              <w:wordWrap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color w:val="auto"/>
                <w:sz w:val="28"/>
                <w:szCs w:val="28"/>
                <w:highlight w:val="none"/>
              </w:rPr>
            </w:pPr>
          </w:p>
          <w:p w14:paraId="3879E6FD">
            <w:pPr>
              <w:wordWrap w:val="0"/>
              <w:spacing w:line="560" w:lineRule="exact"/>
              <w:ind w:firstLine="560" w:firstLineChars="200"/>
              <w:rPr>
                <w:rFonts w:ascii="宋体" w:hAnsi="宋体"/>
                <w:color w:val="auto"/>
                <w:sz w:val="28"/>
                <w:szCs w:val="28"/>
                <w:highlight w:val="none"/>
              </w:rPr>
            </w:pPr>
          </w:p>
          <w:p w14:paraId="6BD2A618">
            <w:pPr>
              <w:wordWrap w:val="0"/>
              <w:spacing w:line="560" w:lineRule="exact"/>
              <w:ind w:firstLine="5740" w:firstLineChars="2050"/>
              <w:rPr>
                <w:rFonts w:ascii="宋体" w:hAnsi="宋体"/>
                <w:color w:val="auto"/>
                <w:sz w:val="28"/>
                <w:szCs w:val="28"/>
                <w:highlight w:val="none"/>
              </w:rPr>
            </w:pPr>
            <w:r>
              <w:rPr>
                <w:rFonts w:hint="eastAsia" w:ascii="宋体" w:hAnsi="宋体"/>
                <w:color w:val="auto"/>
                <w:sz w:val="28"/>
                <w:szCs w:val="28"/>
                <w:highlight w:val="none"/>
              </w:rPr>
              <w:t>（单位盖章）</w:t>
            </w:r>
          </w:p>
          <w:p w14:paraId="0DB51C41">
            <w:pPr>
              <w:spacing w:line="560" w:lineRule="exact"/>
              <w:ind w:firstLine="5880" w:firstLineChars="210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72A7FF77">
            <w:pPr>
              <w:pStyle w:val="14"/>
              <w:ind w:firstLine="420"/>
              <w:rPr>
                <w:color w:val="auto"/>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color w:val="auto"/>
                <w:sz w:val="28"/>
                <w:szCs w:val="28"/>
                <w:highlight w:val="none"/>
              </w:rPr>
            </w:pPr>
          </w:p>
          <w:p w14:paraId="297A006E">
            <w:pPr>
              <w:spacing w:line="560" w:lineRule="exact"/>
              <w:ind w:firstLine="560" w:firstLineChars="200"/>
              <w:rPr>
                <w:rFonts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color w:val="auto"/>
                <w:sz w:val="28"/>
                <w:szCs w:val="28"/>
                <w:highlight w:val="none"/>
                <w:u w:val="single"/>
                <w:lang w:val="en-US" w:eastAsia="zh-CN"/>
              </w:rPr>
            </w:pPr>
            <w:r>
              <w:rPr>
                <w:rFonts w:hint="eastAsia" w:ascii="宋体" w:hAnsi="宋体" w:cs="宋体"/>
                <w:color w:val="auto"/>
                <w:sz w:val="28"/>
                <w:szCs w:val="28"/>
                <w:highlight w:val="none"/>
              </w:rPr>
              <w:t>联 系 人：</w:t>
            </w:r>
            <w:r>
              <w:rPr>
                <w:rFonts w:hint="eastAsia" w:ascii="宋体" w:hAnsi="宋体" w:cs="宋体"/>
                <w:color w:val="auto"/>
                <w:sz w:val="28"/>
                <w:szCs w:val="28"/>
                <w:highlight w:val="none"/>
                <w:lang w:val="en-US" w:eastAsia="zh-CN"/>
              </w:rPr>
              <w:t>周蓓蕾</w:t>
            </w:r>
          </w:p>
          <w:p w14:paraId="47E8E678">
            <w:pPr>
              <w:spacing w:line="56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联系电话：0550-351951</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18005505728</w:t>
            </w:r>
          </w:p>
          <w:p w14:paraId="60018F68">
            <w:pPr>
              <w:spacing w:line="560" w:lineRule="exact"/>
              <w:ind w:firstLine="5040" w:firstLineChars="1800"/>
              <w:rPr>
                <w:rFonts w:ascii="宋体" w:hAnsi="宋体" w:cs="宋体"/>
                <w:color w:val="auto"/>
                <w:sz w:val="28"/>
                <w:szCs w:val="28"/>
                <w:highlight w:val="none"/>
              </w:rPr>
            </w:pPr>
          </w:p>
          <w:p w14:paraId="0781C8CF">
            <w:pPr>
              <w:spacing w:line="560" w:lineRule="exact"/>
              <w:ind w:firstLine="5460" w:firstLineChars="1950"/>
              <w:rPr>
                <w:rFonts w:ascii="宋体" w:hAnsi="宋体" w:cs="宋体"/>
                <w:color w:val="auto"/>
                <w:sz w:val="28"/>
                <w:szCs w:val="28"/>
                <w:highlight w:val="none"/>
              </w:rPr>
            </w:pPr>
          </w:p>
          <w:p w14:paraId="0A1FE158">
            <w:pPr>
              <w:spacing w:line="560" w:lineRule="exact"/>
              <w:ind w:firstLine="5880" w:firstLineChars="2100"/>
              <w:rPr>
                <w:rFonts w:ascii="宋体" w:hAnsi="宋体" w:cs="宋体"/>
                <w:color w:val="auto"/>
                <w:sz w:val="28"/>
                <w:szCs w:val="28"/>
                <w:highlight w:val="none"/>
              </w:rPr>
            </w:pPr>
            <w:r>
              <w:rPr>
                <w:rFonts w:hint="eastAsia" w:ascii="宋体" w:hAnsi="宋体" w:cs="宋体"/>
                <w:color w:val="auto"/>
                <w:sz w:val="28"/>
                <w:szCs w:val="28"/>
                <w:highlight w:val="none"/>
              </w:rPr>
              <w:t>（单位盖章）</w:t>
            </w:r>
          </w:p>
          <w:p w14:paraId="144B0D1C">
            <w:pPr>
              <w:spacing w:line="560" w:lineRule="exact"/>
              <w:ind w:firstLine="6020" w:firstLineChars="215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4EDF8AEB">
            <w:pPr>
              <w:pStyle w:val="14"/>
              <w:ind w:firstLine="420"/>
              <w:rPr>
                <w:color w:val="auto"/>
                <w:highlight w:val="none"/>
              </w:rPr>
            </w:pPr>
          </w:p>
        </w:tc>
      </w:tr>
    </w:tbl>
    <w:p w14:paraId="2D7DD9E9">
      <w:pPr>
        <w:rPr>
          <w:color w:val="auto"/>
          <w:highlight w:val="none"/>
        </w:rPr>
      </w:pPr>
    </w:p>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0"/>
      <w:rPr>
        <w:rStyle w:val="52"/>
      </w:rPr>
    </w:pPr>
  </w:p>
  <w:p w14:paraId="534359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0"/>
      <w:rPr>
        <w:rStyle w:val="52"/>
      </w:rPr>
    </w:pPr>
  </w:p>
  <w:p w14:paraId="78B0040E">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0"/>
      <w:rPr>
        <w:rStyle w:val="5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55867"/>
    <w:multiLevelType w:val="singleLevel"/>
    <w:tmpl w:val="E4B55867"/>
    <w:lvl w:ilvl="0" w:tentative="0">
      <w:start w:val="1"/>
      <w:numFmt w:val="decimal"/>
      <w:suff w:val="nothing"/>
      <w:lvlText w:val="（%1）"/>
      <w:lvlJc w:val="left"/>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abstractNum w:abstractNumId="3">
    <w:nsid w:val="559F3C87"/>
    <w:multiLevelType w:val="multilevel"/>
    <w:tmpl w:val="559F3C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68D63744"/>
    <w:multiLevelType w:val="multilevel"/>
    <w:tmpl w:val="68D6374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748A5F3D"/>
    <w:multiLevelType w:val="multilevel"/>
    <w:tmpl w:val="748A5F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8977C6"/>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5610AB"/>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6463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1E388D"/>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52875"/>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C254C"/>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AA67E0"/>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4F0FED"/>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36AD7"/>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4A44F2"/>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82358"/>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02C6A"/>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1"/>
    <w:qFormat/>
    <w:uiPriority w:val="0"/>
    <w:pPr>
      <w:keepNext/>
      <w:keepLines/>
      <w:spacing w:line="440" w:lineRule="exact"/>
      <w:jc w:val="center"/>
      <w:outlineLvl w:val="0"/>
    </w:pPr>
    <w:rPr>
      <w:b/>
      <w:bCs/>
      <w:kern w:val="44"/>
      <w:sz w:val="44"/>
      <w:szCs w:val="44"/>
    </w:rPr>
  </w:style>
  <w:style w:type="paragraph" w:styleId="3">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4"/>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30"/>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6"/>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customStyle="1" w:styleId="16">
    <w:name w:val="正文文字 8"/>
    <w:basedOn w:val="1"/>
    <w:next w:val="1"/>
    <w:qFormat/>
    <w:uiPriority w:val="0"/>
    <w:pPr>
      <w:ind w:left="240"/>
    </w:pPr>
    <w:rPr>
      <w:sz w:val="16"/>
    </w:rPr>
  </w:style>
  <w:style w:type="paragraph" w:styleId="17">
    <w:name w:val="Document Map"/>
    <w:basedOn w:val="1"/>
    <w:qFormat/>
    <w:uiPriority w:val="0"/>
    <w:pPr>
      <w:shd w:val="clear" w:color="auto" w:fill="000080"/>
    </w:pPr>
  </w:style>
  <w:style w:type="paragraph" w:styleId="18">
    <w:name w:val="annotation text"/>
    <w:basedOn w:val="1"/>
    <w:link w:val="113"/>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next w:val="21"/>
    <w:link w:val="143"/>
    <w:qFormat/>
    <w:uiPriority w:val="0"/>
  </w:style>
  <w:style w:type="paragraph" w:customStyle="1" w:styleId="2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jc w:val="left"/>
    </w:pPr>
    <w:rPr>
      <w:b/>
      <w:bCs/>
      <w:caps/>
      <w:sz w:val="20"/>
      <w:szCs w:val="20"/>
    </w:rPr>
  </w:style>
  <w:style w:type="paragraph" w:styleId="34">
    <w:name w:val="toc 4"/>
    <w:basedOn w:val="1"/>
    <w:next w:val="1"/>
    <w:qFormat/>
    <w:uiPriority w:val="39"/>
    <w:pPr>
      <w:ind w:left="630"/>
      <w:jc w:val="left"/>
    </w:pPr>
    <w:rPr>
      <w:sz w:val="18"/>
      <w:szCs w:val="18"/>
    </w:rPr>
  </w:style>
  <w:style w:type="paragraph" w:styleId="35">
    <w:name w:val="List"/>
    <w:basedOn w:val="1"/>
    <w:qFormat/>
    <w:uiPriority w:val="0"/>
    <w:pPr>
      <w:ind w:left="420" w:hanging="420"/>
    </w:pPr>
  </w:style>
  <w:style w:type="paragraph" w:styleId="36">
    <w:name w:val="footnote text"/>
    <w:basedOn w:val="1"/>
    <w:qFormat/>
    <w:uiPriority w:val="0"/>
    <w:rPr>
      <w:sz w:val="20"/>
      <w:szCs w:val="20"/>
    </w:rPr>
  </w:style>
  <w:style w:type="paragraph" w:styleId="37">
    <w:name w:val="toc 6"/>
    <w:basedOn w:val="1"/>
    <w:next w:val="1"/>
    <w:qFormat/>
    <w:uiPriority w:val="39"/>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39"/>
    <w:pPr>
      <w:ind w:left="210"/>
      <w:jc w:val="left"/>
    </w:pPr>
    <w:rPr>
      <w:smallCaps/>
      <w:sz w:val="20"/>
      <w:szCs w:val="20"/>
    </w:rPr>
  </w:style>
  <w:style w:type="paragraph" w:styleId="41">
    <w:name w:val="toc 9"/>
    <w:basedOn w:val="1"/>
    <w:next w:val="1"/>
    <w:qFormat/>
    <w:uiPriority w:val="39"/>
    <w:pPr>
      <w:ind w:left="1680"/>
      <w:jc w:val="left"/>
    </w:pPr>
    <w:rPr>
      <w:sz w:val="18"/>
      <w:szCs w:val="18"/>
    </w:rPr>
  </w:style>
  <w:style w:type="paragraph" w:styleId="42">
    <w:name w:val="Body Text 2"/>
    <w:basedOn w:val="1"/>
    <w:qFormat/>
    <w:uiPriority w:val="0"/>
    <w:pPr>
      <w:spacing w:line="440" w:lineRule="exact"/>
    </w:pPr>
    <w:rPr>
      <w:sz w:val="28"/>
    </w:rPr>
  </w:style>
  <w:style w:type="paragraph" w:styleId="43">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99"/>
    <w:pPr>
      <w:widowControl/>
      <w:spacing w:beforeAutospacing="1" w:afterAutospacing="1"/>
      <w:jc w:val="left"/>
    </w:pPr>
    <w:rPr>
      <w:rFonts w:ascii="宋体" w:hAnsi="宋体" w:cs="宋体"/>
      <w:kern w:val="0"/>
      <w:sz w:val="24"/>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paragraph" w:styleId="47">
    <w:name w:val="Body Text First Indent"/>
    <w:basedOn w:val="20"/>
    <w:qFormat/>
    <w:uiPriority w:val="0"/>
    <w:pPr>
      <w:ind w:firstLine="420" w:firstLineChars="1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333333"/>
      <w:u w:val="none"/>
    </w:rPr>
  </w:style>
  <w:style w:type="character" w:styleId="54">
    <w:name w:val="Emphasis"/>
    <w:qFormat/>
    <w:uiPriority w:val="0"/>
    <w:rPr>
      <w:color w:val="CC0033"/>
    </w:rPr>
  </w:style>
  <w:style w:type="character" w:styleId="55">
    <w:name w:val="HTML Definition"/>
    <w:qFormat/>
    <w:uiPriority w:val="0"/>
  </w:style>
  <w:style w:type="character" w:styleId="56">
    <w:name w:val="HTML Typewriter"/>
    <w:qFormat/>
    <w:uiPriority w:val="0"/>
    <w:rPr>
      <w:rFonts w:hint="default" w:ascii="monospace" w:hAnsi="monospace" w:eastAsia="monospace" w:cs="monospace"/>
      <w:sz w:val="20"/>
    </w:rPr>
  </w:style>
  <w:style w:type="character" w:styleId="57">
    <w:name w:val="HTML Acronym"/>
    <w:basedOn w:val="50"/>
    <w:qFormat/>
    <w:uiPriority w:val="0"/>
  </w:style>
  <w:style w:type="character" w:styleId="58">
    <w:name w:val="HTML Variable"/>
    <w:qFormat/>
    <w:uiPriority w:val="0"/>
  </w:style>
  <w:style w:type="character" w:styleId="59">
    <w:name w:val="Hyperlink"/>
    <w:basedOn w:val="50"/>
    <w:qFormat/>
    <w:uiPriority w:val="99"/>
    <w:rPr>
      <w:color w:val="333333"/>
      <w:u w:val="none"/>
    </w:rPr>
  </w:style>
  <w:style w:type="character" w:styleId="60">
    <w:name w:val="HTML Code"/>
    <w:qFormat/>
    <w:uiPriority w:val="0"/>
    <w:rPr>
      <w:rFonts w:hint="default" w:ascii="monospace" w:hAnsi="monospace" w:eastAsia="monospace" w:cs="monospace"/>
      <w:sz w:val="20"/>
    </w:rPr>
  </w:style>
  <w:style w:type="character" w:styleId="61">
    <w:name w:val="annotation reference"/>
    <w:qFormat/>
    <w:uiPriority w:val="0"/>
    <w:rPr>
      <w:sz w:val="21"/>
      <w:szCs w:val="21"/>
    </w:rPr>
  </w:style>
  <w:style w:type="character" w:styleId="62">
    <w:name w:val="HTML Cite"/>
    <w:qFormat/>
    <w:uiPriority w:val="0"/>
  </w:style>
  <w:style w:type="character" w:styleId="63">
    <w:name w:val="footnote reference"/>
    <w:qFormat/>
    <w:uiPriority w:val="0"/>
    <w:rPr>
      <w:vertAlign w:val="superscript"/>
    </w:rPr>
  </w:style>
  <w:style w:type="character" w:styleId="64">
    <w:name w:val="HTML Keyboard"/>
    <w:qFormat/>
    <w:uiPriority w:val="0"/>
    <w:rPr>
      <w:rFonts w:ascii="monospace" w:hAnsi="monospace" w:eastAsia="monospace" w:cs="monospace"/>
      <w:sz w:val="20"/>
    </w:rPr>
  </w:style>
  <w:style w:type="character" w:styleId="65">
    <w:name w:val="HTML Sample"/>
    <w:qFormat/>
    <w:uiPriority w:val="0"/>
    <w:rPr>
      <w:rFonts w:hint="default" w:ascii="monospace" w:hAnsi="monospace" w:eastAsia="monospace" w:cs="monospace"/>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4"/>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2"/>
    <w:qFormat/>
    <w:uiPriority w:val="0"/>
    <w:pPr>
      <w:jc w:val="left"/>
    </w:pPr>
    <w:rPr>
      <w:rFonts w:ascii="黑体" w:hAnsi="黑体" w:eastAsia="黑体"/>
      <w:sz w:val="21"/>
    </w:rPr>
  </w:style>
  <w:style w:type="paragraph" w:customStyle="1" w:styleId="78">
    <w:name w:val="样式4"/>
    <w:basedOn w:val="4"/>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3">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4"/>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4"/>
    <w:qFormat/>
    <w:uiPriority w:val="0"/>
    <w:rPr>
      <w:rFonts w:eastAsia="Arial"/>
    </w:rPr>
  </w:style>
  <w:style w:type="paragraph" w:customStyle="1" w:styleId="96">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50"/>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50"/>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50"/>
    <w:qFormat/>
    <w:uiPriority w:val="0"/>
  </w:style>
  <w:style w:type="character" w:customStyle="1" w:styleId="111">
    <w:name w:val="img4"/>
    <w:basedOn w:val="50"/>
    <w:qFormat/>
    <w:uiPriority w:val="0"/>
  </w:style>
  <w:style w:type="character" w:customStyle="1" w:styleId="112">
    <w:name w:val="tit11"/>
    <w:qFormat/>
    <w:uiPriority w:val="0"/>
    <w:rPr>
      <w:color w:val="B60000"/>
    </w:rPr>
  </w:style>
  <w:style w:type="character" w:customStyle="1" w:styleId="113">
    <w:name w:val="批注文字 Char"/>
    <w:link w:val="18"/>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3"/>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50"/>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2"/>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50"/>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6"/>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50"/>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50"/>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50"/>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50"/>
    <w:qFormat/>
    <w:uiPriority w:val="0"/>
  </w:style>
  <w:style w:type="character" w:customStyle="1" w:styleId="141">
    <w:name w:val="job1"/>
    <w:basedOn w:val="50"/>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0"/>
    <w:qFormat/>
    <w:uiPriority w:val="0"/>
    <w:rPr>
      <w:rFonts w:eastAsia="宋体"/>
      <w:kern w:val="2"/>
      <w:sz w:val="21"/>
      <w:szCs w:val="24"/>
      <w:lang w:val="en-US" w:eastAsia="zh-CN" w:bidi="ar-SA"/>
    </w:rPr>
  </w:style>
  <w:style w:type="character" w:customStyle="1" w:styleId="144">
    <w:name w:val="p05"/>
    <w:basedOn w:val="50"/>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50"/>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50"/>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50"/>
    <w:qFormat/>
    <w:uiPriority w:val="0"/>
  </w:style>
  <w:style w:type="character" w:customStyle="1" w:styleId="152">
    <w:name w:val="msg-box30"/>
    <w:basedOn w:val="50"/>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4"/>
    <w:qFormat/>
    <w:uiPriority w:val="0"/>
    <w:rPr>
      <w:b/>
      <w:bCs/>
      <w:sz w:val="32"/>
      <w:szCs w:val="32"/>
    </w:rPr>
  </w:style>
  <w:style w:type="character" w:customStyle="1" w:styleId="155">
    <w:name w:val="c1"/>
    <w:basedOn w:val="50"/>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50"/>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50"/>
    <w:qFormat/>
    <w:uiPriority w:val="0"/>
  </w:style>
  <w:style w:type="character" w:customStyle="1" w:styleId="171">
    <w:name w:val="mesg-myd"/>
    <w:qFormat/>
    <w:uiPriority w:val="0"/>
    <w:rPr>
      <w:color w:val="EE0000"/>
    </w:rPr>
  </w:style>
  <w:style w:type="character" w:customStyle="1" w:styleId="172">
    <w:name w:val="c2"/>
    <w:basedOn w:val="50"/>
    <w:qFormat/>
    <w:uiPriority w:val="0"/>
  </w:style>
  <w:style w:type="character" w:customStyle="1" w:styleId="173">
    <w:name w:val="c3"/>
    <w:basedOn w:val="50"/>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50"/>
    <w:qFormat/>
    <w:uiPriority w:val="0"/>
  </w:style>
  <w:style w:type="character" w:customStyle="1" w:styleId="180">
    <w:name w:val="starting4"/>
    <w:basedOn w:val="50"/>
    <w:qFormat/>
    <w:uiPriority w:val="0"/>
  </w:style>
  <w:style w:type="character" w:customStyle="1" w:styleId="181">
    <w:name w:val="bsharetext"/>
    <w:basedOn w:val="50"/>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50"/>
    <w:qFormat/>
    <w:uiPriority w:val="0"/>
  </w:style>
  <w:style w:type="character" w:customStyle="1" w:styleId="189">
    <w:name w:val="buvis1"/>
    <w:qFormat/>
    <w:uiPriority w:val="0"/>
    <w:rPr>
      <w:color w:val="CC0000"/>
    </w:rPr>
  </w:style>
  <w:style w:type="character" w:customStyle="1" w:styleId="190">
    <w:name w:val="starting3"/>
    <w:basedOn w:val="50"/>
    <w:qFormat/>
    <w:uiPriority w:val="0"/>
  </w:style>
  <w:style w:type="character" w:customStyle="1" w:styleId="191">
    <w:name w:val="textcontents"/>
    <w:basedOn w:val="50"/>
    <w:qFormat/>
    <w:uiPriority w:val="0"/>
  </w:style>
  <w:style w:type="character" w:customStyle="1" w:styleId="192">
    <w:name w:val="num41"/>
    <w:basedOn w:val="50"/>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3"/>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50"/>
    <w:qFormat/>
    <w:uiPriority w:val="0"/>
    <w:rPr>
      <w:rFonts w:hint="eastAsia" w:ascii="仿宋" w:hAnsi="仿宋" w:eastAsia="仿宋" w:cs="仿宋"/>
      <w:b/>
      <w:color w:val="000000"/>
      <w:sz w:val="32"/>
      <w:szCs w:val="32"/>
      <w:u w:val="none"/>
    </w:rPr>
  </w:style>
  <w:style w:type="character" w:customStyle="1" w:styleId="201">
    <w:name w:val="font101"/>
    <w:basedOn w:val="50"/>
    <w:qFormat/>
    <w:uiPriority w:val="0"/>
    <w:rPr>
      <w:rFonts w:hint="default" w:ascii="Times New Roman" w:hAnsi="Times New Roman" w:cs="Times New Roman"/>
      <w:color w:val="000000"/>
      <w:sz w:val="24"/>
      <w:szCs w:val="24"/>
      <w:u w:val="none"/>
    </w:rPr>
  </w:style>
  <w:style w:type="character" w:customStyle="1" w:styleId="202">
    <w:name w:val="font111"/>
    <w:basedOn w:val="50"/>
    <w:qFormat/>
    <w:uiPriority w:val="0"/>
    <w:rPr>
      <w:rFonts w:ascii="仿宋_GB2312" w:eastAsia="仿宋_GB2312" w:cs="仿宋_GB2312"/>
      <w:color w:val="000000"/>
      <w:sz w:val="24"/>
      <w:szCs w:val="24"/>
      <w:u w:val="none"/>
    </w:rPr>
  </w:style>
  <w:style w:type="character" w:customStyle="1" w:styleId="203">
    <w:name w:val="font91"/>
    <w:basedOn w:val="50"/>
    <w:qFormat/>
    <w:uiPriority w:val="0"/>
    <w:rPr>
      <w:rFonts w:hint="eastAsia" w:ascii="仿宋" w:hAnsi="仿宋" w:eastAsia="仿宋" w:cs="仿宋"/>
      <w:color w:val="000000"/>
      <w:sz w:val="24"/>
      <w:szCs w:val="24"/>
      <w:u w:val="single"/>
    </w:rPr>
  </w:style>
  <w:style w:type="character" w:customStyle="1" w:styleId="204">
    <w:name w:val="font81"/>
    <w:basedOn w:val="50"/>
    <w:qFormat/>
    <w:uiPriority w:val="0"/>
    <w:rPr>
      <w:rFonts w:hint="default" w:ascii="Times New Roman" w:hAnsi="Times New Roman" w:cs="Times New Roman"/>
      <w:color w:val="000000"/>
      <w:sz w:val="24"/>
      <w:szCs w:val="24"/>
      <w:u w:val="none"/>
    </w:rPr>
  </w:style>
  <w:style w:type="character" w:customStyle="1" w:styleId="205">
    <w:name w:val="font61"/>
    <w:basedOn w:val="50"/>
    <w:qFormat/>
    <w:uiPriority w:val="0"/>
    <w:rPr>
      <w:rFonts w:hint="eastAsia" w:ascii="仿宋_GB2312" w:eastAsia="仿宋_GB2312" w:cs="仿宋_GB2312"/>
      <w:color w:val="000000"/>
      <w:sz w:val="24"/>
      <w:szCs w:val="24"/>
      <w:u w:val="none"/>
    </w:rPr>
  </w:style>
  <w:style w:type="character" w:customStyle="1" w:styleId="206">
    <w:name w:val="font21"/>
    <w:basedOn w:val="50"/>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50"/>
    <w:qFormat/>
    <w:uiPriority w:val="0"/>
  </w:style>
  <w:style w:type="character" w:customStyle="1" w:styleId="209">
    <w:name w:val="hover1"/>
    <w:basedOn w:val="50"/>
    <w:qFormat/>
    <w:uiPriority w:val="0"/>
    <w:rPr>
      <w:color w:val="2590EB"/>
    </w:rPr>
  </w:style>
  <w:style w:type="character" w:customStyle="1" w:styleId="210">
    <w:name w:val="hover2"/>
    <w:basedOn w:val="50"/>
    <w:qFormat/>
    <w:uiPriority w:val="0"/>
  </w:style>
  <w:style w:type="character" w:customStyle="1" w:styleId="211">
    <w:name w:val="hover3"/>
    <w:basedOn w:val="50"/>
    <w:qFormat/>
    <w:uiPriority w:val="0"/>
    <w:rPr>
      <w:color w:val="2590EB"/>
    </w:rPr>
  </w:style>
  <w:style w:type="character" w:customStyle="1" w:styleId="212">
    <w:name w:val="hover4"/>
    <w:basedOn w:val="50"/>
    <w:qFormat/>
    <w:uiPriority w:val="0"/>
    <w:rPr>
      <w:color w:val="2590EB"/>
      <w:shd w:val="clear" w:fill="E9F4FD"/>
    </w:rPr>
  </w:style>
  <w:style w:type="character" w:customStyle="1" w:styleId="213">
    <w:name w:val="mini-outputtext1"/>
    <w:basedOn w:val="50"/>
    <w:qFormat/>
    <w:uiPriority w:val="0"/>
  </w:style>
  <w:style w:type="character" w:customStyle="1" w:styleId="214">
    <w:name w:val="hover"/>
    <w:basedOn w:val="50"/>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47</Pages>
  <Words>14458</Words>
  <Characters>15348</Characters>
  <Lines>411</Lines>
  <Paragraphs>115</Paragraphs>
  <TotalTime>0</TotalTime>
  <ScaleCrop>false</ScaleCrop>
  <LinksUpToDate>false</LinksUpToDate>
  <CharactersWithSpaces>15752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2026-07-28T03:25:15Z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