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1D1EE">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31701FE8">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61A754C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84"/>
          <w:szCs w:val="84"/>
          <w:highlight w:val="none"/>
          <w:u w:color="000000"/>
          <w:lang w:val="en-US" w:eastAsia="zh-CN" w:bidi="ar"/>
        </w:rPr>
      </w:pPr>
      <w:r>
        <w:rPr>
          <w:rFonts w:hint="eastAsia" w:ascii="Times New Roman" w:hAnsi="Times New Roman" w:eastAsia="宋体" w:cs="宋体"/>
          <w:b/>
          <w:bCs w:val="0"/>
          <w:color w:val="auto"/>
          <w:kern w:val="0"/>
          <w:sz w:val="48"/>
          <w:szCs w:val="28"/>
          <w:highlight w:val="none"/>
          <w:u w:color="000000"/>
          <w:lang w:val="en-US" w:eastAsia="zh-CN" w:bidi="ar"/>
        </w:rPr>
        <w:t>滁州至南京城际铁路（滁州段）一期、二期重点区域加装围墙防爬刺项目</w:t>
      </w:r>
    </w:p>
    <w:p w14:paraId="645814D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84"/>
          <w:szCs w:val="84"/>
          <w:highlight w:val="none"/>
          <w:u w:color="000000"/>
          <w:lang w:val="en-US" w:eastAsia="zh-CN" w:bidi="ar"/>
        </w:rPr>
      </w:pPr>
    </w:p>
    <w:p w14:paraId="2E1271B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4D3A62A7">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6551BB04">
      <w:pPr>
        <w:pStyle w:val="18"/>
        <w:widowControl/>
        <w:rPr>
          <w:color w:val="auto"/>
          <w:highlight w:val="none"/>
          <w:lang w:val="en-US"/>
        </w:rPr>
      </w:pPr>
      <w:r>
        <w:rPr>
          <w:color w:val="auto"/>
          <w:highlight w:val="none"/>
          <w:lang w:val="en-US"/>
        </w:rPr>
        <w:t xml:space="preserve"> </w:t>
      </w:r>
    </w:p>
    <w:p w14:paraId="2265E232">
      <w:pPr>
        <w:pStyle w:val="18"/>
        <w:widowControl/>
        <w:rPr>
          <w:color w:val="auto"/>
          <w:highlight w:val="none"/>
          <w:lang w:val="en-US"/>
        </w:rPr>
      </w:pPr>
      <w:r>
        <w:rPr>
          <w:color w:val="auto"/>
          <w:highlight w:val="none"/>
          <w:lang w:val="en-US"/>
        </w:rPr>
        <w:t xml:space="preserve"> </w:t>
      </w:r>
    </w:p>
    <w:p w14:paraId="313CB13E">
      <w:pPr>
        <w:pStyle w:val="18"/>
        <w:widowControl/>
        <w:rPr>
          <w:color w:val="auto"/>
          <w:highlight w:val="none"/>
          <w:lang w:val="en-US"/>
        </w:rPr>
      </w:pPr>
      <w:r>
        <w:rPr>
          <w:color w:val="auto"/>
          <w:highlight w:val="none"/>
          <w:lang w:val="en-US"/>
        </w:rPr>
        <w:t xml:space="preserve"> </w:t>
      </w:r>
    </w:p>
    <w:p w14:paraId="1B59EE29">
      <w:pPr>
        <w:pStyle w:val="18"/>
        <w:widowControl/>
        <w:rPr>
          <w:color w:val="auto"/>
          <w:highlight w:val="none"/>
          <w:lang w:val="en-US"/>
        </w:rPr>
      </w:pPr>
      <w:r>
        <w:rPr>
          <w:color w:val="auto"/>
          <w:highlight w:val="none"/>
          <w:lang w:val="en-US"/>
        </w:rPr>
        <w:t xml:space="preserve"> </w:t>
      </w:r>
    </w:p>
    <w:p w14:paraId="13060FF7">
      <w:pPr>
        <w:pStyle w:val="18"/>
        <w:widowControl/>
        <w:rPr>
          <w:rFonts w:eastAsia="宋体"/>
          <w:color w:val="auto"/>
          <w:highlight w:val="none"/>
          <w:lang w:val="en-US"/>
        </w:rPr>
      </w:pPr>
      <w:r>
        <w:rPr>
          <w:color w:val="auto"/>
          <w:highlight w:val="none"/>
          <w:lang w:val="en-US"/>
        </w:rPr>
        <w:t xml:space="preserve"> </w:t>
      </w:r>
    </w:p>
    <w:p w14:paraId="72405FB7">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lang w:eastAsia="zh-CN"/>
        </w:rPr>
        <w:t>滁州市滁宁城际铁路开发建设有限公司</w:t>
      </w:r>
      <w:r>
        <w:rPr>
          <w:rFonts w:hint="eastAsia" w:ascii="宋体" w:hAnsi="宋体"/>
          <w:b/>
          <w:color w:val="auto"/>
          <w:sz w:val="32"/>
          <w:highlight w:val="none"/>
          <w:u w:val="thick"/>
        </w:rPr>
        <w:t xml:space="preserve"> </w:t>
      </w:r>
    </w:p>
    <w:p w14:paraId="3A101657">
      <w:pPr>
        <w:adjustRightInd w:val="0"/>
        <w:snapToGrid w:val="0"/>
        <w:ind w:firstLine="302" w:firstLineChars="94"/>
        <w:rPr>
          <w:rFonts w:hint="eastAsia" w:ascii="宋体" w:hAnsi="宋体"/>
          <w:b/>
          <w:color w:val="auto"/>
          <w:sz w:val="32"/>
          <w:highlight w:val="none"/>
          <w:u w:val="thick"/>
        </w:rPr>
      </w:pPr>
    </w:p>
    <w:p w14:paraId="2E9A6BF1">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085CEEDC">
      <w:pPr>
        <w:adjustRightInd w:val="0"/>
        <w:snapToGrid w:val="0"/>
        <w:rPr>
          <w:rFonts w:hint="eastAsia" w:ascii="宋体" w:hAnsi="宋体"/>
          <w:color w:val="auto"/>
          <w:spacing w:val="20"/>
          <w:sz w:val="32"/>
          <w:highlight w:val="none"/>
          <w:u w:val="single"/>
        </w:rPr>
      </w:pPr>
    </w:p>
    <w:p w14:paraId="4B01FC1A">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202</w:t>
      </w:r>
      <w:r>
        <w:rPr>
          <w:rFonts w:hint="eastAsia" w:ascii="宋体" w:hAnsi="宋体"/>
          <w:b/>
          <w:color w:val="auto"/>
          <w:sz w:val="32"/>
          <w:highlight w:val="none"/>
          <w:u w:val="thick"/>
          <w:lang w:val="en-US" w:eastAsia="zh-CN"/>
        </w:rPr>
        <w:t>6</w:t>
      </w:r>
      <w:r>
        <w:rPr>
          <w:rFonts w:hint="eastAsia" w:ascii="宋体" w:hAnsi="宋体"/>
          <w:b/>
          <w:color w:val="auto"/>
          <w:sz w:val="32"/>
          <w:highlight w:val="none"/>
          <w:u w:val="thick"/>
        </w:rPr>
        <w:t>年</w:t>
      </w:r>
      <w:r>
        <w:rPr>
          <w:rFonts w:hint="eastAsia" w:ascii="宋体" w:hAnsi="宋体"/>
          <w:b/>
          <w:color w:val="auto"/>
          <w:sz w:val="32"/>
          <w:highlight w:val="none"/>
          <w:u w:val="thick"/>
          <w:lang w:val="en-US" w:eastAsia="zh-CN"/>
        </w:rPr>
        <w:t>1</w:t>
      </w:r>
      <w:r>
        <w:rPr>
          <w:rFonts w:hint="eastAsia" w:ascii="宋体" w:hAnsi="宋体"/>
          <w:b/>
          <w:color w:val="auto"/>
          <w:sz w:val="32"/>
          <w:highlight w:val="none"/>
          <w:u w:val="thick"/>
        </w:rPr>
        <w:t xml:space="preserve">月            </w:t>
      </w:r>
    </w:p>
    <w:p w14:paraId="57DADD6F">
      <w:pPr>
        <w:pStyle w:val="6"/>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64F2DFD4">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14:paraId="049D5674">
      <w:pPr>
        <w:jc w:val="center"/>
        <w:rPr>
          <w:rFonts w:hint="eastAsia" w:ascii="宋体" w:hAnsi="宋体" w:eastAsia="宋体" w:cs="宋体"/>
          <w:b/>
          <w:bCs w:val="0"/>
          <w:color w:val="auto"/>
          <w:kern w:val="0"/>
          <w:sz w:val="36"/>
          <w:szCs w:val="36"/>
          <w:highlight w:val="none"/>
          <w:u w:color="000000"/>
          <w:lang w:val="en-US" w:eastAsia="zh-CN" w:bidi="ar"/>
        </w:rPr>
      </w:pPr>
    </w:p>
    <w:p w14:paraId="68C9FD00">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p w14:paraId="0BBA8ED2">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第一章  招标公告</w:t>
      </w:r>
      <w:bookmarkStart w:id="0" w:name="OLE_LINK4"/>
      <w:r>
        <w:rPr>
          <w:rFonts w:hint="eastAsia" w:ascii="宋体" w:hAnsi="宋体" w:eastAsia="宋体" w:cs="宋体"/>
          <w:color w:val="auto"/>
          <w:kern w:val="0"/>
          <w:sz w:val="24"/>
          <w:szCs w:val="24"/>
          <w:highlight w:val="none"/>
          <w:u w:color="000000"/>
          <w:lang w:val="en-US" w:eastAsia="zh-CN" w:bidi="ar"/>
        </w:rPr>
        <w:t xml:space="preserve"> …………………………………………………………………</w:t>
      </w:r>
      <w:bookmarkEnd w:id="0"/>
      <w:r>
        <w:rPr>
          <w:rFonts w:hint="eastAsia" w:ascii="宋体" w:hAnsi="宋体" w:eastAsia="宋体" w:cs="宋体"/>
          <w:color w:val="auto"/>
          <w:kern w:val="0"/>
          <w:sz w:val="24"/>
          <w:szCs w:val="24"/>
          <w:highlight w:val="none"/>
          <w:u w:color="000000"/>
          <w:lang w:val="en-US" w:eastAsia="zh-CN" w:bidi="ar"/>
        </w:rPr>
        <w:t>1</w:t>
      </w:r>
    </w:p>
    <w:p w14:paraId="5023954A">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第二章  投标人须知 ………………………………………………………………3</w:t>
      </w:r>
    </w:p>
    <w:p w14:paraId="648B4037">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第三章  资格审查办法……………………………………………………………14</w:t>
      </w:r>
    </w:p>
    <w:p w14:paraId="6AE266BC">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第四章  评标办法…………………………………………………………………16</w:t>
      </w:r>
    </w:p>
    <w:p w14:paraId="5A66841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第五章  采购需求…………………………………………………………………20</w:t>
      </w:r>
    </w:p>
    <w:p w14:paraId="1436ADDF">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第六章  合同条款及格式…………………………………………………………25</w:t>
      </w:r>
    </w:p>
    <w:p w14:paraId="36DFDF3D">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第七章  投标文件格式……………………………………………………………35</w:t>
      </w:r>
    </w:p>
    <w:p w14:paraId="7B3A915D">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第八章  招标人、招标代理机构对本招标文件的确认…………………………42</w:t>
      </w:r>
    </w:p>
    <w:p w14:paraId="7C586AB0">
      <w:pPr>
        <w:rPr>
          <w:rFonts w:hint="eastAsia" w:ascii="宋体" w:hAnsi="宋体" w:eastAsia="宋体" w:cs="宋体"/>
          <w:color w:val="auto"/>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69713157">
      <w:pPr>
        <w:pStyle w:val="18"/>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color w:val="auto"/>
          <w:highlight w:val="none"/>
          <w:lang w:val="en-US"/>
        </w:rPr>
      </w:pPr>
      <w:bookmarkStart w:id="1" w:name="_Toc29214"/>
      <w:bookmarkEnd w:id="1"/>
      <w:bookmarkStart w:id="2" w:name="_Toc23741_WPSOffice_Level1"/>
      <w:bookmarkEnd w:id="2"/>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color w:val="auto"/>
          <w:highlight w:val="none"/>
          <w:lang w:eastAsia="zh-CN"/>
        </w:rPr>
        <w:t>招标公告</w:t>
      </w:r>
    </w:p>
    <w:p w14:paraId="4801437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bookmarkStart w:id="5" w:name="_Toc28359002"/>
      <w:bookmarkEnd w:id="5"/>
      <w:bookmarkStart w:id="6" w:name="_Toc35393621"/>
      <w:bookmarkEnd w:id="6"/>
      <w:bookmarkStart w:id="7" w:name="_Toc28359079"/>
      <w:bookmarkEnd w:id="7"/>
      <w:bookmarkStart w:id="8" w:name="_Toc58430305"/>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14:paraId="53112DB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滁州至南京城际铁路（滁州段）一期、二期重点区域加装围墙防爬刺项目的潜在投标人应在滁州市滁宁城际铁路开发建设有限公司网站（http://czctgs.cn/）获取招标文件，并于2026年1月26日15时00分（北京时间）前递交投标文件。</w:t>
      </w:r>
    </w:p>
    <w:p w14:paraId="03D1232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14:paraId="552C87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8" w:leftChars="228" w:right="0" w:firstLine="0" w:firstLineChars="0"/>
        <w:jc w:val="both"/>
        <w:textAlignment w:val="auto"/>
        <w:rPr>
          <w:rFonts w:hint="default"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项目名称：滁州至南京城际铁路（滁州段）一期、二期重点区域加装围墙防爬刺项目预算金额：378000.00元</w:t>
      </w:r>
    </w:p>
    <w:p w14:paraId="4AF8BD9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最高限价：本项目最高限价为（人民币）378000.00元，投标报价不得超过最高限价，否则按无效投标处理。</w:t>
      </w:r>
    </w:p>
    <w:p w14:paraId="7F87A8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采购需求：对滁宁城际铁路两个主变电所铁艺围墙安装防爬刺，对相官车辆基地外围无防爬刺区段进行防爬刺安装，对生锈防爬刺进行更换。详见采购需求。</w:t>
      </w:r>
    </w:p>
    <w:p w14:paraId="7C85A1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工期：自签订合同之日起30个日历天内按招标人管理制度完成开工报审；60个日历天内完成全部工程施工并通过验收。</w:t>
      </w:r>
    </w:p>
    <w:p w14:paraId="18D3B2A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本项目不接受联合体投标。</w:t>
      </w:r>
    </w:p>
    <w:p w14:paraId="58C6F4C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8"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二、</w:t>
      </w:r>
      <w:r>
        <w:rPr>
          <w:rFonts w:hint="eastAsia" w:ascii="宋体" w:hAnsi="宋体" w:eastAsia="宋体" w:cs="宋体"/>
          <w:b/>
          <w:bCs w:val="0"/>
          <w:color w:val="auto"/>
          <w:kern w:val="0"/>
          <w:sz w:val="24"/>
          <w:szCs w:val="24"/>
          <w:highlight w:val="none"/>
          <w:u w:color="000000"/>
          <w:lang w:val="en-US" w:eastAsia="zh-CN" w:bidi="ar"/>
        </w:rPr>
        <w:t>申请人的资格要求</w:t>
      </w:r>
    </w:p>
    <w:p w14:paraId="68CA6C6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具备建筑机电安装工程专业承包叁级（或以上）资质，并具有有效的安全生产许可证。</w:t>
      </w:r>
    </w:p>
    <w:p w14:paraId="72B177D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13F522E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时间：</w:t>
      </w:r>
      <w:r>
        <w:rPr>
          <w:rFonts w:hint="eastAsia" w:ascii="宋体" w:hAnsi="宋体" w:eastAsia="宋体" w:cs="宋体"/>
          <w:color w:val="auto"/>
          <w:kern w:val="0"/>
          <w:sz w:val="24"/>
          <w:szCs w:val="24"/>
          <w:highlight w:val="none"/>
          <w:u w:val="single" w:color="000000"/>
          <w:lang w:val="en-US" w:eastAsia="zh-CN" w:bidi="ar"/>
        </w:rPr>
        <w:t xml:space="preserve"> 2026年1月20</w:t>
      </w:r>
      <w:bookmarkStart w:id="102" w:name="_GoBack"/>
      <w:bookmarkEnd w:id="102"/>
      <w:r>
        <w:rPr>
          <w:rFonts w:hint="eastAsia" w:ascii="宋体" w:hAnsi="宋体" w:eastAsia="宋体" w:cs="宋体"/>
          <w:color w:val="auto"/>
          <w:kern w:val="0"/>
          <w:sz w:val="24"/>
          <w:szCs w:val="24"/>
          <w:highlight w:val="none"/>
          <w:u w:val="single" w:color="000000"/>
          <w:lang w:val="en-US" w:eastAsia="zh-CN" w:bidi="ar"/>
        </w:rPr>
        <w:t>日</w:t>
      </w:r>
      <w:r>
        <w:rPr>
          <w:rFonts w:hint="eastAsia" w:ascii="宋体" w:hAnsi="宋体" w:eastAsia="宋体" w:cs="宋体"/>
          <w:color w:val="auto"/>
          <w:kern w:val="0"/>
          <w:sz w:val="24"/>
          <w:szCs w:val="24"/>
          <w:highlight w:val="none"/>
          <w:u w:color="000000"/>
          <w:lang w:val="en-US" w:eastAsia="zh-CN" w:bidi="ar"/>
        </w:rPr>
        <w:t>至</w:t>
      </w:r>
      <w:r>
        <w:rPr>
          <w:rFonts w:hint="eastAsia" w:ascii="宋体" w:hAnsi="宋体" w:eastAsia="宋体" w:cs="宋体"/>
          <w:color w:val="auto"/>
          <w:kern w:val="0"/>
          <w:sz w:val="24"/>
          <w:szCs w:val="24"/>
          <w:highlight w:val="none"/>
          <w:u w:val="single" w:color="000000"/>
          <w:lang w:val="en-US" w:eastAsia="zh-CN" w:bidi="ar"/>
        </w:rPr>
        <w:t xml:space="preserve"> 2026年1月26日</w:t>
      </w:r>
    </w:p>
    <w:p w14:paraId="4C8A0E62">
      <w:pPr>
        <w:keepNext w:val="0"/>
        <w:keepLines w:val="0"/>
        <w:pageBreakBefore w:val="0"/>
        <w:kinsoku/>
        <w:overflowPunct/>
        <w:topLinePunct w:val="0"/>
        <w:autoSpaceDE/>
        <w:autoSpaceDN/>
        <w:bidi w:val="0"/>
        <w:adjustRightInd/>
        <w:snapToGrid/>
        <w:spacing w:line="480" w:lineRule="exact"/>
        <w:ind w:firstLine="540"/>
        <w:textAlignment w:val="auto"/>
        <w:rPr>
          <w:rFonts w:ascii="宋体" w:hAnsi="宋体" w:cs="宋体"/>
          <w:color w:val="auto"/>
          <w:sz w:val="24"/>
          <w:szCs w:val="24"/>
          <w:highlight w:val="none"/>
        </w:rPr>
      </w:pPr>
      <w:r>
        <w:rPr>
          <w:rFonts w:hint="eastAsia" w:ascii="宋体" w:hAnsi="宋体" w:eastAsia="宋体" w:cs="宋体"/>
          <w:color w:val="auto"/>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滁州市滁宁城际铁路开发建设有限公司</w:t>
      </w:r>
      <w:r>
        <w:rPr>
          <w:rFonts w:hint="eastAsia" w:ascii="宋体" w:hAnsi="宋体" w:cs="宋体"/>
          <w:color w:val="auto"/>
          <w:sz w:val="24"/>
          <w:szCs w:val="24"/>
          <w:highlight w:val="none"/>
        </w:rPr>
        <w:t>网站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http://czctgs.cn/</w:t>
      </w:r>
      <w:r>
        <w:rPr>
          <w:rFonts w:hint="eastAsia" w:ascii="宋体" w:hAnsi="宋体" w:cs="宋体"/>
          <w:color w:val="auto"/>
          <w:sz w:val="24"/>
          <w:szCs w:val="24"/>
          <w:highlight w:val="none"/>
          <w:u w:val="single"/>
        </w:rPr>
        <w:t>）</w:t>
      </w:r>
    </w:p>
    <w:p w14:paraId="343A6E1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方式：网上下载</w:t>
      </w:r>
    </w:p>
    <w:p w14:paraId="341CE36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售价：0元</w:t>
      </w:r>
    </w:p>
    <w:p w14:paraId="12C638E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color w:val="auto"/>
          <w:sz w:val="24"/>
          <w:szCs w:val="24"/>
          <w:highlight w:val="none"/>
          <w:lang w:val="en-US"/>
        </w:rPr>
      </w:pPr>
      <w:bookmarkStart w:id="10" w:name="_Toc28359005"/>
      <w:bookmarkEnd w:id="10"/>
      <w:bookmarkStart w:id="11" w:name="_Toc35393793"/>
      <w:bookmarkEnd w:id="11"/>
      <w:bookmarkStart w:id="12" w:name="_Toc28359082"/>
      <w:bookmarkEnd w:id="12"/>
      <w:bookmarkStart w:id="13" w:name="_Toc58430308"/>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4D4A626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截止时间：</w:t>
      </w:r>
      <w:r>
        <w:rPr>
          <w:rFonts w:hint="eastAsia" w:ascii="宋体" w:hAnsi="宋体" w:eastAsia="宋体" w:cs="宋体"/>
          <w:bCs/>
          <w:color w:val="auto"/>
          <w:kern w:val="0"/>
          <w:sz w:val="24"/>
          <w:szCs w:val="24"/>
          <w:highlight w:val="none"/>
          <w:u w:val="single" w:color="000000"/>
          <w:lang w:val="en-US" w:eastAsia="zh-CN" w:bidi="ar"/>
        </w:rPr>
        <w:t>2026年1月26日15时00分</w:t>
      </w:r>
      <w:r>
        <w:rPr>
          <w:rFonts w:hint="eastAsia" w:ascii="宋体" w:hAnsi="宋体" w:eastAsia="宋体" w:cs="宋体"/>
          <w:bCs/>
          <w:color w:val="auto"/>
          <w:kern w:val="0"/>
          <w:sz w:val="24"/>
          <w:szCs w:val="24"/>
          <w:highlight w:val="none"/>
          <w:u w:color="000000"/>
          <w:lang w:val="en-US" w:eastAsia="zh-CN" w:bidi="ar"/>
        </w:rPr>
        <w:t>（北京时间）</w:t>
      </w:r>
    </w:p>
    <w:p w14:paraId="61B10B3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地点：滁州市轨道交通运营有限公司五楼514开评标室 (徽州路与扬子路交叉口东南侧)</w:t>
      </w:r>
    </w:p>
    <w:p w14:paraId="6C3487F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投标文件递交方式：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color w:val="auto"/>
          <w:kern w:val="0"/>
          <w:sz w:val="24"/>
          <w:szCs w:val="24"/>
          <w:highlight w:val="none"/>
          <w:u w:color="000000"/>
          <w:lang w:val="en-US" w:eastAsia="zh-CN" w:bidi="ar"/>
        </w:rPr>
        <w:fldChar w:fldCharType="begin"/>
      </w:r>
      <w:r>
        <w:rPr>
          <w:rFonts w:hint="eastAsia" w:ascii="宋体" w:hAnsi="宋体" w:eastAsia="宋体" w:cs="宋体"/>
          <w:color w:val="auto"/>
          <w:kern w:val="0"/>
          <w:sz w:val="24"/>
          <w:szCs w:val="24"/>
          <w:highlight w:val="none"/>
          <w:u w:color="000000"/>
          <w:lang w:val="en-US" w:eastAsia="zh-CN" w:bidi="ar"/>
        </w:rPr>
        <w:instrText xml:space="preserve"> HYPERLINK "mailto:2、在递交截止时间后30分钟内，将解压密码通过邮箱发送至代理机构邮箱（czsctgczx@163.com）" </w:instrText>
      </w:r>
      <w:r>
        <w:rPr>
          <w:rFonts w:hint="eastAsia" w:ascii="宋体" w:hAnsi="宋体" w:eastAsia="宋体" w:cs="宋体"/>
          <w:color w:val="auto"/>
          <w:kern w:val="0"/>
          <w:sz w:val="24"/>
          <w:szCs w:val="24"/>
          <w:highlight w:val="none"/>
          <w:u w:color="000000"/>
          <w:lang w:val="en-US" w:eastAsia="zh-CN" w:bidi="ar"/>
        </w:rPr>
        <w:fldChar w:fldCharType="separate"/>
      </w:r>
      <w:r>
        <w:rPr>
          <w:rFonts w:hint="eastAsia" w:ascii="宋体" w:hAnsi="宋体" w:eastAsia="宋体" w:cs="宋体"/>
          <w:color w:val="auto"/>
          <w:kern w:val="0"/>
          <w:sz w:val="24"/>
          <w:szCs w:val="24"/>
          <w:highlight w:val="none"/>
          <w:u w:color="000000"/>
          <w:lang w:val="en-US" w:eastAsia="zh-CN" w:bidi="ar"/>
        </w:rPr>
        <w:t>②在投标截止时间后30分钟内，将投标文件密码通过邮箱发送至滁州市城投工程咨询管理有限公司邮箱（czsctzx@163.com）</w:t>
      </w:r>
      <w:r>
        <w:rPr>
          <w:rFonts w:hint="eastAsia" w:ascii="宋体" w:hAnsi="宋体" w:eastAsia="宋体" w:cs="宋体"/>
          <w:color w:val="auto"/>
          <w:kern w:val="0"/>
          <w:sz w:val="24"/>
          <w:szCs w:val="24"/>
          <w:highlight w:val="none"/>
          <w:u w:color="000000"/>
          <w:lang w:val="en-US" w:eastAsia="zh-CN" w:bidi="ar"/>
        </w:rPr>
        <w:fldChar w:fldCharType="end"/>
      </w:r>
      <w:r>
        <w:rPr>
          <w:rFonts w:hint="eastAsia" w:ascii="宋体" w:hAnsi="宋体" w:eastAsia="宋体" w:cs="宋体"/>
          <w:color w:val="auto"/>
          <w:kern w:val="0"/>
          <w:sz w:val="24"/>
          <w:szCs w:val="24"/>
          <w:highlight w:val="none"/>
          <w:u w:color="000000"/>
          <w:lang w:val="en-US" w:eastAsia="zh-CN" w:bidi="ar"/>
        </w:rPr>
        <w:t>，未在规定时间内发送密码或发送的密码无法正确打开投标文件的，投标文件将被拒绝。</w:t>
      </w:r>
    </w:p>
    <w:p w14:paraId="186381E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502F0490">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是否要求投标人提交投标保证金：</w:t>
      </w:r>
      <w:r>
        <w:rPr>
          <w:rFonts w:hint="eastAsia" w:ascii="宋体" w:hAnsi="宋体" w:eastAsia="宋体" w:cs="宋体"/>
          <w:bCs/>
          <w:color w:val="auto"/>
          <w:kern w:val="0"/>
          <w:sz w:val="24"/>
          <w:highlight w:val="none"/>
          <w:u w:color="000000"/>
          <w:lang w:val="en-US" w:eastAsia="zh-CN" w:bidi="ar"/>
        </w:rPr>
        <w:t>不</w:t>
      </w:r>
      <w:r>
        <w:rPr>
          <w:rFonts w:hint="eastAsia" w:ascii="宋体" w:hAnsi="宋体" w:eastAsia="宋体" w:cs="宋体"/>
          <w:bCs/>
          <w:color w:val="auto"/>
          <w:kern w:val="0"/>
          <w:sz w:val="24"/>
          <w:highlight w:val="none"/>
          <w:u w:color="000000"/>
          <w:lang w:bidi="ar"/>
        </w:rPr>
        <w:t>要求。</w:t>
      </w:r>
    </w:p>
    <w:p w14:paraId="0AEACD3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8"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六、</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77349B1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1.招标人信息</w:t>
      </w:r>
    </w:p>
    <w:p w14:paraId="195CA35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 xml:space="preserve">名称：滁州市滁宁城际铁路开发建设有限公司   </w:t>
      </w:r>
    </w:p>
    <w:p w14:paraId="582FFFE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 xml:space="preserve">地址：滁州市徽州路与扬子路交叉口东南侧7楼 </w:t>
      </w:r>
    </w:p>
    <w:p w14:paraId="47F8466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auto"/>
          <w:kern w:val="0"/>
          <w:sz w:val="24"/>
          <w:highlight w:val="none"/>
          <w:lang w:eastAsia="zh-CN" w:bidi="ar"/>
        </w:rPr>
        <w:t>13339207910</w:t>
      </w:r>
    </w:p>
    <w:p w14:paraId="41CD5F1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2.</w:t>
      </w:r>
      <w:bookmarkEnd w:id="15"/>
      <w:r>
        <w:rPr>
          <w:rFonts w:hint="eastAsia" w:ascii="宋体" w:hAnsi="宋体" w:eastAsia="宋体" w:cs="宋体"/>
          <w:bCs/>
          <w:color w:val="auto"/>
          <w:kern w:val="0"/>
          <w:sz w:val="24"/>
          <w:szCs w:val="24"/>
          <w:highlight w:val="none"/>
          <w:u w:color="000000"/>
          <w:lang w:val="en-US" w:eastAsia="zh-CN" w:bidi="ar"/>
        </w:rPr>
        <w:t>代理机构信息</w:t>
      </w:r>
    </w:p>
    <w:p w14:paraId="082FEFF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名称：滁州市城投工程咨询管理有限公司</w:t>
      </w:r>
    </w:p>
    <w:p w14:paraId="4DD7911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地址：滁州市龙蟠大道109号房产大厦6楼605室</w:t>
      </w:r>
    </w:p>
    <w:p w14:paraId="2BF4BF6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联系方式：0550-3519519、18005505728</w:t>
      </w:r>
    </w:p>
    <w:p w14:paraId="1C43192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3.项目联系方式</w:t>
      </w:r>
    </w:p>
    <w:p w14:paraId="2F73EC9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 xml:space="preserve">项目联系人：杨雅辰、周蓓蕾    </w:t>
      </w:r>
    </w:p>
    <w:p w14:paraId="1D303122">
      <w:pPr>
        <w:pStyle w:val="21"/>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auto"/>
        <w:ind w:left="0" w:right="0" w:firstLine="480" w:firstLineChars="200"/>
        <w:jc w:val="left"/>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电话：</w:t>
      </w:r>
      <w:r>
        <w:rPr>
          <w:rFonts w:hint="eastAsia" w:ascii="宋体" w:hAnsi="宋体" w:eastAsia="宋体" w:cs="宋体"/>
          <w:bCs/>
          <w:color w:val="auto"/>
          <w:kern w:val="0"/>
          <w:sz w:val="24"/>
          <w:highlight w:val="none"/>
          <w:lang w:eastAsia="zh-CN" w:bidi="ar"/>
        </w:rPr>
        <w:t>13339207910</w:t>
      </w:r>
      <w:r>
        <w:rPr>
          <w:rFonts w:hint="eastAsia" w:ascii="宋体" w:hAnsi="宋体" w:eastAsia="宋体" w:cs="宋体"/>
          <w:bCs/>
          <w:color w:val="auto"/>
          <w:kern w:val="0"/>
          <w:sz w:val="24"/>
          <w:szCs w:val="24"/>
          <w:highlight w:val="none"/>
          <w:u w:color="000000"/>
          <w:lang w:val="en-US" w:eastAsia="zh-CN" w:bidi="ar"/>
        </w:rPr>
        <w:t>、18005505728</w:t>
      </w:r>
    </w:p>
    <w:p w14:paraId="15B7BEBE">
      <w:pPr>
        <w:keepNext w:val="0"/>
        <w:keepLines w:val="0"/>
        <w:pageBreakBefore w:val="0"/>
        <w:widowControl/>
        <w:numPr>
          <w:ilvl w:val="0"/>
          <w:numId w:val="1"/>
        </w:numPr>
        <w:suppressLineNumbers w:val="0"/>
        <w:kinsoku/>
        <w:overflowPunct/>
        <w:topLinePunct w:val="0"/>
        <w:autoSpaceDE w:val="0"/>
        <w:autoSpaceDN/>
        <w:bidi w:val="0"/>
        <w:adjustRightInd/>
        <w:snapToGrid/>
        <w:spacing w:before="0" w:beforeAutospacing="0" w:after="0" w:afterAutospacing="0" w:line="480" w:lineRule="exact"/>
        <w:ind w:right="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投标人须知</w:t>
      </w:r>
      <w:bookmarkStart w:id="16" w:name="_Toc9559"/>
      <w:bookmarkEnd w:id="16"/>
      <w:bookmarkStart w:id="17" w:name="_Toc28003_WPSOffice_Level2"/>
    </w:p>
    <w:p w14:paraId="46AA4A47">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80" w:lineRule="exact"/>
        <w:ind w:right="0" w:rightChars="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17"/>
    </w:p>
    <w:tbl>
      <w:tblPr>
        <w:tblStyle w:val="23"/>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014B12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79D18432">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color w:val="auto"/>
                <w:highlight w:val="none"/>
                <w:lang w:val="en-US" w:eastAsia="zh-CN"/>
              </w:rPr>
            </w:pPr>
            <w:r>
              <w:rPr>
                <w:rFonts w:hint="eastAsia" w:cs="Times New Roman"/>
                <w:b/>
                <w:bCs w:val="0"/>
                <w:color w:val="auto"/>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2AD19423">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color w:val="auto"/>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46C92CB0">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color w:val="auto"/>
                <w:highlight w:val="none"/>
                <w:lang w:val="en-US"/>
              </w:rPr>
            </w:pPr>
            <w:r>
              <w:rPr>
                <w:rFonts w:cs="Times New Roman"/>
                <w:b/>
                <w:bCs w:val="0"/>
                <w:color w:val="auto"/>
                <w:highlight w:val="none"/>
              </w:rPr>
              <w:t>说明与要求</w:t>
            </w:r>
          </w:p>
        </w:tc>
      </w:tr>
      <w:tr w14:paraId="3DEDF6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BE3D3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9F79B70">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EB5F2B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cs="Times New Roman"/>
                <w:bCs/>
                <w:color w:val="auto"/>
                <w:highlight w:val="none"/>
                <w:lang w:val="en-US" w:eastAsia="zh-CN"/>
              </w:rPr>
            </w:pPr>
            <w:r>
              <w:rPr>
                <w:rFonts w:hint="eastAsia" w:cs="Times New Roman"/>
                <w:bCs/>
                <w:color w:val="auto"/>
                <w:highlight w:val="none"/>
                <w:lang w:eastAsia="zh-CN"/>
              </w:rPr>
              <w:t>滁州至南京城际铁路（滁州段）一期、二期重点区域加装围墙防爬刺项目</w:t>
            </w:r>
          </w:p>
        </w:tc>
      </w:tr>
      <w:tr w14:paraId="41AC8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598881">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FDF3EC7">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ascii="宋体" w:hAnsi="宋体" w:eastAsia="宋体" w:cs="Times New Roman"/>
                <w:color w:val="auto"/>
                <w:highlight w:val="none"/>
                <w:lang w:val="en-US"/>
              </w:rPr>
            </w:pPr>
            <w:r>
              <w:rPr>
                <w:rFonts w:hint="eastAsia" w:ascii="宋体" w:hAnsi="宋体" w:eastAsia="宋体" w:cs="Times New Roman"/>
                <w:color w:val="auto"/>
                <w:highlight w:val="none"/>
                <w:lang w:val="en-US" w:eastAsia="zh-CN"/>
              </w:rPr>
              <w:t>供货期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BDE0AD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color w:val="auto"/>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5343A2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B1A8B0">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06D41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供货地点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7DD6A9">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bCs/>
                <w:color w:val="auto"/>
                <w:highlight w:val="none"/>
                <w:lang w:val="en-US"/>
              </w:rPr>
            </w:pPr>
            <w:r>
              <w:rPr>
                <w:rFonts w:hint="eastAsia" w:ascii="宋体" w:hAnsi="宋体" w:eastAsia="宋体" w:cs="宋体"/>
                <w:color w:val="auto"/>
                <w:szCs w:val="21"/>
                <w:highlight w:val="none"/>
                <w:lang w:val="en-US" w:eastAsia="zh-CN"/>
              </w:rPr>
              <w:t>招标人指定地点</w:t>
            </w:r>
          </w:p>
        </w:tc>
      </w:tr>
      <w:tr w14:paraId="61021B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BDF2975">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F17EF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44EE8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宋体"/>
                <w:color w:val="auto"/>
                <w:highlight w:val="none"/>
                <w:lang w:val="en-US"/>
              </w:rPr>
            </w:pPr>
            <w:r>
              <w:rPr>
                <w:rFonts w:hint="eastAsia" w:cs="宋体-18030"/>
                <w:color w:val="auto"/>
                <w:sz w:val="21"/>
                <w:szCs w:val="21"/>
                <w:highlight w:val="none"/>
                <w:lang w:val="en-US" w:eastAsia="zh-CN"/>
              </w:rPr>
              <w:t>杨雅</w:t>
            </w:r>
            <w:r>
              <w:rPr>
                <w:rFonts w:hint="eastAsia" w:ascii="宋体" w:hAnsi="宋体" w:eastAsia="宋体" w:cs="宋体-18030"/>
                <w:color w:val="auto"/>
                <w:sz w:val="21"/>
                <w:szCs w:val="21"/>
                <w:highlight w:val="none"/>
                <w:lang w:val="en-US" w:eastAsia="zh-CN"/>
              </w:rPr>
              <w:t>辰  13339207910</w:t>
            </w:r>
          </w:p>
        </w:tc>
      </w:tr>
      <w:tr w14:paraId="635594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41DC7C">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EB5C71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E66BD4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宋体"/>
                <w:color w:val="auto"/>
                <w:highlight w:val="none"/>
                <w:lang w:val="en-US"/>
              </w:rPr>
            </w:pPr>
            <w:r>
              <w:rPr>
                <w:rFonts w:cs="宋体"/>
                <w:color w:val="auto"/>
                <w:highlight w:val="none"/>
              </w:rPr>
              <w:t xml:space="preserve">周蓓蕾 </w:t>
            </w:r>
            <w:r>
              <w:rPr>
                <w:rFonts w:hint="eastAsia" w:cs="宋体"/>
                <w:color w:val="auto"/>
                <w:highlight w:val="none"/>
                <w:lang w:val="en-US" w:eastAsia="zh-CN"/>
              </w:rPr>
              <w:t xml:space="preserve"> </w:t>
            </w:r>
            <w:r>
              <w:rPr>
                <w:rFonts w:cs="宋体"/>
                <w:color w:val="auto"/>
                <w:highlight w:val="none"/>
                <w:lang w:val="en-US"/>
              </w:rPr>
              <w:t>0550-3519519  18005505728</w:t>
            </w:r>
          </w:p>
        </w:tc>
      </w:tr>
      <w:tr w14:paraId="10225E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7B4C7F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F512C8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资金来源</w:t>
            </w:r>
            <w:r>
              <w:rPr>
                <w:rFonts w:cs="Times New Roman"/>
                <w:color w:val="auto"/>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E7429AC">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Times New Roman"/>
                <w:color w:val="auto"/>
                <w:highlight w:val="none"/>
              </w:rPr>
              <w:t>自筹资金</w:t>
            </w:r>
          </w:p>
        </w:tc>
      </w:tr>
      <w:tr w14:paraId="0634EB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2FB25F5">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18DD82">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90BD7EE">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378000.00元</w:t>
            </w:r>
          </w:p>
        </w:tc>
      </w:tr>
      <w:tr w14:paraId="722D8D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E83B9C">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2E656D7">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color w:val="auto"/>
                <w:highlight w:val="none"/>
                <w:lang w:val="en-US" w:eastAsia="zh-CN"/>
              </w:rPr>
            </w:pPr>
            <w:r>
              <w:rPr>
                <w:rFonts w:cs="Times New Roman"/>
                <w:color w:val="auto"/>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647838">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本项目最高限价为（人民币）378000.00元，投标报价不得超过最高限价，否则按无效投标处理。</w:t>
            </w:r>
          </w:p>
        </w:tc>
      </w:tr>
      <w:tr w14:paraId="1EB40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0106E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51771F">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98EC8EA">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hint="eastAsia" w:cs="Times New Roman"/>
                <w:color w:val="auto"/>
                <w:highlight w:val="none"/>
                <w:lang w:val="en-US" w:eastAsia="zh-CN"/>
              </w:rPr>
              <w:t>详见</w:t>
            </w:r>
            <w:r>
              <w:rPr>
                <w:rFonts w:hint="eastAsia" w:hAnsi="宋体" w:cs="宋体"/>
                <w:bCs/>
                <w:color w:val="auto"/>
                <w:szCs w:val="21"/>
                <w:highlight w:val="none"/>
              </w:rPr>
              <w:t>《</w:t>
            </w:r>
            <w:r>
              <w:rPr>
                <w:rFonts w:hint="eastAsia" w:cs="宋体"/>
                <w:bCs/>
                <w:color w:val="auto"/>
                <w:szCs w:val="21"/>
                <w:highlight w:val="none"/>
                <w:lang w:val="en-US" w:eastAsia="zh-CN"/>
              </w:rPr>
              <w:t>采购需求</w:t>
            </w:r>
            <w:r>
              <w:rPr>
                <w:rFonts w:hint="eastAsia" w:hAnsi="宋体" w:cs="宋体"/>
                <w:bCs/>
                <w:color w:val="auto"/>
                <w:szCs w:val="21"/>
                <w:highlight w:val="none"/>
              </w:rPr>
              <w:t>》</w:t>
            </w:r>
          </w:p>
        </w:tc>
      </w:tr>
      <w:tr w14:paraId="6156BB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E1CB8B">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A74711">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18EA6DE">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color w:val="auto"/>
                <w:highlight w:val="none"/>
                <w:lang w:val="en-US" w:eastAsia="zh-CN"/>
              </w:rPr>
            </w:pPr>
            <w:r>
              <w:rPr>
                <w:rFonts w:cs="Times New Roman"/>
                <w:color w:val="auto"/>
                <w:highlight w:val="none"/>
              </w:rPr>
              <w:t>本项目划分为</w:t>
            </w:r>
            <w:r>
              <w:rPr>
                <w:rFonts w:cs="Times New Roman"/>
                <w:color w:val="auto"/>
                <w:highlight w:val="none"/>
                <w:u w:val="single"/>
                <w:lang w:val="en-US"/>
              </w:rPr>
              <w:t xml:space="preserve"> 1 </w:t>
            </w:r>
            <w:r>
              <w:rPr>
                <w:rFonts w:cs="Times New Roman"/>
                <w:color w:val="auto"/>
                <w:highlight w:val="none"/>
              </w:rPr>
              <w:t>个标</w:t>
            </w:r>
            <w:r>
              <w:rPr>
                <w:rFonts w:hint="eastAsia" w:cs="Times New Roman"/>
                <w:color w:val="auto"/>
                <w:highlight w:val="none"/>
                <w:lang w:val="en-US" w:eastAsia="zh-CN"/>
              </w:rPr>
              <w:t>段</w:t>
            </w:r>
          </w:p>
        </w:tc>
      </w:tr>
      <w:tr w14:paraId="63E7C5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C2D4D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5F999B">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50A01E">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宋体"/>
                <w:color w:val="auto"/>
                <w:highlight w:val="none"/>
              </w:rPr>
              <w:t>公开</w:t>
            </w:r>
            <w:r>
              <w:rPr>
                <w:rFonts w:cs="Times New Roman"/>
                <w:color w:val="auto"/>
                <w:highlight w:val="none"/>
              </w:rPr>
              <w:t>招标</w:t>
            </w:r>
          </w:p>
        </w:tc>
      </w:tr>
      <w:tr w14:paraId="2046F9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D61F25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5F75E6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CB31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5C30D0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FC1684">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36297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4D11FD">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Times New Roman"/>
                <w:color w:val="auto"/>
                <w:highlight w:val="none"/>
              </w:rPr>
              <w:t>不组织</w:t>
            </w:r>
            <w:r>
              <w:rPr>
                <w:rFonts w:cs="Times New Roman"/>
                <w:color w:val="auto"/>
                <w:highlight w:val="none"/>
                <w:lang w:val="en-US"/>
              </w:rPr>
              <w:t>,</w:t>
            </w:r>
            <w:r>
              <w:rPr>
                <w:rFonts w:cs="Times New Roman"/>
                <w:color w:val="auto"/>
                <w:highlight w:val="none"/>
              </w:rPr>
              <w:t>投标人自行踏勘现场</w:t>
            </w:r>
          </w:p>
        </w:tc>
      </w:tr>
      <w:tr w14:paraId="0EE711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DEB2CC">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123901C">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F06243">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Times New Roman"/>
                <w:color w:val="auto"/>
                <w:highlight w:val="none"/>
              </w:rPr>
              <w:t>不召开</w:t>
            </w:r>
          </w:p>
        </w:tc>
      </w:tr>
      <w:tr w14:paraId="28C407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D0CDB3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63C30C">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投标人提出</w:t>
            </w:r>
            <w:r>
              <w:rPr>
                <w:rFonts w:cs="Times New Roman"/>
                <w:color w:val="auto"/>
                <w:highlight w:val="none"/>
                <w:u w:val="single"/>
              </w:rPr>
              <w:t>疑问</w:t>
            </w:r>
            <w:r>
              <w:rPr>
                <w:rFonts w:cs="Times New Roman"/>
                <w:color w:val="auto"/>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30C485">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b w:val="0"/>
                <w:bCs w:val="0"/>
                <w:color w:val="auto"/>
                <w:highlight w:val="none"/>
                <w:lang w:val="en-US"/>
              </w:rPr>
            </w:pPr>
            <w:r>
              <w:rPr>
                <w:rFonts w:cs="Times New Roman"/>
                <w:b w:val="0"/>
                <w:bCs w:val="0"/>
                <w:color w:val="auto"/>
                <w:highlight w:val="none"/>
              </w:rPr>
              <w:t>如投标人对招标文件有疑问，请于</w:t>
            </w:r>
            <w:r>
              <w:rPr>
                <w:rFonts w:cs="Times New Roman"/>
                <w:b w:val="0"/>
                <w:bCs w:val="0"/>
                <w:color w:val="auto"/>
                <w:highlight w:val="none"/>
                <w:lang w:val="en-US"/>
              </w:rPr>
              <w:t>202</w:t>
            </w:r>
            <w:r>
              <w:rPr>
                <w:rFonts w:hint="eastAsia" w:cs="Times New Roman"/>
                <w:b w:val="0"/>
                <w:bCs w:val="0"/>
                <w:color w:val="auto"/>
                <w:highlight w:val="none"/>
                <w:lang w:val="en-US" w:eastAsia="zh-CN"/>
              </w:rPr>
              <w:t>6</w:t>
            </w:r>
            <w:r>
              <w:rPr>
                <w:rFonts w:cs="Times New Roman"/>
                <w:b w:val="0"/>
                <w:bCs w:val="0"/>
                <w:color w:val="auto"/>
                <w:highlight w:val="none"/>
              </w:rPr>
              <w:t>年</w:t>
            </w:r>
            <w:r>
              <w:rPr>
                <w:rFonts w:hint="eastAsia" w:cs="Times New Roman"/>
                <w:b w:val="0"/>
                <w:bCs w:val="0"/>
                <w:color w:val="auto"/>
                <w:highlight w:val="none"/>
                <w:lang w:val="en-US" w:eastAsia="zh-CN"/>
              </w:rPr>
              <w:t>1</w:t>
            </w:r>
            <w:r>
              <w:rPr>
                <w:rFonts w:cs="Times New Roman"/>
                <w:b w:val="0"/>
                <w:bCs w:val="0"/>
                <w:color w:val="auto"/>
                <w:highlight w:val="none"/>
              </w:rPr>
              <w:t>月</w:t>
            </w:r>
            <w:r>
              <w:rPr>
                <w:rFonts w:hint="eastAsia" w:cs="Times New Roman"/>
                <w:b w:val="0"/>
                <w:bCs w:val="0"/>
                <w:color w:val="auto"/>
                <w:highlight w:val="none"/>
                <w:lang w:val="en-US" w:eastAsia="zh-CN"/>
              </w:rPr>
              <w:t>22</w:t>
            </w:r>
            <w:r>
              <w:rPr>
                <w:rFonts w:cs="Times New Roman"/>
                <w:b w:val="0"/>
                <w:bCs w:val="0"/>
                <w:color w:val="auto"/>
                <w:highlight w:val="none"/>
              </w:rPr>
              <w:t>日</w:t>
            </w:r>
            <w:r>
              <w:rPr>
                <w:rFonts w:hAnsi="Times New Roman" w:cs="Times New Roman"/>
                <w:b w:val="0"/>
                <w:bCs w:val="0"/>
                <w:color w:val="auto"/>
                <w:highlight w:val="none"/>
                <w:lang w:val="en-US"/>
              </w:rPr>
              <w:t>17</w:t>
            </w:r>
            <w:r>
              <w:rPr>
                <w:rFonts w:hAnsi="Times New Roman" w:cs="Times New Roman"/>
                <w:b w:val="0"/>
                <w:bCs w:val="0"/>
                <w:color w:val="auto"/>
                <w:highlight w:val="none"/>
              </w:rPr>
              <w:t>时前</w:t>
            </w:r>
            <w:r>
              <w:rPr>
                <w:rFonts w:cs="Times New Roman"/>
                <w:b w:val="0"/>
                <w:bCs w:val="0"/>
                <w:color w:val="auto"/>
                <w:highlight w:val="none"/>
              </w:rPr>
              <w:t>将疑问内容以书面的形式加盖投标单位公章，发送至滁州市城投工程咨询管理有限公司邮箱（</w:t>
            </w:r>
            <w:r>
              <w:rPr>
                <w:rFonts w:hAnsi="Times New Roman" w:cs="Times New Roman"/>
                <w:b w:val="0"/>
                <w:bCs w:val="0"/>
                <w:color w:val="auto"/>
                <w:highlight w:val="none"/>
                <w:lang w:val="en-US"/>
              </w:rPr>
              <w:t>czsctzx@163.com</w:t>
            </w:r>
            <w:r>
              <w:rPr>
                <w:rFonts w:hAnsi="Times New Roman" w:cs="Times New Roman"/>
                <w:b w:val="0"/>
                <w:bCs w:val="0"/>
                <w:color w:val="auto"/>
                <w:highlight w:val="none"/>
              </w:rPr>
              <w:t>）。</w:t>
            </w:r>
          </w:p>
        </w:tc>
      </w:tr>
      <w:tr w14:paraId="5E7EE6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D35E22">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98D373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2EA56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auto"/>
                <w:kern w:val="2"/>
                <w:highlight w:val="none"/>
                <w:lang w:val="en-US"/>
              </w:rPr>
            </w:pPr>
            <w:r>
              <w:rPr>
                <w:rFonts w:hint="eastAsia" w:ascii="宋体" w:hAnsi="宋体" w:eastAsia="宋体" w:cs="宋体"/>
                <w:b w:val="0"/>
                <w:bCs w:val="0"/>
                <w:color w:val="auto"/>
                <w:kern w:val="2"/>
                <w:sz w:val="21"/>
                <w:szCs w:val="21"/>
                <w:highlight w:val="none"/>
                <w:u w:color="000000"/>
                <w:lang w:val="en-US" w:eastAsia="zh-CN" w:bidi="ar"/>
              </w:rPr>
              <w:t>招标人将在</w:t>
            </w:r>
            <w:r>
              <w:rPr>
                <w:rFonts w:hint="eastAsia" w:ascii="宋体" w:hAnsi="宋体" w:eastAsia="宋体" w:cs="Times New Roman"/>
                <w:b w:val="0"/>
                <w:bCs w:val="0"/>
                <w:color w:val="auto"/>
                <w:kern w:val="2"/>
                <w:sz w:val="21"/>
                <w:szCs w:val="21"/>
                <w:highlight w:val="none"/>
                <w:u w:color="auto"/>
                <w:lang w:val="en-US" w:eastAsia="zh-CN" w:bidi="ar"/>
              </w:rPr>
              <w:t>2026年1月23日17时后</w:t>
            </w:r>
            <w:r>
              <w:rPr>
                <w:rFonts w:hint="eastAsia" w:ascii="宋体" w:hAnsi="宋体" w:eastAsia="宋体" w:cs="宋体"/>
                <w:b w:val="0"/>
                <w:bCs w:val="0"/>
                <w:color w:val="auto"/>
                <w:kern w:val="2"/>
                <w:sz w:val="21"/>
                <w:szCs w:val="21"/>
                <w:highlight w:val="none"/>
                <w:u w:color="000000"/>
                <w:lang w:val="en-US" w:eastAsia="zh-CN" w:bidi="ar"/>
              </w:rPr>
              <w:t>以澄清公告形式在</w:t>
            </w:r>
            <w:r>
              <w:rPr>
                <w:rFonts w:hint="eastAsia" w:ascii="宋体" w:cs="宋体"/>
                <w:color w:val="auto"/>
                <w:szCs w:val="21"/>
                <w:highlight w:val="none"/>
                <w:lang w:eastAsia="zh-CN"/>
              </w:rPr>
              <w:t>滁州市滁宁城际铁路开发建设有限公司</w:t>
            </w:r>
            <w:r>
              <w:rPr>
                <w:rFonts w:hint="eastAsia" w:ascii="宋体" w:cs="宋体"/>
                <w:color w:val="auto"/>
                <w:szCs w:val="21"/>
                <w:highlight w:val="none"/>
                <w:lang w:val="en-US" w:eastAsia="zh-CN"/>
              </w:rPr>
              <w:t>网站</w:t>
            </w:r>
            <w:r>
              <w:rPr>
                <w:rFonts w:hint="eastAsia" w:ascii="宋体" w:cs="宋体"/>
                <w:color w:val="auto"/>
                <w:szCs w:val="21"/>
                <w:highlight w:val="none"/>
              </w:rPr>
              <w:t xml:space="preserve">（ </w:t>
            </w:r>
            <w:r>
              <w:rPr>
                <w:rFonts w:hint="eastAsia" w:ascii="宋体" w:cs="宋体"/>
                <w:color w:val="auto"/>
                <w:szCs w:val="21"/>
                <w:highlight w:val="none"/>
                <w:lang w:eastAsia="zh-CN"/>
              </w:rPr>
              <w:t>http://czctgs.cn/</w:t>
            </w:r>
            <w:r>
              <w:rPr>
                <w:rFonts w:hint="eastAsia" w:ascii="宋体" w:cs="宋体"/>
                <w:color w:val="auto"/>
                <w:szCs w:val="21"/>
                <w:highlight w:val="none"/>
              </w:rPr>
              <w:t>）发布。</w:t>
            </w:r>
          </w:p>
        </w:tc>
      </w:tr>
      <w:tr w14:paraId="5F8061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652E41">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B8081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BDE0FF9">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14:paraId="542CEA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4FE3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AFBE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95F3F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代理服务费金额：招标代理费3000元，不含专家评审费（专家评审费用以实际支付为准，预计2000元整）。</w:t>
            </w:r>
          </w:p>
          <w:p w14:paraId="0A2D30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代理服务费及专家评审费支付主体：中标单位，中标单位在获取中标通知书时一次性支付给代理机构。</w:t>
            </w:r>
          </w:p>
        </w:tc>
      </w:tr>
      <w:tr w14:paraId="528EA8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7D35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28F7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5F90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同表15条</w:t>
            </w:r>
          </w:p>
        </w:tc>
      </w:tr>
      <w:tr w14:paraId="6BE6D8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0CA0E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5A2366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31B796">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Times New Roman"/>
                <w:color w:val="auto"/>
                <w:highlight w:val="none"/>
              </w:rPr>
              <w:t>投标有效期为</w:t>
            </w:r>
            <w:r>
              <w:rPr>
                <w:rFonts w:cs="Times New Roman"/>
                <w:color w:val="auto"/>
                <w:highlight w:val="none"/>
                <w:u w:val="single"/>
                <w:lang w:val="en-US"/>
              </w:rPr>
              <w:t xml:space="preserve"> </w:t>
            </w:r>
            <w:r>
              <w:rPr>
                <w:rFonts w:hint="eastAsia" w:cs="Times New Roman"/>
                <w:color w:val="auto"/>
                <w:highlight w:val="none"/>
                <w:u w:val="single"/>
                <w:lang w:val="en-US" w:eastAsia="zh-CN"/>
              </w:rPr>
              <w:t>6</w:t>
            </w:r>
            <w:r>
              <w:rPr>
                <w:rFonts w:cs="Times New Roman"/>
                <w:color w:val="auto"/>
                <w:highlight w:val="none"/>
                <w:u w:val="single"/>
                <w:lang w:val="en-US"/>
              </w:rPr>
              <w:t xml:space="preserve">0 </w:t>
            </w:r>
            <w:r>
              <w:rPr>
                <w:rFonts w:cs="Times New Roman"/>
                <w:color w:val="auto"/>
                <w:highlight w:val="none"/>
              </w:rPr>
              <w:t>日历天（从投标截止之日算起）。在此期限内，凡符合本招标文件要求的投标文件均保持有效。</w:t>
            </w:r>
          </w:p>
        </w:tc>
      </w:tr>
      <w:tr w14:paraId="65BC99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6AD8C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EAD5D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5905A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本项目不要求投标人提交投标保证金</w:t>
            </w:r>
          </w:p>
        </w:tc>
      </w:tr>
      <w:tr w14:paraId="6917C9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8E0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87C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47F5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689D9D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E89E7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51ACA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color w:val="auto"/>
                <w:sz w:val="21"/>
                <w:szCs w:val="21"/>
                <w:highlight w:val="none"/>
              </w:rPr>
              <w:t>投标文件</w:t>
            </w:r>
            <w:r>
              <w:rPr>
                <w:rFonts w:hint="eastAsia" w:ascii="宋体"/>
                <w:color w:val="auto"/>
                <w:sz w:val="21"/>
                <w:szCs w:val="21"/>
                <w:highlight w:val="none"/>
                <w:lang w:val="en-US" w:eastAsia="zh-CN"/>
              </w:rPr>
              <w:t>及样品</w:t>
            </w:r>
            <w:r>
              <w:rPr>
                <w:rFonts w:hint="eastAsia" w:ascii="宋体"/>
                <w:color w:val="auto"/>
                <w:sz w:val="21"/>
                <w:szCs w:val="21"/>
                <w:highlight w:val="none"/>
              </w:rPr>
              <w:t>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F37A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在</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时00分</w:t>
            </w:r>
            <w:r>
              <w:rPr>
                <w:rFonts w:hint="eastAsia" w:ascii="宋体" w:hAnsi="宋体" w:cs="宋体"/>
                <w:bCs/>
                <w:color w:val="auto"/>
                <w:spacing w:val="-4"/>
                <w:kern w:val="0"/>
                <w:szCs w:val="21"/>
                <w:highlight w:val="none"/>
              </w:rPr>
              <w:t>（北京时间）</w:t>
            </w:r>
          </w:p>
        </w:tc>
      </w:tr>
      <w:tr w14:paraId="0C1E36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042F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C7B0B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3ED43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否</w:t>
            </w:r>
          </w:p>
        </w:tc>
      </w:tr>
      <w:tr w14:paraId="7E3053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0D0D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1A102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31B60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开标时间：2026年1月26日15时00分（北京时间）</w:t>
            </w:r>
          </w:p>
          <w:p w14:paraId="3557CC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开标地点：滁州市轨道交通运营有限公司五楼514开评标室 (徽州路与扬子路交叉口东南侧)</w:t>
            </w:r>
          </w:p>
        </w:tc>
      </w:tr>
      <w:tr w14:paraId="285E65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5F3065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2457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A05D76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color w:val="auto"/>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4C55DB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1E24F8A">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53964E">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color w:val="auto"/>
                <w:kern w:val="2"/>
                <w:highlight w:val="none"/>
                <w:lang w:val="en-US"/>
              </w:rPr>
            </w:pPr>
            <w:r>
              <w:rPr>
                <w:rFonts w:cs="Times New Roman"/>
                <w:color w:val="auto"/>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6B1AE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7E0F93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6F7DE7">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4C3F13">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color w:val="auto"/>
                <w:kern w:val="2"/>
                <w:highlight w:val="none"/>
                <w:lang w:val="en-US"/>
              </w:rPr>
            </w:pPr>
            <w:r>
              <w:rPr>
                <w:rFonts w:cs="Times New Roman"/>
                <w:color w:val="auto"/>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F492EDB">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是，推荐的中标候选人数3名，并标明排序。</w:t>
            </w:r>
          </w:p>
        </w:tc>
      </w:tr>
      <w:tr w14:paraId="73FDF5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0DEA56A">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5D1504E">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color w:val="auto"/>
                <w:szCs w:val="21"/>
                <w:highlight w:val="none"/>
              </w:rPr>
            </w:pPr>
            <w:r>
              <w:rPr>
                <w:rFonts w:cs="Times New Roman"/>
                <w:color w:val="auto"/>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129759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33FE59A3">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7351B8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268D5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F614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B0F31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2E0631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2753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39A2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65246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要求中标人提交履约</w:t>
            </w:r>
            <w:r>
              <w:rPr>
                <w:rFonts w:hint="eastAsia" w:ascii="宋体" w:hAnsi="宋体" w:eastAsia="宋体" w:cs="宋体"/>
                <w:color w:val="auto"/>
                <w:highlight w:val="none"/>
                <w:lang w:val="en-US" w:eastAsia="zh-CN"/>
              </w:rPr>
              <w:t>担保</w:t>
            </w:r>
            <w:r>
              <w:rPr>
                <w:rFonts w:hint="eastAsia" w:ascii="宋体" w:hAnsi="宋体" w:eastAsia="宋体" w:cs="宋体"/>
                <w:color w:val="auto"/>
                <w:highlight w:val="none"/>
              </w:rPr>
              <w:t>。</w:t>
            </w:r>
          </w:p>
          <w:p w14:paraId="7E606E3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形式：支持银行转账、银行电汇、银行保函、担保机构担保、保证保险使用。</w:t>
            </w:r>
          </w:p>
          <w:p w14:paraId="45F5CF1C">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金额：</w:t>
            </w:r>
            <w:r>
              <w:rPr>
                <w:rFonts w:hint="eastAsia" w:ascii="Times New Roman" w:hAnsi="Times New Roman" w:eastAsia="宋体" w:cs="Times New Roman"/>
                <w:color w:val="auto"/>
                <w:highlight w:val="none"/>
              </w:rPr>
              <w:t>中标合同金额×</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w:t>
            </w:r>
            <w:r>
              <w:rPr>
                <w:rFonts w:hint="eastAsia" w:ascii="宋体" w:hAnsi="宋体" w:eastAsia="宋体" w:cs="宋体"/>
                <w:color w:val="auto"/>
                <w:highlight w:val="none"/>
              </w:rPr>
              <w:t>；</w:t>
            </w:r>
          </w:p>
          <w:p w14:paraId="27FFE6C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收款单位：另行通知                  </w:t>
            </w:r>
          </w:p>
          <w:p w14:paraId="00DAAA8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开户银行：另行通知                 </w:t>
            </w:r>
          </w:p>
          <w:p w14:paraId="60261D1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银行账号：另行通知  </w:t>
            </w:r>
          </w:p>
          <w:p w14:paraId="512DFE8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缴纳时限：中标人须在中标通知书发出后30日内完成履约</w:t>
            </w:r>
            <w:r>
              <w:rPr>
                <w:rFonts w:hint="eastAsia" w:ascii="宋体" w:hAnsi="宋体" w:eastAsia="宋体" w:cs="宋体"/>
                <w:color w:val="auto"/>
                <w:highlight w:val="none"/>
                <w:lang w:val="en-US" w:eastAsia="zh-CN"/>
              </w:rPr>
              <w:t>担保</w:t>
            </w:r>
            <w:r>
              <w:rPr>
                <w:rFonts w:hint="eastAsia" w:ascii="宋体" w:hAnsi="宋体" w:eastAsia="宋体" w:cs="宋体"/>
                <w:color w:val="auto"/>
                <w:highlight w:val="none"/>
              </w:rPr>
              <w:t xml:space="preserve">缴纳及合同签订，如未按期交齐履约保证金或未按期签订合同的，视同放弃中标资格。 </w:t>
            </w:r>
          </w:p>
          <w:p w14:paraId="4FCFC0BD">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退还时限：</w:t>
            </w:r>
            <w:r>
              <w:rPr>
                <w:rFonts w:hint="eastAsia" w:ascii="宋体" w:hAnsi="宋体" w:eastAsia="宋体" w:cs="宋体"/>
                <w:color w:val="auto"/>
                <w:highlight w:val="none"/>
                <w:lang w:val="en-US" w:eastAsia="zh-CN"/>
              </w:rPr>
              <w:t xml:space="preserve">中标人在本合同约定的服务期限届满并经招标人验收合格后30日内办理履约保证金（或履约保函）退还手续。 </w:t>
            </w:r>
          </w:p>
          <w:p w14:paraId="26233BD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其他相关要求：</w:t>
            </w:r>
          </w:p>
          <w:p w14:paraId="271302D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1、采用银行保函的具体要求</w:t>
            </w:r>
          </w:p>
          <w:p w14:paraId="6239D505">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①保函形式须为见索即付型（无条件保函）；</w:t>
            </w:r>
          </w:p>
          <w:p w14:paraId="6F24071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②须经招标人认可。</w:t>
            </w:r>
          </w:p>
          <w:p w14:paraId="406C052B">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2、采用担保保函的具体要求：须经招标人认可。</w:t>
            </w:r>
          </w:p>
          <w:p w14:paraId="0089C70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3、采用商业保险的具体要求：须经招标人认可。</w:t>
            </w:r>
          </w:p>
          <w:p w14:paraId="455A0B2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highlight w:val="none"/>
              </w:rPr>
              <w:t>4、采用第三方担保的具体要求：须经招标人认可。</w:t>
            </w:r>
          </w:p>
        </w:tc>
      </w:tr>
      <w:tr w14:paraId="7B33C6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15"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0687B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765D8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宋体" w:hAnsi="Times New Roman" w:eastAsia="宋体" w:cs="Times New Roman"/>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 xml:space="preserve">工程完工及验收通过后，中标人提交付款申请及工作量清单，招标人审核后并按合同约定扣除索赔款项、违约金等，于【30】天内向中标人支付结算款，支付至结算款的97%，剩余3%作为质保金，待质保期（自项目验收合格之日起算2年）满且无任何质量问题一次性支付。 </w:t>
            </w:r>
          </w:p>
        </w:tc>
      </w:tr>
      <w:tr w14:paraId="1E371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36417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496049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招标文件获取方式：网上下载；</w:t>
            </w:r>
          </w:p>
          <w:p w14:paraId="0F77B2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获取时间：招标文件发布至投标截止时间。</w:t>
            </w:r>
          </w:p>
        </w:tc>
      </w:tr>
      <w:tr w14:paraId="485741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95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21E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D22E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63194C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94D8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766F1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498C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E30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14:paraId="4FF1DE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768E2A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6A0D4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lang w:val="en-US" w:eastAsia="zh-CN"/>
              </w:rPr>
            </w:pPr>
            <w:r>
              <w:rPr>
                <w:rFonts w:hint="eastAsia"/>
                <w:color w:val="auto"/>
                <w:highlight w:val="none"/>
                <w:lang w:val="en-US" w:eastAsia="zh-CN"/>
              </w:rPr>
              <w:t>1、本项目采购清单中的技术规格以及参照的品牌或型号、推荐品牌仅起说明作用，并没有任何限制性。投标人在投标过程中可以选用替代标准、品牌/型号，但这些替代要实质上满足或者优于采购清单的相关要求。</w:t>
            </w:r>
          </w:p>
          <w:p w14:paraId="0AC4F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lang w:val="en-US" w:eastAsia="zh-CN"/>
              </w:rPr>
            </w:pPr>
            <w:r>
              <w:rPr>
                <w:rFonts w:hint="eastAsia"/>
                <w:color w:val="auto"/>
                <w:highlight w:val="none"/>
                <w:lang w:val="en-US" w:eastAsia="zh-CN"/>
              </w:rPr>
              <w:t>2、评标委员会只依靠投标人递交的投标文件及其按照招标文件要求提供的所有证明材料进行评审，而不依靠任何外来的证明材料。</w:t>
            </w:r>
          </w:p>
          <w:p w14:paraId="6F63E2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mailto:4、投标人须在投标文件截止时间前将投标文件以电子邮件的方式一次性发送至滁州市城投工程咨询管理有限公司邮箱（czsctzx@163.com），投标文件格式限定为PDF格式，将文件命名为\“投标单位名称（联系人及联系电话）+项目名称\”，在提交投标文件截止时间后送达的投标文件将被拒绝，投标文件送达时间以滁州市城投工程咨询管理有限公司邮箱显示的邮件送达时间为准，投标文件无法打开的，按无效投标处理。" </w:instrText>
            </w:r>
            <w:r>
              <w:rPr>
                <w:rFonts w:hint="eastAsia"/>
                <w:color w:val="auto"/>
                <w:highlight w:val="none"/>
                <w:lang w:val="en-US" w:eastAsia="zh-CN"/>
              </w:rPr>
              <w:fldChar w:fldCharType="separate"/>
            </w:r>
            <w:r>
              <w:rPr>
                <w:rFonts w:hint="eastAsia"/>
                <w:color w:val="auto"/>
                <w:highlight w:val="none"/>
                <w:lang w:val="en-US" w:eastAsia="zh-CN"/>
              </w:rPr>
              <w:t>3、投标人须在投标文件截止时间前将投标文件以电子邮件的方式一次性发送至滁州市城投工程咨询管理有限公司邮箱（czsctzx@163.com），投标文件格式限定为PDF格式，将文件命名为“投标单位名称（联系人及联系电话）+项目名称”，在提交投标文件截止时间后送达的投标文件将被拒绝，投标文件送达时间以滁州市城投工程咨询管理有限公司邮箱显示的邮件送达时间为准，投标文件无法打开的，按无效投标处理。</w:t>
            </w:r>
            <w:r>
              <w:rPr>
                <w:rFonts w:hint="eastAsia"/>
                <w:color w:val="auto"/>
                <w:highlight w:val="none"/>
                <w:lang w:val="en-US" w:eastAsia="zh-CN"/>
              </w:rPr>
              <w:fldChar w:fldCharType="end"/>
            </w:r>
          </w:p>
          <w:p w14:paraId="05902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lang w:val="en-US" w:eastAsia="zh-CN"/>
              </w:rPr>
            </w:pPr>
            <w:r>
              <w:rPr>
                <w:rFonts w:hint="eastAsia"/>
                <w:color w:val="auto"/>
                <w:highlight w:val="none"/>
                <w:lang w:val="en-US" w:eastAsia="zh-CN"/>
              </w:rPr>
              <w:t>4、中标人提供的所有货物、材料或配件必须是全新的、合格的且未曾使用过的，否则，造成的一切后果由中标人承担。</w:t>
            </w:r>
          </w:p>
          <w:p w14:paraId="24D7D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lang w:val="en-US" w:eastAsia="zh-CN"/>
              </w:rPr>
            </w:pPr>
            <w:r>
              <w:rPr>
                <w:rFonts w:hint="eastAsia"/>
                <w:color w:val="auto"/>
                <w:highlight w:val="none"/>
                <w:lang w:val="en-US" w:eastAsia="zh-CN"/>
              </w:rPr>
              <w:t>5、对于有损坏等未通过招标人验收合格的货物，中标人应自行清理出招标人场地并承担所有相关费用，不增加结算金额。</w:t>
            </w:r>
          </w:p>
          <w:p w14:paraId="4FA8B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lang w:val="en-US" w:eastAsia="zh-CN"/>
              </w:rPr>
            </w:pPr>
            <w:r>
              <w:rPr>
                <w:rFonts w:hint="eastAsia"/>
                <w:color w:val="auto"/>
                <w:highlight w:val="none"/>
                <w:lang w:val="en-US" w:eastAsia="zh-CN"/>
              </w:rPr>
              <w:t>6、</w:t>
            </w:r>
            <w:r>
              <w:rPr>
                <w:rFonts w:hint="eastAsia" w:ascii="Times New Roman" w:hAnsi="Times New Roman" w:eastAsia="宋体" w:cs="Times New Roman"/>
                <w:color w:val="auto"/>
                <w:highlight w:val="none"/>
                <w:lang w:val="en-US" w:eastAsia="zh-CN"/>
              </w:rPr>
              <w:t>招标人保留变更合同签订主体或增加第三方参与合同签订的权利。</w:t>
            </w:r>
          </w:p>
          <w:p w14:paraId="41EFA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lang w:val="en-US" w:eastAsia="zh-CN"/>
              </w:rPr>
            </w:pPr>
            <w:r>
              <w:rPr>
                <w:rFonts w:hint="eastAsia"/>
                <w:color w:val="auto"/>
                <w:highlight w:val="none"/>
                <w:lang w:val="en-US" w:eastAsia="zh-CN"/>
              </w:rPr>
              <w:t>7、招标人对本项目执行过程中的所有争议拥有最终的裁决权，投标人应无条件地服从招标人的裁决，不得以任何理由提出增加本项目合同费用和延误本项目工期。</w:t>
            </w:r>
          </w:p>
          <w:p w14:paraId="518268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eastAsia="宋体"/>
                <w:color w:val="auto"/>
                <w:highlight w:val="none"/>
                <w:lang w:val="en-US" w:eastAsia="zh-CN"/>
              </w:rPr>
            </w:pPr>
            <w:r>
              <w:rPr>
                <w:rFonts w:hint="eastAsia"/>
                <w:color w:val="auto"/>
                <w:highlight w:val="none"/>
                <w:lang w:val="en-US" w:eastAsia="zh-CN"/>
              </w:rPr>
              <w:t>8、本项目严禁非法转包，一经发现，招标人依法处理。</w:t>
            </w:r>
          </w:p>
        </w:tc>
      </w:tr>
    </w:tbl>
    <w:p w14:paraId="66FE8003">
      <w:pPr>
        <w:rPr>
          <w:rFonts w:hint="eastAsia" w:ascii="宋体" w:hAnsi="宋体" w:eastAsia="宋体" w:cs="宋体"/>
          <w:b/>
          <w:bCs w:val="0"/>
          <w:color w:val="auto"/>
          <w:kern w:val="0"/>
          <w:sz w:val="28"/>
          <w:szCs w:val="28"/>
          <w:highlight w:val="none"/>
          <w:u w:color="000000"/>
          <w:lang w:val="en-US" w:eastAsia="zh-CN" w:bidi="ar"/>
        </w:rPr>
      </w:pPr>
      <w:bookmarkStart w:id="18" w:name="_Toc122"/>
      <w:bookmarkEnd w:id="18"/>
      <w:r>
        <w:rPr>
          <w:rFonts w:hint="eastAsia" w:ascii="宋体" w:hAnsi="宋体" w:eastAsia="宋体" w:cs="宋体"/>
          <w:b/>
          <w:bCs w:val="0"/>
          <w:color w:val="auto"/>
          <w:kern w:val="0"/>
          <w:sz w:val="28"/>
          <w:szCs w:val="28"/>
          <w:highlight w:val="none"/>
          <w:u w:color="000000"/>
          <w:lang w:val="en-US" w:eastAsia="zh-CN" w:bidi="ar"/>
        </w:rPr>
        <w:br w:type="page"/>
      </w:r>
    </w:p>
    <w:p w14:paraId="17C9A56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449D382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0"/>
    </w:p>
    <w:p w14:paraId="0E3FDFA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7415B0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09AD4A6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3187F3C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供货期：见投标人须知前附表。</w:t>
      </w:r>
    </w:p>
    <w:p w14:paraId="695365B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供货地点：见投标人须知前附表。</w:t>
      </w:r>
    </w:p>
    <w:p w14:paraId="3EE3943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4A85545F">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44564A7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662DED8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656B64E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59761A1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11E88C3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769EAC6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2501DB1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705978E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746F3D0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4.招标方式</w:t>
      </w:r>
    </w:p>
    <w:p w14:paraId="4AAAB3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1D8BE48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5D0E8E53">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固定总价 。  </w:t>
      </w:r>
    </w:p>
    <w:p w14:paraId="07A8878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610F4AD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color w:val="auto"/>
          <w:szCs w:val="21"/>
          <w:highlight w:val="none"/>
          <w:u w:val="single"/>
          <w:lang w:eastAsia="zh-CN"/>
        </w:rPr>
        <w:t>最低评标价法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（详见第四章评标办法）</w:t>
      </w:r>
    </w:p>
    <w:p w14:paraId="5742EA3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4BEDCB41">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2CEA47E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3438450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3C9E41F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21" w:name="_Toc152042315"/>
      <w:bookmarkEnd w:id="21"/>
      <w:bookmarkStart w:id="22" w:name="_Toc296602429"/>
      <w:bookmarkEnd w:id="22"/>
      <w:bookmarkStart w:id="23" w:name="_Toc152045539"/>
      <w:bookmarkEnd w:id="23"/>
      <w:bookmarkStart w:id="24" w:name="_Toc247527563"/>
      <w:bookmarkEnd w:id="24"/>
      <w:bookmarkStart w:id="25" w:name="_Toc247513962"/>
      <w:bookmarkEnd w:id="25"/>
      <w:bookmarkStart w:id="26" w:name="_Toc144974507"/>
      <w:bookmarkEnd w:id="26"/>
      <w:bookmarkStart w:id="27"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27"/>
    </w:p>
    <w:p w14:paraId="6ED8425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D5AD10E">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1943CDE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49CC04F0">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7664EDE5">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5A9CC7D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2D87B0E3">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667991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 联合投标</w:t>
      </w:r>
    </w:p>
    <w:p w14:paraId="16C8EE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08F70E2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0B5D753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3FFA7F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23AD1BFF">
      <w:pPr>
        <w:spacing w:line="360" w:lineRule="auto"/>
        <w:ind w:firstLine="420" w:firstLineChars="200"/>
        <w:rPr>
          <w:rFonts w:hint="eastAsia" w:ascii="宋体"/>
          <w:color w:val="auto"/>
          <w:szCs w:val="21"/>
          <w:highlight w:val="none"/>
        </w:rPr>
      </w:pPr>
      <w:bookmarkStart w:id="28" w:name="_Toc10668_WPSOffice_Level3"/>
      <w:bookmarkEnd w:id="28"/>
      <w:bookmarkStart w:id="29" w:name="_Toc24655"/>
      <w:bookmarkEnd w:id="29"/>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154387F7">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02E25687">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17E2E871">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650B1BB6">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5EA21800">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0E199FBD">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1B2FBB4A">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421FD49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3890C355">
      <w:pPr>
        <w:spacing w:line="440" w:lineRule="exact"/>
        <w:ind w:firstLine="525" w:firstLineChars="250"/>
        <w:rPr>
          <w:rFonts w:ascii="宋体"/>
          <w:bCs/>
          <w:color w:val="auto"/>
          <w:szCs w:val="21"/>
          <w:highlight w:val="none"/>
        </w:rPr>
      </w:pPr>
      <w:r>
        <w:rPr>
          <w:rFonts w:hint="eastAsia" w:ascii="宋体"/>
          <w:bCs/>
          <w:color w:val="auto"/>
          <w:szCs w:val="21"/>
          <w:highlight w:val="none"/>
        </w:rPr>
        <w:t xml:space="preserve">参与招标投标活动的各方应对招标文件和投标文件中的商业和技术等秘密保密，违者应对由此造成的后果承担法律责任。 </w:t>
      </w:r>
    </w:p>
    <w:p w14:paraId="1E7702F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kern w:val="0"/>
          <w:sz w:val="24"/>
          <w:szCs w:val="24"/>
          <w:highlight w:val="none"/>
          <w:u w:color="000000"/>
          <w:lang w:val="en-US" w:eastAsia="zh-CN" w:bidi="ar"/>
        </w:rPr>
      </w:pPr>
    </w:p>
    <w:p w14:paraId="5620FC83">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61211ECF">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 招标文件的编制依据</w:t>
      </w:r>
    </w:p>
    <w:p w14:paraId="5FF3DC6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11A948F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 招标文件的组成</w:t>
      </w:r>
    </w:p>
    <w:p w14:paraId="4B475B0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57A355B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第一章  招标公告</w:t>
      </w:r>
    </w:p>
    <w:p w14:paraId="10B2E01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第二章  投标须知</w:t>
      </w:r>
    </w:p>
    <w:p w14:paraId="1752288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第三章  资格审查办法</w:t>
      </w:r>
    </w:p>
    <w:p w14:paraId="6D10238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第四章  评标办法</w:t>
      </w:r>
    </w:p>
    <w:p w14:paraId="2398EDE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第五章  采购需求</w:t>
      </w:r>
    </w:p>
    <w:p w14:paraId="37B88F6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第六章  合同条款及格式</w:t>
      </w:r>
    </w:p>
    <w:p w14:paraId="187886B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第七章  投标文件格式</w:t>
      </w:r>
    </w:p>
    <w:p w14:paraId="38CC658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第八章  招标人、招标代理机构对本文件的确认</w:t>
      </w:r>
    </w:p>
    <w:p w14:paraId="311A984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3F4056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14:paraId="67D7E6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16B2BF85">
      <w:pPr>
        <w:spacing w:line="440" w:lineRule="exact"/>
        <w:ind w:firstLine="420" w:firstLineChars="200"/>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 xml:space="preserve">17. </w:t>
      </w:r>
      <w:r>
        <w:rPr>
          <w:rFonts w:hint="eastAsia" w:ascii="宋体" w:hAnsi="Times New Roman" w:eastAsia="宋体" w:cs="Times New Roman"/>
          <w:b/>
          <w:bCs/>
          <w:color w:val="auto"/>
          <w:szCs w:val="21"/>
          <w:highlight w:val="none"/>
        </w:rPr>
        <w:t>招标文件的异议</w:t>
      </w:r>
      <w:r>
        <w:rPr>
          <w:rFonts w:hint="eastAsia" w:ascii="宋体" w:hAnsi="Times New Roman" w:eastAsia="宋体" w:cs="Times New Roman"/>
          <w:b/>
          <w:bCs/>
          <w:color w:val="auto"/>
          <w:szCs w:val="21"/>
          <w:highlight w:val="none"/>
          <w:lang w:eastAsia="zh-CN"/>
        </w:rPr>
        <w:t>、</w:t>
      </w:r>
      <w:r>
        <w:rPr>
          <w:rFonts w:hint="eastAsia" w:ascii="宋体" w:hAnsi="Times New Roman" w:eastAsia="宋体" w:cs="Times New Roman"/>
          <w:b/>
          <w:bCs/>
          <w:color w:val="auto"/>
          <w:szCs w:val="21"/>
          <w:highlight w:val="none"/>
          <w:lang w:val="en-US" w:eastAsia="zh-CN"/>
        </w:rPr>
        <w:t>澄清</w:t>
      </w:r>
    </w:p>
    <w:p w14:paraId="5F643BE0">
      <w:pPr>
        <w:spacing w:line="440" w:lineRule="exact"/>
        <w:ind w:firstLine="420" w:firstLineChars="200"/>
        <w:rPr>
          <w:rFonts w:ascii="宋体" w:hAnsi="Times New Roman" w:eastAsia="宋体" w:cs="Times New Roman"/>
          <w:bCs/>
          <w:color w:val="auto"/>
          <w:szCs w:val="21"/>
          <w:highlight w:val="none"/>
        </w:rPr>
      </w:pPr>
      <w:r>
        <w:rPr>
          <w:rFonts w:hint="eastAsia" w:ascii="宋体" w:hAnsi="宋体" w:eastAsia="宋体" w:cs="宋体"/>
          <w:color w:val="auto"/>
          <w:kern w:val="0"/>
          <w:szCs w:val="21"/>
          <w:highlight w:val="none"/>
          <w:u w:color="000000"/>
          <w:lang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6CC63017">
      <w:pPr>
        <w:widowControl/>
        <w:spacing w:line="400" w:lineRule="exact"/>
        <w:ind w:firstLine="420" w:firstLineChars="200"/>
        <w:rPr>
          <w:rFonts w:ascii="宋体" w:hAnsi="宋体" w:eastAsia="宋体" w:cs="宋体"/>
          <w:bCs/>
          <w:color w:val="auto"/>
          <w:highlight w:val="none"/>
        </w:rPr>
      </w:pPr>
      <w:r>
        <w:rPr>
          <w:rFonts w:hint="eastAsia" w:ascii="宋体" w:hAnsi="宋体" w:eastAsia="宋体" w:cs="宋体"/>
          <w:bCs/>
          <w:color w:val="auto"/>
          <w:kern w:val="0"/>
          <w:szCs w:val="21"/>
          <w:highlight w:val="none"/>
          <w:u w:color="000000"/>
          <w:lang w:bidi="ar"/>
        </w:rPr>
        <w:t>17.2 投标人应在投标截止时间前关注原采购信息发布媒体上有关本项目有无变更公告，如不及时查看造成后果由投标人自负。</w:t>
      </w:r>
    </w:p>
    <w:p w14:paraId="2AE75A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 招标文件的发出</w:t>
      </w:r>
    </w:p>
    <w:p w14:paraId="2672C1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auto"/>
          <w:kern w:val="0"/>
          <w:sz w:val="21"/>
          <w:szCs w:val="21"/>
          <w:highlight w:val="none"/>
          <w:u w:color="000000"/>
          <w:lang w:val="en-US" w:eastAsia="zh-CN" w:bidi="ar"/>
        </w:rPr>
        <w:t>滁州市滁宁城际铁路开发建设有限公司网站（http://czctgs.cn/）</w:t>
      </w:r>
      <w:r>
        <w:rPr>
          <w:rFonts w:hint="eastAsia" w:ascii="宋体" w:hAnsi="宋体" w:eastAsia="宋体" w:cs="宋体"/>
          <w:bCs/>
          <w:color w:val="auto"/>
          <w:kern w:val="0"/>
          <w:sz w:val="21"/>
          <w:szCs w:val="21"/>
          <w:highlight w:val="none"/>
          <w:u w:color="000000"/>
          <w:lang w:val="en-US" w:eastAsia="zh-CN" w:bidi="ar"/>
        </w:rPr>
        <w:t>发出。</w:t>
      </w:r>
    </w:p>
    <w:p w14:paraId="77D8513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0" w:name="_Toc1549_WPSOffice_Level3"/>
      <w:bookmarkEnd w:id="30"/>
      <w:bookmarkStart w:id="31" w:name="_Toc9710"/>
      <w:r>
        <w:rPr>
          <w:rFonts w:hint="eastAsia" w:ascii="宋体" w:hAnsi="宋体" w:eastAsia="宋体" w:cs="宋体"/>
          <w:b/>
          <w:bCs w:val="0"/>
          <w:color w:val="auto"/>
          <w:kern w:val="0"/>
          <w:sz w:val="21"/>
          <w:szCs w:val="21"/>
          <w:highlight w:val="none"/>
          <w:u w:color="000000"/>
          <w:lang w:val="en-US" w:eastAsia="zh-CN" w:bidi="ar"/>
        </w:rPr>
        <w:t>19.样品</w:t>
      </w:r>
      <w:bookmarkEnd w:id="31"/>
    </w:p>
    <w:p w14:paraId="20DA793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1E81783C">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1F40CE47">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 投标的语言及度量衡单位</w:t>
      </w:r>
    </w:p>
    <w:p w14:paraId="4E431746">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20.1投标人的投标文件、以及投标人与招标人就投标的所有往来函电，均须使用简体中文。</w:t>
      </w:r>
    </w:p>
    <w:p w14:paraId="538CB80F">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20.2除招标文件中另有规定外，投标文件所使用的度量衡均须采用法定计量单位。</w:t>
      </w:r>
    </w:p>
    <w:p w14:paraId="040871EC">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 投标文件的组成</w:t>
      </w:r>
    </w:p>
    <w:p w14:paraId="2A83C705">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21.1投标文件</w:t>
      </w:r>
      <w:r>
        <w:rPr>
          <w:rFonts w:hint="default" w:ascii="宋体" w:hAnsi="宋体" w:eastAsia="宋体" w:cs="宋体"/>
          <w:color w:val="auto"/>
          <w:kern w:val="0"/>
          <w:sz w:val="21"/>
          <w:szCs w:val="21"/>
          <w:highlight w:val="none"/>
          <w:u w:color="000000"/>
          <w:lang w:val="en-US" w:eastAsia="zh-CN" w:bidi="ar"/>
        </w:rPr>
        <w:t>须</w:t>
      </w:r>
      <w:r>
        <w:rPr>
          <w:rFonts w:hint="eastAsia" w:ascii="宋体" w:hAnsi="宋体" w:eastAsia="宋体" w:cs="宋体"/>
          <w:color w:val="auto"/>
          <w:kern w:val="0"/>
          <w:sz w:val="21"/>
          <w:szCs w:val="21"/>
          <w:highlight w:val="none"/>
          <w:u w:color="000000"/>
          <w:lang w:val="en-US" w:eastAsia="zh-CN" w:bidi="ar"/>
        </w:rPr>
        <w:t>签字盖章完毕后扫描成一个连续性的整体PDF格式文件。</w:t>
      </w:r>
    </w:p>
    <w:p w14:paraId="34D8DBB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21.2投标文件的编制</w:t>
      </w:r>
    </w:p>
    <w:p w14:paraId="3ED9BAEF">
      <w:pPr>
        <w:keepNext w:val="0"/>
        <w:keepLines w:val="0"/>
        <w:widowControl/>
        <w:numPr>
          <w:ilvl w:val="0"/>
          <w:numId w:val="2"/>
        </w:numPr>
        <w:suppressLineNumbers w:val="0"/>
        <w:spacing w:before="0" w:beforeAutospacing="0" w:after="0" w:afterAutospacing="0" w:line="380" w:lineRule="exact"/>
        <w:ind w:left="0" w:right="0" w:firstLine="424" w:firstLineChars="202"/>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投标文件应按第六章“投标文件格式文本”进行编写，如有必要，可以增加附页，作为投标文件的组成部分。</w:t>
      </w:r>
    </w:p>
    <w:p w14:paraId="3AF4E612">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53765A0D">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22.1投标报价文件中的单价和总价全部采用人民币表示。</w:t>
      </w:r>
    </w:p>
    <w:p w14:paraId="108D8313">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22.2投标人只允许有一个方案、一个报价。</w:t>
      </w:r>
    </w:p>
    <w:p w14:paraId="12D0DBD9">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22.3投标报价包括完成本项目全部供货及服务的一切费用：包括但不限于材料费、装卸费、运输费、管理费、安装费、工器具设备费用、其他费用（如包装费、仓储费、保管费）、利润、招标代理费、专家评审费、售后服务费、税金、政策性文件规定及合同包含的所有风险和责任等、货物送至招标人指定地点前的各项应有费用。投标时投标人必须保证报价的完整性，如有漏报，则视为优惠，中标后不允许追加费用。</w:t>
      </w:r>
    </w:p>
    <w:p w14:paraId="337A7458">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22.4投标报价的价格是完成项目全部内容（包括后期的相关服务）的价格，其总价即为履行合同的固定总价。</w:t>
      </w:r>
    </w:p>
    <w:p w14:paraId="67A2F6E6">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22.5投标报价应由法定代表人或被授权人签署。</w:t>
      </w:r>
    </w:p>
    <w:p w14:paraId="57A545A5">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22.6投标人的投标报价不得超过最高限价，否则将作为无效投标处理。</w:t>
      </w:r>
    </w:p>
    <w:p w14:paraId="225928F8">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22.7总投标价中不得包含招标文件要求以外的内容，否则，在评标时不予核减，但在授予合同时，招标人有权将这部分价格从其中标价格中扣除。</w:t>
      </w:r>
    </w:p>
    <w:p w14:paraId="24B73527">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08E2BB90">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54BEF1E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除投标人须知前附表另有规定外，投标有效期为60天。</w:t>
      </w:r>
    </w:p>
    <w:p w14:paraId="1BF5286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7F018D6A">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6AE99086">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08E9E097">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14:paraId="7749EDA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2" w:name="_Toc6570_WPSOffice_Level3"/>
      <w:bookmarkEnd w:id="32"/>
      <w:bookmarkStart w:id="33"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33"/>
    </w:p>
    <w:p w14:paraId="1B1DB80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val="0"/>
          <w:color w:val="auto"/>
          <w:highlight w:val="none"/>
          <w:lang w:val="en-US"/>
        </w:rPr>
      </w:pPr>
      <w:bookmarkStart w:id="34" w:name="_Toc490"/>
      <w:bookmarkEnd w:id="34"/>
      <w:bookmarkStart w:id="35" w:name="_Toc30407_WPSOffice_Level3"/>
      <w:bookmarkEnd w:id="35"/>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0157167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投标文件份数：一份PDF电子版投标文件。投标人中标后须递交与网上电子投标文件完全一致的纸质版投标文件，并按要求加盖公章；份数：正本1份，副本2份；中标单位领取中标通知书时，一并递交给招标代理机构。</w:t>
      </w:r>
    </w:p>
    <w:p w14:paraId="286B56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25.2按格式文件要求签字或盖章，否则经评委会一致认定且经过招标人同意后, 按照无效投标处理。</w:t>
      </w:r>
    </w:p>
    <w:p w14:paraId="7DA5DF4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 投标文件的提交</w:t>
      </w:r>
    </w:p>
    <w:p w14:paraId="4AF9824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26.1</w:t>
      </w:r>
      <w:r>
        <w:rPr>
          <w:rFonts w:hint="eastAsia" w:ascii="宋体" w:hAnsi="宋体" w:eastAsia="宋体" w:cs="宋体"/>
          <w:color w:val="auto"/>
          <w:highlight w:val="none"/>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"mailto:2、在递交截止时间后30分钟内，将解压密码通过邮箱发送至代理机构邮箱（czsctgczx@163.com）"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②在投标截止时间后30分钟内，将投标文件密码通过邮箱发送至滁州市城投工程咨询管理有限公司邮箱（czsctzx@163.com）</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，未在规定时间内发送密码或发送的密码无法正确打开投标文件的，投标文件将被拒绝。</w:t>
      </w:r>
    </w:p>
    <w:p w14:paraId="0F241F9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27．投标文件的</w:t>
      </w:r>
      <w:r>
        <w:rPr>
          <w:rFonts w:hint="eastAsia" w:ascii="宋体"/>
          <w:b/>
          <w:color w:val="auto"/>
          <w:szCs w:val="21"/>
          <w:highlight w:val="none"/>
        </w:rPr>
        <w:t>修改与撤回</w:t>
      </w:r>
    </w:p>
    <w:p w14:paraId="34E8312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7B884CA0">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18CA468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b/>
          <w:bCs w:val="0"/>
          <w:color w:val="auto"/>
          <w:highlight w:val="none"/>
          <w:lang w:val="en-US"/>
        </w:rPr>
      </w:pPr>
      <w:bookmarkStart w:id="36" w:name="_Toc28864"/>
      <w:bookmarkEnd w:id="36"/>
      <w:bookmarkStart w:id="37" w:name="_Toc8453_WPSOffice_Level3"/>
      <w:r>
        <w:rPr>
          <w:rFonts w:hint="eastAsia" w:ascii="宋体" w:hAnsi="宋体" w:eastAsia="宋体" w:cs="宋体"/>
          <w:b/>
          <w:bCs w:val="0"/>
          <w:color w:val="auto"/>
          <w:kern w:val="0"/>
          <w:sz w:val="21"/>
          <w:szCs w:val="21"/>
          <w:highlight w:val="none"/>
          <w:u w:color="000000"/>
          <w:lang w:val="en-US" w:eastAsia="zh-CN" w:bidi="ar"/>
        </w:rPr>
        <w:t>28.</w:t>
      </w:r>
      <w:r>
        <w:rPr>
          <w:rFonts w:hint="eastAsia" w:ascii="黑体" w:hAnsi="宋体" w:eastAsia="黑体" w:cs="宋体"/>
          <w:b/>
          <w:bCs w:val="0"/>
          <w:color w:val="auto"/>
          <w:kern w:val="0"/>
          <w:sz w:val="21"/>
          <w:szCs w:val="21"/>
          <w:highlight w:val="none"/>
          <w:u w:color="000000"/>
          <w:lang w:val="en-US" w:eastAsia="zh-CN" w:bidi="ar"/>
        </w:rPr>
        <w:t>开标</w:t>
      </w:r>
    </w:p>
    <w:p w14:paraId="1E5A5BF2">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2283822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28.1.1招标人投标须知前附表规定的提交投标文件的截止时间和地点公开开标。</w:t>
      </w:r>
    </w:p>
    <w:p w14:paraId="722E3AA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28.2 参与开标的监督部门</w:t>
      </w:r>
    </w:p>
    <w:p w14:paraId="203BC21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spacing w:val="-8"/>
          <w:highlight w:val="none"/>
          <w:lang w:val="en-US"/>
        </w:rPr>
      </w:pPr>
      <w:bookmarkStart w:id="38" w:name="_Toc15542_WPSOffice_Level3"/>
      <w:bookmarkEnd w:id="38"/>
      <w:r>
        <w:rPr>
          <w:rFonts w:hint="eastAsia" w:ascii="宋体" w:hAnsi="宋体" w:eastAsia="宋体" w:cs="宋体"/>
          <w:color w:val="auto"/>
          <w:kern w:val="0"/>
          <w:sz w:val="21"/>
          <w:szCs w:val="21"/>
          <w:highlight w:val="none"/>
          <w:u w:color="000000"/>
          <w:lang w:val="en-US" w:eastAsia="zh-CN" w:bidi="ar"/>
        </w:rPr>
        <w:t>28.2.1招标人可以邀请相关监管部门参加。</w:t>
      </w:r>
    </w:p>
    <w:p w14:paraId="0FCD1FA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28.3开标程序</w:t>
      </w:r>
    </w:p>
    <w:p w14:paraId="399F5213">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13DBB84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14:paraId="6981901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（2）宣布采购人、代理机构主持人、见证人等有关人员姓名；</w:t>
      </w:r>
    </w:p>
    <w:p w14:paraId="409899A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（3）公布投标人投标报价、服务期及其他内容，并记录在案</w:t>
      </w:r>
    </w:p>
    <w:p w14:paraId="2BCB440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（4）开标结束。</w:t>
      </w:r>
    </w:p>
    <w:p w14:paraId="06923436">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29.开标异议</w:t>
      </w:r>
    </w:p>
    <w:p w14:paraId="6B92F22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14:paraId="0157C60D">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30.评标委员会</w:t>
      </w:r>
    </w:p>
    <w:p w14:paraId="3985D34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  评标委员会的组成</w:t>
      </w:r>
    </w:p>
    <w:p w14:paraId="0B01EBC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53FA51E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5E5AF56">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4C97829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2C98505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73B4E9C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2B1A972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5094578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1D37B27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招标人授权评标委员会对投标人资格进行审查。</w:t>
      </w:r>
    </w:p>
    <w:p w14:paraId="2BB48C23">
      <w:pPr>
        <w:keepNext w:val="0"/>
        <w:keepLines w:val="0"/>
        <w:widowControl/>
        <w:suppressLineNumbers w:val="0"/>
        <w:spacing w:before="0" w:beforeAutospacing="0" w:after="0" w:afterAutospacing="0" w:line="400" w:lineRule="exact"/>
        <w:ind w:left="0" w:right="0" w:firstLine="415"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 评标</w:t>
      </w:r>
    </w:p>
    <w:p w14:paraId="750F17A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章“评标办法”规定的方法、评审因素、标准和程序对投标文件进行评审。第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章“评标办法”没有规定的方法、评审因素和标准，不作为评标依据。</w:t>
      </w:r>
    </w:p>
    <w:p w14:paraId="2EF7E83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17190F3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757B694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39" w:name="_Toc5272_WPSOffice_Level3"/>
      <w:bookmarkEnd w:id="39"/>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7E58080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14:paraId="1F6C751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1BD4457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0491C263">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5D85599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684098F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6928153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41827E7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54DD55B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5" w:leftChars="198"/>
        <w:jc w:val="left"/>
        <w:rPr>
          <w:rFonts w:hint="eastAsia" w:ascii="宋体"/>
          <w:color w:val="auto"/>
          <w:szCs w:val="21"/>
          <w:highlight w:val="none"/>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2</w:t>
      </w:r>
      <w:r>
        <w:rPr>
          <w:rFonts w:hint="eastAsia" w:ascii="宋体" w:hAnsi="宋体" w:eastAsia="宋体" w:cs="宋体"/>
          <w:b/>
          <w:color w:val="auto"/>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（3）中标候选人均未与招标人签订合同的；</w:t>
      </w:r>
    </w:p>
    <w:p w14:paraId="279DE8E6">
      <w:pPr>
        <w:tabs>
          <w:tab w:val="left" w:pos="720"/>
        </w:tabs>
        <w:spacing w:line="420" w:lineRule="exact"/>
        <w:ind w:firstLine="420" w:firstLineChars="200"/>
        <w:jc w:val="left"/>
        <w:rPr>
          <w:rFonts w:hint="eastAsia" w:ascii="宋体" w:hAnsi="宋体" w:eastAsia="宋体" w:cs="宋体"/>
          <w:color w:val="auto"/>
          <w:highlight w:val="none"/>
          <w:lang w:val="en-US"/>
        </w:rPr>
      </w:pPr>
      <w:r>
        <w:rPr>
          <w:rFonts w:hint="eastAsia" w:ascii="宋体" w:hAnsi="Times New Roman" w:eastAsia="宋体" w:cs="Times New Roman"/>
          <w:color w:val="auto"/>
          <w:szCs w:val="21"/>
          <w:highlight w:val="none"/>
        </w:rPr>
        <w:t>（4）法律、法规规定的其他情形。</w:t>
      </w:r>
    </w:p>
    <w:p w14:paraId="01E638B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37"/>
    </w:p>
    <w:p w14:paraId="416185CB">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33.中标公示</w:t>
      </w:r>
    </w:p>
    <w:p w14:paraId="02FD880D">
      <w:pPr>
        <w:spacing w:line="420" w:lineRule="exact"/>
        <w:ind w:firstLine="420" w:firstLineChars="200"/>
        <w:jc w:val="left"/>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3</w:t>
      </w:r>
      <w:r>
        <w:rPr>
          <w:rFonts w:hint="eastAsia" w:ascii="宋体" w:hAnsi="宋体" w:eastAsia="宋体" w:cs="宋体"/>
          <w:color w:val="auto"/>
          <w:kern w:val="0"/>
          <w:szCs w:val="21"/>
          <w:highlight w:val="none"/>
          <w:u w:color="000000"/>
          <w:lang w:val="en-US" w:eastAsia="zh-CN" w:bidi="ar"/>
        </w:rPr>
        <w:t>3</w:t>
      </w:r>
      <w:r>
        <w:rPr>
          <w:rFonts w:hint="eastAsia" w:ascii="宋体" w:hAnsi="宋体" w:eastAsia="宋体" w:cs="宋体"/>
          <w:color w:val="auto"/>
          <w:kern w:val="0"/>
          <w:szCs w:val="21"/>
          <w:highlight w:val="none"/>
          <w:u w:color="000000"/>
          <w:lang w:bidi="ar"/>
        </w:rPr>
        <w:t>.1</w:t>
      </w:r>
      <w:r>
        <w:rPr>
          <w:rFonts w:hint="eastAsia" w:ascii="宋体" w:hAnsi="Times New Roman" w:eastAsia="宋体" w:cs="Times New Roman"/>
          <w:color w:val="auto"/>
          <w:szCs w:val="21"/>
          <w:highlight w:val="none"/>
        </w:rPr>
        <w:t>招标人在收到评标报告之日起3日内，按照投标人须知前附表规定的公示媒介和期限依法公示。公示期不得少于3日。</w:t>
      </w:r>
    </w:p>
    <w:p w14:paraId="50B43749">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34.评标结果异议</w:t>
      </w:r>
    </w:p>
    <w:p w14:paraId="35617F15">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.1投标人或其他利害关系人对评标结果有异议的，应在中标候选人公示期内提出。招标人将在收到异议之日起3日内作出答复；作出答复前，将暂停招标投标活动。</w:t>
      </w:r>
    </w:p>
    <w:p w14:paraId="51F323CD">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35.定标</w:t>
      </w:r>
    </w:p>
    <w:p w14:paraId="4B6E375A">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A34F50C">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36.中标通知</w:t>
      </w:r>
    </w:p>
    <w:p w14:paraId="2DEF0FA8">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6</w:t>
      </w:r>
      <w:r>
        <w:rPr>
          <w:rFonts w:hint="eastAsia" w:ascii="宋体" w:hAnsi="Times New Roman" w:eastAsia="宋体" w:cs="Times New Roman"/>
          <w:color w:val="auto"/>
          <w:szCs w:val="21"/>
          <w:highlight w:val="none"/>
        </w:rPr>
        <w:t>.1在本招标文件规定的投标有效期内，招标人向中标人发出中标通知书，同时将中标结果通知未中标的投标人。</w:t>
      </w:r>
    </w:p>
    <w:p w14:paraId="6EE24B61">
      <w:pPr>
        <w:keepNext w:val="0"/>
        <w:keepLines w:val="0"/>
        <w:widowControl w:val="0"/>
        <w:suppressLineNumbers w:val="0"/>
        <w:autoSpaceDE w:val="0"/>
        <w:autoSpaceDN/>
        <w:spacing w:before="0" w:beforeAutospacing="0" w:after="0" w:afterAutospacing="0" w:line="400" w:lineRule="exact"/>
        <w:ind w:left="0" w:right="0"/>
        <w:jc w:val="both"/>
        <w:rPr>
          <w:rFonts w:hint="eastAsia" w:ascii="黑体" w:hAnsi="宋体" w:eastAsia="黑体" w:cs="宋体"/>
          <w:b/>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r>
        <w:rPr>
          <w:rFonts w:hint="eastAsia" w:ascii="黑体" w:hAnsi="宋体" w:eastAsia="黑体" w:cs="宋体"/>
          <w:b/>
          <w:bCs w:val="0"/>
          <w:color w:val="auto"/>
          <w:kern w:val="0"/>
          <w:sz w:val="21"/>
          <w:szCs w:val="21"/>
          <w:highlight w:val="none"/>
          <w:u w:color="000000"/>
          <w:lang w:val="en-US" w:eastAsia="zh-CN" w:bidi="ar"/>
        </w:rPr>
        <w:t xml:space="preserve"> </w:t>
      </w:r>
      <w:bookmarkStart w:id="40" w:name="_Toc7247"/>
      <w:bookmarkEnd w:id="40"/>
      <w:r>
        <w:rPr>
          <w:rFonts w:hint="eastAsia" w:ascii="黑体" w:hAnsi="宋体" w:eastAsia="黑体" w:cs="宋体"/>
          <w:b/>
          <w:bCs w:val="0"/>
          <w:color w:val="auto"/>
          <w:kern w:val="0"/>
          <w:sz w:val="21"/>
          <w:szCs w:val="21"/>
          <w:highlight w:val="none"/>
          <w:u w:color="000000"/>
          <w:lang w:val="en-US" w:eastAsia="zh-CN" w:bidi="ar"/>
        </w:rPr>
        <w:t xml:space="preserve"> 37.</w:t>
      </w:r>
      <w:bookmarkStart w:id="41" w:name="_Toc217446068"/>
      <w:r>
        <w:rPr>
          <w:rFonts w:hint="eastAsia" w:ascii="黑体" w:hAnsi="宋体" w:eastAsia="黑体" w:cs="宋体"/>
          <w:b/>
          <w:bCs w:val="0"/>
          <w:color w:val="auto"/>
          <w:kern w:val="0"/>
          <w:sz w:val="21"/>
          <w:szCs w:val="21"/>
          <w:highlight w:val="none"/>
          <w:u w:color="000000"/>
          <w:lang w:val="en-US" w:eastAsia="zh-CN" w:bidi="ar"/>
        </w:rPr>
        <w:t>履约保证金</w:t>
      </w:r>
      <w:bookmarkEnd w:id="41"/>
    </w:p>
    <w:p w14:paraId="1331EEB6">
      <w:pPr>
        <w:spacing w:line="420" w:lineRule="exact"/>
        <w:ind w:firstLine="420" w:firstLineChars="200"/>
        <w:jc w:val="left"/>
        <w:rPr>
          <w:rFonts w:ascii="宋体" w:hAnsi="Times New Roman" w:eastAsia="宋体" w:cs="Times New Roman"/>
          <w:color w:val="auto"/>
          <w:szCs w:val="21"/>
          <w:highlight w:val="none"/>
        </w:rPr>
      </w:pPr>
      <w:bookmarkStart w:id="42" w:name="_Toc316_WPSOffice_Level3"/>
      <w:bookmarkEnd w:id="42"/>
      <w:bookmarkStart w:id="43" w:name="_Toc23484"/>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rPr>
        <w:t>.1</w:t>
      </w:r>
      <w:bookmarkEnd w:id="43"/>
      <w:r>
        <w:rPr>
          <w:rFonts w:hint="eastAsia" w:ascii="宋体" w:hAnsi="Times New Roman" w:eastAsia="宋体" w:cs="Times New Roman"/>
          <w:color w:val="auto"/>
          <w:szCs w:val="21"/>
          <w:highlight w:val="none"/>
        </w:rPr>
        <w:t>在签订合同前，中标人应按投标人须知前附表规定的担保形式和招标文件第</w:t>
      </w:r>
      <w:r>
        <w:rPr>
          <w:rFonts w:hint="eastAsia" w:ascii="宋体" w:hAnsi="Times New Roman" w:eastAsia="宋体" w:cs="Times New Roman"/>
          <w:color w:val="auto"/>
          <w:szCs w:val="21"/>
          <w:highlight w:val="none"/>
          <w:lang w:val="en-US" w:eastAsia="zh-CN"/>
        </w:rPr>
        <w:t>六</w:t>
      </w:r>
      <w:r>
        <w:rPr>
          <w:rFonts w:hint="eastAsia" w:ascii="宋体" w:hAnsi="Times New Roman" w:eastAsia="宋体" w:cs="Times New Roman"/>
          <w:color w:val="auto"/>
          <w:szCs w:val="21"/>
          <w:highlight w:val="none"/>
        </w:rPr>
        <w:t>章“合同条款及格式”规定的或者事先经过招标人书面认可的履约担保格式向招标人提交履约担保。</w:t>
      </w:r>
    </w:p>
    <w:p w14:paraId="246DABD6">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rPr>
        <w:t>.2中标人不能按本章第3</w:t>
      </w: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rPr>
        <w:t>.1项要求提交履约担保的，视为放弃中标，给招标人造成的损失，中标人还应当予以赔偿。</w:t>
      </w:r>
    </w:p>
    <w:p w14:paraId="458C332C">
      <w:pPr>
        <w:keepNext w:val="0"/>
        <w:keepLines w:val="0"/>
        <w:widowControl w:val="0"/>
        <w:suppressLineNumbers w:val="0"/>
        <w:autoSpaceDE w:val="0"/>
        <w:autoSpaceDN/>
        <w:spacing w:before="0" w:beforeAutospacing="0" w:after="0" w:afterAutospacing="0" w:line="400" w:lineRule="exact"/>
        <w:ind w:left="0" w:right="0" w:firstLine="480"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0ABC5FD6">
      <w:pPr>
        <w:widowControl/>
        <w:spacing w:line="440" w:lineRule="exact"/>
        <w:ind w:left="41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8</w:t>
      </w:r>
      <w:r>
        <w:rPr>
          <w:rFonts w:hint="eastAsia" w:ascii="宋体" w:hAnsi="宋体" w:eastAsia="宋体" w:cs="宋体"/>
          <w:b/>
          <w:color w:val="auto"/>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8</w:t>
      </w:r>
      <w:r>
        <w:rPr>
          <w:rFonts w:hint="eastAsia" w:ascii="宋体" w:hAnsi="Times New Roman" w:eastAsia="宋体" w:cs="Times New Roman"/>
          <w:color w:val="auto"/>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val="en-US" w:eastAsia="zh-CN" w:bidi="ar"/>
        </w:rPr>
        <w:t>39</w:t>
      </w:r>
      <w:r>
        <w:rPr>
          <w:rFonts w:hint="eastAsia" w:ascii="宋体" w:hAnsi="宋体" w:eastAsia="宋体" w:cs="宋体"/>
          <w:b/>
          <w:color w:val="auto"/>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39</w:t>
      </w:r>
      <w:r>
        <w:rPr>
          <w:rFonts w:hint="eastAsia" w:ascii="宋体" w:hAnsi="Times New Roman" w:eastAsia="宋体" w:cs="Times New Roman"/>
          <w:color w:val="auto"/>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w:t>
      </w:r>
      <w:r>
        <w:rPr>
          <w:rFonts w:hint="eastAsia" w:ascii="宋体" w:hAnsi="宋体" w:eastAsia="宋体" w:cs="宋体"/>
          <w:b/>
          <w:color w:val="auto"/>
          <w:kern w:val="0"/>
          <w:szCs w:val="21"/>
          <w:highlight w:val="none"/>
          <w:u w:color="000000"/>
          <w:lang w:val="en-US" w:eastAsia="zh-CN" w:bidi="ar"/>
        </w:rPr>
        <w:t>0</w:t>
      </w:r>
      <w:r>
        <w:rPr>
          <w:rFonts w:hint="eastAsia" w:ascii="宋体" w:hAnsi="宋体" w:eastAsia="宋体" w:cs="宋体"/>
          <w:b/>
          <w:color w:val="auto"/>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0</w:t>
      </w:r>
      <w:r>
        <w:rPr>
          <w:rFonts w:hint="eastAsia" w:ascii="宋体" w:hAnsi="Times New Roman" w:eastAsia="宋体" w:cs="Times New Roman"/>
          <w:color w:val="auto"/>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w:t>
      </w:r>
      <w:r>
        <w:rPr>
          <w:rFonts w:hint="eastAsia" w:ascii="宋体" w:hAnsi="宋体" w:eastAsia="宋体" w:cs="宋体"/>
          <w:b/>
          <w:color w:val="auto"/>
          <w:kern w:val="0"/>
          <w:szCs w:val="21"/>
          <w:highlight w:val="none"/>
          <w:u w:color="000000"/>
          <w:lang w:val="en-US" w:eastAsia="zh-CN" w:bidi="ar"/>
        </w:rPr>
        <w:t>1</w:t>
      </w:r>
      <w:r>
        <w:rPr>
          <w:rFonts w:hint="eastAsia" w:ascii="宋体" w:hAnsi="宋体" w:eastAsia="宋体" w:cs="宋体"/>
          <w:b/>
          <w:color w:val="auto"/>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5CF1532">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color w:val="auto"/>
          <w:sz w:val="28"/>
          <w:szCs w:val="28"/>
          <w:highlight w:val="none"/>
          <w:lang w:val="en-US"/>
        </w:rPr>
      </w:pPr>
      <w:r>
        <w:rPr>
          <w:rFonts w:hint="eastAsia" w:ascii="宋体" w:hAnsi="宋体" w:eastAsia="宋体" w:cs="宋体"/>
          <w:b/>
          <w:bCs w:val="0"/>
          <w:color w:val="auto"/>
          <w:kern w:val="0"/>
          <w:sz w:val="24"/>
          <w:szCs w:val="24"/>
          <w:highlight w:val="none"/>
          <w:u w:color="000000"/>
          <w:lang w:val="en-US" w:eastAsia="zh-CN" w:bidi="ar"/>
        </w:rPr>
        <w:t>（八）投诉</w:t>
      </w:r>
    </w:p>
    <w:p w14:paraId="597F92C7">
      <w:pPr>
        <w:widowControl/>
        <w:spacing w:line="440" w:lineRule="exact"/>
        <w:ind w:left="41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w:t>
      </w:r>
      <w:r>
        <w:rPr>
          <w:rFonts w:hint="eastAsia" w:ascii="宋体" w:hAnsi="宋体" w:eastAsia="宋体" w:cs="宋体"/>
          <w:b/>
          <w:color w:val="auto"/>
          <w:kern w:val="0"/>
          <w:szCs w:val="21"/>
          <w:highlight w:val="none"/>
          <w:u w:color="000000"/>
          <w:lang w:val="en-US" w:eastAsia="zh-CN" w:bidi="ar"/>
        </w:rPr>
        <w:t>2</w:t>
      </w:r>
      <w:r>
        <w:rPr>
          <w:rFonts w:hint="eastAsia" w:ascii="宋体" w:hAnsi="宋体" w:eastAsia="宋体" w:cs="宋体"/>
          <w:b/>
          <w:color w:val="auto"/>
          <w:kern w:val="0"/>
          <w:szCs w:val="21"/>
          <w:highlight w:val="none"/>
          <w:u w:color="000000"/>
          <w:lang w:bidi="ar"/>
        </w:rPr>
        <w:t>.投诉</w:t>
      </w:r>
    </w:p>
    <w:p w14:paraId="3315D15F">
      <w:pPr>
        <w:spacing w:line="420" w:lineRule="exact"/>
        <w:ind w:firstLine="420" w:firstLineChars="200"/>
        <w:jc w:val="left"/>
        <w:rPr>
          <w:rFonts w:hint="eastAsia" w:ascii="宋体"/>
          <w:b/>
          <w:color w:val="auto"/>
          <w:sz w:val="32"/>
          <w:szCs w:val="32"/>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48771897">
      <w:pPr>
        <w:rPr>
          <w:rFonts w:hint="eastAsia" w:ascii="宋体"/>
          <w:b/>
          <w:color w:val="auto"/>
          <w:sz w:val="32"/>
          <w:szCs w:val="32"/>
          <w:highlight w:val="none"/>
        </w:rPr>
      </w:pPr>
      <w:r>
        <w:rPr>
          <w:rFonts w:hint="eastAsia" w:ascii="宋体"/>
          <w:b/>
          <w:color w:val="auto"/>
          <w:sz w:val="32"/>
          <w:szCs w:val="32"/>
          <w:highlight w:val="none"/>
        </w:rPr>
        <w:br w:type="page"/>
      </w:r>
    </w:p>
    <w:p w14:paraId="168B1AB6">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4FF62F0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lang w:eastAsia="zh-CN"/>
        </w:rPr>
        <w:t>（</w:t>
      </w:r>
      <w:r>
        <w:rPr>
          <w:rFonts w:hint="eastAsia" w:ascii="宋体" w:hAnsi="Times New Roman" w:eastAsia="宋体" w:cs="Times New Roman"/>
          <w:b/>
          <w:color w:val="auto"/>
          <w:sz w:val="28"/>
          <w:szCs w:val="28"/>
          <w:highlight w:val="none"/>
          <w:lang w:val="en-US" w:eastAsia="zh-CN"/>
        </w:rPr>
        <w:t>一）</w:t>
      </w:r>
      <w:r>
        <w:rPr>
          <w:rFonts w:hint="eastAsia" w:ascii="宋体" w:hAnsi="Times New Roman" w:eastAsia="宋体" w:cs="Times New Roman"/>
          <w:b/>
          <w:color w:val="auto"/>
          <w:sz w:val="28"/>
          <w:szCs w:val="28"/>
          <w:highlight w:val="none"/>
        </w:rPr>
        <w:t>资格审查办法前附表</w:t>
      </w:r>
    </w:p>
    <w:p w14:paraId="1E00ACD9">
      <w:pPr>
        <w:adjustRightInd w:val="0"/>
        <w:snapToGrid w:val="0"/>
        <w:spacing w:line="560" w:lineRule="exact"/>
        <w:jc w:val="left"/>
        <w:rPr>
          <w:rFonts w:hint="eastAsia"/>
          <w:color w:val="auto"/>
          <w:szCs w:val="21"/>
          <w:highlight w:val="none"/>
        </w:rPr>
      </w:pPr>
      <w:r>
        <w:rPr>
          <w:rFonts w:hint="eastAsia"/>
          <w:color w:val="auto"/>
          <w:highlight w:val="none"/>
          <w:lang w:val="en-US" w:eastAsia="zh-CN"/>
        </w:rPr>
        <w:t>1.</w:t>
      </w:r>
      <w:r>
        <w:rPr>
          <w:rFonts w:hint="eastAsia"/>
          <w:color w:val="auto"/>
          <w:highlight w:val="none"/>
        </w:rPr>
        <w:t>资信证明文件评审</w:t>
      </w:r>
      <w:r>
        <w:rPr>
          <w:rFonts w:hint="eastAsia" w:ascii="宋体"/>
          <w:b/>
          <w:color w:val="auto"/>
          <w:szCs w:val="21"/>
          <w:highlight w:val="none"/>
        </w:rPr>
        <w:t>:</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52F4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0CC19D4A">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4243" w:type="dxa"/>
            <w:gridSpan w:val="2"/>
            <w:noWrap w:val="0"/>
            <w:vAlign w:val="center"/>
          </w:tcPr>
          <w:p w14:paraId="142266E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3929" w:type="dxa"/>
            <w:noWrap w:val="0"/>
            <w:vAlign w:val="center"/>
          </w:tcPr>
          <w:p w14:paraId="7C34AD6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070F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70356464">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23A24DE5">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3008" w:type="dxa"/>
            <w:noWrap w:val="0"/>
            <w:vAlign w:val="center"/>
          </w:tcPr>
          <w:p w14:paraId="7CE7F292">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）法定代表人身份证明和本人有效身份证(或法定代表人授权委托书和委托代理人有效身份证)</w:t>
            </w:r>
          </w:p>
        </w:tc>
        <w:tc>
          <w:tcPr>
            <w:tcW w:w="3929" w:type="dxa"/>
            <w:noWrap w:val="0"/>
            <w:vAlign w:val="center"/>
          </w:tcPr>
          <w:p w14:paraId="76734E10">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color w:val="auto"/>
                <w:highlight w:val="none"/>
              </w:rPr>
              <w:t>检验电子标书。</w:t>
            </w:r>
          </w:p>
        </w:tc>
      </w:tr>
      <w:tr w14:paraId="7B0A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29DBC902">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1673CA47">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008" w:type="dxa"/>
            <w:noWrap w:val="0"/>
            <w:vAlign w:val="center"/>
          </w:tcPr>
          <w:p w14:paraId="546F0711">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（2）具有独立承担民事责任的能力</w:t>
            </w:r>
          </w:p>
        </w:tc>
        <w:tc>
          <w:tcPr>
            <w:tcW w:w="3929" w:type="dxa"/>
            <w:noWrap w:val="0"/>
            <w:vAlign w:val="center"/>
          </w:tcPr>
          <w:p w14:paraId="7168B65D">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27D073C5">
            <w:pPr>
              <w:keepNext w:val="0"/>
              <w:keepLines w:val="0"/>
              <w:suppressLineNumbers w:val="0"/>
              <w:spacing w:before="0" w:beforeAutospacing="0" w:after="0" w:afterAutospacing="0" w:line="320" w:lineRule="exact"/>
              <w:ind w:left="0" w:right="0"/>
              <w:jc w:val="left"/>
              <w:rPr>
                <w:rFonts w:hint="eastAsia" w:ascii="宋体"/>
                <w:color w:val="auto"/>
                <w:szCs w:val="21"/>
                <w:highlight w:val="none"/>
              </w:rPr>
            </w:pPr>
            <w:r>
              <w:rPr>
                <w:rFonts w:hint="eastAsia" w:ascii="宋体"/>
                <w:color w:val="auto"/>
                <w:szCs w:val="21"/>
                <w:highlight w:val="none"/>
              </w:rPr>
              <w:t>投标人有效的营业执照、税务登记证、组织机构码证（或“三证合一证书”）</w:t>
            </w:r>
          </w:p>
        </w:tc>
      </w:tr>
      <w:tr w14:paraId="05C5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noWrap w:val="0"/>
            <w:vAlign w:val="center"/>
          </w:tcPr>
          <w:p w14:paraId="0874D0EB">
            <w:pPr>
              <w:keepNext w:val="0"/>
              <w:keepLines w:val="0"/>
              <w:suppressLineNumbers w:val="0"/>
              <w:spacing w:before="0" w:beforeAutospacing="0" w:after="0" w:afterAutospacing="0" w:line="320" w:lineRule="exact"/>
              <w:ind w:left="0" w:right="0"/>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p>
        </w:tc>
        <w:tc>
          <w:tcPr>
            <w:tcW w:w="1235" w:type="dxa"/>
            <w:vMerge w:val="continue"/>
            <w:noWrap w:val="0"/>
            <w:vAlign w:val="center"/>
          </w:tcPr>
          <w:p w14:paraId="5BF99EB8">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64EF107D">
            <w:pPr>
              <w:keepNext w:val="0"/>
              <w:keepLines w:val="0"/>
              <w:suppressLineNumbers w:val="0"/>
              <w:spacing w:before="0" w:beforeAutospacing="0" w:after="0" w:afterAutospacing="0" w:line="320" w:lineRule="exact"/>
              <w:ind w:left="0" w:right="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（3）具备建筑机电安装工程专业承包叁级（或以上）资质，并具有有效的安全生产许可证</w:t>
            </w:r>
          </w:p>
        </w:tc>
        <w:tc>
          <w:tcPr>
            <w:tcW w:w="3929" w:type="dxa"/>
            <w:noWrap w:val="0"/>
            <w:vAlign w:val="center"/>
          </w:tcPr>
          <w:p w14:paraId="01FB7068">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评审核验电子标书中的下列证书、证明材料：</w:t>
            </w:r>
          </w:p>
          <w:p w14:paraId="13391D24">
            <w:pPr>
              <w:keepNext w:val="0"/>
              <w:keepLines w:val="0"/>
              <w:suppressLineNumbers w:val="0"/>
              <w:spacing w:before="0" w:beforeAutospacing="0" w:after="0" w:afterAutospacing="0" w:line="320" w:lineRule="exact"/>
              <w:ind w:left="0" w:right="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投标人有效的企业资质证书和安全生产许可证</w:t>
            </w:r>
          </w:p>
        </w:tc>
      </w:tr>
      <w:tr w14:paraId="1752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7D4EA2C3">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222B604D">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58C12D70">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（4）诚信投标承诺书</w:t>
            </w:r>
          </w:p>
        </w:tc>
        <w:tc>
          <w:tcPr>
            <w:tcW w:w="3929" w:type="dxa"/>
            <w:noWrap w:val="0"/>
            <w:vAlign w:val="center"/>
          </w:tcPr>
          <w:p w14:paraId="75423EB2">
            <w:pPr>
              <w:keepNext w:val="0"/>
              <w:keepLines w:val="0"/>
              <w:suppressLineNumbers w:val="0"/>
              <w:spacing w:before="0" w:beforeAutospacing="0" w:after="0" w:afterAutospacing="0" w:line="360" w:lineRule="exact"/>
              <w:ind w:left="0" w:right="0"/>
              <w:jc w:val="left"/>
              <w:rPr>
                <w:rFonts w:hint="eastAsia" w:ascii="宋体"/>
                <w:b/>
                <w:color w:val="auto"/>
                <w:szCs w:val="21"/>
                <w:highlight w:val="none"/>
              </w:rPr>
            </w:pPr>
            <w:r>
              <w:rPr>
                <w:rFonts w:hint="eastAsia"/>
                <w:color w:val="auto"/>
                <w:highlight w:val="none"/>
              </w:rPr>
              <w:t>格式见附件，检验电子标书</w:t>
            </w:r>
          </w:p>
        </w:tc>
      </w:tr>
      <w:tr w14:paraId="710F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619BDE92">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4BF990DE">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7063ABCB">
            <w:pPr>
              <w:keepNext w:val="0"/>
              <w:keepLines w:val="0"/>
              <w:suppressLineNumbers w:val="0"/>
              <w:spacing w:before="0" w:beforeAutospacing="0" w:after="0" w:afterAutospacing="0" w:line="320" w:lineRule="exact"/>
              <w:ind w:left="0" w:right="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（5）服务承诺书</w:t>
            </w:r>
          </w:p>
        </w:tc>
        <w:tc>
          <w:tcPr>
            <w:tcW w:w="3929" w:type="dxa"/>
            <w:noWrap w:val="0"/>
            <w:vAlign w:val="center"/>
          </w:tcPr>
          <w:p w14:paraId="63E978CD">
            <w:pPr>
              <w:keepNext w:val="0"/>
              <w:keepLines w:val="0"/>
              <w:suppressLineNumbers w:val="0"/>
              <w:spacing w:before="0" w:beforeAutospacing="0" w:after="0" w:afterAutospacing="0" w:line="360" w:lineRule="exact"/>
              <w:ind w:left="0" w:right="0"/>
              <w:jc w:val="left"/>
              <w:rPr>
                <w:rFonts w:hint="eastAsia" w:ascii="宋体"/>
                <w:color w:val="auto"/>
                <w:szCs w:val="21"/>
                <w:highlight w:val="none"/>
              </w:rPr>
            </w:pPr>
            <w:r>
              <w:rPr>
                <w:rFonts w:hint="eastAsia"/>
                <w:color w:val="auto"/>
                <w:highlight w:val="none"/>
              </w:rPr>
              <w:t>格式见附件，检验电子标书</w:t>
            </w:r>
          </w:p>
        </w:tc>
      </w:tr>
    </w:tbl>
    <w:p w14:paraId="415B14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highlight w:val="none"/>
        </w:rPr>
      </w:pPr>
      <w:bookmarkStart w:id="44" w:name="_Toc506107320"/>
      <w:bookmarkStart w:id="45" w:name="_Toc60061492"/>
      <w:bookmarkStart w:id="46" w:name="_Toc95223395"/>
      <w:bookmarkStart w:id="47" w:name="_Toc15058909"/>
      <w:r>
        <w:rPr>
          <w:rFonts w:hint="eastAsia" w:ascii="Times New Roman" w:hAnsi="Times New Roman" w:eastAsia="宋体" w:cs="Times New Roman"/>
          <w:color w:val="auto"/>
          <w:highlight w:val="none"/>
        </w:rPr>
        <w:t>重要提示：</w:t>
      </w:r>
    </w:p>
    <w:p w14:paraId="6E3ED6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评标专家在检验投标文件过程中，如果由于投标人自身原因导致评标专家无法查看并检验投标文件中相关资料的，视为无效标处理。即使投标人将原件携带至现场的，同样按无效标处理</w:t>
      </w:r>
      <w:r>
        <w:rPr>
          <w:rFonts w:hint="eastAsia" w:ascii="Times New Roman" w:hAnsi="Times New Roman" w:eastAsia="宋体" w:cs="Times New Roman"/>
          <w:color w:val="auto"/>
          <w:highlight w:val="none"/>
          <w:lang w:eastAsia="zh-CN"/>
        </w:rPr>
        <w:t>。</w:t>
      </w:r>
    </w:p>
    <w:p w14:paraId="3A70A0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Times New Roman" w:hAnsi="Times New Roman" w:eastAsia="宋体" w:cs="Times New Roman"/>
          <w:color w:val="auto"/>
          <w:highlight w:val="none"/>
        </w:rPr>
        <w:t>。</w:t>
      </w:r>
    </w:p>
    <w:p w14:paraId="1780212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2.审查办法</w:t>
      </w:r>
      <w:bookmarkEnd w:id="44"/>
      <w:bookmarkEnd w:id="45"/>
      <w:bookmarkEnd w:id="46"/>
      <w:bookmarkEnd w:id="47"/>
    </w:p>
    <w:p w14:paraId="77A0F09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highlight w:val="none"/>
        </w:rPr>
      </w:pPr>
      <w:bookmarkStart w:id="48" w:name="_Toc506107321"/>
      <w:bookmarkStart w:id="49" w:name="_Toc15058910"/>
      <w:bookmarkStart w:id="50" w:name="_Toc60061493"/>
      <w:bookmarkStart w:id="51" w:name="_Toc324404868"/>
      <w:r>
        <w:rPr>
          <w:rFonts w:hint="eastAsia" w:ascii="Times New Roman" w:hAnsi="Times New Roman" w:eastAsia="宋体" w:cs="Times New Roman"/>
          <w:color w:val="auto"/>
          <w:highlight w:val="none"/>
        </w:rPr>
        <w:t>由资格审查委员会（评标委员会）按资格审查办法前附表中资格审查必要合格条件评审表要求对投标人审查资料进行核验。</w:t>
      </w:r>
    </w:p>
    <w:p w14:paraId="3AACF25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highlight w:val="none"/>
        </w:rPr>
      </w:pPr>
      <w:bookmarkStart w:id="52" w:name="_Toc95223396"/>
      <w:r>
        <w:rPr>
          <w:rFonts w:hint="eastAsia" w:ascii="Times New Roman" w:hAnsi="Times New Roman" w:eastAsia="宋体" w:cs="Times New Roman"/>
          <w:color w:val="auto"/>
          <w:highlight w:val="none"/>
        </w:rPr>
        <w:t>3.资格审查委员会和审查标准</w:t>
      </w:r>
      <w:bookmarkEnd w:id="48"/>
      <w:bookmarkEnd w:id="49"/>
      <w:bookmarkEnd w:id="50"/>
      <w:bookmarkEnd w:id="51"/>
      <w:bookmarkEnd w:id="52"/>
    </w:p>
    <w:p w14:paraId="7D0D4B1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3.1资格审查由招标人依法组建的资格审查委员会（或评标委员会）负责。审查标准见资格审查办法前附表。</w:t>
      </w:r>
    </w:p>
    <w:p w14:paraId="0346726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3.2由资格审查委员会（评标委员会）按资格审查办法前附表要求对投标人的审查资料进行核验。投标申请人有下列情形之一的，其资格审查为不合格： </w:t>
      </w:r>
    </w:p>
    <w:p w14:paraId="7E25EDD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（1）未</w:t>
      </w:r>
      <w:r>
        <w:rPr>
          <w:rFonts w:hint="eastAsia" w:ascii="Times New Roman" w:hAnsi="Times New Roman" w:eastAsia="宋体" w:cs="Times New Roman"/>
          <w:color w:val="auto"/>
          <w:highlight w:val="none"/>
          <w:lang w:val="en-US" w:eastAsia="zh-CN"/>
        </w:rPr>
        <w:t>发送</w:t>
      </w:r>
      <w:r>
        <w:rPr>
          <w:rFonts w:hint="eastAsia" w:ascii="Times New Roman" w:hAnsi="Times New Roman" w:eastAsia="宋体" w:cs="Times New Roman"/>
          <w:color w:val="auto"/>
          <w:highlight w:val="none"/>
        </w:rPr>
        <w:t>标书或电子标书经审查不合格；</w:t>
      </w:r>
    </w:p>
    <w:p w14:paraId="16E65FD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（2）电子标书</w:t>
      </w:r>
      <w:r>
        <w:rPr>
          <w:rFonts w:hint="eastAsia" w:ascii="Times New Roman" w:hAnsi="Times New Roman" w:eastAsia="宋体" w:cs="Times New Roman"/>
          <w:color w:val="auto"/>
          <w:highlight w:val="none"/>
          <w:lang w:val="en-US" w:eastAsia="zh-CN"/>
        </w:rPr>
        <w:t>无法打开。</w:t>
      </w:r>
    </w:p>
    <w:p w14:paraId="1FC23E8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highlight w:val="none"/>
        </w:rPr>
      </w:pPr>
      <w:bookmarkStart w:id="53" w:name="_Toc324404869"/>
      <w:bookmarkStart w:id="54" w:name="_Toc506107322"/>
      <w:bookmarkStart w:id="55" w:name="_Toc95223397"/>
      <w:bookmarkStart w:id="56" w:name="_Toc15058911"/>
      <w:bookmarkStart w:id="57" w:name="_Toc60061494"/>
      <w:r>
        <w:rPr>
          <w:rFonts w:hint="eastAsia" w:ascii="Times New Roman" w:hAnsi="Times New Roman" w:eastAsia="宋体" w:cs="Times New Roman"/>
          <w:color w:val="auto"/>
          <w:highlight w:val="none"/>
        </w:rPr>
        <w:t>4.审查结果</w:t>
      </w:r>
      <w:bookmarkEnd w:id="53"/>
      <w:bookmarkEnd w:id="54"/>
      <w:bookmarkEnd w:id="55"/>
      <w:bookmarkEnd w:id="56"/>
      <w:bookmarkEnd w:id="57"/>
    </w:p>
    <w:p w14:paraId="243344E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只有通过资格审查的投标人才能进入下一步的评标程序。</w:t>
      </w:r>
    </w:p>
    <w:p w14:paraId="0E854C51">
      <w:pPr>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
          <w:bCs/>
          <w:color w:val="auto"/>
          <w:kern w:val="0"/>
          <w:sz w:val="28"/>
          <w:szCs w:val="28"/>
          <w:highlight w:val="none"/>
          <w:u w:color="000000"/>
          <w:lang w:val="en-US" w:eastAsia="zh-CN" w:bidi="ar"/>
        </w:rPr>
        <w:br w:type="page"/>
      </w:r>
    </w:p>
    <w:p w14:paraId="719145FC">
      <w:pPr>
        <w:adjustRightInd w:val="0"/>
        <w:snapToGrid w:val="0"/>
        <w:spacing w:line="560" w:lineRule="exact"/>
        <w:jc w:val="center"/>
        <w:rPr>
          <w:rFonts w:hint="default" w:ascii="宋体" w:hAnsi="宋体" w:eastAsia="宋体" w:cs="宋体"/>
          <w:b/>
          <w:bCs/>
          <w:color w:val="auto"/>
          <w:sz w:val="28"/>
          <w:szCs w:val="28"/>
          <w:highlight w:val="none"/>
          <w:lang w:val="en-US"/>
        </w:rPr>
      </w:pPr>
      <w:r>
        <w:rPr>
          <w:rFonts w:hint="eastAsia" w:ascii="宋体" w:hAnsi="宋体" w:eastAsia="宋体" w:cs="宋体"/>
          <w:b/>
          <w:bCs/>
          <w:color w:val="auto"/>
          <w:kern w:val="0"/>
          <w:sz w:val="28"/>
          <w:szCs w:val="28"/>
          <w:highlight w:val="none"/>
          <w:u w:color="000000"/>
          <w:lang w:val="en-US" w:eastAsia="zh-CN" w:bidi="ar"/>
        </w:rPr>
        <w:t xml:space="preserve">第四章  </w:t>
      </w:r>
      <w:r>
        <w:rPr>
          <w:rFonts w:hint="eastAsia" w:ascii="宋体" w:hAnsi="宋体" w:eastAsia="宋体" w:cs="宋体"/>
          <w:b/>
          <w:bCs w:val="0"/>
          <w:color w:val="auto"/>
          <w:kern w:val="44"/>
          <w:sz w:val="28"/>
          <w:szCs w:val="28"/>
          <w:highlight w:val="none"/>
          <w:u w:color="000000"/>
          <w:lang w:val="en-US" w:eastAsia="zh-CN" w:bidi="ar"/>
        </w:rPr>
        <w:t>评标办法</w:t>
      </w:r>
    </w:p>
    <w:p w14:paraId="080B5C20">
      <w:pPr>
        <w:pStyle w:val="6"/>
        <w:numPr>
          <w:ilvl w:val="0"/>
          <w:numId w:val="0"/>
        </w:numPr>
        <w:jc w:val="left"/>
        <w:rPr>
          <w:rFonts w:hint="default" w:eastAsia="宋体"/>
          <w:color w:val="auto"/>
          <w:highlight w:val="none"/>
          <w:lang w:val="en-US" w:eastAsia="zh-CN"/>
        </w:rPr>
      </w:pPr>
      <w:bookmarkStart w:id="58" w:name="_Toc23254"/>
      <w:bookmarkEnd w:id="58"/>
      <w:r>
        <w:rPr>
          <w:rFonts w:hint="eastAsia"/>
          <w:color w:val="auto"/>
          <w:highlight w:val="none"/>
          <w:lang w:val="en-US" w:eastAsia="zh-CN"/>
        </w:rPr>
        <w:t>报价评审：</w:t>
      </w:r>
    </w:p>
    <w:tbl>
      <w:tblPr>
        <w:tblStyle w:val="2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0F50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5EBEB62">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bookmarkStart w:id="59" w:name="_Toc58430318"/>
            <w:bookmarkStart w:id="60" w:name="_Toc362983802"/>
            <w:bookmarkStart w:id="61" w:name="_Toc449028878"/>
            <w:bookmarkStart w:id="62" w:name="_Toc363135205"/>
            <w:bookmarkStart w:id="63" w:name="_Toc267320058"/>
            <w:r>
              <w:rPr>
                <w:rFonts w:hint="eastAsia" w:ascii="黑体" w:eastAsia="黑体" w:cs="黑体"/>
                <w:b/>
                <w:bCs/>
                <w:color w:val="auto"/>
                <w:szCs w:val="21"/>
                <w:highlight w:val="none"/>
              </w:rPr>
              <w:t>序号</w:t>
            </w:r>
          </w:p>
        </w:tc>
        <w:tc>
          <w:tcPr>
            <w:tcW w:w="4135" w:type="dxa"/>
            <w:gridSpan w:val="2"/>
            <w:noWrap w:val="0"/>
            <w:vAlign w:val="center"/>
          </w:tcPr>
          <w:p w14:paraId="05C60607">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14:paraId="006823B2">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4D23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08F49C0A">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95C2974">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2931" w:type="dxa"/>
            <w:noWrap w:val="0"/>
            <w:vAlign w:val="center"/>
          </w:tcPr>
          <w:p w14:paraId="7E8DDCE2">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4173" w:type="dxa"/>
            <w:noWrap w:val="0"/>
            <w:vAlign w:val="center"/>
          </w:tcPr>
          <w:p w14:paraId="7E589D88">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有投标人及其法定代表人签章。</w:t>
            </w:r>
          </w:p>
        </w:tc>
      </w:tr>
      <w:tr w14:paraId="12F0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5C4E6142">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32150379">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13BE1781">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4173" w:type="dxa"/>
            <w:noWrap w:val="0"/>
            <w:vAlign w:val="center"/>
          </w:tcPr>
          <w:p w14:paraId="233B2D47">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auto"/>
                <w:szCs w:val="21"/>
                <w:highlight w:val="none"/>
              </w:rPr>
            </w:pPr>
            <w:r>
              <w:rPr>
                <w:rFonts w:hint="eastAsia" w:ascii="宋体" w:hAnsi="宋体" w:cs="宋体"/>
                <w:color w:val="auto"/>
                <w:szCs w:val="21"/>
                <w:highlight w:val="none"/>
              </w:rPr>
              <w:t>符合第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章“投标文件格式”的要求。</w:t>
            </w:r>
          </w:p>
        </w:tc>
      </w:tr>
      <w:tr w14:paraId="2F1C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4096C403">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7B56C4A4">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3B6E3BBA">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投标文件签字盖章</w:t>
            </w:r>
          </w:p>
        </w:tc>
        <w:tc>
          <w:tcPr>
            <w:tcW w:w="4173" w:type="dxa"/>
            <w:noWrap w:val="0"/>
            <w:vAlign w:val="center"/>
          </w:tcPr>
          <w:p w14:paraId="2E55EAD9">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auto"/>
                <w:szCs w:val="21"/>
                <w:highlight w:val="none"/>
              </w:rPr>
            </w:pPr>
            <w:r>
              <w:rPr>
                <w:rFonts w:hint="eastAsia" w:ascii="宋体" w:hAnsi="宋体" w:cs="宋体"/>
                <w:color w:val="auto"/>
                <w:szCs w:val="21"/>
                <w:highlight w:val="none"/>
              </w:rPr>
              <w:t>按投标文件格式要求签章。</w:t>
            </w:r>
          </w:p>
        </w:tc>
      </w:tr>
      <w:tr w14:paraId="2129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43B19BAC">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2F6C308B">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2D61CD2D">
            <w:pPr>
              <w:keepNext w:val="0"/>
              <w:keepLines w:val="0"/>
              <w:suppressLineNumbers w:val="0"/>
              <w:adjustRightInd w:val="0"/>
              <w:snapToGrid w:val="0"/>
              <w:spacing w:before="0" w:beforeAutospacing="0" w:after="0" w:afterAutospacing="0" w:line="560" w:lineRule="exact"/>
              <w:ind w:left="0" w:right="0"/>
              <w:rPr>
                <w:rFonts w:hint="eastAsia" w:ascii="宋体"/>
                <w:color w:val="auto"/>
                <w:szCs w:val="21"/>
                <w:highlight w:val="none"/>
              </w:rPr>
            </w:pPr>
            <w:r>
              <w:rPr>
                <w:rFonts w:hint="eastAsia" w:ascii="宋体" w:hAnsi="宋体" w:cs="宋体"/>
                <w:color w:val="auto"/>
                <w:szCs w:val="21"/>
                <w:highlight w:val="none"/>
              </w:rPr>
              <w:t>报价唯一</w:t>
            </w:r>
          </w:p>
        </w:tc>
        <w:tc>
          <w:tcPr>
            <w:tcW w:w="4173" w:type="dxa"/>
            <w:noWrap w:val="0"/>
            <w:vAlign w:val="center"/>
          </w:tcPr>
          <w:p w14:paraId="389AC5F7">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14:paraId="09B5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72FD1F77">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9010F83">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2931" w:type="dxa"/>
            <w:noWrap w:val="0"/>
            <w:vAlign w:val="center"/>
          </w:tcPr>
          <w:p w14:paraId="7D7CF90D">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auto"/>
                <w:szCs w:val="21"/>
                <w:highlight w:val="none"/>
              </w:rPr>
            </w:pPr>
            <w:r>
              <w:rPr>
                <w:rFonts w:hint="eastAsia" w:ascii="宋体" w:hAnsi="宋体" w:cs="宋体"/>
                <w:color w:val="auto"/>
                <w:szCs w:val="21"/>
                <w:highlight w:val="none"/>
                <w:lang w:val="en-US" w:eastAsia="zh-CN"/>
              </w:rPr>
              <w:t>供货</w:t>
            </w:r>
            <w:r>
              <w:rPr>
                <w:rFonts w:hint="eastAsia" w:ascii="宋体" w:hAnsi="宋体" w:cs="宋体"/>
                <w:color w:val="auto"/>
                <w:szCs w:val="21"/>
                <w:highlight w:val="none"/>
              </w:rPr>
              <w:t>期</w:t>
            </w:r>
          </w:p>
        </w:tc>
        <w:tc>
          <w:tcPr>
            <w:tcW w:w="4173" w:type="dxa"/>
            <w:noWrap w:val="0"/>
            <w:vAlign w:val="center"/>
          </w:tcPr>
          <w:p w14:paraId="121FBD3C">
            <w:pPr>
              <w:keepNext w:val="0"/>
              <w:keepLines w:val="0"/>
              <w:suppressLineNumbers w:val="0"/>
              <w:adjustRightInd w:val="0"/>
              <w:snapToGrid w:val="0"/>
              <w:spacing w:before="0" w:beforeAutospacing="0" w:after="0" w:afterAutospacing="0" w:line="560" w:lineRule="exact"/>
              <w:ind w:left="0" w:right="0"/>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14:paraId="4D86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3CDD4A7">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186F5F60">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7E846037">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4173" w:type="dxa"/>
            <w:noWrap w:val="0"/>
            <w:vAlign w:val="center"/>
          </w:tcPr>
          <w:p w14:paraId="2377BB2F">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14:paraId="7C68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8B16003">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40519968">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24465EF8">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报</w:t>
            </w:r>
            <w:r>
              <w:rPr>
                <w:rFonts w:hint="eastAsia" w:ascii="宋体" w:hAnsi="宋体" w:cs="宋体"/>
                <w:color w:val="auto"/>
                <w:szCs w:val="21"/>
                <w:highlight w:val="none"/>
              </w:rPr>
              <w:t>价评审</w:t>
            </w:r>
          </w:p>
        </w:tc>
        <w:tc>
          <w:tcPr>
            <w:tcW w:w="4173" w:type="dxa"/>
            <w:noWrap w:val="0"/>
            <w:vAlign w:val="center"/>
          </w:tcPr>
          <w:p w14:paraId="72B7C3D4">
            <w:pPr>
              <w:keepNext w:val="0"/>
              <w:keepLines w:val="0"/>
              <w:suppressLineNumbers w:val="0"/>
              <w:adjustRightInd w:val="0"/>
              <w:snapToGrid w:val="0"/>
              <w:spacing w:before="0" w:beforeAutospacing="0" w:after="0" w:afterAutospacing="0" w:line="560" w:lineRule="exact"/>
              <w:ind w:left="0" w:right="0"/>
              <w:rPr>
                <w:rFonts w:hint="eastAsia" w:ascii="宋体" w:hAnsi="宋体" w:eastAsia="宋体" w:cs="宋体"/>
                <w:color w:val="auto"/>
                <w:szCs w:val="21"/>
                <w:highlight w:val="none"/>
                <w:lang w:eastAsia="zh-CN"/>
              </w:rPr>
            </w:pPr>
            <w:r>
              <w:rPr>
                <w:rFonts w:hint="eastAsia" w:ascii="宋体" w:hAnsi="宋体" w:cs="宋体"/>
                <w:color w:val="auto"/>
                <w:spacing w:val="-6"/>
                <w:szCs w:val="21"/>
                <w:highlight w:val="none"/>
              </w:rPr>
              <w:t>不得高于最高投标限价</w:t>
            </w:r>
            <w:r>
              <w:rPr>
                <w:rFonts w:hint="eastAsia" w:ascii="宋体" w:hAnsi="宋体" w:cs="宋体"/>
                <w:color w:val="auto"/>
                <w:spacing w:val="-6"/>
                <w:szCs w:val="21"/>
                <w:highlight w:val="none"/>
                <w:lang w:eastAsia="zh-CN"/>
              </w:rPr>
              <w:t>。</w:t>
            </w:r>
          </w:p>
        </w:tc>
      </w:tr>
      <w:tr w14:paraId="170B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AED6217">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B4DFA2">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详细评审标准</w:t>
            </w:r>
          </w:p>
          <w:p w14:paraId="3D4314DF">
            <w:pPr>
              <w:keepNext w:val="0"/>
              <w:keepLines w:val="0"/>
              <w:suppressLineNumbers w:val="0"/>
              <w:spacing w:before="0" w:beforeAutospacing="0" w:after="0" w:afterAutospacing="0" w:line="320" w:lineRule="atLeast"/>
              <w:ind w:left="0" w:right="0"/>
              <w:jc w:val="center"/>
              <w:rPr>
                <w:rFonts w:hint="eastAsia" w:ascii="宋体" w:cs="仿宋_GB2312"/>
                <w:color w:val="auto"/>
                <w:szCs w:val="21"/>
                <w:highlight w:val="none"/>
                <w:lang w:val="zh-CN"/>
              </w:rPr>
            </w:pPr>
          </w:p>
        </w:tc>
        <w:tc>
          <w:tcPr>
            <w:tcW w:w="2931" w:type="dxa"/>
            <w:noWrap w:val="0"/>
            <w:vAlign w:val="center"/>
          </w:tcPr>
          <w:p w14:paraId="2FDB4EA5">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采购需求响应程度</w:t>
            </w:r>
          </w:p>
        </w:tc>
        <w:tc>
          <w:tcPr>
            <w:tcW w:w="4173" w:type="dxa"/>
            <w:noWrap w:val="0"/>
            <w:vAlign w:val="center"/>
          </w:tcPr>
          <w:p w14:paraId="321D182A">
            <w:pPr>
              <w:keepNext w:val="0"/>
              <w:keepLines w:val="0"/>
              <w:suppressLineNumbers w:val="0"/>
              <w:spacing w:before="0" w:beforeAutospacing="0" w:after="0" w:afterAutospacing="0" w:line="320" w:lineRule="atLeast"/>
              <w:ind w:left="0" w:right="0"/>
              <w:rPr>
                <w:rFonts w:hint="eastAsia" w:ascii="宋体" w:eastAsia="宋体" w:cs="仿宋_GB2312"/>
                <w:color w:val="auto"/>
                <w:szCs w:val="21"/>
                <w:highlight w:val="none"/>
                <w:lang w:val="zh-CN" w:eastAsia="zh-CN"/>
              </w:rPr>
            </w:pPr>
            <w:r>
              <w:rPr>
                <w:rFonts w:hint="eastAsia" w:ascii="宋体" w:cs="仿宋_GB2312"/>
                <w:color w:val="auto"/>
                <w:szCs w:val="21"/>
                <w:highlight w:val="none"/>
                <w:lang w:val="zh-CN"/>
              </w:rPr>
              <w:t>完全响应或优于招标文件要求。</w:t>
            </w:r>
          </w:p>
        </w:tc>
      </w:tr>
      <w:tr w14:paraId="56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noWrap w:val="0"/>
            <w:vAlign w:val="center"/>
          </w:tcPr>
          <w:p w14:paraId="6727D85F">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p>
        </w:tc>
        <w:tc>
          <w:tcPr>
            <w:tcW w:w="1204" w:type="dxa"/>
            <w:vMerge w:val="continue"/>
            <w:noWrap w:val="0"/>
            <w:vAlign w:val="center"/>
          </w:tcPr>
          <w:p w14:paraId="53C5EBBF">
            <w:pPr>
              <w:keepNext w:val="0"/>
              <w:keepLines w:val="0"/>
              <w:suppressLineNumbers w:val="0"/>
              <w:spacing w:before="0" w:beforeAutospacing="0" w:after="0" w:afterAutospacing="0" w:line="320" w:lineRule="atLeast"/>
              <w:ind w:left="0" w:right="0"/>
              <w:jc w:val="center"/>
              <w:rPr>
                <w:rFonts w:hint="eastAsia" w:ascii="宋体" w:cs="仿宋_GB2312"/>
                <w:color w:val="auto"/>
                <w:szCs w:val="21"/>
                <w:highlight w:val="none"/>
                <w:lang w:val="zh-CN"/>
              </w:rPr>
            </w:pPr>
          </w:p>
        </w:tc>
        <w:tc>
          <w:tcPr>
            <w:tcW w:w="2931" w:type="dxa"/>
            <w:noWrap w:val="0"/>
            <w:vAlign w:val="center"/>
          </w:tcPr>
          <w:p w14:paraId="5150A99D">
            <w:pPr>
              <w:keepNext w:val="0"/>
              <w:keepLines w:val="0"/>
              <w:suppressLineNumbers w:val="0"/>
              <w:spacing w:before="0" w:beforeAutospacing="0" w:after="0" w:afterAutospacing="0" w:line="320" w:lineRule="atLeast"/>
              <w:ind w:left="0" w:right="0"/>
              <w:rPr>
                <w:rFonts w:hint="eastAsia" w:ascii="宋体" w:hAnsi="宋体" w:cs="宋体"/>
                <w:color w:val="auto"/>
                <w:szCs w:val="21"/>
                <w:highlight w:val="none"/>
              </w:rPr>
            </w:pPr>
            <w:r>
              <w:rPr>
                <w:rFonts w:hint="eastAsia" w:ascii="宋体" w:cs="仿宋_GB2312"/>
                <w:color w:val="auto"/>
                <w:szCs w:val="21"/>
                <w:highlight w:val="none"/>
                <w:lang w:val="zh-CN"/>
              </w:rPr>
              <w:t>商务条款响应程度（包括供货期、售后服务、技术培训等）</w:t>
            </w:r>
          </w:p>
        </w:tc>
        <w:tc>
          <w:tcPr>
            <w:tcW w:w="4173" w:type="dxa"/>
            <w:noWrap w:val="0"/>
            <w:vAlign w:val="center"/>
          </w:tcPr>
          <w:p w14:paraId="44800BB4">
            <w:pPr>
              <w:keepNext w:val="0"/>
              <w:keepLines w:val="0"/>
              <w:suppressLineNumbers w:val="0"/>
              <w:spacing w:before="0" w:beforeAutospacing="0" w:after="0" w:afterAutospacing="0" w:line="320" w:lineRule="atLeast"/>
              <w:ind w:left="0" w:right="0"/>
              <w:rPr>
                <w:rFonts w:hint="eastAsia" w:ascii="宋体" w:hAnsi="宋体" w:cs="宋体"/>
                <w:color w:val="auto"/>
                <w:szCs w:val="21"/>
                <w:highlight w:val="none"/>
              </w:rPr>
            </w:pPr>
            <w:r>
              <w:rPr>
                <w:rFonts w:hint="eastAsia" w:ascii="宋体" w:cs="仿宋_GB2312"/>
                <w:color w:val="auto"/>
                <w:szCs w:val="21"/>
                <w:highlight w:val="none"/>
                <w:lang w:val="zh-CN"/>
              </w:rPr>
              <w:t>完全响应或优于招标文件要求。</w:t>
            </w:r>
          </w:p>
        </w:tc>
      </w:tr>
      <w:bookmarkEnd w:id="59"/>
      <w:bookmarkEnd w:id="60"/>
      <w:bookmarkEnd w:id="61"/>
      <w:bookmarkEnd w:id="62"/>
      <w:bookmarkEnd w:id="63"/>
    </w:tbl>
    <w:p w14:paraId="2CFD1B8F">
      <w:pPr>
        <w:spacing w:line="440" w:lineRule="exact"/>
        <w:ind w:firstLine="315" w:firstLineChars="150"/>
        <w:jc w:val="left"/>
        <w:rPr>
          <w:rFonts w:hint="default" w:ascii="宋体"/>
          <w:b/>
          <w:color w:val="auto"/>
          <w:szCs w:val="21"/>
          <w:highlight w:val="none"/>
          <w:lang w:val="en-US" w:eastAsia="zh-CN"/>
        </w:rPr>
      </w:pPr>
      <w:r>
        <w:rPr>
          <w:rFonts w:hint="eastAsia" w:ascii="宋体"/>
          <w:b/>
          <w:color w:val="auto"/>
          <w:szCs w:val="21"/>
          <w:highlight w:val="none"/>
          <w:lang w:val="en-US" w:eastAsia="zh-CN"/>
        </w:rPr>
        <w:t>1. 评标方法</w:t>
      </w:r>
    </w:p>
    <w:p w14:paraId="0CC6B0B7">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1.1本次评标采用最低评标价法，评标委员会对满足招标文件实质性要求的投标文件，最终按投标报价最低原则，推荐有效投标报价最低的为第一中标候选人，次低的为第二中标候选人，以此类推，推荐中标候选人应当不超过3名，并标明排序，但投标报价低于其成本的除外。投标报价最低的有效投标人有两名或两名以上相同时，由评标委员会主任委员或招标人抽签确定第一中标候选人。</w:t>
      </w:r>
    </w:p>
    <w:p w14:paraId="3785A2C6">
      <w:pPr>
        <w:keepNext w:val="0"/>
        <w:keepLines w:val="0"/>
        <w:pageBreakBefore w:val="0"/>
        <w:widowControl w:val="0"/>
        <w:kinsoku/>
        <w:wordWrap w:val="0"/>
        <w:overflowPunct/>
        <w:topLinePunct w:val="0"/>
        <w:autoSpaceDE/>
        <w:autoSpaceDN/>
        <w:bidi w:val="0"/>
        <w:adjustRightInd/>
        <w:snapToGrid/>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评标委员会登录全国建筑市场监管公共服务平台(四库-平台)https://jzsc.mohurd.gov.cn/home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 号），对中标候选人的关系企业履约能力的建造师数量进行评审：</w:t>
      </w:r>
    </w:p>
    <w:p w14:paraId="5939E452">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①</w:t>
      </w:r>
      <w:r>
        <w:rPr>
          <w:rFonts w:hint="eastAsia" w:ascii="宋体" w:hAnsi="宋体" w:eastAsia="宋体" w:cs="宋体"/>
          <w:color w:val="auto"/>
          <w:highlight w:val="none"/>
          <w:lang w:val="en-US" w:eastAsia="zh-CN"/>
        </w:rPr>
        <w:t>建筑机电安装工程专业承包</w:t>
      </w:r>
      <w:r>
        <w:rPr>
          <w:rFonts w:hint="eastAsia" w:ascii="宋体" w:hAnsi="宋体" w:eastAsia="宋体" w:cs="宋体"/>
          <w:color w:val="auto"/>
          <w:highlight w:val="none"/>
        </w:rPr>
        <w:t>壹级资质企业：机电工程专业一级注册建造师不少于8人。</w:t>
      </w:r>
    </w:p>
    <w:p w14:paraId="312114C5">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②</w:t>
      </w:r>
      <w:r>
        <w:rPr>
          <w:rFonts w:hint="eastAsia" w:ascii="宋体" w:hAnsi="宋体" w:eastAsia="宋体" w:cs="宋体"/>
          <w:color w:val="auto"/>
          <w:highlight w:val="none"/>
          <w:lang w:val="en-US" w:eastAsia="zh-CN"/>
        </w:rPr>
        <w:t>建筑机电安装工程专业承包</w:t>
      </w:r>
      <w:r>
        <w:rPr>
          <w:rFonts w:hint="eastAsia" w:ascii="宋体" w:hAnsi="宋体" w:eastAsia="宋体" w:cs="宋体"/>
          <w:color w:val="auto"/>
          <w:highlight w:val="none"/>
        </w:rPr>
        <w:t>贰级、叁级资质企业：机电工程专业注册建造师不少于3人。</w:t>
      </w:r>
    </w:p>
    <w:p w14:paraId="6FBE9615">
      <w:pPr>
        <w:keepNext w:val="0"/>
        <w:keepLines w:val="0"/>
        <w:pageBreakBefore w:val="0"/>
        <w:widowControl w:val="0"/>
        <w:kinsoku/>
        <w:wordWrap w:val="0"/>
        <w:overflowPunct/>
        <w:topLinePunct w:val="0"/>
        <w:autoSpaceDE/>
        <w:autoSpaceDN/>
        <w:bidi w:val="0"/>
        <w:adjustRightInd/>
        <w:snapToGrid/>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中标候选人的注册建造师不满足上述要求的，评标委员会对该投标不予认可，并将该情形报送相关行政主管部门。中标候选人依次替补，评标委员会再次对替补单位进行核查。</w:t>
      </w:r>
    </w:p>
    <w:p w14:paraId="48B37EC7">
      <w:pPr>
        <w:spacing w:line="440" w:lineRule="exact"/>
        <w:ind w:firstLine="315" w:firstLineChars="150"/>
        <w:jc w:val="left"/>
        <w:rPr>
          <w:rFonts w:hint="eastAsia" w:ascii="宋体"/>
          <w:b/>
          <w:color w:val="auto"/>
          <w:szCs w:val="21"/>
          <w:highlight w:val="none"/>
          <w:lang w:val="en-US" w:eastAsia="zh-CN"/>
        </w:rPr>
      </w:pPr>
      <w:r>
        <w:rPr>
          <w:rFonts w:hint="eastAsia" w:ascii="宋体"/>
          <w:b/>
          <w:color w:val="auto"/>
          <w:szCs w:val="21"/>
          <w:highlight w:val="none"/>
          <w:lang w:val="en-US" w:eastAsia="zh-CN"/>
        </w:rPr>
        <w:t>2．评标委员会的职责</w:t>
      </w:r>
    </w:p>
    <w:p w14:paraId="613A3F37">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B2DA7D2">
      <w:pPr>
        <w:spacing w:line="440" w:lineRule="exact"/>
        <w:ind w:firstLine="315" w:firstLineChars="150"/>
        <w:jc w:val="left"/>
        <w:rPr>
          <w:rFonts w:hint="eastAsia" w:ascii="Times New Roman" w:hAnsi="Times New Roman" w:eastAsia="宋体" w:cs="Times New Roman"/>
          <w:color w:val="auto"/>
          <w:highlight w:val="none"/>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评标委员会应加</w:t>
      </w:r>
      <w:r>
        <w:rPr>
          <w:rFonts w:hint="eastAsia" w:ascii="Times New Roman" w:hAnsi="Times New Roman" w:eastAsia="宋体" w:cs="Times New Roman"/>
          <w:color w:val="auto"/>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34DE6AC">
      <w:pPr>
        <w:numPr>
          <w:ilvl w:val="0"/>
          <w:numId w:val="3"/>
        </w:numPr>
        <w:spacing w:line="440" w:lineRule="exact"/>
        <w:ind w:firstLine="315" w:firstLineChars="150"/>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评标程序</w:t>
      </w:r>
    </w:p>
    <w:p w14:paraId="05F15CD4">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评标先做准备工作，再进行</w:t>
      </w:r>
      <w:r>
        <w:rPr>
          <w:rFonts w:hint="eastAsia" w:ascii="宋体" w:hAnsi="宋体" w:eastAsia="宋体" w:cs="宋体"/>
          <w:color w:val="auto"/>
          <w:highlight w:val="none"/>
          <w:lang w:val="en-US" w:eastAsia="zh-CN"/>
        </w:rPr>
        <w:t>资格审查</w:t>
      </w:r>
      <w:r>
        <w:rPr>
          <w:rFonts w:hint="eastAsia" w:ascii="宋体" w:hAnsi="宋体" w:eastAsia="宋体" w:cs="宋体"/>
          <w:color w:val="auto"/>
          <w:highlight w:val="none"/>
        </w:rPr>
        <w:t>，然后进行</w:t>
      </w:r>
      <w:r>
        <w:rPr>
          <w:rFonts w:hint="eastAsia" w:ascii="宋体" w:hAnsi="宋体" w:eastAsia="宋体" w:cs="宋体"/>
          <w:color w:val="auto"/>
          <w:highlight w:val="none"/>
          <w:lang w:val="en-US" w:eastAsia="zh-CN"/>
        </w:rPr>
        <w:t>投标文件</w:t>
      </w:r>
      <w:r>
        <w:rPr>
          <w:rFonts w:hint="eastAsia" w:ascii="宋体" w:hAnsi="宋体" w:eastAsia="宋体" w:cs="宋体"/>
          <w:color w:val="auto"/>
          <w:highlight w:val="none"/>
        </w:rPr>
        <w:t>评审。</w:t>
      </w:r>
    </w:p>
    <w:p w14:paraId="47B24EE5">
      <w:pPr>
        <w:spacing w:line="440" w:lineRule="exact"/>
        <w:ind w:firstLine="315" w:firstLineChars="150"/>
        <w:jc w:val="left"/>
        <w:rPr>
          <w:rFonts w:hint="eastAsia" w:ascii="宋体" w:hAnsi="宋体" w:eastAsia="宋体" w:cs="宋体"/>
          <w:color w:val="auto"/>
          <w:highlight w:val="none"/>
        </w:rPr>
      </w:pPr>
      <w:bookmarkStart w:id="64" w:name="_Toc95223402"/>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评标准备工作</w:t>
      </w:r>
      <w:bookmarkEnd w:id="64"/>
    </w:p>
    <w:p w14:paraId="63D5A203">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评标委员会熟悉评标工作情况：</w:t>
      </w:r>
    </w:p>
    <w:p w14:paraId="2A365351">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（1）阅读由招标人或者其委</w:t>
      </w:r>
      <w:bookmarkStart w:id="65" w:name="_Toc15058916"/>
      <w:bookmarkStart w:id="66" w:name="_Toc60061499"/>
      <w:r>
        <w:rPr>
          <w:rFonts w:hint="eastAsia" w:ascii="宋体" w:hAnsi="宋体" w:eastAsia="宋体" w:cs="宋体"/>
          <w:color w:val="auto"/>
          <w:highlight w:val="none"/>
        </w:rPr>
        <w:t>托的代理机构编</w:t>
      </w:r>
      <w:bookmarkEnd w:id="65"/>
      <w:bookmarkEnd w:id="66"/>
      <w:r>
        <w:rPr>
          <w:rFonts w:hint="eastAsia" w:ascii="宋体" w:hAnsi="宋体" w:eastAsia="宋体" w:cs="宋体"/>
          <w:color w:val="auto"/>
          <w:highlight w:val="none"/>
        </w:rPr>
        <w:t>制的招标项目情况材料。</w:t>
      </w:r>
    </w:p>
    <w:p w14:paraId="569B5136">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（2）阅读、研究招标文件和相关评标资料，获取评标所需要的重要信息和数据，至少应了解和熟悉以下内容：招标项目的范围和性质，招标文件规定的主要技术要求、标准和条款。</w:t>
      </w:r>
    </w:p>
    <w:p w14:paraId="3171DABC">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（3）熟悉招标文件规定的评标标准和评标方法及在评标过程中需要考虑的相关因素。</w:t>
      </w:r>
    </w:p>
    <w:p w14:paraId="644F3A04">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（4）核对评标工作用表。</w:t>
      </w:r>
    </w:p>
    <w:p w14:paraId="2CEA3350">
      <w:pPr>
        <w:spacing w:line="440" w:lineRule="exact"/>
        <w:ind w:firstLine="315" w:firstLineChars="150"/>
        <w:jc w:val="left"/>
        <w:rPr>
          <w:rFonts w:hint="eastAsia" w:ascii="宋体" w:hAnsi="宋体" w:eastAsia="宋体" w:cs="宋体"/>
          <w:color w:val="auto"/>
          <w:highlight w:val="none"/>
        </w:rPr>
      </w:pPr>
      <w:bookmarkStart w:id="67" w:name="_Toc15058917"/>
      <w:bookmarkStart w:id="68" w:name="_Toc60061500"/>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推荐中标候</w:t>
      </w:r>
      <w:bookmarkEnd w:id="67"/>
      <w:bookmarkEnd w:id="68"/>
      <w:r>
        <w:rPr>
          <w:rFonts w:hint="eastAsia" w:ascii="宋体" w:hAnsi="宋体" w:eastAsia="宋体" w:cs="宋体"/>
          <w:color w:val="auto"/>
          <w:highlight w:val="none"/>
        </w:rPr>
        <w:t>选人</w:t>
      </w:r>
    </w:p>
    <w:p w14:paraId="6C398DFA">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w:t>
      </w:r>
      <w:bookmarkStart w:id="69" w:name="_Toc15058918"/>
      <w:bookmarkStart w:id="70" w:name="_Toc60061501"/>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rPr>
        <w:t>评审</w:t>
      </w:r>
      <w:bookmarkEnd w:id="69"/>
      <w:bookmarkEnd w:id="70"/>
      <w:r>
        <w:rPr>
          <w:rFonts w:hint="eastAsia" w:ascii="宋体" w:hAnsi="宋体" w:cs="宋体"/>
          <w:color w:val="auto"/>
          <w:szCs w:val="21"/>
          <w:highlight w:val="none"/>
        </w:rPr>
        <w:t>后，推荐中标候选人，并标明排序。</w:t>
      </w:r>
    </w:p>
    <w:p w14:paraId="7143A2D1">
      <w:pPr>
        <w:numPr>
          <w:ilvl w:val="0"/>
          <w:numId w:val="3"/>
        </w:numPr>
        <w:spacing w:line="440" w:lineRule="exact"/>
        <w:ind w:firstLine="315" w:firstLineChars="150"/>
        <w:jc w:val="left"/>
        <w:rPr>
          <w:rFonts w:hint="eastAsia" w:ascii="宋体" w:hAnsi="Times New Roman" w:eastAsia="宋体" w:cs="Times New Roman"/>
          <w:b/>
          <w:color w:val="auto"/>
          <w:szCs w:val="21"/>
          <w:highlight w:val="none"/>
          <w:lang w:val="en-US" w:eastAsia="zh-CN"/>
        </w:rPr>
      </w:pPr>
      <w:bookmarkStart w:id="71" w:name="_Toc95223405"/>
      <w:r>
        <w:rPr>
          <w:rFonts w:hint="eastAsia" w:ascii="宋体" w:hAnsi="Times New Roman" w:eastAsia="宋体" w:cs="Times New Roman"/>
          <w:b/>
          <w:color w:val="auto"/>
          <w:szCs w:val="21"/>
          <w:highlight w:val="none"/>
          <w:lang w:val="en-US" w:eastAsia="zh-CN"/>
        </w:rPr>
        <w:t>评审内容</w:t>
      </w:r>
      <w:bookmarkEnd w:id="71"/>
    </w:p>
    <w:p w14:paraId="260B4007">
      <w:pPr>
        <w:spacing w:line="440" w:lineRule="exact"/>
        <w:ind w:firstLine="315" w:firstLineChars="150"/>
        <w:jc w:val="left"/>
        <w:rPr>
          <w:rFonts w:hint="eastAsia" w:ascii="宋体" w:hAnsi="宋体" w:eastAsia="宋体" w:cs="宋体"/>
          <w:color w:val="auto"/>
          <w:szCs w:val="21"/>
          <w:highlight w:val="none"/>
        </w:rPr>
      </w:pPr>
      <w:bookmarkStart w:id="72" w:name="_Toc95223407"/>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1投标文件</w:t>
      </w:r>
      <w:r>
        <w:rPr>
          <w:rFonts w:hint="eastAsia" w:ascii="宋体" w:hAnsi="宋体" w:eastAsia="宋体" w:cs="宋体"/>
          <w:color w:val="auto"/>
          <w:szCs w:val="21"/>
          <w:highlight w:val="none"/>
        </w:rPr>
        <w:t>评审</w:t>
      </w:r>
      <w:bookmarkEnd w:id="72"/>
    </w:p>
    <w:p w14:paraId="5FF7779C">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w:t>
      </w:r>
      <w:r>
        <w:rPr>
          <w:rFonts w:hint="eastAsia" w:ascii="宋体" w:hAnsi="宋体" w:eastAsia="宋体" w:cs="宋体"/>
          <w:color w:val="auto"/>
          <w:szCs w:val="21"/>
          <w:highlight w:val="none"/>
          <w:lang w:val="en-US" w:eastAsia="zh-CN"/>
        </w:rPr>
        <w:t>资格审查</w:t>
      </w:r>
      <w:r>
        <w:rPr>
          <w:rFonts w:hint="eastAsia" w:ascii="宋体" w:hAnsi="宋体" w:eastAsia="宋体" w:cs="宋体"/>
          <w:color w:val="auto"/>
          <w:szCs w:val="21"/>
          <w:highlight w:val="none"/>
        </w:rPr>
        <w:t>的投标才能够进入本阶段评审。</w:t>
      </w:r>
    </w:p>
    <w:p w14:paraId="6957BFB6">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bookmarkStart w:id="73" w:name="_Toc60061504"/>
      <w:bookmarkStart w:id="74" w:name="_Toc15058921"/>
      <w:r>
        <w:rPr>
          <w:rFonts w:hint="eastAsia" w:ascii="宋体" w:hAnsi="宋体" w:eastAsia="宋体" w:cs="宋体"/>
          <w:color w:val="auto"/>
          <w:szCs w:val="21"/>
          <w:highlight w:val="none"/>
        </w:rPr>
        <w:t>形式性评审标准：</w:t>
      </w:r>
      <w:bookmarkEnd w:id="73"/>
      <w:bookmarkEnd w:id="74"/>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1B1DC8DE">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.2响应性评审标准：见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34389D73">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1F6C7561">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.3详细评审标准：见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3E7F582F">
      <w:pPr>
        <w:numPr>
          <w:ilvl w:val="0"/>
          <w:numId w:val="3"/>
        </w:numPr>
        <w:spacing w:line="440" w:lineRule="exact"/>
        <w:ind w:firstLine="315" w:firstLineChars="150"/>
        <w:jc w:val="left"/>
        <w:rPr>
          <w:rFonts w:hint="eastAsia" w:ascii="宋体" w:hAnsi="Times New Roman" w:eastAsia="宋体" w:cs="Times New Roman"/>
          <w:b/>
          <w:color w:val="auto"/>
          <w:szCs w:val="21"/>
          <w:highlight w:val="none"/>
          <w:lang w:val="en-US" w:eastAsia="zh-CN"/>
        </w:rPr>
      </w:pPr>
      <w:bookmarkStart w:id="75" w:name="_Hlk61815781"/>
      <w:r>
        <w:rPr>
          <w:rFonts w:hint="eastAsia" w:ascii="宋体" w:hAnsi="Times New Roman" w:eastAsia="宋体" w:cs="Times New Roman"/>
          <w:b/>
          <w:color w:val="auto"/>
          <w:szCs w:val="21"/>
          <w:highlight w:val="none"/>
          <w:lang w:val="en-US" w:eastAsia="zh-CN"/>
        </w:rPr>
        <w:t>无效投标条款</w:t>
      </w:r>
    </w:p>
    <w:p w14:paraId="6F5F5736">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14:paraId="465E634E">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1B53F403">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61E1FF6B">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2DBC48EF">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14:paraId="59985E4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94D9E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（2）调整或修正投标文件的投标报价，调整或修正的价格经投标人书面确认后具有约束力。投标人不接受修正价格的，其投标将被拒绝。</w:t>
      </w:r>
    </w:p>
    <w:p w14:paraId="47D611A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37FD051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7766F06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w:t>
      </w:r>
    </w:p>
    <w:p w14:paraId="3C45BF4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4F5F154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6E9B9B8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FCDD91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03BB2CC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145E5A9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）法律、法规规定的其他情形。</w:t>
      </w:r>
    </w:p>
    <w:bookmarkEnd w:id="75"/>
    <w:p w14:paraId="784675F0">
      <w:pPr>
        <w:spacing w:line="440" w:lineRule="exact"/>
        <w:ind w:firstLine="420" w:firstLineChars="200"/>
        <w:jc w:val="left"/>
        <w:rPr>
          <w:rFonts w:hint="eastAsia" w:ascii="宋体" w:hAnsi="Times New Roman" w:eastAsia="宋体" w:cs="Times New Roman"/>
          <w:b/>
          <w:color w:val="auto"/>
          <w:szCs w:val="21"/>
          <w:highlight w:val="none"/>
          <w:lang w:val="en-US" w:eastAsia="zh-CN"/>
        </w:rPr>
      </w:pPr>
      <w:bookmarkStart w:id="76" w:name="_Toc95223439"/>
      <w:r>
        <w:rPr>
          <w:rFonts w:hint="eastAsia" w:ascii="宋体" w:hAnsi="Times New Roman" w:eastAsia="宋体" w:cs="Times New Roman"/>
          <w:b/>
          <w:color w:val="auto"/>
          <w:szCs w:val="21"/>
          <w:highlight w:val="none"/>
          <w:lang w:val="en-US" w:eastAsia="zh-CN"/>
        </w:rPr>
        <w:t>6.投标文件的澄清和补正</w:t>
      </w:r>
      <w:bookmarkEnd w:id="76"/>
    </w:p>
    <w:p w14:paraId="23C52B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AE3712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14:paraId="1BC46CF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14:paraId="414C098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D37FB7A">
      <w:pPr>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6.4</w:t>
      </w:r>
      <w:r>
        <w:rPr>
          <w:rFonts w:hint="eastAsia" w:ascii="宋体"/>
          <w:color w:val="auto"/>
          <w:szCs w:val="21"/>
          <w:highlight w:val="none"/>
        </w:rPr>
        <w:t>评委会修正错误的原则：</w:t>
      </w:r>
    </w:p>
    <w:p w14:paraId="684FD526">
      <w:pPr>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36F1BC">
      <w:pPr>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.2如果单价与数量的乘积和总价不一致，以单价为准，修正总价及开标一览表；当单价小数点有明显的错位时，评委会将以总价为准，并修正其单价。</w:t>
      </w:r>
    </w:p>
    <w:p w14:paraId="2C7E9869">
      <w:pPr>
        <w:spacing w:line="400" w:lineRule="exact"/>
        <w:ind w:firstLine="403" w:firstLineChars="192"/>
        <w:rPr>
          <w:rFonts w:hint="eastAsia"/>
          <w:color w:val="auto"/>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auto"/>
          <w:szCs w:val="21"/>
          <w:highlight w:val="none"/>
          <w:lang w:eastAsia="zh-CN"/>
        </w:rPr>
        <w:t>投标人在系统中</w:t>
      </w:r>
      <w:r>
        <w:rPr>
          <w:rFonts w:hint="eastAsia" w:ascii="宋体"/>
          <w:color w:val="auto"/>
          <w:szCs w:val="21"/>
          <w:highlight w:val="none"/>
        </w:rPr>
        <w:t>确认。</w:t>
      </w:r>
      <w:r>
        <w:rPr>
          <w:rFonts w:hint="eastAsia" w:ascii="宋体"/>
          <w:b/>
          <w:bCs/>
          <w:color w:val="auto"/>
          <w:szCs w:val="21"/>
          <w:highlight w:val="none"/>
        </w:rPr>
        <w:t>投标人拒绝对投标文件出现的错漏按上述原则进行修正、澄清、说明，评标委员会应当否决其投标。</w:t>
      </w:r>
    </w:p>
    <w:p w14:paraId="5EAE64D1">
      <w:pPr>
        <w:spacing w:line="440" w:lineRule="exact"/>
        <w:ind w:firstLine="525" w:firstLineChars="250"/>
        <w:jc w:val="left"/>
        <w:rPr>
          <w:rFonts w:hint="eastAsia" w:ascii="宋体" w:hAnsi="Times New Roman" w:eastAsia="宋体" w:cs="Times New Roman"/>
          <w:b/>
          <w:color w:val="auto"/>
          <w:szCs w:val="21"/>
          <w:highlight w:val="none"/>
          <w:lang w:val="en-US" w:eastAsia="zh-CN"/>
        </w:rPr>
      </w:pPr>
      <w:bookmarkStart w:id="77" w:name="_Toc95223441"/>
      <w:r>
        <w:rPr>
          <w:rFonts w:hint="eastAsia" w:ascii="宋体" w:hAnsi="Times New Roman" w:eastAsia="宋体" w:cs="Times New Roman"/>
          <w:b/>
          <w:color w:val="auto"/>
          <w:szCs w:val="21"/>
          <w:highlight w:val="none"/>
          <w:lang w:val="en-US" w:eastAsia="zh-CN"/>
        </w:rPr>
        <w:t>7.评审结果</w:t>
      </w:r>
      <w:bookmarkEnd w:id="77"/>
    </w:p>
    <w:p w14:paraId="0B7F154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.1除第二章“投标人须知”及其前附表授权直接确定中标人外，评标委员会按照</w:t>
      </w:r>
      <w:r>
        <w:rPr>
          <w:rFonts w:hint="eastAsia" w:ascii="宋体" w:hAnsi="宋体" w:eastAsia="宋体" w:cs="宋体"/>
          <w:color w:val="auto"/>
          <w:highlight w:val="none"/>
        </w:rPr>
        <w:t>投标报价最低</w:t>
      </w:r>
      <w:r>
        <w:rPr>
          <w:rFonts w:hint="eastAsia" w:ascii="宋体" w:hAnsi="宋体" w:eastAsia="宋体" w:cs="宋体"/>
          <w:color w:val="auto"/>
          <w:szCs w:val="21"/>
          <w:highlight w:val="none"/>
        </w:rPr>
        <w:t>顺序推荐中标候选人。</w:t>
      </w:r>
    </w:p>
    <w:p w14:paraId="1C3FFD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.2评标委员会完成评标后，应当向招标人提交书面评标报告。评标报告应当如实记载以下内容：</w:t>
      </w:r>
    </w:p>
    <w:p w14:paraId="606CA10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36C8C68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2FD1F47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6913844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47B581F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01E1D0F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3893DA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44C3C3D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6484A29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270F975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5EA3F9C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.3依法必须进行招标的项目，招标人应当确定</w:t>
      </w:r>
      <w:r>
        <w:rPr>
          <w:rFonts w:hint="eastAsia" w:ascii="宋体" w:hAnsi="宋体" w:eastAsia="宋体" w:cs="宋体"/>
          <w:color w:val="auto"/>
          <w:szCs w:val="21"/>
          <w:highlight w:val="none"/>
          <w:lang w:val="en-US" w:eastAsia="zh-CN"/>
        </w:rPr>
        <w:t>经评审</w:t>
      </w:r>
      <w:r>
        <w:rPr>
          <w:rFonts w:hint="eastAsia" w:ascii="宋体" w:hAnsi="宋体" w:eastAsia="宋体" w:cs="宋体"/>
          <w:color w:val="auto"/>
          <w:highlight w:val="none"/>
        </w:rPr>
        <w:t>投标报价最低</w:t>
      </w:r>
      <w:r>
        <w:rPr>
          <w:rFonts w:hint="eastAsia" w:ascii="宋体" w:hAnsi="宋体" w:eastAsia="宋体" w:cs="宋体"/>
          <w:color w:val="auto"/>
          <w:szCs w:val="21"/>
          <w:highlight w:val="none"/>
        </w:rPr>
        <w:t>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5F29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62B35C2">
      <w:pPr>
        <w:spacing w:line="440" w:lineRule="exact"/>
        <w:ind w:firstLine="420" w:firstLineChars="200"/>
        <w:jc w:val="left"/>
        <w:rPr>
          <w:rFonts w:hint="eastAsia" w:ascii="宋体" w:hAnsi="Times New Roman" w:eastAsia="宋体" w:cs="Times New Roman"/>
          <w:b/>
          <w:color w:val="auto"/>
          <w:szCs w:val="21"/>
          <w:highlight w:val="none"/>
          <w:lang w:val="en-US" w:eastAsia="zh-CN"/>
        </w:rPr>
      </w:pPr>
      <w:bookmarkStart w:id="78" w:name="_Toc95223442"/>
      <w:r>
        <w:rPr>
          <w:rFonts w:hint="eastAsia" w:ascii="宋体" w:hAnsi="Times New Roman" w:eastAsia="宋体" w:cs="Times New Roman"/>
          <w:b/>
          <w:color w:val="auto"/>
          <w:szCs w:val="21"/>
          <w:highlight w:val="none"/>
          <w:lang w:val="en-US" w:eastAsia="zh-CN"/>
        </w:rPr>
        <w:t>8.其他</w:t>
      </w:r>
      <w:bookmarkEnd w:id="78"/>
    </w:p>
    <w:p w14:paraId="015E2DA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8.1</w:t>
      </w:r>
      <w:r>
        <w:rPr>
          <w:rFonts w:hint="eastAsia" w:ascii="宋体" w:hAnsi="宋体" w:eastAsia="宋体" w:cs="宋体"/>
          <w:color w:val="auto"/>
          <w:szCs w:val="21"/>
          <w:highlight w:val="none"/>
        </w:rPr>
        <w:t>投标人提供的与投标文件有关的各类证书、证明、文件、资料等的真实性、合法性由投标人负全责。</w:t>
      </w:r>
    </w:p>
    <w:p w14:paraId="6F860D82">
      <w:pPr>
        <w:keepNext w:val="0"/>
        <w:keepLines w:val="0"/>
        <w:pageBreakBefore w:val="0"/>
        <w:widowControl w:val="0"/>
        <w:numPr>
          <w:ilvl w:val="0"/>
          <w:numId w:val="4"/>
        </w:numPr>
        <w:kinsoku/>
        <w:wordWrap/>
        <w:overflowPunct/>
        <w:topLinePunct w:val="0"/>
        <w:autoSpaceDE/>
        <w:autoSpaceDN/>
        <w:bidi w:val="0"/>
        <w:adjustRightInd/>
        <w:snapToGrid w:val="0"/>
        <w:spacing w:before="156" w:beforeLines="50" w:after="156" w:afterLines="50" w:line="520" w:lineRule="exact"/>
        <w:jc w:val="center"/>
        <w:textAlignment w:val="auto"/>
        <w:outlineLvl w:val="0"/>
        <w:rPr>
          <w:rFonts w:hint="eastAsia" w:ascii="宋体" w:cs="宋体"/>
          <w:b/>
          <w:bCs/>
          <w:color w:val="auto"/>
          <w:sz w:val="28"/>
          <w:szCs w:val="28"/>
          <w:highlight w:val="none"/>
          <w:lang w:eastAsia="zh-CN"/>
        </w:rPr>
      </w:pPr>
      <w:r>
        <w:rPr>
          <w:rFonts w:hint="eastAsia" w:ascii="宋体" w:hAnsi="宋体" w:eastAsia="宋体" w:cs="Times New Roman"/>
          <w:b/>
          <w:bCs/>
          <w:color w:val="auto"/>
          <w:kern w:val="0"/>
          <w:sz w:val="28"/>
          <w:szCs w:val="28"/>
          <w:highlight w:val="none"/>
          <w:lang w:val="en-US" w:eastAsia="zh-CN" w:bidi="ar"/>
        </w:rPr>
        <w:br w:type="page"/>
      </w:r>
      <w:r>
        <w:rPr>
          <w:rFonts w:hint="eastAsia" w:ascii="宋体" w:cs="宋体"/>
          <w:b/>
          <w:bCs/>
          <w:color w:val="auto"/>
          <w:sz w:val="28"/>
          <w:szCs w:val="28"/>
          <w:highlight w:val="none"/>
        </w:rPr>
        <w:t xml:space="preserve"> </w:t>
      </w:r>
      <w:r>
        <w:rPr>
          <w:rFonts w:hint="eastAsia" w:ascii="宋体" w:cs="宋体"/>
          <w:b/>
          <w:bCs/>
          <w:color w:val="auto"/>
          <w:sz w:val="28"/>
          <w:szCs w:val="28"/>
          <w:highlight w:val="none"/>
          <w:lang w:eastAsia="zh-CN"/>
        </w:rPr>
        <w:t>采购需求</w:t>
      </w:r>
    </w:p>
    <w:p w14:paraId="72FBB123">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 一、工程</w:t>
      </w:r>
      <w:r>
        <w:rPr>
          <w:rFonts w:hint="eastAsia" w:ascii="宋体" w:hAnsi="宋体" w:eastAsia="宋体" w:cs="宋体"/>
          <w:b/>
          <w:color w:val="auto"/>
          <w:sz w:val="21"/>
          <w:szCs w:val="21"/>
          <w:highlight w:val="none"/>
        </w:rPr>
        <w:t>概况</w:t>
      </w:r>
    </w:p>
    <w:p w14:paraId="6B556089">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目前滁宁城际铁路相官、丰乐主变电所及车辆基地围墙均采用铁艺围墙，虽有电子围栏，但与铁艺围墙上方存在较大缝隙，易造成人员侵入，车辆基地外围部分绿栅栏已安装一定数量的防爬刺，但因施工质量问题及时间较久，大量防爬刺已出现生锈现象，大部分区域仅靠电子围栏防侵限，因此存在不同程度的风险隐患，本项目的实施是对铁艺围墙及电子围栏间缝隙进行封堵，更好的实现对滁宁城际运营重地范围的安全管控及风险防范。   </w:t>
      </w:r>
    </w:p>
    <w:p w14:paraId="478EAE5A">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 二、招标范围</w:t>
      </w:r>
    </w:p>
    <w:p w14:paraId="0E6CAC4D">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w:t>
      </w:r>
      <w:r>
        <w:rPr>
          <w:rFonts w:hint="default" w:ascii="宋体" w:hAnsi="宋体" w:eastAsia="宋体" w:cs="宋体"/>
          <w:color w:val="auto"/>
          <w:sz w:val="21"/>
          <w:szCs w:val="21"/>
          <w:highlight w:val="none"/>
          <w:lang w:val="en-US" w:eastAsia="zh-CN"/>
        </w:rPr>
        <w:t>相官车辆段及两个主变电所现外墙为铁艺围墙，上部电子围栏普遍存在较大缝隙，外部人员可轻易通过缝隙翻越栅栏，造成基地及主所范围内侵限，现拟对两个主变电所铁艺围墙安装防爬刺，对相官车辆基地外围无防爬刺区段进行防爬刺安装，对生锈防爬刺进行更换，确保运营区域范围内不受外来侵限行为影响。</w:t>
      </w:r>
    </w:p>
    <w:p w14:paraId="329CA65C">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cs="宋体"/>
          <w:b/>
          <w:bCs/>
          <w:color w:val="auto"/>
          <w:sz w:val="28"/>
          <w:szCs w:val="28"/>
          <w:highlight w:val="none"/>
          <w:lang w:eastAsia="zh-CN"/>
        </w:rPr>
      </w:pPr>
      <w:r>
        <w:rPr>
          <w:rFonts w:hint="eastAsia" w:ascii="宋体" w:hAnsi="宋体" w:eastAsia="宋体" w:cs="宋体"/>
          <w:color w:val="auto"/>
          <w:szCs w:val="21"/>
          <w:highlight w:val="none"/>
          <w:lang w:val="en-US" w:eastAsia="zh-CN"/>
        </w:rPr>
        <w:t>（二）工程量</w:t>
      </w:r>
    </w:p>
    <w:tbl>
      <w:tblPr>
        <w:tblStyle w:val="23"/>
        <w:tblpPr w:leftFromText="180" w:rightFromText="180" w:vertAnchor="text" w:horzAnchor="page" w:tblpXSpec="center" w:tblpY="311"/>
        <w:tblOverlap w:val="never"/>
        <w:tblW w:w="9355" w:type="dxa"/>
        <w:jc w:val="center"/>
        <w:tblLayout w:type="fixed"/>
        <w:tblCellMar>
          <w:top w:w="0" w:type="dxa"/>
          <w:left w:w="108" w:type="dxa"/>
          <w:bottom w:w="0" w:type="dxa"/>
          <w:right w:w="108" w:type="dxa"/>
        </w:tblCellMar>
      </w:tblPr>
      <w:tblGrid>
        <w:gridCol w:w="1160"/>
        <w:gridCol w:w="2401"/>
        <w:gridCol w:w="1260"/>
        <w:gridCol w:w="1712"/>
        <w:gridCol w:w="2822"/>
      </w:tblGrid>
      <w:tr w14:paraId="34B95C6F">
        <w:tblPrEx>
          <w:tblCellMar>
            <w:top w:w="0" w:type="dxa"/>
            <w:left w:w="108" w:type="dxa"/>
            <w:bottom w:w="0" w:type="dxa"/>
            <w:right w:w="108" w:type="dxa"/>
          </w:tblCellMar>
        </w:tblPrEx>
        <w:trPr>
          <w:trHeight w:val="351" w:hRule="atLeast"/>
          <w:jc w:val="center"/>
        </w:trPr>
        <w:tc>
          <w:tcPr>
            <w:tcW w:w="11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8ACDC5">
            <w:pPr>
              <w:keepNext w:val="0"/>
              <w:keepLines w:val="0"/>
              <w:suppressLineNumbers w:val="0"/>
              <w:spacing w:before="0" w:beforeAutospacing="0" w:after="0" w:afterAutospacing="0"/>
              <w:ind w:left="0" w:right="0"/>
              <w:jc w:val="center"/>
              <w:rPr>
                <w:rFonts w:hint="eastAsia"/>
                <w:color w:val="auto"/>
                <w:highlight w:val="none"/>
                <w:lang w:eastAsia="zh-CN"/>
              </w:rPr>
            </w:pPr>
            <w:r>
              <w:rPr>
                <w:rFonts w:hint="eastAsia"/>
                <w:color w:val="auto"/>
                <w:highlight w:val="none"/>
                <w:lang w:eastAsia="zh-CN"/>
              </w:rPr>
              <w:t>序号</w:t>
            </w:r>
          </w:p>
        </w:tc>
        <w:tc>
          <w:tcPr>
            <w:tcW w:w="2401" w:type="dxa"/>
            <w:tcBorders>
              <w:top w:val="single" w:color="000000" w:sz="8" w:space="0"/>
              <w:left w:val="nil"/>
              <w:bottom w:val="single" w:color="000000" w:sz="8" w:space="0"/>
              <w:right w:val="single" w:color="000000" w:sz="8" w:space="0"/>
            </w:tcBorders>
            <w:shd w:val="clear" w:color="auto" w:fill="FFFFFF"/>
            <w:noWrap w:val="0"/>
            <w:vAlign w:val="center"/>
          </w:tcPr>
          <w:p w14:paraId="2F969E61">
            <w:pPr>
              <w:keepNext w:val="0"/>
              <w:keepLines w:val="0"/>
              <w:suppressLineNumbers w:val="0"/>
              <w:spacing w:before="0" w:beforeAutospacing="0" w:after="0" w:afterAutospacing="0"/>
              <w:ind w:left="0" w:right="0"/>
              <w:jc w:val="center"/>
              <w:rPr>
                <w:rFonts w:hint="eastAsia"/>
                <w:color w:val="auto"/>
                <w:highlight w:val="none"/>
                <w:lang w:eastAsia="zh-CN"/>
              </w:rPr>
            </w:pPr>
            <w:r>
              <w:rPr>
                <w:rFonts w:hint="eastAsia"/>
                <w:color w:val="auto"/>
                <w:highlight w:val="none"/>
              </w:rPr>
              <w:t>项目名称</w:t>
            </w:r>
          </w:p>
        </w:tc>
        <w:tc>
          <w:tcPr>
            <w:tcW w:w="1260" w:type="dxa"/>
            <w:tcBorders>
              <w:top w:val="single" w:color="000000" w:sz="8" w:space="0"/>
              <w:left w:val="nil"/>
              <w:bottom w:val="single" w:color="000000" w:sz="8" w:space="0"/>
              <w:right w:val="single" w:color="auto" w:sz="4" w:space="0"/>
            </w:tcBorders>
            <w:shd w:val="clear" w:color="auto" w:fill="FFFFFF"/>
            <w:noWrap w:val="0"/>
            <w:vAlign w:val="center"/>
          </w:tcPr>
          <w:p w14:paraId="04A4F22C">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计量单位</w:t>
            </w:r>
          </w:p>
        </w:tc>
        <w:tc>
          <w:tcPr>
            <w:tcW w:w="1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F25AD8">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工程量</w:t>
            </w:r>
          </w:p>
        </w:tc>
        <w:tc>
          <w:tcPr>
            <w:tcW w:w="28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234EA6">
            <w:pPr>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备注</w:t>
            </w:r>
          </w:p>
        </w:tc>
      </w:tr>
      <w:tr w14:paraId="6BEC2031">
        <w:tblPrEx>
          <w:tblCellMar>
            <w:top w:w="0" w:type="dxa"/>
            <w:left w:w="108" w:type="dxa"/>
            <w:bottom w:w="0" w:type="dxa"/>
            <w:right w:w="108" w:type="dxa"/>
          </w:tblCellMar>
        </w:tblPrEx>
        <w:trPr>
          <w:trHeight w:val="1987" w:hRule="atLeast"/>
          <w:jc w:val="center"/>
        </w:trPr>
        <w:tc>
          <w:tcPr>
            <w:tcW w:w="1160"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236BB5AB">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1</w:t>
            </w:r>
          </w:p>
        </w:tc>
        <w:tc>
          <w:tcPr>
            <w:tcW w:w="2401" w:type="dxa"/>
            <w:tcBorders>
              <w:top w:val="single" w:color="auto" w:sz="4" w:space="0"/>
              <w:left w:val="nil"/>
              <w:bottom w:val="single" w:color="auto" w:sz="4" w:space="0"/>
              <w:right w:val="single" w:color="000000" w:sz="8" w:space="0"/>
            </w:tcBorders>
            <w:shd w:val="clear" w:color="auto" w:fill="FFFFFF"/>
            <w:noWrap w:val="0"/>
            <w:vAlign w:val="center"/>
          </w:tcPr>
          <w:p w14:paraId="10F2D9C3">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一期项目（相官车辆段防爬刺加装）</w:t>
            </w:r>
          </w:p>
        </w:tc>
        <w:tc>
          <w:tcPr>
            <w:tcW w:w="1260" w:type="dxa"/>
            <w:tcBorders>
              <w:top w:val="single" w:color="auto" w:sz="4" w:space="0"/>
              <w:left w:val="nil"/>
              <w:bottom w:val="single" w:color="auto" w:sz="4" w:space="0"/>
              <w:right w:val="single" w:color="000000" w:sz="8" w:space="0"/>
            </w:tcBorders>
            <w:shd w:val="clear" w:color="auto" w:fill="FFFFFF"/>
            <w:noWrap w:val="0"/>
            <w:vAlign w:val="center"/>
          </w:tcPr>
          <w:p w14:paraId="5F19F578">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米</w:t>
            </w:r>
          </w:p>
        </w:tc>
        <w:tc>
          <w:tcPr>
            <w:tcW w:w="1712" w:type="dxa"/>
            <w:tcBorders>
              <w:top w:val="single" w:color="auto" w:sz="4" w:space="0"/>
              <w:left w:val="nil"/>
              <w:bottom w:val="single" w:color="auto" w:sz="4" w:space="0"/>
              <w:right w:val="single" w:color="auto" w:sz="4" w:space="0"/>
            </w:tcBorders>
            <w:shd w:val="clear" w:color="auto" w:fill="FFFFFF"/>
            <w:noWrap w:val="0"/>
            <w:vAlign w:val="center"/>
          </w:tcPr>
          <w:p w14:paraId="058DD389">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3005</w:t>
            </w:r>
          </w:p>
        </w:tc>
        <w:tc>
          <w:tcPr>
            <w:tcW w:w="2822" w:type="dxa"/>
            <w:tcBorders>
              <w:top w:val="single" w:color="auto" w:sz="4" w:space="0"/>
              <w:left w:val="nil"/>
              <w:bottom w:val="single" w:color="auto" w:sz="4" w:space="0"/>
              <w:right w:val="single" w:color="auto" w:sz="4" w:space="0"/>
            </w:tcBorders>
            <w:shd w:val="clear" w:color="auto" w:fill="FFFFFF"/>
            <w:noWrap w:val="0"/>
            <w:vAlign w:val="center"/>
          </w:tcPr>
          <w:p w14:paraId="5AA3284E">
            <w:pPr>
              <w:keepNext w:val="0"/>
              <w:keepLines w:val="0"/>
              <w:suppressLineNumbers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drawing>
                <wp:inline distT="0" distB="0" distL="114300" distR="114300">
                  <wp:extent cx="1549400" cy="1162685"/>
                  <wp:effectExtent l="0" t="0" r="12700" b="18415"/>
                  <wp:docPr id="15" name="图片 1" descr="1f1f919d8c8fa079c10b696c6c1fe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1f1f919d8c8fa079c10b696c6c1fe117"/>
                          <pic:cNvPicPr>
                            <a:picLocks noChangeAspect="1"/>
                          </pic:cNvPicPr>
                        </pic:nvPicPr>
                        <pic:blipFill>
                          <a:blip r:embed="rId6"/>
                          <a:stretch>
                            <a:fillRect/>
                          </a:stretch>
                        </pic:blipFill>
                        <pic:spPr>
                          <a:xfrm>
                            <a:off x="0" y="0"/>
                            <a:ext cx="1549400" cy="1162685"/>
                          </a:xfrm>
                          <a:prstGeom prst="rect">
                            <a:avLst/>
                          </a:prstGeom>
                          <a:noFill/>
                          <a:ln>
                            <a:noFill/>
                          </a:ln>
                        </pic:spPr>
                      </pic:pic>
                    </a:graphicData>
                  </a:graphic>
                </wp:inline>
              </w:drawing>
            </w:r>
          </w:p>
        </w:tc>
      </w:tr>
      <w:tr w14:paraId="70DC182A">
        <w:tblPrEx>
          <w:tblCellMar>
            <w:top w:w="0" w:type="dxa"/>
            <w:left w:w="108" w:type="dxa"/>
            <w:bottom w:w="0" w:type="dxa"/>
            <w:right w:w="108" w:type="dxa"/>
          </w:tblCellMar>
        </w:tblPrEx>
        <w:trPr>
          <w:trHeight w:val="1987" w:hRule="atLeast"/>
          <w:jc w:val="center"/>
        </w:trPr>
        <w:tc>
          <w:tcPr>
            <w:tcW w:w="1160"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53793CFC">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2</w:t>
            </w:r>
          </w:p>
        </w:tc>
        <w:tc>
          <w:tcPr>
            <w:tcW w:w="2401" w:type="dxa"/>
            <w:tcBorders>
              <w:top w:val="single" w:color="auto" w:sz="4" w:space="0"/>
              <w:left w:val="nil"/>
              <w:bottom w:val="single" w:color="auto" w:sz="4" w:space="0"/>
              <w:right w:val="single" w:color="000000" w:sz="8" w:space="0"/>
            </w:tcBorders>
            <w:shd w:val="clear" w:color="auto" w:fill="FFFFFF"/>
            <w:noWrap w:val="0"/>
            <w:vAlign w:val="center"/>
          </w:tcPr>
          <w:p w14:paraId="040AAAB0">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一期项目（相官车辆段围墙立柱加装）</w:t>
            </w:r>
          </w:p>
        </w:tc>
        <w:tc>
          <w:tcPr>
            <w:tcW w:w="1260" w:type="dxa"/>
            <w:tcBorders>
              <w:top w:val="single" w:color="auto" w:sz="4" w:space="0"/>
              <w:left w:val="nil"/>
              <w:bottom w:val="single" w:color="auto" w:sz="4" w:space="0"/>
              <w:right w:val="single" w:color="000000" w:sz="8" w:space="0"/>
            </w:tcBorders>
            <w:shd w:val="clear" w:color="auto" w:fill="FFFFFF"/>
            <w:noWrap w:val="0"/>
            <w:vAlign w:val="center"/>
          </w:tcPr>
          <w:p w14:paraId="7E58B5BF">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个</w:t>
            </w:r>
          </w:p>
        </w:tc>
        <w:tc>
          <w:tcPr>
            <w:tcW w:w="1712" w:type="dxa"/>
            <w:tcBorders>
              <w:top w:val="single" w:color="auto" w:sz="4" w:space="0"/>
              <w:left w:val="nil"/>
              <w:bottom w:val="single" w:color="auto" w:sz="4" w:space="0"/>
              <w:right w:val="single" w:color="auto" w:sz="4" w:space="0"/>
            </w:tcBorders>
            <w:shd w:val="clear" w:color="auto" w:fill="FFFFFF"/>
            <w:noWrap w:val="0"/>
            <w:vAlign w:val="center"/>
          </w:tcPr>
          <w:p w14:paraId="3FB33C52">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1814</w:t>
            </w:r>
          </w:p>
        </w:tc>
        <w:tc>
          <w:tcPr>
            <w:tcW w:w="2822" w:type="dxa"/>
            <w:tcBorders>
              <w:top w:val="single" w:color="auto" w:sz="4" w:space="0"/>
              <w:left w:val="nil"/>
              <w:bottom w:val="single" w:color="auto" w:sz="4" w:space="0"/>
              <w:right w:val="single" w:color="auto" w:sz="4" w:space="0"/>
            </w:tcBorders>
            <w:shd w:val="clear" w:color="auto" w:fill="FFFFFF"/>
            <w:noWrap w:val="0"/>
            <w:vAlign w:val="center"/>
          </w:tcPr>
          <w:p w14:paraId="7747EEC4">
            <w:pPr>
              <w:keepNext w:val="0"/>
              <w:keepLines w:val="0"/>
              <w:suppressLineNumbers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drawing>
                <wp:inline distT="0" distB="0" distL="114300" distR="114300">
                  <wp:extent cx="1549400" cy="1162685"/>
                  <wp:effectExtent l="0" t="0" r="12700" b="18415"/>
                  <wp:docPr id="14" name="图片 2" descr="1f1f919d8c8fa079c10b696c6c1fe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1f1f919d8c8fa079c10b696c6c1fe117"/>
                          <pic:cNvPicPr>
                            <a:picLocks noChangeAspect="1"/>
                          </pic:cNvPicPr>
                        </pic:nvPicPr>
                        <pic:blipFill>
                          <a:blip r:embed="rId6"/>
                          <a:stretch>
                            <a:fillRect/>
                          </a:stretch>
                        </pic:blipFill>
                        <pic:spPr>
                          <a:xfrm>
                            <a:off x="0" y="0"/>
                            <a:ext cx="1549400" cy="1162685"/>
                          </a:xfrm>
                          <a:prstGeom prst="rect">
                            <a:avLst/>
                          </a:prstGeom>
                          <a:noFill/>
                          <a:ln>
                            <a:noFill/>
                          </a:ln>
                        </pic:spPr>
                      </pic:pic>
                    </a:graphicData>
                  </a:graphic>
                </wp:inline>
              </w:drawing>
            </w:r>
          </w:p>
        </w:tc>
      </w:tr>
      <w:tr w14:paraId="27000E85">
        <w:tblPrEx>
          <w:tblCellMar>
            <w:top w:w="0" w:type="dxa"/>
            <w:left w:w="108" w:type="dxa"/>
            <w:bottom w:w="0" w:type="dxa"/>
            <w:right w:w="108" w:type="dxa"/>
          </w:tblCellMar>
        </w:tblPrEx>
        <w:trPr>
          <w:trHeight w:val="1987" w:hRule="atLeast"/>
          <w:jc w:val="center"/>
        </w:trPr>
        <w:tc>
          <w:tcPr>
            <w:tcW w:w="1160"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2DFA03BE">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3</w:t>
            </w:r>
          </w:p>
        </w:tc>
        <w:tc>
          <w:tcPr>
            <w:tcW w:w="2401" w:type="dxa"/>
            <w:tcBorders>
              <w:top w:val="single" w:color="auto" w:sz="4" w:space="0"/>
              <w:left w:val="nil"/>
              <w:bottom w:val="single" w:color="auto" w:sz="4" w:space="0"/>
              <w:right w:val="single" w:color="000000" w:sz="8" w:space="0"/>
            </w:tcBorders>
            <w:shd w:val="clear" w:color="auto" w:fill="FFFFFF"/>
            <w:noWrap w:val="0"/>
            <w:vAlign w:val="center"/>
          </w:tcPr>
          <w:p w14:paraId="501F728A">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一期项目（相官车辆段生锈防爬刺更换）</w:t>
            </w:r>
          </w:p>
        </w:tc>
        <w:tc>
          <w:tcPr>
            <w:tcW w:w="1260" w:type="dxa"/>
            <w:tcBorders>
              <w:top w:val="single" w:color="auto" w:sz="4" w:space="0"/>
              <w:left w:val="nil"/>
              <w:bottom w:val="single" w:color="auto" w:sz="4" w:space="0"/>
              <w:right w:val="single" w:color="000000" w:sz="8" w:space="0"/>
            </w:tcBorders>
            <w:shd w:val="clear" w:color="auto" w:fill="FFFFFF"/>
            <w:noWrap w:val="0"/>
            <w:vAlign w:val="center"/>
          </w:tcPr>
          <w:p w14:paraId="71B303DA">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米</w:t>
            </w:r>
          </w:p>
        </w:tc>
        <w:tc>
          <w:tcPr>
            <w:tcW w:w="1712" w:type="dxa"/>
            <w:tcBorders>
              <w:top w:val="single" w:color="auto" w:sz="4" w:space="0"/>
              <w:left w:val="nil"/>
              <w:bottom w:val="single" w:color="auto" w:sz="4" w:space="0"/>
              <w:right w:val="single" w:color="auto" w:sz="4" w:space="0"/>
            </w:tcBorders>
            <w:shd w:val="clear" w:color="auto" w:fill="FFFFFF"/>
            <w:noWrap w:val="0"/>
            <w:vAlign w:val="center"/>
          </w:tcPr>
          <w:p w14:paraId="155F20DB">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1215</w:t>
            </w:r>
          </w:p>
        </w:tc>
        <w:tc>
          <w:tcPr>
            <w:tcW w:w="2822" w:type="dxa"/>
            <w:tcBorders>
              <w:top w:val="single" w:color="auto" w:sz="4" w:space="0"/>
              <w:left w:val="nil"/>
              <w:bottom w:val="single" w:color="auto" w:sz="4" w:space="0"/>
              <w:right w:val="single" w:color="auto" w:sz="4" w:space="0"/>
            </w:tcBorders>
            <w:shd w:val="clear" w:color="auto" w:fill="FFFFFF"/>
            <w:noWrap w:val="0"/>
            <w:vAlign w:val="center"/>
          </w:tcPr>
          <w:p w14:paraId="18BF4A57">
            <w:pPr>
              <w:keepNext w:val="0"/>
              <w:keepLines w:val="0"/>
              <w:suppressLineNumbers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drawing>
                <wp:inline distT="0" distB="0" distL="114300" distR="114300">
                  <wp:extent cx="1612900" cy="1209675"/>
                  <wp:effectExtent l="0" t="0" r="6350" b="9525"/>
                  <wp:docPr id="9" name="图片 3" descr="e625caad14b9b8c77aa2e8fe65b92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e625caad14b9b8c77aa2e8fe65b922f2"/>
                          <pic:cNvPicPr>
                            <a:picLocks noChangeAspect="1"/>
                          </pic:cNvPicPr>
                        </pic:nvPicPr>
                        <pic:blipFill>
                          <a:blip r:embed="rId7"/>
                          <a:stretch>
                            <a:fillRect/>
                          </a:stretch>
                        </pic:blipFill>
                        <pic:spPr>
                          <a:xfrm>
                            <a:off x="0" y="0"/>
                            <a:ext cx="1612900" cy="1209675"/>
                          </a:xfrm>
                          <a:prstGeom prst="rect">
                            <a:avLst/>
                          </a:prstGeom>
                          <a:noFill/>
                          <a:ln>
                            <a:noFill/>
                          </a:ln>
                        </pic:spPr>
                      </pic:pic>
                    </a:graphicData>
                  </a:graphic>
                </wp:inline>
              </w:drawing>
            </w:r>
          </w:p>
        </w:tc>
      </w:tr>
      <w:tr w14:paraId="1DBA8805">
        <w:tblPrEx>
          <w:tblCellMar>
            <w:top w:w="0" w:type="dxa"/>
            <w:left w:w="108" w:type="dxa"/>
            <w:bottom w:w="0" w:type="dxa"/>
            <w:right w:w="108" w:type="dxa"/>
          </w:tblCellMar>
        </w:tblPrEx>
        <w:trPr>
          <w:trHeight w:val="1987" w:hRule="atLeast"/>
          <w:jc w:val="center"/>
        </w:trPr>
        <w:tc>
          <w:tcPr>
            <w:tcW w:w="1160"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7A0B8D48">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4</w:t>
            </w:r>
          </w:p>
        </w:tc>
        <w:tc>
          <w:tcPr>
            <w:tcW w:w="2401" w:type="dxa"/>
            <w:tcBorders>
              <w:top w:val="single" w:color="auto" w:sz="4" w:space="0"/>
              <w:left w:val="nil"/>
              <w:bottom w:val="single" w:color="auto" w:sz="4" w:space="0"/>
              <w:right w:val="single" w:color="000000" w:sz="8" w:space="0"/>
            </w:tcBorders>
            <w:shd w:val="clear" w:color="auto" w:fill="FFFFFF"/>
            <w:noWrap w:val="0"/>
            <w:vAlign w:val="center"/>
          </w:tcPr>
          <w:p w14:paraId="5F124D53">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一期项目（相官主所防爬刺加装）</w:t>
            </w:r>
          </w:p>
        </w:tc>
        <w:tc>
          <w:tcPr>
            <w:tcW w:w="1260" w:type="dxa"/>
            <w:tcBorders>
              <w:top w:val="single" w:color="auto" w:sz="4" w:space="0"/>
              <w:left w:val="nil"/>
              <w:bottom w:val="single" w:color="auto" w:sz="4" w:space="0"/>
              <w:right w:val="single" w:color="000000" w:sz="8" w:space="0"/>
            </w:tcBorders>
            <w:shd w:val="clear" w:color="auto" w:fill="FFFFFF"/>
            <w:noWrap w:val="0"/>
            <w:vAlign w:val="center"/>
          </w:tcPr>
          <w:p w14:paraId="65759C9E">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米</w:t>
            </w:r>
          </w:p>
        </w:tc>
        <w:tc>
          <w:tcPr>
            <w:tcW w:w="1712" w:type="dxa"/>
            <w:tcBorders>
              <w:top w:val="single" w:color="auto" w:sz="4" w:space="0"/>
              <w:left w:val="nil"/>
              <w:bottom w:val="single" w:color="auto" w:sz="4" w:space="0"/>
              <w:right w:val="single" w:color="auto" w:sz="4" w:space="0"/>
            </w:tcBorders>
            <w:shd w:val="clear" w:color="auto" w:fill="FFFFFF"/>
            <w:noWrap w:val="0"/>
            <w:vAlign w:val="center"/>
          </w:tcPr>
          <w:p w14:paraId="239A4B51">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230</w:t>
            </w:r>
          </w:p>
        </w:tc>
        <w:tc>
          <w:tcPr>
            <w:tcW w:w="2822" w:type="dxa"/>
            <w:tcBorders>
              <w:top w:val="single" w:color="auto" w:sz="4" w:space="0"/>
              <w:left w:val="nil"/>
              <w:bottom w:val="single" w:color="auto" w:sz="4" w:space="0"/>
              <w:right w:val="single" w:color="auto" w:sz="4" w:space="0"/>
            </w:tcBorders>
            <w:shd w:val="clear" w:color="auto" w:fill="FFFFFF"/>
            <w:noWrap w:val="0"/>
            <w:vAlign w:val="center"/>
          </w:tcPr>
          <w:p w14:paraId="17FF9873">
            <w:pPr>
              <w:keepNext w:val="0"/>
              <w:keepLines w:val="0"/>
              <w:suppressLineNumbers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drawing>
                <wp:inline distT="0" distB="0" distL="114300" distR="114300">
                  <wp:extent cx="1387475" cy="878205"/>
                  <wp:effectExtent l="0" t="0" r="3175" b="17145"/>
                  <wp:docPr id="2" name="图片 4" descr="7f185334a63ccc0986abc733e6cdce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7f185334a63ccc0986abc733e6cdce82"/>
                          <pic:cNvPicPr>
                            <a:picLocks noChangeAspect="1"/>
                          </pic:cNvPicPr>
                        </pic:nvPicPr>
                        <pic:blipFill>
                          <a:blip r:embed="rId8"/>
                          <a:srcRect l="15474" b="28638"/>
                          <a:stretch>
                            <a:fillRect/>
                          </a:stretch>
                        </pic:blipFill>
                        <pic:spPr>
                          <a:xfrm>
                            <a:off x="0" y="0"/>
                            <a:ext cx="1387475" cy="878205"/>
                          </a:xfrm>
                          <a:prstGeom prst="rect">
                            <a:avLst/>
                          </a:prstGeom>
                          <a:noFill/>
                          <a:ln>
                            <a:noFill/>
                          </a:ln>
                        </pic:spPr>
                      </pic:pic>
                    </a:graphicData>
                  </a:graphic>
                </wp:inline>
              </w:drawing>
            </w:r>
          </w:p>
        </w:tc>
      </w:tr>
      <w:tr w14:paraId="4443B507">
        <w:tblPrEx>
          <w:tblCellMar>
            <w:top w:w="0" w:type="dxa"/>
            <w:left w:w="108" w:type="dxa"/>
            <w:bottom w:w="0" w:type="dxa"/>
            <w:right w:w="108" w:type="dxa"/>
          </w:tblCellMar>
        </w:tblPrEx>
        <w:trPr>
          <w:trHeight w:val="1987" w:hRule="atLeast"/>
          <w:jc w:val="center"/>
        </w:trPr>
        <w:tc>
          <w:tcPr>
            <w:tcW w:w="1160"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4B01EE78">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5</w:t>
            </w:r>
          </w:p>
        </w:tc>
        <w:tc>
          <w:tcPr>
            <w:tcW w:w="2401" w:type="dxa"/>
            <w:tcBorders>
              <w:top w:val="single" w:color="auto" w:sz="4" w:space="0"/>
              <w:left w:val="nil"/>
              <w:bottom w:val="single" w:color="auto" w:sz="4" w:space="0"/>
              <w:right w:val="single" w:color="000000" w:sz="8" w:space="0"/>
            </w:tcBorders>
            <w:shd w:val="clear" w:color="auto" w:fill="FFFFFF"/>
            <w:noWrap w:val="0"/>
            <w:vAlign w:val="center"/>
          </w:tcPr>
          <w:p w14:paraId="1850144E">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一期项目（相官主所围墙立柱加装）</w:t>
            </w:r>
          </w:p>
        </w:tc>
        <w:tc>
          <w:tcPr>
            <w:tcW w:w="1260" w:type="dxa"/>
            <w:tcBorders>
              <w:top w:val="single" w:color="auto" w:sz="4" w:space="0"/>
              <w:left w:val="nil"/>
              <w:bottom w:val="single" w:color="auto" w:sz="4" w:space="0"/>
              <w:right w:val="single" w:color="000000" w:sz="8" w:space="0"/>
            </w:tcBorders>
            <w:shd w:val="clear" w:color="auto" w:fill="FFFFFF"/>
            <w:noWrap w:val="0"/>
            <w:vAlign w:val="center"/>
          </w:tcPr>
          <w:p w14:paraId="3677568C">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个</w:t>
            </w:r>
          </w:p>
        </w:tc>
        <w:tc>
          <w:tcPr>
            <w:tcW w:w="1712" w:type="dxa"/>
            <w:tcBorders>
              <w:top w:val="single" w:color="auto" w:sz="4" w:space="0"/>
              <w:left w:val="nil"/>
              <w:bottom w:val="single" w:color="auto" w:sz="4" w:space="0"/>
              <w:right w:val="single" w:color="auto" w:sz="4" w:space="0"/>
            </w:tcBorders>
            <w:shd w:val="clear" w:color="auto" w:fill="FFFFFF"/>
            <w:noWrap w:val="0"/>
            <w:vAlign w:val="center"/>
          </w:tcPr>
          <w:p w14:paraId="74B797F4">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134</w:t>
            </w:r>
          </w:p>
        </w:tc>
        <w:tc>
          <w:tcPr>
            <w:tcW w:w="2822" w:type="dxa"/>
            <w:tcBorders>
              <w:top w:val="single" w:color="auto" w:sz="4" w:space="0"/>
              <w:left w:val="nil"/>
              <w:bottom w:val="single" w:color="auto" w:sz="4" w:space="0"/>
              <w:right w:val="single" w:color="auto" w:sz="4" w:space="0"/>
            </w:tcBorders>
            <w:shd w:val="clear" w:color="auto" w:fill="FFFFFF"/>
            <w:noWrap w:val="0"/>
            <w:vAlign w:val="center"/>
          </w:tcPr>
          <w:p w14:paraId="150CF318">
            <w:pPr>
              <w:keepNext w:val="0"/>
              <w:keepLines w:val="0"/>
              <w:suppressLineNumbers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drawing>
                <wp:inline distT="0" distB="0" distL="114300" distR="114300">
                  <wp:extent cx="1387475" cy="878205"/>
                  <wp:effectExtent l="0" t="0" r="3175" b="17145"/>
                  <wp:docPr id="10" name="图片 5" descr="7f185334a63ccc0986abc733e6cdce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7f185334a63ccc0986abc733e6cdce82"/>
                          <pic:cNvPicPr>
                            <a:picLocks noChangeAspect="1"/>
                          </pic:cNvPicPr>
                        </pic:nvPicPr>
                        <pic:blipFill>
                          <a:blip r:embed="rId8"/>
                          <a:srcRect l="15474" b="28638"/>
                          <a:stretch>
                            <a:fillRect/>
                          </a:stretch>
                        </pic:blipFill>
                        <pic:spPr>
                          <a:xfrm>
                            <a:off x="0" y="0"/>
                            <a:ext cx="1387475" cy="878205"/>
                          </a:xfrm>
                          <a:prstGeom prst="rect">
                            <a:avLst/>
                          </a:prstGeom>
                          <a:noFill/>
                          <a:ln>
                            <a:noFill/>
                          </a:ln>
                        </pic:spPr>
                      </pic:pic>
                    </a:graphicData>
                  </a:graphic>
                </wp:inline>
              </w:drawing>
            </w:r>
          </w:p>
        </w:tc>
      </w:tr>
      <w:tr w14:paraId="3321940D">
        <w:tblPrEx>
          <w:tblCellMar>
            <w:top w:w="0" w:type="dxa"/>
            <w:left w:w="108" w:type="dxa"/>
            <w:bottom w:w="0" w:type="dxa"/>
            <w:right w:w="108" w:type="dxa"/>
          </w:tblCellMar>
        </w:tblPrEx>
        <w:trPr>
          <w:trHeight w:val="1987" w:hRule="atLeast"/>
          <w:jc w:val="center"/>
        </w:trPr>
        <w:tc>
          <w:tcPr>
            <w:tcW w:w="1160"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31509D81">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6</w:t>
            </w:r>
          </w:p>
        </w:tc>
        <w:tc>
          <w:tcPr>
            <w:tcW w:w="2401" w:type="dxa"/>
            <w:tcBorders>
              <w:top w:val="single" w:color="auto" w:sz="4" w:space="0"/>
              <w:left w:val="nil"/>
              <w:bottom w:val="single" w:color="auto" w:sz="4" w:space="0"/>
              <w:right w:val="single" w:color="000000" w:sz="8" w:space="0"/>
            </w:tcBorders>
            <w:shd w:val="clear" w:color="auto" w:fill="FFFFFF"/>
            <w:noWrap w:val="0"/>
            <w:vAlign w:val="center"/>
          </w:tcPr>
          <w:p w14:paraId="7C9DCB29">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二期项目（丰乐主所防爬刺加装）</w:t>
            </w:r>
          </w:p>
        </w:tc>
        <w:tc>
          <w:tcPr>
            <w:tcW w:w="1260" w:type="dxa"/>
            <w:tcBorders>
              <w:top w:val="single" w:color="auto" w:sz="4" w:space="0"/>
              <w:left w:val="nil"/>
              <w:bottom w:val="single" w:color="auto" w:sz="4" w:space="0"/>
              <w:right w:val="single" w:color="000000" w:sz="8" w:space="0"/>
            </w:tcBorders>
            <w:shd w:val="clear" w:color="auto" w:fill="FFFFFF"/>
            <w:noWrap w:val="0"/>
            <w:vAlign w:val="center"/>
          </w:tcPr>
          <w:p w14:paraId="6A19572E">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米</w:t>
            </w:r>
          </w:p>
        </w:tc>
        <w:tc>
          <w:tcPr>
            <w:tcW w:w="1712" w:type="dxa"/>
            <w:tcBorders>
              <w:top w:val="single" w:color="auto" w:sz="4" w:space="0"/>
              <w:left w:val="nil"/>
              <w:bottom w:val="single" w:color="auto" w:sz="4" w:space="0"/>
              <w:right w:val="single" w:color="auto" w:sz="4" w:space="0"/>
            </w:tcBorders>
            <w:shd w:val="clear" w:color="auto" w:fill="FFFFFF"/>
            <w:noWrap w:val="0"/>
            <w:vAlign w:val="center"/>
          </w:tcPr>
          <w:p w14:paraId="5A3E523F">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260</w:t>
            </w:r>
          </w:p>
        </w:tc>
        <w:tc>
          <w:tcPr>
            <w:tcW w:w="2822" w:type="dxa"/>
            <w:tcBorders>
              <w:top w:val="single" w:color="auto" w:sz="4" w:space="0"/>
              <w:left w:val="nil"/>
              <w:bottom w:val="single" w:color="auto" w:sz="4" w:space="0"/>
              <w:right w:val="single" w:color="auto" w:sz="4" w:space="0"/>
            </w:tcBorders>
            <w:shd w:val="clear" w:color="auto" w:fill="FFFFFF"/>
            <w:noWrap w:val="0"/>
            <w:vAlign w:val="center"/>
          </w:tcPr>
          <w:p w14:paraId="36B26211">
            <w:pPr>
              <w:keepNext w:val="0"/>
              <w:keepLines w:val="0"/>
              <w:suppressLineNumbers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drawing>
                <wp:inline distT="0" distB="0" distL="114300" distR="114300">
                  <wp:extent cx="1294130" cy="1666875"/>
                  <wp:effectExtent l="0" t="0" r="1270" b="9525"/>
                  <wp:docPr id="11" name="图片 6" descr="a295fdf2ddeac5f1f4b122f55901ea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a295fdf2ddeac5f1f4b122f55901eaf5"/>
                          <pic:cNvPicPr>
                            <a:picLocks noChangeAspect="1"/>
                          </pic:cNvPicPr>
                        </pic:nvPicPr>
                        <pic:blipFill>
                          <a:blip r:embed="rId9"/>
                          <a:srcRect l="21313" t="24023"/>
                          <a:stretch>
                            <a:fillRect/>
                          </a:stretch>
                        </pic:blipFill>
                        <pic:spPr>
                          <a:xfrm>
                            <a:off x="0" y="0"/>
                            <a:ext cx="1294130" cy="1666875"/>
                          </a:xfrm>
                          <a:prstGeom prst="rect">
                            <a:avLst/>
                          </a:prstGeom>
                          <a:noFill/>
                          <a:ln>
                            <a:noFill/>
                          </a:ln>
                        </pic:spPr>
                      </pic:pic>
                    </a:graphicData>
                  </a:graphic>
                </wp:inline>
              </w:drawing>
            </w:r>
          </w:p>
        </w:tc>
      </w:tr>
      <w:tr w14:paraId="541772A3">
        <w:tblPrEx>
          <w:tblCellMar>
            <w:top w:w="0" w:type="dxa"/>
            <w:left w:w="108" w:type="dxa"/>
            <w:bottom w:w="0" w:type="dxa"/>
            <w:right w:w="108" w:type="dxa"/>
          </w:tblCellMar>
        </w:tblPrEx>
        <w:trPr>
          <w:trHeight w:val="2730" w:hRule="atLeast"/>
          <w:jc w:val="center"/>
        </w:trPr>
        <w:tc>
          <w:tcPr>
            <w:tcW w:w="1160"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0A281A07">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7</w:t>
            </w:r>
          </w:p>
        </w:tc>
        <w:tc>
          <w:tcPr>
            <w:tcW w:w="2401" w:type="dxa"/>
            <w:tcBorders>
              <w:top w:val="single" w:color="auto" w:sz="4" w:space="0"/>
              <w:left w:val="nil"/>
              <w:bottom w:val="single" w:color="auto" w:sz="4" w:space="0"/>
              <w:right w:val="single" w:color="000000" w:sz="8" w:space="0"/>
            </w:tcBorders>
            <w:shd w:val="clear" w:color="auto" w:fill="FFFFFF"/>
            <w:noWrap w:val="0"/>
            <w:vAlign w:val="center"/>
          </w:tcPr>
          <w:p w14:paraId="2E4F9536">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二期项目（丰乐主所围墙立柱加装）</w:t>
            </w:r>
          </w:p>
        </w:tc>
        <w:tc>
          <w:tcPr>
            <w:tcW w:w="1260" w:type="dxa"/>
            <w:tcBorders>
              <w:top w:val="single" w:color="auto" w:sz="4" w:space="0"/>
              <w:left w:val="nil"/>
              <w:bottom w:val="single" w:color="auto" w:sz="4" w:space="0"/>
              <w:right w:val="single" w:color="000000" w:sz="8" w:space="0"/>
            </w:tcBorders>
            <w:shd w:val="clear" w:color="auto" w:fill="FFFFFF"/>
            <w:noWrap w:val="0"/>
            <w:vAlign w:val="center"/>
          </w:tcPr>
          <w:p w14:paraId="58E02E82">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个</w:t>
            </w:r>
          </w:p>
        </w:tc>
        <w:tc>
          <w:tcPr>
            <w:tcW w:w="1712" w:type="dxa"/>
            <w:tcBorders>
              <w:top w:val="single" w:color="auto" w:sz="4" w:space="0"/>
              <w:left w:val="nil"/>
              <w:bottom w:val="single" w:color="auto" w:sz="4" w:space="0"/>
              <w:right w:val="single" w:color="auto" w:sz="4" w:space="0"/>
            </w:tcBorders>
            <w:shd w:val="clear" w:color="auto" w:fill="FFFFFF"/>
            <w:noWrap w:val="0"/>
            <w:vAlign w:val="center"/>
          </w:tcPr>
          <w:p w14:paraId="4DBF78FC">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70</w:t>
            </w:r>
          </w:p>
        </w:tc>
        <w:tc>
          <w:tcPr>
            <w:tcW w:w="2822" w:type="dxa"/>
            <w:tcBorders>
              <w:top w:val="single" w:color="auto" w:sz="4" w:space="0"/>
              <w:left w:val="nil"/>
              <w:bottom w:val="single" w:color="auto" w:sz="4" w:space="0"/>
              <w:right w:val="single" w:color="auto" w:sz="4" w:space="0"/>
            </w:tcBorders>
            <w:shd w:val="clear" w:color="auto" w:fill="FFFFFF"/>
            <w:noWrap w:val="0"/>
            <w:vAlign w:val="center"/>
          </w:tcPr>
          <w:p w14:paraId="5551502D">
            <w:pPr>
              <w:keepNext w:val="0"/>
              <w:keepLines w:val="0"/>
              <w:suppressLineNumbers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drawing>
                <wp:inline distT="0" distB="0" distL="114300" distR="114300">
                  <wp:extent cx="1294130" cy="1666875"/>
                  <wp:effectExtent l="0" t="0" r="1270" b="9525"/>
                  <wp:docPr id="13" name="图片 7" descr="a295fdf2ddeac5f1f4b122f55901ea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a295fdf2ddeac5f1f4b122f55901eaf5"/>
                          <pic:cNvPicPr>
                            <a:picLocks noChangeAspect="1"/>
                          </pic:cNvPicPr>
                        </pic:nvPicPr>
                        <pic:blipFill>
                          <a:blip r:embed="rId9"/>
                          <a:srcRect l="21313" t="24023"/>
                          <a:stretch>
                            <a:fillRect/>
                          </a:stretch>
                        </pic:blipFill>
                        <pic:spPr>
                          <a:xfrm>
                            <a:off x="0" y="0"/>
                            <a:ext cx="1294130" cy="1666875"/>
                          </a:xfrm>
                          <a:prstGeom prst="rect">
                            <a:avLst/>
                          </a:prstGeom>
                          <a:noFill/>
                          <a:ln>
                            <a:noFill/>
                          </a:ln>
                        </pic:spPr>
                      </pic:pic>
                    </a:graphicData>
                  </a:graphic>
                </wp:inline>
              </w:drawing>
            </w:r>
          </w:p>
        </w:tc>
      </w:tr>
    </w:tbl>
    <w:p w14:paraId="518824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color w:val="auto"/>
          <w:highlight w:val="none"/>
        </w:rPr>
      </w:pPr>
    </w:p>
    <w:p w14:paraId="0E8B0BEB">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三、技术要求 </w:t>
      </w:r>
    </w:p>
    <w:p w14:paraId="1B3F2A0A">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1）材质要求：</w:t>
      </w:r>
    </w:p>
    <w:p w14:paraId="0831A058">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主材：①</w:t>
      </w:r>
      <w:r>
        <w:rPr>
          <w:rFonts w:hint="default" w:ascii="宋体" w:hAnsi="宋体" w:eastAsia="宋体" w:cs="宋体"/>
          <w:color w:val="auto"/>
          <w:sz w:val="21"/>
          <w:szCs w:val="21"/>
          <w:highlight w:val="none"/>
          <w:lang w:val="en-US" w:eastAsia="zh-CN"/>
        </w:rPr>
        <w:t>双螺旋</w:t>
      </w:r>
      <w:r>
        <w:rPr>
          <w:rFonts w:hint="eastAsia" w:ascii="宋体" w:hAnsi="宋体" w:eastAsia="宋体" w:cs="宋体"/>
          <w:color w:val="auto"/>
          <w:sz w:val="21"/>
          <w:szCs w:val="21"/>
          <w:highlight w:val="none"/>
          <w:lang w:val="en-US" w:eastAsia="zh-CN"/>
        </w:rPr>
        <w:t>不锈钢</w:t>
      </w:r>
      <w:r>
        <w:rPr>
          <w:rFonts w:hint="default" w:ascii="宋体" w:hAnsi="宋体" w:eastAsia="宋体" w:cs="宋体"/>
          <w:color w:val="auto"/>
          <w:sz w:val="21"/>
          <w:szCs w:val="21"/>
          <w:highlight w:val="none"/>
          <w:lang w:val="en-US" w:eastAsia="zh-CN"/>
        </w:rPr>
        <w:t>刀刺</w:t>
      </w:r>
      <w:r>
        <w:rPr>
          <w:rFonts w:hint="eastAsia" w:ascii="宋体" w:hAnsi="宋体" w:eastAsia="宋体" w:cs="宋体"/>
          <w:color w:val="auto"/>
          <w:sz w:val="21"/>
          <w:szCs w:val="21"/>
          <w:highlight w:val="none"/>
          <w:lang w:val="en-US" w:eastAsia="zh-CN"/>
        </w:rPr>
        <w:t>：材质≥304或者304L系列，</w:t>
      </w:r>
      <w:r>
        <w:rPr>
          <w:rFonts w:hint="default" w:ascii="宋体" w:hAnsi="宋体" w:eastAsia="宋体" w:cs="宋体"/>
          <w:color w:val="auto"/>
          <w:sz w:val="21"/>
          <w:szCs w:val="21"/>
          <w:highlight w:val="none"/>
          <w:lang w:val="en-US" w:eastAsia="zh-CN"/>
        </w:rPr>
        <w:t>丝径</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2.5MM，刀片厚度</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0.5MM，盘径</w:t>
      </w: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0cm</w:t>
      </w:r>
      <w:r>
        <w:rPr>
          <w:rFonts w:hint="eastAsia" w:ascii="宋体" w:hAnsi="宋体" w:eastAsia="宋体" w:cs="宋体"/>
          <w:color w:val="auto"/>
          <w:sz w:val="21"/>
          <w:szCs w:val="21"/>
          <w:highlight w:val="none"/>
          <w:lang w:val="en-US" w:eastAsia="zh-CN"/>
        </w:rPr>
        <w:t>。②不锈钢支架：材质≥304或者304L系列，壁厚≥2mm，方管≥35mm*35mm或圆管直径尺寸≥35mm。如有需要配备底座，支架形态根据现场实际情况可进行焊接调整。</w:t>
      </w:r>
    </w:p>
    <w:p w14:paraId="7B53DAC0">
      <w:pPr>
        <w:numPr>
          <w:ilvl w:val="0"/>
          <w:numId w:val="0"/>
        </w:numPr>
        <w:ind w:firstLine="420" w:firstLineChars="200"/>
        <w:jc w:val="center"/>
        <w:rPr>
          <w:color w:val="auto"/>
          <w:sz w:val="21"/>
          <w:szCs w:val="21"/>
          <w:highlight w:val="none"/>
        </w:rPr>
      </w:pPr>
      <w:r>
        <w:rPr>
          <w:color w:val="auto"/>
          <w:sz w:val="21"/>
          <w:szCs w:val="21"/>
          <w:highlight w:val="none"/>
        </w:rPr>
        <w:drawing>
          <wp:inline distT="0" distB="0" distL="114300" distR="114300">
            <wp:extent cx="1331595" cy="1795780"/>
            <wp:effectExtent l="0" t="0" r="1905" b="139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1331595" cy="1795780"/>
                    </a:xfrm>
                    <a:prstGeom prst="rect">
                      <a:avLst/>
                    </a:prstGeom>
                    <a:noFill/>
                    <a:ln>
                      <a:noFill/>
                    </a:ln>
                  </pic:spPr>
                </pic:pic>
              </a:graphicData>
            </a:graphic>
          </wp:inline>
        </w:drawing>
      </w:r>
      <w:r>
        <w:rPr>
          <w:color w:val="auto"/>
          <w:sz w:val="21"/>
          <w:szCs w:val="21"/>
          <w:highlight w:val="none"/>
        </w:rPr>
        <w:drawing>
          <wp:inline distT="0" distB="0" distL="114300" distR="114300">
            <wp:extent cx="1143000" cy="1753870"/>
            <wp:effectExtent l="0" t="0" r="0" b="177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1"/>
                    <a:stretch>
                      <a:fillRect/>
                    </a:stretch>
                  </pic:blipFill>
                  <pic:spPr>
                    <a:xfrm>
                      <a:off x="0" y="0"/>
                      <a:ext cx="1143000" cy="1753870"/>
                    </a:xfrm>
                    <a:prstGeom prst="rect">
                      <a:avLst/>
                    </a:prstGeom>
                    <a:noFill/>
                    <a:ln>
                      <a:noFill/>
                    </a:ln>
                  </pic:spPr>
                </pic:pic>
              </a:graphicData>
            </a:graphic>
          </wp:inline>
        </w:drawing>
      </w:r>
    </w:p>
    <w:p w14:paraId="106D3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备注：支架样式仅供参考，但必须为不锈钢材质</w:t>
      </w:r>
    </w:p>
    <w:p w14:paraId="12DBE5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辅材：</w:t>
      </w:r>
      <w:r>
        <w:rPr>
          <w:rFonts w:hint="eastAsia" w:ascii="宋体" w:hAnsi="宋体" w:eastAsia="宋体" w:cs="宋体"/>
          <w:color w:val="auto"/>
          <w:sz w:val="21"/>
          <w:szCs w:val="21"/>
          <w:highlight w:val="none"/>
          <w:lang w:val="en-US" w:eastAsia="zh-CN"/>
        </w:rPr>
        <w:t>①</w:t>
      </w:r>
      <w:r>
        <w:rPr>
          <w:rFonts w:hint="eastAsia"/>
          <w:color w:val="auto"/>
          <w:sz w:val="21"/>
          <w:szCs w:val="21"/>
          <w:highlight w:val="none"/>
          <w:lang w:val="en-US" w:eastAsia="zh-CN"/>
        </w:rPr>
        <w:t>不锈钢</w:t>
      </w:r>
      <w:r>
        <w:rPr>
          <w:rFonts w:hint="default"/>
          <w:color w:val="auto"/>
          <w:sz w:val="21"/>
          <w:szCs w:val="21"/>
          <w:highlight w:val="none"/>
          <w:lang w:val="en-US" w:eastAsia="zh-CN"/>
        </w:rPr>
        <w:t>U型卡扣</w:t>
      </w:r>
      <w:r>
        <w:rPr>
          <w:rFonts w:hint="eastAsia"/>
          <w:color w:val="auto"/>
          <w:sz w:val="21"/>
          <w:szCs w:val="21"/>
          <w:highlight w:val="none"/>
          <w:lang w:val="en-US" w:eastAsia="zh-CN"/>
        </w:rPr>
        <w:t>：材质≥304或者304L系列，能使</w:t>
      </w:r>
      <w:r>
        <w:rPr>
          <w:rFonts w:hint="default"/>
          <w:color w:val="auto"/>
          <w:sz w:val="21"/>
          <w:szCs w:val="21"/>
          <w:highlight w:val="none"/>
          <w:lang w:val="en-US" w:eastAsia="zh-CN"/>
        </w:rPr>
        <w:t>双螺旋刀刺</w:t>
      </w:r>
      <w:r>
        <w:rPr>
          <w:rFonts w:hint="eastAsia"/>
          <w:color w:val="auto"/>
          <w:sz w:val="21"/>
          <w:szCs w:val="21"/>
          <w:highlight w:val="none"/>
          <w:lang w:val="en-US" w:eastAsia="zh-CN"/>
        </w:rPr>
        <w:t>与支架匹配，</w:t>
      </w:r>
      <w:r>
        <w:rPr>
          <w:rFonts w:hint="default"/>
          <w:color w:val="auto"/>
          <w:sz w:val="21"/>
          <w:szCs w:val="21"/>
          <w:highlight w:val="none"/>
          <w:lang w:val="en-US" w:eastAsia="zh-CN"/>
        </w:rPr>
        <w:t>确保节点抗拉强度</w:t>
      </w:r>
      <w:r>
        <w:rPr>
          <w:rFonts w:hint="eastAsia"/>
          <w:color w:val="auto"/>
          <w:sz w:val="21"/>
          <w:szCs w:val="21"/>
          <w:highlight w:val="none"/>
          <w:lang w:val="en-US" w:eastAsia="zh-CN"/>
        </w:rPr>
        <w:t>。部分可固定于墙体。②柔性支撑选用：</w:t>
      </w:r>
      <w:r>
        <w:rPr>
          <w:rFonts w:hint="eastAsia" w:ascii="Times New Roman" w:hAnsi="Times New Roman" w:eastAsia="宋体" w:cs="Times New Roman"/>
          <w:color w:val="auto"/>
          <w:sz w:val="21"/>
          <w:szCs w:val="21"/>
          <w:highlight w:val="none"/>
          <w:lang w:val="en-US" w:eastAsia="zh-CN"/>
        </w:rPr>
        <w:t>采用1-2根</w:t>
      </w:r>
      <w:r>
        <w:rPr>
          <w:rFonts w:hint="default" w:ascii="Times New Roman" w:hAnsi="Times New Roman" w:eastAsia="宋体" w:cs="Times New Roman"/>
          <w:color w:val="auto"/>
          <w:sz w:val="21"/>
          <w:szCs w:val="21"/>
          <w:highlight w:val="none"/>
          <w:lang w:val="en-US" w:eastAsia="zh-CN"/>
        </w:rPr>
        <w:t>不锈钢丝绳，</w:t>
      </w:r>
      <w:r>
        <w:rPr>
          <w:rFonts w:hint="default"/>
          <w:color w:val="auto"/>
          <w:sz w:val="21"/>
          <w:szCs w:val="21"/>
          <w:highlight w:val="none"/>
          <w:lang w:val="en-US" w:eastAsia="zh-CN"/>
        </w:rPr>
        <w:t>抗拉强度≥375MPa，</w:t>
      </w:r>
      <w:r>
        <w:rPr>
          <w:rFonts w:hint="eastAsia"/>
          <w:color w:val="auto"/>
          <w:sz w:val="21"/>
          <w:szCs w:val="21"/>
          <w:highlight w:val="none"/>
          <w:lang w:val="en-US" w:eastAsia="zh-CN"/>
        </w:rPr>
        <w:t>需</w:t>
      </w:r>
      <w:r>
        <w:rPr>
          <w:rFonts w:hint="default"/>
          <w:color w:val="auto"/>
          <w:sz w:val="21"/>
          <w:szCs w:val="21"/>
          <w:highlight w:val="none"/>
          <w:lang w:val="en-US" w:eastAsia="zh-CN"/>
        </w:rPr>
        <w:t>抵御室外腐蚀</w:t>
      </w:r>
      <w:r>
        <w:rPr>
          <w:rFonts w:hint="eastAsia"/>
          <w:color w:val="auto"/>
          <w:sz w:val="21"/>
          <w:szCs w:val="21"/>
          <w:highlight w:val="none"/>
          <w:lang w:val="en-US" w:eastAsia="zh-CN"/>
        </w:rPr>
        <w:t>。且</w:t>
      </w:r>
      <w:r>
        <w:rPr>
          <w:rFonts w:hint="default"/>
          <w:color w:val="auto"/>
          <w:sz w:val="21"/>
          <w:szCs w:val="21"/>
          <w:highlight w:val="none"/>
          <w:lang w:val="en-US" w:eastAsia="zh-CN"/>
        </w:rPr>
        <w:t>丝绳与支架的连接需采用专用卡扣，确保节点抗拉强度。</w:t>
      </w:r>
    </w:p>
    <w:p w14:paraId="0A545D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备注：以上辅材价格均包含在双螺旋不锈钢刀刺中，所有螺栓均需采用不锈钢材质。</w:t>
      </w:r>
    </w:p>
    <w:p w14:paraId="22FC08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2）安装方式：</w:t>
      </w:r>
    </w:p>
    <w:p w14:paraId="7D4F3A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color w:val="auto"/>
          <w:sz w:val="21"/>
          <w:szCs w:val="21"/>
          <w:highlight w:val="none"/>
          <w:lang w:val="en-US" w:eastAsia="zh-CN"/>
        </w:rPr>
        <w:t>安装于铁艺围墙</w:t>
      </w:r>
      <w:r>
        <w:rPr>
          <w:rFonts w:hint="default"/>
          <w:color w:val="auto"/>
          <w:sz w:val="21"/>
          <w:szCs w:val="21"/>
          <w:highlight w:val="none"/>
          <w:lang w:val="en-US" w:eastAsia="zh-CN"/>
        </w:rPr>
        <w:t>上方</w:t>
      </w:r>
      <w:r>
        <w:rPr>
          <w:rFonts w:hint="eastAsia"/>
          <w:color w:val="auto"/>
          <w:sz w:val="21"/>
          <w:szCs w:val="21"/>
          <w:highlight w:val="none"/>
          <w:lang w:val="en-US" w:eastAsia="zh-CN"/>
        </w:rPr>
        <w:t>，</w:t>
      </w:r>
      <w:r>
        <w:rPr>
          <w:rFonts w:hint="default"/>
          <w:color w:val="auto"/>
          <w:sz w:val="21"/>
          <w:szCs w:val="21"/>
          <w:highlight w:val="none"/>
          <w:lang w:val="en-US" w:eastAsia="zh-CN"/>
        </w:rPr>
        <w:t>优先选择与电子围栏保持</w:t>
      </w:r>
      <w:r>
        <w:rPr>
          <w:rFonts w:hint="eastAsia"/>
          <w:color w:val="auto"/>
          <w:sz w:val="21"/>
          <w:szCs w:val="21"/>
          <w:highlight w:val="none"/>
          <w:lang w:val="en-US" w:eastAsia="zh-CN"/>
        </w:rPr>
        <w:t>一定</w:t>
      </w:r>
      <w:r>
        <w:rPr>
          <w:rFonts w:hint="default"/>
          <w:color w:val="auto"/>
          <w:sz w:val="21"/>
          <w:szCs w:val="21"/>
          <w:highlight w:val="none"/>
          <w:lang w:val="en-US" w:eastAsia="zh-CN"/>
        </w:rPr>
        <w:t>净距</w:t>
      </w:r>
      <w:r>
        <w:rPr>
          <w:rFonts w:hint="eastAsia"/>
          <w:color w:val="auto"/>
          <w:sz w:val="21"/>
          <w:szCs w:val="21"/>
          <w:highlight w:val="none"/>
          <w:lang w:val="en-US" w:eastAsia="zh-CN"/>
        </w:rPr>
        <w:t>的位置进行防爬刺安装</w:t>
      </w:r>
      <w:r>
        <w:rPr>
          <w:rFonts w:hint="default"/>
          <w:color w:val="auto"/>
          <w:sz w:val="21"/>
          <w:szCs w:val="21"/>
          <w:highlight w:val="none"/>
          <w:lang w:val="en-US" w:eastAsia="zh-CN"/>
        </w:rPr>
        <w:t>，</w:t>
      </w:r>
      <w:r>
        <w:rPr>
          <w:rFonts w:hint="eastAsia"/>
          <w:color w:val="auto"/>
          <w:sz w:val="21"/>
          <w:szCs w:val="21"/>
          <w:highlight w:val="none"/>
          <w:lang w:val="en-US" w:eastAsia="zh-CN"/>
        </w:rPr>
        <w:t>围墙立柱部分安装支架，</w:t>
      </w:r>
      <w:r>
        <w:rPr>
          <w:rFonts w:hint="eastAsia" w:ascii="Times New Roman" w:hAnsi="Times New Roman" w:eastAsia="宋体" w:cs="Times New Roman"/>
          <w:color w:val="auto"/>
          <w:sz w:val="21"/>
          <w:szCs w:val="21"/>
          <w:highlight w:val="none"/>
          <w:lang w:val="en-US" w:eastAsia="zh-CN"/>
        </w:rPr>
        <w:t>用螺栓固定支架后对立柱打入螺栓位置做好边缘修复等防护工作，确保螺栓固定完成后不会的立柱装饰面及整体结构造成明显破坏；</w:t>
      </w:r>
      <w:r>
        <w:rPr>
          <w:rFonts w:hint="eastAsia"/>
          <w:color w:val="auto"/>
          <w:sz w:val="21"/>
          <w:szCs w:val="21"/>
          <w:highlight w:val="none"/>
          <w:lang w:val="en-US" w:eastAsia="zh-CN"/>
        </w:rPr>
        <w:t>将防爬刺固定在支架上，铁艺围墙部分</w:t>
      </w:r>
      <w:r>
        <w:rPr>
          <w:rFonts w:hint="default"/>
          <w:color w:val="auto"/>
          <w:sz w:val="21"/>
          <w:szCs w:val="21"/>
          <w:highlight w:val="none"/>
          <w:lang w:val="en-US" w:eastAsia="zh-CN"/>
        </w:rPr>
        <w:t>采用</w:t>
      </w:r>
      <w:r>
        <w:rPr>
          <w:rFonts w:hint="eastAsia"/>
          <w:color w:val="auto"/>
          <w:sz w:val="21"/>
          <w:szCs w:val="21"/>
          <w:highlight w:val="none"/>
          <w:lang w:val="en-US" w:eastAsia="zh-CN"/>
        </w:rPr>
        <w:t>不锈钢</w:t>
      </w:r>
      <w:r>
        <w:rPr>
          <w:rFonts w:hint="default"/>
          <w:color w:val="auto"/>
          <w:sz w:val="21"/>
          <w:szCs w:val="21"/>
          <w:highlight w:val="none"/>
          <w:lang w:val="en-US" w:eastAsia="zh-CN"/>
        </w:rPr>
        <w:t>U型卡扣</w:t>
      </w:r>
      <w:r>
        <w:rPr>
          <w:rFonts w:hint="eastAsia"/>
          <w:color w:val="auto"/>
          <w:sz w:val="21"/>
          <w:szCs w:val="21"/>
          <w:highlight w:val="none"/>
          <w:lang w:val="en-US" w:eastAsia="zh-CN"/>
        </w:rPr>
        <w:t>固定方式</w:t>
      </w:r>
      <w:r>
        <w:rPr>
          <w:rFonts w:hint="default"/>
          <w:color w:val="auto"/>
          <w:sz w:val="21"/>
          <w:szCs w:val="21"/>
          <w:highlight w:val="none"/>
          <w:lang w:val="en-US" w:eastAsia="zh-CN"/>
        </w:rPr>
        <w:t>，</w:t>
      </w:r>
      <w:r>
        <w:rPr>
          <w:rFonts w:hint="eastAsia"/>
          <w:color w:val="auto"/>
          <w:sz w:val="21"/>
          <w:szCs w:val="21"/>
          <w:highlight w:val="none"/>
          <w:lang w:val="en-US" w:eastAsia="zh-CN"/>
        </w:rPr>
        <w:t>确保铁艺围墙及立柱部分的防爬刺处在同一高度。</w:t>
      </w:r>
      <w:r>
        <w:rPr>
          <w:rFonts w:hint="default"/>
          <w:color w:val="auto"/>
          <w:sz w:val="21"/>
          <w:szCs w:val="21"/>
          <w:highlight w:val="none"/>
          <w:lang w:val="en-US" w:eastAsia="zh-CN"/>
        </w:rPr>
        <w:t>严禁钻孔破坏电子围栏支架</w:t>
      </w:r>
      <w:r>
        <w:rPr>
          <w:rFonts w:hint="eastAsia"/>
          <w:color w:val="auto"/>
          <w:sz w:val="21"/>
          <w:szCs w:val="21"/>
          <w:highlight w:val="none"/>
          <w:lang w:val="en-US" w:eastAsia="zh-CN"/>
        </w:rPr>
        <w:t>；</w:t>
      </w:r>
      <w:r>
        <w:rPr>
          <w:rFonts w:hint="default"/>
          <w:color w:val="auto"/>
          <w:sz w:val="21"/>
          <w:szCs w:val="21"/>
          <w:highlight w:val="none"/>
          <w:lang w:val="en-US" w:eastAsia="zh-CN"/>
        </w:rPr>
        <w:t>每圈间距为15cm</w:t>
      </w:r>
      <w:r>
        <w:rPr>
          <w:rFonts w:hint="eastAsia"/>
          <w:color w:val="auto"/>
          <w:sz w:val="21"/>
          <w:szCs w:val="21"/>
          <w:highlight w:val="none"/>
          <w:lang w:val="en-US" w:eastAsia="zh-CN"/>
        </w:rPr>
        <w:t>-20cm</w:t>
      </w:r>
      <w:r>
        <w:rPr>
          <w:rFonts w:hint="default"/>
          <w:color w:val="auto"/>
          <w:sz w:val="21"/>
          <w:szCs w:val="21"/>
          <w:highlight w:val="none"/>
          <w:lang w:val="en-US" w:eastAsia="zh-CN"/>
        </w:rPr>
        <w:t>一档，盘径</w:t>
      </w:r>
      <w:r>
        <w:rPr>
          <w:rFonts w:hint="eastAsia"/>
          <w:color w:val="auto"/>
          <w:sz w:val="21"/>
          <w:szCs w:val="21"/>
          <w:highlight w:val="none"/>
          <w:lang w:val="en-US" w:eastAsia="zh-CN"/>
        </w:rPr>
        <w:t>≥4</w:t>
      </w:r>
      <w:r>
        <w:rPr>
          <w:rFonts w:hint="default"/>
          <w:color w:val="auto"/>
          <w:sz w:val="21"/>
          <w:szCs w:val="21"/>
          <w:highlight w:val="none"/>
          <w:lang w:val="en-US" w:eastAsia="zh-CN"/>
        </w:rPr>
        <w:t>0cm。</w:t>
      </w:r>
      <w:r>
        <w:rPr>
          <w:rFonts w:hint="eastAsia" w:asciiTheme="minorHAnsi" w:eastAsiaTheme="minorEastAsia"/>
          <w:color w:val="auto"/>
          <w:sz w:val="21"/>
          <w:szCs w:val="21"/>
          <w:highlight w:val="none"/>
          <w:lang w:val="en-US" w:eastAsia="zh-CN"/>
        </w:rPr>
        <w:t>安装后确保</w:t>
      </w:r>
      <w:r>
        <w:rPr>
          <w:rFonts w:hint="default"/>
          <w:color w:val="auto"/>
          <w:sz w:val="21"/>
          <w:szCs w:val="21"/>
          <w:highlight w:val="none"/>
          <w:lang w:val="en-US" w:eastAsia="zh-CN"/>
        </w:rPr>
        <w:t>刺网张紧力度适中，保持刺丝间距均匀，无下垂或松动。</w:t>
      </w:r>
    </w:p>
    <w:p w14:paraId="1A24BD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②生锈防爬刺</w:t>
      </w:r>
      <w:r>
        <w:rPr>
          <w:rFonts w:hint="default"/>
          <w:color w:val="auto"/>
          <w:sz w:val="21"/>
          <w:szCs w:val="21"/>
          <w:highlight w:val="none"/>
          <w:lang w:val="en-US" w:eastAsia="zh-CN"/>
        </w:rPr>
        <w:t>拆除</w:t>
      </w:r>
      <w:r>
        <w:rPr>
          <w:rFonts w:hint="eastAsia"/>
          <w:color w:val="auto"/>
          <w:sz w:val="21"/>
          <w:szCs w:val="21"/>
          <w:highlight w:val="none"/>
          <w:lang w:val="en-US" w:eastAsia="zh-CN"/>
        </w:rPr>
        <w:t>前</w:t>
      </w:r>
      <w:r>
        <w:rPr>
          <w:rFonts w:hint="default"/>
          <w:color w:val="auto"/>
          <w:sz w:val="21"/>
          <w:szCs w:val="21"/>
          <w:highlight w:val="none"/>
          <w:lang w:val="en-US" w:eastAsia="zh-CN"/>
        </w:rPr>
        <w:t>先检查旧防爬刺的固定状态，若为螺丝固定，用扳手依次拧松螺丝；拆除过程中轻拿轻放，避免防爬刺坠落伤人，拆除后的旧件统一归集。将新防爬刺对</w:t>
      </w:r>
      <w:r>
        <w:rPr>
          <w:rFonts w:hint="eastAsia"/>
          <w:color w:val="auto"/>
          <w:sz w:val="21"/>
          <w:szCs w:val="21"/>
          <w:highlight w:val="none"/>
          <w:lang w:val="en-US" w:eastAsia="zh-CN"/>
        </w:rPr>
        <w:t>原</w:t>
      </w:r>
      <w:r>
        <w:rPr>
          <w:rFonts w:hint="default"/>
          <w:color w:val="auto"/>
          <w:sz w:val="21"/>
          <w:szCs w:val="21"/>
          <w:highlight w:val="none"/>
          <w:lang w:val="en-US" w:eastAsia="zh-CN"/>
        </w:rPr>
        <w:t>固定点，套入螺丝后用扳手拧紧螺母，确保防爬刺与安装面紧密贴合，无松动、歪斜现象。若为多段拼接，拼接处需对齐，间隙≤2mm，确保整体防护连续。</w:t>
      </w:r>
    </w:p>
    <w:p w14:paraId="2854BD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备注：所有螺栓均需采用不锈钢材质。</w:t>
      </w:r>
    </w:p>
    <w:p w14:paraId="28E0A2DA">
      <w:pPr>
        <w:numPr>
          <w:ilvl w:val="0"/>
          <w:numId w:val="0"/>
        </w:numPr>
        <w:ind w:firstLine="420" w:firstLineChars="200"/>
        <w:jc w:val="center"/>
        <w:rPr>
          <w:rFonts w:ascii="宋体" w:hAnsi="宋体" w:cs="宋体"/>
          <w:color w:val="auto"/>
          <w:sz w:val="21"/>
          <w:szCs w:val="21"/>
          <w:highlight w:val="none"/>
        </w:rPr>
      </w:pPr>
      <w:r>
        <w:rPr>
          <w:rFonts w:ascii="宋体" w:hAnsi="宋体" w:cs="宋体"/>
          <w:color w:val="auto"/>
          <w:sz w:val="21"/>
          <w:szCs w:val="21"/>
          <w:highlight w:val="none"/>
        </w:rPr>
        <w:drawing>
          <wp:inline distT="0" distB="0" distL="114300" distR="114300">
            <wp:extent cx="4051935" cy="3984625"/>
            <wp:effectExtent l="0" t="0" r="5715" b="15875"/>
            <wp:docPr id="3" name="图片 3" descr="5a9bdf92Na07c7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a9bdf92Na07c78df"/>
                    <pic:cNvPicPr>
                      <a:picLocks noChangeAspect="1"/>
                    </pic:cNvPicPr>
                  </pic:nvPicPr>
                  <pic:blipFill>
                    <a:blip r:embed="rId12"/>
                    <a:stretch>
                      <a:fillRect/>
                    </a:stretch>
                  </pic:blipFill>
                  <pic:spPr>
                    <a:xfrm>
                      <a:off x="0" y="0"/>
                      <a:ext cx="4051935" cy="3984625"/>
                    </a:xfrm>
                    <a:prstGeom prst="rect">
                      <a:avLst/>
                    </a:prstGeom>
                    <a:noFill/>
                    <a:ln>
                      <a:noFill/>
                    </a:ln>
                  </pic:spPr>
                </pic:pic>
              </a:graphicData>
            </a:graphic>
          </wp:inline>
        </w:drawing>
      </w:r>
    </w:p>
    <w:p w14:paraId="1B66D7E0">
      <w:pPr>
        <w:numPr>
          <w:ilvl w:val="0"/>
          <w:numId w:val="0"/>
        </w:numPr>
        <w:ind w:firstLine="420" w:firstLineChars="20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图1 防爬刺效果图</w:t>
      </w:r>
    </w:p>
    <w:p w14:paraId="17C3DD47">
      <w:pPr>
        <w:numPr>
          <w:ilvl w:val="0"/>
          <w:numId w:val="0"/>
        </w:numPr>
        <w:jc w:val="cente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drawing>
          <wp:inline distT="0" distB="0" distL="114300" distR="114300">
            <wp:extent cx="4369435" cy="3275965"/>
            <wp:effectExtent l="0" t="0" r="12065" b="635"/>
            <wp:docPr id="4" name="图片 4" descr="1f1f919d8c8fa079c10b696c6c1fe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f1f919d8c8fa079c10b696c6c1fe117"/>
                    <pic:cNvPicPr>
                      <a:picLocks noChangeAspect="1"/>
                    </pic:cNvPicPr>
                  </pic:nvPicPr>
                  <pic:blipFill>
                    <a:blip r:embed="rId6"/>
                    <a:stretch>
                      <a:fillRect/>
                    </a:stretch>
                  </pic:blipFill>
                  <pic:spPr>
                    <a:xfrm>
                      <a:off x="0" y="0"/>
                      <a:ext cx="4369435" cy="3275965"/>
                    </a:xfrm>
                    <a:prstGeom prst="rect">
                      <a:avLst/>
                    </a:prstGeom>
                  </pic:spPr>
                </pic:pic>
              </a:graphicData>
            </a:graphic>
          </wp:inline>
        </w:drawing>
      </w:r>
    </w:p>
    <w:p w14:paraId="1790C80B">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图2 现场围墙图</w:t>
      </w:r>
    </w:p>
    <w:p w14:paraId="021B24DB">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四、人员配置</w:t>
      </w:r>
      <w:r>
        <w:rPr>
          <w:rFonts w:hint="default" w:ascii="宋体" w:hAnsi="宋体" w:eastAsia="宋体" w:cs="宋体"/>
          <w:b/>
          <w:color w:val="auto"/>
          <w:sz w:val="21"/>
          <w:szCs w:val="21"/>
          <w:highlight w:val="none"/>
          <w:lang w:val="en-US" w:eastAsia="zh-CN"/>
        </w:rPr>
        <w:t>要求</w:t>
      </w:r>
    </w:p>
    <w:p w14:paraId="7153A7AF">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中标人需要</w:t>
      </w:r>
      <w:r>
        <w:rPr>
          <w:rFonts w:hint="default" w:ascii="宋体" w:hAnsi="宋体" w:eastAsia="宋体" w:cs="宋体"/>
          <w:color w:val="auto"/>
          <w:szCs w:val="21"/>
          <w:highlight w:val="none"/>
          <w:lang w:val="en-US" w:eastAsia="zh-CN"/>
        </w:rPr>
        <w:t>选派精干人员组成项目组，对项目进行全面管理。</w:t>
      </w:r>
      <w:r>
        <w:rPr>
          <w:rFonts w:hint="eastAsia" w:ascii="宋体" w:hAnsi="宋体" w:eastAsia="宋体" w:cs="宋体"/>
          <w:color w:val="auto"/>
          <w:szCs w:val="21"/>
          <w:highlight w:val="none"/>
          <w:lang w:val="en-US" w:eastAsia="zh-CN"/>
        </w:rPr>
        <w:t>中标人</w:t>
      </w:r>
      <w:r>
        <w:rPr>
          <w:rFonts w:hint="default" w:ascii="宋体" w:hAnsi="宋体" w:eastAsia="宋体" w:cs="宋体"/>
          <w:color w:val="auto"/>
          <w:szCs w:val="21"/>
          <w:highlight w:val="none"/>
          <w:lang w:val="en-US" w:eastAsia="zh-CN"/>
        </w:rPr>
        <w:t>必须设施工负责人</w:t>
      </w: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val="en-US" w:eastAsia="zh-CN"/>
        </w:rPr>
        <w:t>名，安全员</w:t>
      </w: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val="en-US" w:eastAsia="zh-CN"/>
        </w:rPr>
        <w:t>名，并全程参与项目的核算、实施、验收等相关工作。</w:t>
      </w:r>
    </w:p>
    <w:p w14:paraId="38D37266">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五、服务要求</w:t>
      </w:r>
    </w:p>
    <w:p w14:paraId="0C3462C2">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en-US" w:eastAsia="zh-CN"/>
        </w:rPr>
        <w:t>.中标人</w:t>
      </w:r>
      <w:r>
        <w:rPr>
          <w:rFonts w:hint="default" w:ascii="宋体" w:hAnsi="宋体" w:eastAsia="宋体" w:cs="宋体"/>
          <w:color w:val="auto"/>
          <w:szCs w:val="21"/>
          <w:highlight w:val="none"/>
          <w:lang w:val="en-US" w:eastAsia="zh-CN"/>
        </w:rPr>
        <w:t>自行将每日施工所需材料运至施工现场，同时需提供材料（构配件）、设备进场使用报验单，并做好未完品保护。</w:t>
      </w:r>
    </w:p>
    <w:p w14:paraId="6774AB61">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.中标人</w:t>
      </w:r>
      <w:r>
        <w:rPr>
          <w:rFonts w:hint="default" w:ascii="宋体" w:hAnsi="宋体" w:eastAsia="宋体" w:cs="宋体"/>
          <w:color w:val="auto"/>
          <w:szCs w:val="21"/>
          <w:highlight w:val="none"/>
          <w:lang w:val="en-US" w:eastAsia="zh-CN"/>
        </w:rPr>
        <w:t>每日作业完成后须经双方检查确认合格后方可撤离现场。</w:t>
      </w:r>
    </w:p>
    <w:p w14:paraId="0957CD3A">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施工人员要求作业前要了解工程项目的内容性质及安装位置，同时要熟悉技术、质量要求，现场负责人要强化技术管理及安全保护措施。</w:t>
      </w:r>
    </w:p>
    <w:p w14:paraId="7DEB5585">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合理安排施工进度及人力和物力的投入。</w:t>
      </w:r>
    </w:p>
    <w:p w14:paraId="5E47CC2F">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施工单位应严格遵守滁州市轨道交通运营有限</w:t>
      </w:r>
      <w:r>
        <w:rPr>
          <w:rFonts w:hint="eastAsia" w:ascii="宋体" w:hAnsi="宋体" w:eastAsia="宋体" w:cs="宋体"/>
          <w:color w:val="auto"/>
          <w:szCs w:val="21"/>
          <w:highlight w:val="none"/>
          <w:lang w:val="en-US" w:eastAsia="zh-CN"/>
        </w:rPr>
        <w:t>公司</w:t>
      </w:r>
      <w:r>
        <w:rPr>
          <w:rFonts w:hint="default" w:ascii="宋体" w:hAnsi="宋体" w:eastAsia="宋体" w:cs="宋体"/>
          <w:color w:val="auto"/>
          <w:szCs w:val="21"/>
          <w:highlight w:val="none"/>
          <w:lang w:val="en-US" w:eastAsia="zh-CN"/>
        </w:rPr>
        <w:t>的安全施工制度要求</w:t>
      </w:r>
      <w:r>
        <w:rPr>
          <w:rFonts w:hint="eastAsia" w:ascii="宋体" w:hAnsi="宋体" w:eastAsia="宋体" w:cs="宋体"/>
          <w:color w:val="auto"/>
          <w:szCs w:val="21"/>
          <w:highlight w:val="none"/>
          <w:lang w:val="en-US" w:eastAsia="zh-CN"/>
        </w:rPr>
        <w:t>。</w:t>
      </w:r>
    </w:p>
    <w:p w14:paraId="7BD76201">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default" w:ascii="宋体" w:hAnsi="宋体" w:eastAsia="宋体" w:cs="宋体"/>
          <w:color w:val="auto"/>
          <w:szCs w:val="21"/>
          <w:highlight w:val="none"/>
          <w:lang w:val="en-US" w:eastAsia="zh-CN"/>
        </w:rPr>
        <w:t>服从现场管理，作业人员及作业机具不得影响运营正常办公。</w:t>
      </w:r>
    </w:p>
    <w:p w14:paraId="0F892908">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lang w:val="en-US" w:eastAsia="zh-CN"/>
        </w:rPr>
        <w:t>做好施工现场的作业安全防护,文明施工,保证施工现场工完料清。</w:t>
      </w:r>
    </w:p>
    <w:p w14:paraId="5392502C">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r>
        <w:rPr>
          <w:rFonts w:hint="default" w:ascii="宋体" w:hAnsi="宋体" w:eastAsia="宋体" w:cs="宋体"/>
          <w:color w:val="auto"/>
          <w:szCs w:val="21"/>
          <w:highlight w:val="none"/>
          <w:lang w:val="en-US" w:eastAsia="zh-CN"/>
        </w:rPr>
        <w:t>施工人员进入施工现场应立足本职工作，不得擅自</w:t>
      </w:r>
      <w:r>
        <w:rPr>
          <w:rFonts w:hint="eastAsia" w:ascii="宋体" w:hAnsi="宋体" w:eastAsia="宋体" w:cs="宋体"/>
          <w:color w:val="auto"/>
          <w:szCs w:val="21"/>
          <w:highlight w:val="none"/>
          <w:lang w:val="en-US" w:eastAsia="zh-CN"/>
        </w:rPr>
        <w:t>动用</w:t>
      </w:r>
      <w:r>
        <w:rPr>
          <w:rFonts w:hint="default" w:ascii="宋体" w:hAnsi="宋体" w:eastAsia="宋体" w:cs="宋体"/>
          <w:color w:val="auto"/>
          <w:szCs w:val="21"/>
          <w:highlight w:val="none"/>
          <w:lang w:val="en-US" w:eastAsia="zh-CN"/>
        </w:rPr>
        <w:t>非工程范围内任何设备，尤其注意电缆线、电器设备。</w:t>
      </w:r>
    </w:p>
    <w:p w14:paraId="2848370A">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r>
        <w:rPr>
          <w:rFonts w:hint="default" w:ascii="宋体" w:hAnsi="宋体" w:eastAsia="宋体" w:cs="宋体"/>
          <w:color w:val="auto"/>
          <w:szCs w:val="21"/>
          <w:highlight w:val="none"/>
          <w:lang w:val="en-US" w:eastAsia="zh-CN"/>
        </w:rPr>
        <w:t>安装过程中导致滁宁铁路设备损坏，由</w:t>
      </w:r>
      <w:r>
        <w:rPr>
          <w:rFonts w:hint="eastAsia" w:ascii="宋体" w:hAnsi="宋体" w:eastAsia="宋体" w:cs="宋体"/>
          <w:color w:val="auto"/>
          <w:szCs w:val="21"/>
          <w:highlight w:val="none"/>
          <w:lang w:val="en-US" w:eastAsia="zh-CN"/>
        </w:rPr>
        <w:t>中标人</w:t>
      </w:r>
      <w:r>
        <w:rPr>
          <w:rFonts w:hint="default" w:ascii="宋体" w:hAnsi="宋体" w:eastAsia="宋体" w:cs="宋体"/>
          <w:color w:val="auto"/>
          <w:szCs w:val="21"/>
          <w:highlight w:val="none"/>
          <w:lang w:val="en-US" w:eastAsia="zh-CN"/>
        </w:rPr>
        <w:t>负责恢复。</w:t>
      </w:r>
    </w:p>
    <w:p w14:paraId="18B5DC4A">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10.项目实施中所需的各项车辆、设备及耗材由中标人自行提供。</w:t>
      </w:r>
    </w:p>
    <w:p w14:paraId="6EC82F87">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11.中标人在开工前派出技术人员，根据招标人的要求进行现场踏勘。</w:t>
      </w:r>
    </w:p>
    <w:p w14:paraId="451ADB84">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六、工期要求</w:t>
      </w:r>
    </w:p>
    <w:p w14:paraId="2628C4F3">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自签订合同之日起30个日历天内按招标人管理制度完成开工报审；60个日历天内完成全部工程施工并通过验收。</w:t>
      </w:r>
    </w:p>
    <w:p w14:paraId="24056555">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七</w:t>
      </w:r>
      <w:r>
        <w:rPr>
          <w:rFonts w:hint="default" w:ascii="宋体" w:hAnsi="宋体" w:eastAsia="宋体" w:cs="宋体"/>
          <w:b/>
          <w:color w:val="auto"/>
          <w:sz w:val="21"/>
          <w:szCs w:val="21"/>
          <w:highlight w:val="none"/>
          <w:lang w:val="en-US" w:eastAsia="zh-CN"/>
        </w:rPr>
        <w:t>、质保期</w:t>
      </w:r>
    </w:p>
    <w:p w14:paraId="79530C7B">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质保期自竣工验收合格之日起2年，发生非人为破坏性损坏由</w:t>
      </w:r>
      <w:r>
        <w:rPr>
          <w:rFonts w:hint="eastAsia" w:ascii="宋体" w:hAnsi="宋体" w:eastAsia="宋体" w:cs="宋体"/>
          <w:color w:val="auto"/>
          <w:szCs w:val="21"/>
          <w:highlight w:val="none"/>
          <w:lang w:val="en-US" w:eastAsia="zh-CN"/>
        </w:rPr>
        <w:t>中标人</w:t>
      </w:r>
      <w:r>
        <w:rPr>
          <w:rFonts w:hint="default" w:ascii="宋体" w:hAnsi="宋体" w:eastAsia="宋体" w:cs="宋体"/>
          <w:color w:val="auto"/>
          <w:szCs w:val="21"/>
          <w:highlight w:val="none"/>
          <w:lang w:val="en-US" w:eastAsia="zh-CN"/>
        </w:rPr>
        <w:t>无偿进行修复。</w:t>
      </w:r>
    </w:p>
    <w:p w14:paraId="32CE5685">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2880BDC6">
      <w:pPr>
        <w:numPr>
          <w:ilvl w:val="0"/>
          <w:numId w:val="5"/>
        </w:numPr>
        <w:jc w:val="cente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 xml:space="preserve"> 合同条款及格式</w:t>
      </w:r>
    </w:p>
    <w:p w14:paraId="25206C00">
      <w:pPr>
        <w:numPr>
          <w:ilvl w:val="0"/>
          <w:numId w:val="0"/>
        </w:numPr>
        <w:jc w:val="left"/>
        <w:rPr>
          <w:rFonts w:hint="eastAsia" w:eastAsia="仿宋"/>
          <w:b/>
          <w:color w:val="auto"/>
          <w:highlight w:val="none"/>
          <w:lang w:eastAsia="zh-CN"/>
        </w:rPr>
      </w:pPr>
      <w:r>
        <w:rPr>
          <w:rFonts w:hint="eastAsia" w:eastAsia="仿宋"/>
          <w:b/>
          <w:color w:val="auto"/>
          <w:highlight w:val="none"/>
        </w:rPr>
        <w:t>甲方：</w:t>
      </w:r>
    </w:p>
    <w:p w14:paraId="441AFBEF">
      <w:pPr>
        <w:spacing w:line="360" w:lineRule="auto"/>
        <w:rPr>
          <w:rFonts w:eastAsia="仿宋"/>
          <w:b/>
          <w:color w:val="auto"/>
          <w:highlight w:val="none"/>
          <w:u w:val="single"/>
        </w:rPr>
      </w:pPr>
      <w:r>
        <w:rPr>
          <w:rFonts w:hint="eastAsia" w:eastAsia="仿宋"/>
          <w:b/>
          <w:color w:val="auto"/>
          <w:highlight w:val="none"/>
        </w:rPr>
        <w:t>乙方：</w:t>
      </w:r>
    </w:p>
    <w:p w14:paraId="7B550967">
      <w:pPr>
        <w:spacing w:line="360" w:lineRule="auto"/>
        <w:ind w:firstLine="420" w:firstLineChars="200"/>
        <w:rPr>
          <w:rFonts w:eastAsia="仿宋"/>
          <w:color w:val="auto"/>
          <w:highlight w:val="none"/>
        </w:rPr>
      </w:pPr>
      <w:r>
        <w:rPr>
          <w:rFonts w:eastAsia="仿宋"/>
          <w:color w:val="auto"/>
          <w:highlight w:val="none"/>
        </w:rPr>
        <w:t>根据有关法律</w:t>
      </w:r>
      <w:r>
        <w:rPr>
          <w:rFonts w:hint="eastAsia" w:eastAsia="仿宋"/>
          <w:color w:val="auto"/>
          <w:highlight w:val="none"/>
        </w:rPr>
        <w:t>法规</w:t>
      </w:r>
      <w:r>
        <w:rPr>
          <w:rFonts w:eastAsia="仿宋"/>
          <w:color w:val="auto"/>
          <w:highlight w:val="none"/>
        </w:rPr>
        <w:t>规定，遵循平等、自愿、公平和诚信的原则，</w:t>
      </w:r>
      <w:r>
        <w:rPr>
          <w:rFonts w:hint="eastAsia" w:eastAsia="仿宋"/>
          <w:color w:val="auto"/>
          <w:highlight w:val="none"/>
        </w:rPr>
        <w:t>甲、乙</w:t>
      </w:r>
      <w:r>
        <w:rPr>
          <w:rFonts w:eastAsia="仿宋"/>
          <w:color w:val="auto"/>
          <w:highlight w:val="none"/>
        </w:rPr>
        <w:t>双方就</w:t>
      </w:r>
      <w:r>
        <w:rPr>
          <w:rFonts w:hint="eastAsia" w:eastAsia="仿宋"/>
          <w:color w:val="auto"/>
          <w:highlight w:val="none"/>
          <w:u w:val="single"/>
          <w:lang w:eastAsia="zh-CN"/>
        </w:rPr>
        <w:t>滁州至南京城际铁路（滁州段）一期、二期重点区域加装围墙防爬刺项目</w:t>
      </w:r>
      <w:r>
        <w:rPr>
          <w:rFonts w:hint="eastAsia" w:eastAsia="仿宋"/>
          <w:color w:val="auto"/>
          <w:highlight w:val="none"/>
        </w:rPr>
        <w:t>（以下称“本项目”）的实施</w:t>
      </w:r>
      <w:r>
        <w:rPr>
          <w:rFonts w:eastAsia="仿宋"/>
          <w:color w:val="auto"/>
          <w:highlight w:val="none"/>
        </w:rPr>
        <w:t>及有关事项协商一致</w:t>
      </w:r>
      <w:r>
        <w:rPr>
          <w:rFonts w:hint="eastAsia" w:eastAsia="仿宋"/>
          <w:color w:val="auto"/>
          <w:highlight w:val="none"/>
        </w:rPr>
        <w:t>，</w:t>
      </w:r>
      <w:r>
        <w:rPr>
          <w:rFonts w:eastAsia="仿宋"/>
          <w:color w:val="auto"/>
          <w:highlight w:val="none"/>
        </w:rPr>
        <w:t>共同达成如下协议：</w:t>
      </w:r>
    </w:p>
    <w:p w14:paraId="0789248B">
      <w:pPr>
        <w:pStyle w:val="39"/>
        <w:numPr>
          <w:ilvl w:val="0"/>
          <w:numId w:val="0"/>
        </w:numPr>
        <w:spacing w:line="360" w:lineRule="auto"/>
        <w:ind w:leftChars="0"/>
        <w:rPr>
          <w:rFonts w:eastAsia="仿宋"/>
          <w:b/>
          <w:color w:val="auto"/>
          <w:highlight w:val="none"/>
        </w:rPr>
      </w:pPr>
      <w:bookmarkStart w:id="79" w:name="_Toc351203486"/>
      <w:r>
        <w:rPr>
          <w:rFonts w:hint="eastAsia" w:eastAsia="仿宋"/>
          <w:b/>
          <w:color w:val="auto"/>
          <w:highlight w:val="none"/>
          <w:lang w:val="en-US" w:eastAsia="zh-CN"/>
        </w:rPr>
        <w:t>一、</w:t>
      </w:r>
      <w:r>
        <w:rPr>
          <w:rFonts w:eastAsia="仿宋"/>
          <w:b/>
          <w:color w:val="auto"/>
          <w:highlight w:val="none"/>
        </w:rPr>
        <w:t>合同文件构成</w:t>
      </w:r>
      <w:bookmarkEnd w:id="79"/>
    </w:p>
    <w:p w14:paraId="040B1419">
      <w:pPr>
        <w:spacing w:line="360" w:lineRule="auto"/>
        <w:rPr>
          <w:rFonts w:eastAsia="仿宋"/>
          <w:bCs/>
          <w:color w:val="auto"/>
          <w:highlight w:val="none"/>
        </w:rPr>
      </w:pPr>
      <w:bookmarkStart w:id="80" w:name="_Hlk14188859"/>
      <w:r>
        <w:rPr>
          <w:rFonts w:eastAsia="仿宋"/>
          <w:bCs/>
          <w:color w:val="auto"/>
          <w:highlight w:val="none"/>
        </w:rPr>
        <w:t>本</w:t>
      </w:r>
      <w:r>
        <w:rPr>
          <w:rFonts w:hint="eastAsia" w:eastAsia="仿宋"/>
          <w:bCs/>
          <w:color w:val="auto"/>
          <w:highlight w:val="none"/>
          <w:lang w:eastAsia="zh-CN"/>
        </w:rPr>
        <w:t>合同</w:t>
      </w:r>
      <w:r>
        <w:rPr>
          <w:rFonts w:eastAsia="仿宋"/>
          <w:bCs/>
          <w:color w:val="auto"/>
          <w:highlight w:val="none"/>
        </w:rPr>
        <w:t>书与下列文件一起构成合同文件：</w:t>
      </w:r>
    </w:p>
    <w:p w14:paraId="4E0A9042">
      <w:pPr>
        <w:pStyle w:val="39"/>
        <w:numPr>
          <w:ilvl w:val="0"/>
          <w:numId w:val="6"/>
        </w:numPr>
        <w:spacing w:line="360" w:lineRule="auto"/>
        <w:ind w:firstLineChars="0"/>
        <w:rPr>
          <w:rFonts w:eastAsia="仿宋"/>
          <w:color w:val="auto"/>
          <w:highlight w:val="none"/>
        </w:rPr>
      </w:pPr>
      <w:r>
        <w:rPr>
          <w:rFonts w:hint="eastAsia" w:eastAsia="仿宋"/>
          <w:color w:val="auto"/>
          <w:highlight w:val="none"/>
        </w:rPr>
        <w:t>招标文件、投标文件、</w:t>
      </w:r>
      <w:r>
        <w:rPr>
          <w:rFonts w:eastAsia="仿宋"/>
          <w:color w:val="auto"/>
          <w:highlight w:val="none"/>
        </w:rPr>
        <w:t>中标通知书（如有）；</w:t>
      </w:r>
    </w:p>
    <w:p w14:paraId="739DD1EF">
      <w:pPr>
        <w:pStyle w:val="39"/>
        <w:numPr>
          <w:ilvl w:val="0"/>
          <w:numId w:val="6"/>
        </w:numPr>
        <w:spacing w:line="360" w:lineRule="auto"/>
        <w:ind w:firstLineChars="0"/>
        <w:rPr>
          <w:rFonts w:eastAsia="仿宋"/>
          <w:color w:val="auto"/>
          <w:highlight w:val="none"/>
        </w:rPr>
      </w:pPr>
      <w:bookmarkStart w:id="81" w:name="_Hlk14189050"/>
      <w:r>
        <w:rPr>
          <w:rFonts w:hint="eastAsia" w:eastAsia="仿宋"/>
          <w:color w:val="auto"/>
          <w:highlight w:val="none"/>
        </w:rPr>
        <w:t>竞争性磋商</w:t>
      </w:r>
      <w:r>
        <w:rPr>
          <w:rFonts w:hint="eastAsia" w:eastAsia="仿宋"/>
          <w:color w:val="auto"/>
          <w:highlight w:val="none"/>
          <w:lang w:val="en-US" w:eastAsia="zh-CN"/>
        </w:rPr>
        <w:t>文件</w:t>
      </w:r>
      <w:r>
        <w:rPr>
          <w:rFonts w:hint="eastAsia" w:eastAsia="仿宋"/>
          <w:color w:val="auto"/>
          <w:highlight w:val="none"/>
        </w:rPr>
        <w:t>、谈判文件及申请文件（如有）</w:t>
      </w:r>
      <w:r>
        <w:rPr>
          <w:rFonts w:eastAsia="仿宋"/>
          <w:color w:val="auto"/>
          <w:highlight w:val="none"/>
        </w:rPr>
        <w:t>；</w:t>
      </w:r>
    </w:p>
    <w:p w14:paraId="4EBDBF58">
      <w:pPr>
        <w:numPr>
          <w:ilvl w:val="0"/>
          <w:numId w:val="6"/>
        </w:numPr>
        <w:spacing w:line="360" w:lineRule="auto"/>
        <w:ind w:left="720" w:leftChars="0" w:hanging="720" w:firstLineChars="0"/>
        <w:rPr>
          <w:rFonts w:eastAsia="仿宋"/>
          <w:color w:val="auto"/>
          <w:highlight w:val="none"/>
        </w:rPr>
      </w:pPr>
      <w:r>
        <w:rPr>
          <w:rFonts w:eastAsia="仿宋"/>
          <w:color w:val="auto"/>
          <w:highlight w:val="none"/>
        </w:rPr>
        <w:t>技术标准和要求</w:t>
      </w:r>
      <w:r>
        <w:rPr>
          <w:rFonts w:hint="eastAsia" w:eastAsia="仿宋"/>
          <w:color w:val="auto"/>
          <w:highlight w:val="none"/>
          <w:lang w:eastAsia="zh-CN"/>
        </w:rPr>
        <w:t>（</w:t>
      </w:r>
      <w:r>
        <w:rPr>
          <w:rFonts w:hint="eastAsia" w:eastAsia="仿宋"/>
          <w:color w:val="auto"/>
          <w:highlight w:val="none"/>
          <w:lang w:val="en-US" w:eastAsia="zh-CN"/>
        </w:rPr>
        <w:t>用户需求书</w:t>
      </w:r>
      <w:r>
        <w:rPr>
          <w:rFonts w:hint="eastAsia" w:eastAsia="仿宋"/>
          <w:color w:val="auto"/>
          <w:highlight w:val="none"/>
          <w:lang w:eastAsia="zh-CN"/>
        </w:rPr>
        <w:t>）</w:t>
      </w:r>
      <w:r>
        <w:rPr>
          <w:rFonts w:eastAsia="仿宋"/>
          <w:color w:val="auto"/>
          <w:highlight w:val="none"/>
        </w:rPr>
        <w:t>；</w:t>
      </w:r>
      <w:bookmarkEnd w:id="81"/>
    </w:p>
    <w:p w14:paraId="681E10EE">
      <w:pPr>
        <w:numPr>
          <w:ilvl w:val="0"/>
          <w:numId w:val="6"/>
        </w:numPr>
        <w:spacing w:line="360" w:lineRule="auto"/>
        <w:ind w:left="720" w:leftChars="0" w:hanging="720" w:firstLineChars="0"/>
        <w:rPr>
          <w:rFonts w:eastAsia="仿宋"/>
          <w:color w:val="auto"/>
          <w:highlight w:val="none"/>
        </w:rPr>
      </w:pPr>
      <w:r>
        <w:rPr>
          <w:rFonts w:eastAsia="仿宋"/>
          <w:color w:val="auto"/>
          <w:highlight w:val="none"/>
        </w:rPr>
        <w:t>图纸</w:t>
      </w:r>
      <w:r>
        <w:rPr>
          <w:rFonts w:hint="eastAsia" w:eastAsia="仿宋"/>
          <w:color w:val="auto"/>
          <w:highlight w:val="none"/>
          <w:lang w:eastAsia="zh-CN"/>
        </w:rPr>
        <w:t>（</w:t>
      </w:r>
      <w:r>
        <w:rPr>
          <w:rFonts w:hint="eastAsia" w:eastAsia="仿宋"/>
          <w:color w:val="auto"/>
          <w:highlight w:val="none"/>
          <w:lang w:val="en-US" w:eastAsia="zh-CN"/>
        </w:rPr>
        <w:t>如有</w:t>
      </w:r>
      <w:r>
        <w:rPr>
          <w:rFonts w:hint="eastAsia" w:eastAsia="仿宋"/>
          <w:color w:val="auto"/>
          <w:highlight w:val="none"/>
          <w:lang w:eastAsia="zh-CN"/>
        </w:rPr>
        <w:t>）</w:t>
      </w:r>
      <w:r>
        <w:rPr>
          <w:rFonts w:eastAsia="仿宋"/>
          <w:color w:val="auto"/>
          <w:highlight w:val="none"/>
        </w:rPr>
        <w:t>；</w:t>
      </w:r>
    </w:p>
    <w:p w14:paraId="070942C0">
      <w:pPr>
        <w:numPr>
          <w:ilvl w:val="0"/>
          <w:numId w:val="6"/>
        </w:numPr>
        <w:spacing w:line="360" w:lineRule="auto"/>
        <w:ind w:left="720" w:leftChars="0" w:hanging="720" w:firstLineChars="0"/>
        <w:rPr>
          <w:rFonts w:eastAsia="仿宋"/>
          <w:color w:val="auto"/>
          <w:highlight w:val="none"/>
        </w:rPr>
      </w:pPr>
      <w:r>
        <w:rPr>
          <w:rFonts w:eastAsia="仿宋"/>
          <w:color w:val="auto"/>
          <w:highlight w:val="none"/>
        </w:rPr>
        <w:t>已标价工程量清单或预算书</w:t>
      </w:r>
      <w:r>
        <w:rPr>
          <w:rFonts w:hint="eastAsia" w:eastAsia="仿宋"/>
          <w:color w:val="auto"/>
          <w:highlight w:val="none"/>
          <w:lang w:eastAsia="zh-CN"/>
        </w:rPr>
        <w:t>（</w:t>
      </w:r>
      <w:r>
        <w:rPr>
          <w:rFonts w:hint="eastAsia" w:eastAsia="仿宋"/>
          <w:color w:val="auto"/>
          <w:highlight w:val="none"/>
          <w:lang w:val="en-US" w:eastAsia="zh-CN"/>
        </w:rPr>
        <w:t>如有</w:t>
      </w:r>
      <w:r>
        <w:rPr>
          <w:rFonts w:hint="eastAsia" w:eastAsia="仿宋"/>
          <w:color w:val="auto"/>
          <w:highlight w:val="none"/>
          <w:lang w:eastAsia="zh-CN"/>
        </w:rPr>
        <w:t>）</w:t>
      </w:r>
      <w:r>
        <w:rPr>
          <w:rFonts w:eastAsia="仿宋"/>
          <w:color w:val="auto"/>
          <w:highlight w:val="none"/>
        </w:rPr>
        <w:t>；</w:t>
      </w:r>
      <w:bookmarkStart w:id="82" w:name="_Hlk14189066"/>
    </w:p>
    <w:p w14:paraId="3B8D39D1">
      <w:pPr>
        <w:numPr>
          <w:ilvl w:val="0"/>
          <w:numId w:val="6"/>
        </w:numPr>
        <w:spacing w:line="360" w:lineRule="auto"/>
        <w:ind w:left="720" w:leftChars="0" w:hanging="720" w:firstLineChars="0"/>
        <w:rPr>
          <w:rFonts w:eastAsia="仿宋"/>
          <w:color w:val="auto"/>
          <w:highlight w:val="none"/>
        </w:rPr>
      </w:pPr>
      <w:r>
        <w:rPr>
          <w:rFonts w:hint="eastAsia" w:eastAsia="仿宋"/>
          <w:color w:val="auto"/>
          <w:highlight w:val="none"/>
        </w:rPr>
        <w:t>其他文件：_</w:t>
      </w:r>
      <w:r>
        <w:rPr>
          <w:rFonts w:eastAsia="仿宋"/>
          <w:color w:val="auto"/>
          <w:highlight w:val="none"/>
        </w:rPr>
        <w:t>____________________</w:t>
      </w:r>
      <w:bookmarkEnd w:id="80"/>
      <w:bookmarkEnd w:id="82"/>
    </w:p>
    <w:p w14:paraId="39501BA3">
      <w:pPr>
        <w:spacing w:line="360" w:lineRule="auto"/>
        <w:ind w:firstLine="420" w:firstLineChars="200"/>
        <w:rPr>
          <w:rFonts w:eastAsia="仿宋"/>
          <w:color w:val="auto"/>
          <w:highlight w:val="none"/>
        </w:rPr>
      </w:pPr>
      <w:r>
        <w:rPr>
          <w:rFonts w:eastAsia="仿宋"/>
          <w:color w:val="auto"/>
          <w:highlight w:val="none"/>
        </w:rPr>
        <w:t>上述各项合同文件包括合同当事人就该项合同文件所作出的补充和修改，属于同一类内容的文件，应以最新签署的为准。</w:t>
      </w:r>
    </w:p>
    <w:p w14:paraId="19EEF47B">
      <w:pPr>
        <w:spacing w:line="360" w:lineRule="auto"/>
        <w:outlineLvl w:val="0"/>
        <w:rPr>
          <w:rFonts w:eastAsia="仿宋"/>
          <w:b/>
          <w:bCs/>
          <w:color w:val="auto"/>
          <w:highlight w:val="none"/>
        </w:rPr>
      </w:pPr>
      <w:r>
        <w:rPr>
          <w:rFonts w:hint="eastAsia" w:eastAsia="仿宋"/>
          <w:b/>
          <w:bCs/>
          <w:color w:val="auto"/>
          <w:highlight w:val="none"/>
        </w:rPr>
        <w:t>二、项目概况</w:t>
      </w:r>
    </w:p>
    <w:p w14:paraId="13059FA8">
      <w:pPr>
        <w:spacing w:line="360" w:lineRule="auto"/>
        <w:rPr>
          <w:rFonts w:eastAsia="仿宋"/>
          <w:color w:val="auto"/>
          <w:highlight w:val="none"/>
        </w:rPr>
      </w:pPr>
      <w:r>
        <w:rPr>
          <w:rFonts w:hint="eastAsia" w:eastAsia="仿宋"/>
          <w:color w:val="auto"/>
          <w:highlight w:val="none"/>
        </w:rPr>
        <w:t>2</w:t>
      </w:r>
      <w:r>
        <w:rPr>
          <w:rFonts w:eastAsia="仿宋"/>
          <w:color w:val="auto"/>
          <w:highlight w:val="none"/>
        </w:rPr>
        <w:t>.1</w:t>
      </w:r>
      <w:r>
        <w:rPr>
          <w:rFonts w:hint="eastAsia" w:eastAsia="仿宋"/>
          <w:color w:val="auto"/>
          <w:highlight w:val="none"/>
          <w:lang w:val="en-US" w:eastAsia="zh-CN"/>
        </w:rPr>
        <w:t xml:space="preserve"> </w:t>
      </w:r>
      <w:r>
        <w:rPr>
          <w:rFonts w:hint="eastAsia" w:eastAsia="仿宋"/>
          <w:color w:val="auto"/>
          <w:highlight w:val="none"/>
        </w:rPr>
        <w:t>项目实施</w:t>
      </w:r>
      <w:r>
        <w:rPr>
          <w:rFonts w:eastAsia="仿宋"/>
          <w:color w:val="auto"/>
          <w:highlight w:val="none"/>
        </w:rPr>
        <w:t>地点：</w:t>
      </w:r>
      <w:r>
        <w:rPr>
          <w:rFonts w:hint="eastAsia" w:eastAsia="仿宋"/>
          <w:color w:val="auto"/>
          <w:highlight w:val="none"/>
          <w:u w:val="single"/>
          <w:lang w:val="en-US" w:eastAsia="zh-CN"/>
        </w:rPr>
        <w:t xml:space="preserve"> </w:t>
      </w:r>
      <w:r>
        <w:rPr>
          <w:rFonts w:eastAsia="仿宋"/>
          <w:color w:val="auto"/>
          <w:highlight w:val="none"/>
          <w:u w:val="single"/>
        </w:rPr>
        <w:t xml:space="preserve">    </w:t>
      </w:r>
      <w:r>
        <w:rPr>
          <w:rFonts w:hint="eastAsia" w:eastAsia="仿宋"/>
          <w:color w:val="auto"/>
          <w:highlight w:val="none"/>
          <w:u w:val="single"/>
          <w:lang w:val="en-US" w:eastAsia="zh-CN"/>
        </w:rPr>
        <w:t xml:space="preserve">         </w:t>
      </w:r>
      <w:r>
        <w:rPr>
          <w:rFonts w:eastAsia="仿宋"/>
          <w:color w:val="auto"/>
          <w:highlight w:val="none"/>
          <w:u w:val="single"/>
        </w:rPr>
        <w:t xml:space="preserve">   </w:t>
      </w:r>
    </w:p>
    <w:p w14:paraId="075C2815">
      <w:pPr>
        <w:spacing w:line="360" w:lineRule="auto"/>
        <w:rPr>
          <w:rFonts w:eastAsia="仿宋"/>
          <w:color w:val="auto"/>
          <w:highlight w:val="none"/>
        </w:rPr>
      </w:pPr>
      <w:r>
        <w:rPr>
          <w:rFonts w:hint="eastAsia" w:eastAsia="仿宋"/>
          <w:color w:val="auto"/>
          <w:highlight w:val="none"/>
        </w:rPr>
        <w:t>2</w:t>
      </w:r>
      <w:r>
        <w:rPr>
          <w:rFonts w:eastAsia="仿宋"/>
          <w:color w:val="auto"/>
          <w:highlight w:val="none"/>
        </w:rPr>
        <w:t xml:space="preserve">.2 </w:t>
      </w:r>
      <w:r>
        <w:rPr>
          <w:rFonts w:hint="eastAsia" w:eastAsia="仿宋"/>
          <w:color w:val="auto"/>
          <w:highlight w:val="none"/>
        </w:rPr>
        <w:t>项目内容：</w:t>
      </w:r>
      <w:r>
        <w:rPr>
          <w:rFonts w:hint="eastAsia" w:eastAsia="仿宋"/>
          <w:color w:val="auto"/>
          <w:highlight w:val="none"/>
          <w:u w:val="single"/>
          <w:lang w:val="en-US" w:eastAsia="zh-CN"/>
        </w:rPr>
        <w:t xml:space="preserve"> </w:t>
      </w:r>
      <w:r>
        <w:rPr>
          <w:rFonts w:eastAsia="仿宋"/>
          <w:color w:val="auto"/>
          <w:highlight w:val="none"/>
          <w:u w:val="single"/>
        </w:rPr>
        <w:t xml:space="preserve"> </w:t>
      </w:r>
      <w:r>
        <w:rPr>
          <w:rFonts w:hint="eastAsia" w:eastAsia="仿宋"/>
          <w:color w:val="auto"/>
          <w:highlight w:val="none"/>
          <w:u w:val="single"/>
          <w:lang w:val="en-US" w:eastAsia="zh-CN"/>
        </w:rPr>
        <w:t>详见用户需求书</w:t>
      </w:r>
      <w:r>
        <w:rPr>
          <w:rFonts w:eastAsia="仿宋"/>
          <w:color w:val="auto"/>
          <w:highlight w:val="none"/>
          <w:u w:val="single"/>
        </w:rPr>
        <w:t xml:space="preserve">     </w:t>
      </w:r>
    </w:p>
    <w:p w14:paraId="035981DF">
      <w:pPr>
        <w:spacing w:line="360" w:lineRule="auto"/>
        <w:outlineLvl w:val="0"/>
        <w:rPr>
          <w:rFonts w:hint="eastAsia" w:eastAsia="仿宋"/>
          <w:b/>
          <w:bCs/>
          <w:color w:val="auto"/>
          <w:highlight w:val="none"/>
        </w:rPr>
      </w:pPr>
      <w:r>
        <w:rPr>
          <w:rFonts w:hint="eastAsia" w:eastAsia="仿宋"/>
          <w:b/>
          <w:bCs/>
          <w:color w:val="auto"/>
          <w:highlight w:val="none"/>
        </w:rPr>
        <w:t>三、合同工期</w:t>
      </w:r>
    </w:p>
    <w:p w14:paraId="75E6596F">
      <w:pPr>
        <w:spacing w:line="360" w:lineRule="auto"/>
        <w:rPr>
          <w:rFonts w:eastAsia="仿宋"/>
          <w:color w:val="auto"/>
          <w:highlight w:val="none"/>
          <w:u w:val="single"/>
        </w:rPr>
      </w:pPr>
      <w:r>
        <w:rPr>
          <w:rFonts w:hint="eastAsia" w:eastAsia="仿宋"/>
          <w:color w:val="auto"/>
          <w:highlight w:val="none"/>
          <w:lang w:val="en-US" w:eastAsia="zh-CN"/>
        </w:rPr>
        <w:t xml:space="preserve">3.1 </w:t>
      </w:r>
      <w:r>
        <w:rPr>
          <w:rFonts w:hint="eastAsia" w:eastAsia="仿宋"/>
          <w:color w:val="auto"/>
          <w:highlight w:val="none"/>
        </w:rPr>
        <w:t>本项目工期为</w:t>
      </w:r>
      <w:r>
        <w:rPr>
          <w:rFonts w:hint="eastAsia" w:eastAsia="仿宋"/>
          <w:color w:val="auto"/>
          <w:highlight w:val="none"/>
          <w:u w:val="single"/>
          <w:lang w:val="en-US" w:eastAsia="zh-CN"/>
        </w:rPr>
        <w:t xml:space="preserve">     </w:t>
      </w:r>
      <w:r>
        <w:rPr>
          <w:rFonts w:hint="eastAsia" w:eastAsia="仿宋"/>
          <w:color w:val="auto"/>
          <w:highlight w:val="none"/>
        </w:rPr>
        <w:t>天（日历天），自</w:t>
      </w:r>
      <w:r>
        <w:rPr>
          <w:rFonts w:hint="eastAsia" w:eastAsia="仿宋"/>
          <w:color w:val="auto"/>
          <w:highlight w:val="none"/>
          <w:u w:val="single"/>
        </w:rPr>
        <w:t>甲方下达开工通知书之日起计算</w:t>
      </w:r>
      <w:r>
        <w:rPr>
          <w:rFonts w:hint="eastAsia" w:eastAsia="仿宋"/>
          <w:color w:val="auto"/>
          <w:highlight w:val="none"/>
          <w:u w:val="none"/>
        </w:rPr>
        <w:t>。</w:t>
      </w:r>
    </w:p>
    <w:p w14:paraId="6AA8635C">
      <w:pPr>
        <w:spacing w:line="360" w:lineRule="auto"/>
        <w:rPr>
          <w:rFonts w:hint="default" w:eastAsia="仿宋"/>
          <w:b/>
          <w:color w:val="auto"/>
          <w:highlight w:val="none"/>
          <w:lang w:val="en-US" w:eastAsia="zh-CN"/>
        </w:rPr>
      </w:pPr>
      <w:bookmarkStart w:id="83" w:name="_Toc351203484"/>
      <w:r>
        <w:rPr>
          <w:rFonts w:hint="eastAsia" w:eastAsia="仿宋"/>
          <w:b/>
          <w:color w:val="auto"/>
          <w:highlight w:val="none"/>
        </w:rPr>
        <w:t>四</w:t>
      </w:r>
      <w:r>
        <w:rPr>
          <w:rFonts w:eastAsia="仿宋"/>
          <w:b/>
          <w:color w:val="auto"/>
          <w:highlight w:val="none"/>
        </w:rPr>
        <w:t>、合同价</w:t>
      </w:r>
      <w:bookmarkEnd w:id="83"/>
      <w:r>
        <w:rPr>
          <w:rFonts w:hint="eastAsia" w:eastAsia="仿宋"/>
          <w:b/>
          <w:color w:val="auto"/>
          <w:highlight w:val="none"/>
        </w:rPr>
        <w:t>款</w:t>
      </w:r>
      <w:r>
        <w:rPr>
          <w:rFonts w:hint="eastAsia" w:eastAsia="仿宋"/>
          <w:b/>
          <w:color w:val="auto"/>
          <w:highlight w:val="none"/>
          <w:lang w:val="en-US" w:eastAsia="zh-CN"/>
        </w:rPr>
        <w:t>及付款方式</w:t>
      </w:r>
    </w:p>
    <w:p w14:paraId="11554297">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b/>
          <w:bCs/>
          <w:color w:val="auto"/>
          <w:sz w:val="21"/>
          <w:szCs w:val="21"/>
          <w:highlight w:val="none"/>
        </w:rPr>
      </w:pPr>
      <w:r>
        <w:rPr>
          <w:rFonts w:hint="eastAsia" w:eastAsia="仿宋"/>
          <w:color w:val="auto"/>
          <w:sz w:val="21"/>
          <w:szCs w:val="21"/>
          <w:highlight w:val="none"/>
        </w:rPr>
        <w:t>4</w:t>
      </w:r>
      <w:r>
        <w:rPr>
          <w:rFonts w:eastAsia="仿宋"/>
          <w:color w:val="auto"/>
          <w:sz w:val="21"/>
          <w:szCs w:val="21"/>
          <w:highlight w:val="none"/>
        </w:rPr>
        <w:t xml:space="preserve">.1 </w:t>
      </w:r>
      <w:r>
        <w:rPr>
          <w:rFonts w:ascii="仿宋" w:hAnsi="仿宋" w:eastAsia="仿宋"/>
          <w:color w:val="auto"/>
          <w:sz w:val="21"/>
          <w:szCs w:val="21"/>
          <w:highlight w:val="none"/>
        </w:rPr>
        <w:t>本合同不含税价</w:t>
      </w:r>
      <w:r>
        <w:rPr>
          <w:rFonts w:hint="eastAsia" w:ascii="仿宋" w:hAnsi="仿宋" w:eastAsia="仿宋"/>
          <w:color w:val="auto"/>
          <w:sz w:val="21"/>
          <w:szCs w:val="21"/>
          <w:highlight w:val="none"/>
          <w:lang w:val="en-US" w:eastAsia="zh-CN"/>
        </w:rPr>
        <w:t>款</w:t>
      </w:r>
      <w:r>
        <w:rPr>
          <w:rFonts w:ascii="仿宋" w:hAnsi="仿宋" w:eastAsia="仿宋"/>
          <w:color w:val="auto"/>
          <w:sz w:val="21"/>
          <w:szCs w:val="21"/>
          <w:highlight w:val="none"/>
        </w:rPr>
        <w:t>为</w:t>
      </w:r>
      <w:r>
        <w:rPr>
          <w:rFonts w:hint="eastAsia" w:ascii="仿宋" w:hAnsi="仿宋" w:eastAsia="仿宋"/>
          <w:color w:val="auto"/>
          <w:sz w:val="21"/>
          <w:szCs w:val="21"/>
          <w:highlight w:val="none"/>
        </w:rPr>
        <w:t>人民币（大写）</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rPr>
        <w:t>（¥</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rPr>
        <w:t>元）</w:t>
      </w:r>
      <w:r>
        <w:rPr>
          <w:rFonts w:ascii="仿宋" w:hAnsi="仿宋" w:eastAsia="仿宋"/>
          <w:color w:val="auto"/>
          <w:sz w:val="21"/>
          <w:szCs w:val="21"/>
          <w:highlight w:val="none"/>
        </w:rPr>
        <w:t>，含税总价共计为</w:t>
      </w:r>
      <w:r>
        <w:rPr>
          <w:rFonts w:hint="eastAsia" w:ascii="仿宋" w:hAnsi="仿宋" w:eastAsia="仿宋"/>
          <w:color w:val="auto"/>
          <w:sz w:val="21"/>
          <w:szCs w:val="21"/>
          <w:highlight w:val="none"/>
        </w:rPr>
        <w:t>人民币（大写）</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rPr>
        <w:t>（¥</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rPr>
        <w:t>元）,税率为_</w:t>
      </w:r>
      <w:r>
        <w:rPr>
          <w:rFonts w:ascii="仿宋" w:hAnsi="仿宋" w:eastAsia="仿宋"/>
          <w:color w:val="auto"/>
          <w:sz w:val="21"/>
          <w:szCs w:val="21"/>
          <w:highlight w:val="none"/>
        </w:rPr>
        <w:t>____%。</w:t>
      </w:r>
    </w:p>
    <w:p w14:paraId="5440D66E">
      <w:pPr>
        <w:spacing w:line="360" w:lineRule="auto"/>
        <w:rPr>
          <w:rFonts w:eastAsia="仿宋"/>
          <w:color w:val="auto"/>
          <w:highlight w:val="none"/>
        </w:rPr>
      </w:pPr>
      <w:r>
        <w:rPr>
          <w:rFonts w:hint="eastAsia" w:eastAsia="仿宋"/>
          <w:color w:val="auto"/>
          <w:highlight w:val="none"/>
        </w:rPr>
        <w:t>4</w:t>
      </w:r>
      <w:r>
        <w:rPr>
          <w:rFonts w:eastAsia="仿宋"/>
          <w:color w:val="auto"/>
          <w:highlight w:val="none"/>
        </w:rPr>
        <w:t xml:space="preserve">.2 </w:t>
      </w:r>
      <w:r>
        <w:rPr>
          <w:rFonts w:hint="eastAsia" w:eastAsia="仿宋"/>
          <w:color w:val="auto"/>
          <w:highlight w:val="none"/>
        </w:rPr>
        <w:t>本合同采用以下第</w:t>
      </w:r>
      <w:r>
        <w:rPr>
          <w:rFonts w:hint="eastAsia" w:eastAsia="仿宋"/>
          <w:color w:val="auto"/>
          <w:highlight w:val="none"/>
          <w:u w:val="single"/>
          <w:lang w:val="en-US" w:eastAsia="zh-CN"/>
        </w:rPr>
        <w:t>1</w:t>
      </w:r>
      <w:r>
        <w:rPr>
          <w:rFonts w:hint="eastAsia" w:eastAsia="仿宋"/>
          <w:color w:val="auto"/>
          <w:highlight w:val="none"/>
        </w:rPr>
        <w:t>种价格形式：</w:t>
      </w:r>
    </w:p>
    <w:p w14:paraId="352F481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1.总价合同形式</w:t>
      </w:r>
    </w:p>
    <w:p w14:paraId="1E8F7F8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（1）合同价款包括合同项目范围内的合同设备（含合同规定的各种材料、备品备件、专用工具）、设计、土建、安装、保管、调试、试验、验收、并网、技术服务等费用。</w:t>
      </w:r>
    </w:p>
    <w:p w14:paraId="3F8128D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eastAsia="仿宋"/>
          <w:color w:val="auto"/>
          <w:highlight w:val="none"/>
        </w:rPr>
      </w:pPr>
      <w:r>
        <w:rPr>
          <w:rFonts w:hint="eastAsia" w:eastAsia="仿宋"/>
          <w:color w:val="auto"/>
          <w:highlight w:val="none"/>
        </w:rPr>
        <w:t>（</w:t>
      </w:r>
      <w:r>
        <w:rPr>
          <w:rFonts w:eastAsia="仿宋"/>
          <w:color w:val="auto"/>
          <w:highlight w:val="none"/>
        </w:rPr>
        <w:t>2</w:t>
      </w:r>
      <w:r>
        <w:rPr>
          <w:rFonts w:hint="eastAsia" w:eastAsia="仿宋"/>
          <w:color w:val="auto"/>
          <w:highlight w:val="none"/>
        </w:rPr>
        <w:t>）以甲方提供的工程量清单包干，在合同约定的范围内合同总价原则上不作任何调整。</w:t>
      </w:r>
    </w:p>
    <w:p w14:paraId="5A5B2FE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（3）</w:t>
      </w:r>
      <w:r>
        <w:rPr>
          <w:rFonts w:eastAsia="仿宋"/>
          <w:color w:val="auto"/>
          <w:highlight w:val="none"/>
        </w:rPr>
        <w:t>本合同总价在合同有效期内为不变价</w:t>
      </w:r>
      <w:r>
        <w:rPr>
          <w:rFonts w:hint="eastAsia" w:eastAsia="仿宋"/>
          <w:color w:val="auto"/>
          <w:highlight w:val="none"/>
        </w:rPr>
        <w:t>，除非发生下列情形可作调整外，不会因为其他情形发生任何调整：</w:t>
      </w:r>
    </w:p>
    <w:p w14:paraId="1BC8E5C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a</w:t>
      </w:r>
      <w:r>
        <w:rPr>
          <w:rFonts w:eastAsia="仿宋"/>
          <w:color w:val="auto"/>
          <w:highlight w:val="none"/>
        </w:rPr>
        <w:t xml:space="preserve">. </w:t>
      </w:r>
      <w:r>
        <w:rPr>
          <w:rFonts w:hint="eastAsia" w:eastAsia="仿宋"/>
          <w:color w:val="auto"/>
          <w:highlight w:val="none"/>
        </w:rPr>
        <w:t>按照甲方要求或指示的设计变更，导致不包含在合同范围内的工程量或费用的增加，或者导致合同范围内的工程量或费用的减少；</w:t>
      </w:r>
    </w:p>
    <w:p w14:paraId="3AD7367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b</w:t>
      </w:r>
      <w:r>
        <w:rPr>
          <w:rFonts w:eastAsia="仿宋"/>
          <w:color w:val="auto"/>
          <w:highlight w:val="none"/>
        </w:rPr>
        <w:t>.</w:t>
      </w:r>
      <w:r>
        <w:rPr>
          <w:rFonts w:hint="eastAsia" w:eastAsia="仿宋"/>
          <w:color w:val="auto"/>
          <w:highlight w:val="none"/>
        </w:rPr>
        <w:t>经甲方签证确认的非乙方原因导致的合同工程现场签证事项。</w:t>
      </w:r>
    </w:p>
    <w:p w14:paraId="7937A90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2.单价合同形式</w:t>
      </w:r>
    </w:p>
    <w:p w14:paraId="4D65682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1）本合同采用固定单价合同形式，固定单价所包含的范围，除合同另有约定外，工程量清单中有标价的单价均包括了实施和完成合同项目所需的人工、材料、机械、质检、安装、缺陷修复、管理、利润等费用，以及合同明示或暗示的所有责任、风险。</w:t>
      </w:r>
    </w:p>
    <w:p w14:paraId="0466428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（2）构成合同价款的项目单价一经甲方和乙方签订合同确定后不作调整。</w:t>
      </w:r>
    </w:p>
    <w:p w14:paraId="03609C4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3.其他形式</w:t>
      </w:r>
    </w:p>
    <w:p w14:paraId="7C01B5B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s="仿宋"/>
          <w:color w:val="auto"/>
          <w:highlight w:val="none"/>
        </w:rPr>
        <w:t>本项目中的</w:t>
      </w:r>
      <w:r>
        <w:rPr>
          <w:rFonts w:hint="eastAsia" w:eastAsia="仿宋"/>
          <w:color w:val="auto"/>
          <w:highlight w:val="none"/>
        </w:rPr>
        <w:t>__________(</w:t>
      </w:r>
      <w:r>
        <w:rPr>
          <w:rFonts w:hint="eastAsia" w:eastAsia="仿宋" w:cs="仿宋"/>
          <w:color w:val="auto"/>
          <w:highlight w:val="none"/>
        </w:rPr>
        <w:t>工程量确定的子项目名称</w:t>
      </w:r>
      <w:r>
        <w:rPr>
          <w:rFonts w:hint="eastAsia" w:eastAsia="仿宋"/>
          <w:color w:val="auto"/>
          <w:highlight w:val="none"/>
        </w:rPr>
        <w:t>)</w:t>
      </w:r>
      <w:r>
        <w:rPr>
          <w:rFonts w:hint="eastAsia" w:eastAsia="仿宋" w:cs="仿宋"/>
          <w:color w:val="auto"/>
          <w:highlight w:val="none"/>
        </w:rPr>
        <w:t>以双方确认的</w:t>
      </w:r>
      <w:r>
        <w:rPr>
          <w:rFonts w:hint="eastAsia" w:eastAsia="仿宋"/>
          <w:color w:val="auto"/>
          <w:highlight w:val="none"/>
        </w:rPr>
        <w:t>/</w:t>
      </w:r>
      <w:r>
        <w:rPr>
          <w:rFonts w:hint="eastAsia" w:eastAsia="仿宋" w:cs="仿宋"/>
          <w:color w:val="auto"/>
          <w:highlight w:val="none"/>
        </w:rPr>
        <w:t>甲方提供的报价清单中固定总价包干，这部分项目的合同价款在约定的范围内原则上不作任何调整；本项目中的</w:t>
      </w:r>
      <w:r>
        <w:rPr>
          <w:rFonts w:hint="eastAsia" w:eastAsia="仿宋"/>
          <w:color w:val="auto"/>
          <w:highlight w:val="none"/>
        </w:rPr>
        <w:t>__________(</w:t>
      </w:r>
      <w:r>
        <w:rPr>
          <w:rFonts w:hint="eastAsia" w:eastAsia="仿宋" w:cs="仿宋"/>
          <w:color w:val="auto"/>
          <w:highlight w:val="none"/>
        </w:rPr>
        <w:t>工程量预估的子项目名称</w:t>
      </w:r>
      <w:r>
        <w:rPr>
          <w:rFonts w:hint="eastAsia" w:eastAsia="仿宋"/>
          <w:color w:val="auto"/>
          <w:highlight w:val="none"/>
        </w:rPr>
        <w:t>)</w:t>
      </w:r>
      <w:r>
        <w:rPr>
          <w:rFonts w:hint="eastAsia" w:eastAsia="仿宋" w:cs="仿宋"/>
          <w:color w:val="auto"/>
          <w:highlight w:val="none"/>
        </w:rPr>
        <w:t>工程量为预估，以双方或者甲方确认的报价清单中的固定单价包干，这部分项目的合同价款按双方最终确认的工程量据实计算，固定单价原则上不作任何调整。</w:t>
      </w:r>
    </w:p>
    <w:p w14:paraId="438592D4">
      <w:pPr>
        <w:spacing w:line="360" w:lineRule="auto"/>
        <w:rPr>
          <w:rFonts w:eastAsia="仿宋"/>
          <w:color w:val="auto"/>
          <w:highlight w:val="none"/>
        </w:rPr>
      </w:pPr>
      <w:r>
        <w:rPr>
          <w:rFonts w:hint="eastAsia" w:eastAsia="仿宋"/>
          <w:color w:val="auto"/>
          <w:highlight w:val="none"/>
        </w:rPr>
        <w:t>4</w:t>
      </w:r>
      <w:r>
        <w:rPr>
          <w:rFonts w:eastAsia="仿宋"/>
          <w:color w:val="auto"/>
          <w:highlight w:val="none"/>
        </w:rPr>
        <w:t xml:space="preserve">.3 </w:t>
      </w:r>
      <w:r>
        <w:rPr>
          <w:rFonts w:hint="eastAsia" w:eastAsia="仿宋"/>
          <w:color w:val="auto"/>
          <w:highlight w:val="none"/>
        </w:rPr>
        <w:t>出现合同约定的合同价款调增事项后的七个工作日内，乙方应向甲方提交合同价款调增报告并附上相关资料，若乙方在七个工作日内未提交合同价款调增报告的，视为乙方对该事项不存在调整价款。</w:t>
      </w:r>
    </w:p>
    <w:p w14:paraId="688B0130">
      <w:pPr>
        <w:spacing w:line="360" w:lineRule="auto"/>
        <w:rPr>
          <w:rFonts w:eastAsia="仿宋"/>
          <w:color w:val="auto"/>
          <w:highlight w:val="none"/>
        </w:rPr>
      </w:pPr>
      <w:r>
        <w:rPr>
          <w:rFonts w:hint="eastAsia" w:eastAsia="仿宋"/>
          <w:color w:val="auto"/>
          <w:highlight w:val="none"/>
        </w:rPr>
        <w:t>4</w:t>
      </w:r>
      <w:r>
        <w:rPr>
          <w:rFonts w:eastAsia="仿宋"/>
          <w:color w:val="auto"/>
          <w:highlight w:val="none"/>
        </w:rPr>
        <w:t xml:space="preserve">.4 </w:t>
      </w:r>
      <w:r>
        <w:rPr>
          <w:rFonts w:hint="eastAsia" w:eastAsia="仿宋"/>
          <w:color w:val="auto"/>
          <w:highlight w:val="none"/>
        </w:rPr>
        <w:t>甲方应</w:t>
      </w:r>
      <w:r>
        <w:rPr>
          <w:rFonts w:eastAsia="仿宋"/>
          <w:color w:val="auto"/>
          <w:highlight w:val="none"/>
        </w:rPr>
        <w:t>在收到</w:t>
      </w:r>
      <w:r>
        <w:rPr>
          <w:rFonts w:hint="eastAsia" w:eastAsia="仿宋"/>
          <w:color w:val="auto"/>
          <w:highlight w:val="none"/>
        </w:rPr>
        <w:t>乙方</w:t>
      </w:r>
      <w:r>
        <w:rPr>
          <w:rFonts w:eastAsia="仿宋"/>
          <w:color w:val="auto"/>
          <w:highlight w:val="none"/>
        </w:rPr>
        <w:t>合同价款调增报告及相关资料之日起</w:t>
      </w:r>
      <w:r>
        <w:rPr>
          <w:rFonts w:eastAsia="仿宋"/>
          <w:color w:val="auto"/>
          <w:highlight w:val="none"/>
          <w:u w:val="single"/>
        </w:rPr>
        <w:t>14</w:t>
      </w:r>
      <w:r>
        <w:rPr>
          <w:rFonts w:hint="eastAsia" w:eastAsia="仿宋"/>
          <w:color w:val="auto"/>
          <w:highlight w:val="none"/>
          <w:u w:val="none"/>
          <w:lang w:val="en-US" w:eastAsia="zh-CN"/>
        </w:rPr>
        <w:t>个</w:t>
      </w:r>
      <w:r>
        <w:rPr>
          <w:rFonts w:hint="eastAsia" w:eastAsia="仿宋"/>
          <w:color w:val="auto"/>
          <w:highlight w:val="none"/>
        </w:rPr>
        <w:t>工作日内</w:t>
      </w:r>
      <w:r>
        <w:rPr>
          <w:rFonts w:eastAsia="仿宋"/>
          <w:color w:val="auto"/>
          <w:highlight w:val="none"/>
        </w:rPr>
        <w:t>对其核实，予以确认的</w:t>
      </w:r>
      <w:r>
        <w:rPr>
          <w:rFonts w:hint="eastAsia" w:eastAsia="仿宋"/>
          <w:color w:val="auto"/>
          <w:highlight w:val="none"/>
        </w:rPr>
        <w:t>，</w:t>
      </w:r>
      <w:r>
        <w:rPr>
          <w:rFonts w:eastAsia="仿宋"/>
          <w:color w:val="auto"/>
          <w:highlight w:val="none"/>
        </w:rPr>
        <w:t>应书面通知</w:t>
      </w:r>
      <w:r>
        <w:rPr>
          <w:rFonts w:hint="eastAsia" w:eastAsia="仿宋"/>
          <w:color w:val="auto"/>
          <w:highlight w:val="none"/>
        </w:rPr>
        <w:t>乙方</w:t>
      </w:r>
      <w:r>
        <w:rPr>
          <w:rFonts w:eastAsia="仿宋"/>
          <w:color w:val="auto"/>
          <w:highlight w:val="none"/>
        </w:rPr>
        <w:t>。</w:t>
      </w:r>
      <w:r>
        <w:rPr>
          <w:rFonts w:hint="eastAsia" w:eastAsia="仿宋"/>
          <w:color w:val="auto"/>
          <w:highlight w:val="none"/>
        </w:rPr>
        <w:t>甲方未予确认的部分，乙方不得擅自变更或增加。</w:t>
      </w:r>
    </w:p>
    <w:p w14:paraId="6D992FED">
      <w:pPr>
        <w:spacing w:line="360" w:lineRule="auto"/>
        <w:rPr>
          <w:rFonts w:eastAsia="仿宋"/>
          <w:color w:val="auto"/>
          <w:highlight w:val="none"/>
        </w:rPr>
      </w:pPr>
      <w:r>
        <w:rPr>
          <w:rFonts w:hint="eastAsia" w:eastAsia="仿宋"/>
          <w:color w:val="auto"/>
          <w:highlight w:val="none"/>
        </w:rPr>
        <w:t>4</w:t>
      </w:r>
      <w:r>
        <w:rPr>
          <w:rFonts w:eastAsia="仿宋"/>
          <w:color w:val="auto"/>
          <w:highlight w:val="none"/>
        </w:rPr>
        <w:t xml:space="preserve">.5 </w:t>
      </w:r>
      <w:r>
        <w:rPr>
          <w:rFonts w:hint="eastAsia" w:eastAsia="仿宋"/>
          <w:color w:val="auto"/>
          <w:highlight w:val="none"/>
        </w:rPr>
        <w:t>出现合同约定的合同价款调减事项后的</w:t>
      </w:r>
      <w:r>
        <w:rPr>
          <w:rFonts w:hint="eastAsia" w:eastAsia="仿宋"/>
          <w:color w:val="auto"/>
          <w:highlight w:val="none"/>
          <w:u w:val="single"/>
        </w:rPr>
        <w:t>7</w:t>
      </w:r>
      <w:r>
        <w:rPr>
          <w:rFonts w:hint="eastAsia" w:eastAsia="仿宋"/>
          <w:color w:val="auto"/>
          <w:highlight w:val="none"/>
        </w:rPr>
        <w:t>个工作日内，甲方应向乙方提交合同价款调减报告并说明理由。乙方在收到甲方合同价款调减报告及相关资料之日起</w:t>
      </w:r>
      <w:r>
        <w:rPr>
          <w:rFonts w:hint="eastAsia" w:eastAsia="仿宋"/>
          <w:color w:val="auto"/>
          <w:highlight w:val="none"/>
          <w:u w:val="single"/>
          <w:lang w:val="en-US" w:eastAsia="zh-CN"/>
        </w:rPr>
        <w:t>7</w:t>
      </w:r>
      <w:r>
        <w:rPr>
          <w:rFonts w:hint="eastAsia" w:eastAsia="仿宋"/>
          <w:color w:val="auto"/>
          <w:highlight w:val="none"/>
        </w:rPr>
        <w:t>个工作日内不予确认也未提出不同意见的，视为乙方认可甲方的价款调减请求。</w:t>
      </w:r>
    </w:p>
    <w:p w14:paraId="1A2254B5">
      <w:pPr>
        <w:spacing w:line="360" w:lineRule="auto"/>
        <w:rPr>
          <w:rFonts w:hint="eastAsia" w:eastAsia="仿宋"/>
          <w:color w:val="auto"/>
          <w:highlight w:val="none"/>
        </w:rPr>
      </w:pPr>
      <w:r>
        <w:rPr>
          <w:rFonts w:hint="eastAsia" w:eastAsia="仿宋"/>
          <w:color w:val="auto"/>
          <w:highlight w:val="none"/>
        </w:rPr>
        <w:t>4</w:t>
      </w:r>
      <w:r>
        <w:rPr>
          <w:rFonts w:eastAsia="仿宋"/>
          <w:color w:val="auto"/>
          <w:highlight w:val="none"/>
        </w:rPr>
        <w:t xml:space="preserve">.6 </w:t>
      </w:r>
      <w:r>
        <w:rPr>
          <w:rFonts w:hint="eastAsia" w:eastAsia="仿宋"/>
          <w:color w:val="auto"/>
          <w:highlight w:val="none"/>
        </w:rPr>
        <w:t>经过甲乙双方确认调整的合同价款，作为追加（减）合同价款，与工程进度款或结算款同期支付。</w:t>
      </w:r>
    </w:p>
    <w:p w14:paraId="75330161">
      <w:pPr>
        <w:spacing w:line="360" w:lineRule="auto"/>
        <w:rPr>
          <w:rFonts w:eastAsia="仿宋"/>
          <w:color w:val="auto"/>
          <w:highlight w:val="none"/>
        </w:rPr>
      </w:pPr>
      <w:r>
        <w:rPr>
          <w:rFonts w:hint="eastAsia" w:eastAsia="仿宋"/>
          <w:color w:val="auto"/>
          <w:highlight w:val="none"/>
          <w:lang w:val="en-US" w:eastAsia="zh-CN"/>
        </w:rPr>
        <w:t>4.7 本合同款项应按</w:t>
      </w:r>
      <w:r>
        <w:rPr>
          <w:rFonts w:hint="eastAsia" w:eastAsia="仿宋"/>
          <w:color w:val="auto"/>
          <w:highlight w:val="none"/>
        </w:rPr>
        <w:t>下列第</w:t>
      </w:r>
      <w:r>
        <w:rPr>
          <w:rFonts w:hint="eastAsia" w:eastAsia="仿宋"/>
          <w:color w:val="auto"/>
          <w:highlight w:val="none"/>
          <w:u w:val="single"/>
          <w:lang w:val="en-US" w:eastAsia="zh-CN"/>
        </w:rPr>
        <w:t>1</w:t>
      </w:r>
      <w:r>
        <w:rPr>
          <w:rFonts w:hint="eastAsia" w:eastAsia="仿宋"/>
          <w:color w:val="auto"/>
          <w:highlight w:val="none"/>
        </w:rPr>
        <w:t>种方式</w:t>
      </w:r>
      <w:r>
        <w:rPr>
          <w:rFonts w:hint="eastAsia" w:eastAsia="仿宋"/>
          <w:color w:val="auto"/>
          <w:highlight w:val="none"/>
          <w:lang w:val="en-US" w:eastAsia="zh-CN"/>
        </w:rPr>
        <w:t>支付</w:t>
      </w:r>
      <w:r>
        <w:rPr>
          <w:rFonts w:hint="eastAsia" w:eastAsia="仿宋"/>
          <w:color w:val="auto"/>
          <w:highlight w:val="none"/>
        </w:rPr>
        <w:t>：</w:t>
      </w:r>
    </w:p>
    <w:p w14:paraId="4CB7E36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eastAsia="仿宋"/>
          <w:color w:val="auto"/>
          <w:highlight w:val="none"/>
        </w:rPr>
        <w:t>1</w:t>
      </w:r>
      <w:r>
        <w:rPr>
          <w:rFonts w:hint="eastAsia" w:eastAsia="仿宋"/>
          <w:color w:val="auto"/>
          <w:highlight w:val="none"/>
        </w:rPr>
        <w:t>.一次性付款</w:t>
      </w:r>
    </w:p>
    <w:p w14:paraId="458D550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eastAsia="仿宋"/>
          <w:color w:val="auto"/>
          <w:highlight w:val="none"/>
        </w:rPr>
        <w:t>(1)</w:t>
      </w:r>
      <w:r>
        <w:rPr>
          <w:rFonts w:hint="eastAsia" w:eastAsia="仿宋"/>
          <w:color w:val="auto"/>
          <w:highlight w:val="none"/>
        </w:rPr>
        <w:t>在本</w:t>
      </w:r>
      <w:r>
        <w:rPr>
          <w:rFonts w:eastAsia="仿宋"/>
          <w:color w:val="auto"/>
          <w:highlight w:val="none"/>
        </w:rPr>
        <w:t>项目</w:t>
      </w:r>
      <w:r>
        <w:rPr>
          <w:rFonts w:hint="eastAsia" w:eastAsia="仿宋"/>
          <w:color w:val="auto"/>
          <w:highlight w:val="none"/>
        </w:rPr>
        <w:t>竣工验收合格后（</w:t>
      </w:r>
      <w:r>
        <w:rPr>
          <w:rFonts w:hint="eastAsia" w:ascii="仿宋" w:eastAsia="仿宋"/>
          <w:color w:val="auto"/>
          <w:szCs w:val="28"/>
          <w:highlight w:val="none"/>
        </w:rPr>
        <w:t>如达到甲方结算审计条件，还须完成结算审计</w:t>
      </w:r>
      <w:r>
        <w:rPr>
          <w:rFonts w:hint="eastAsia" w:eastAsia="仿宋"/>
          <w:color w:val="auto"/>
          <w:highlight w:val="none"/>
        </w:rPr>
        <w:t>）</w:t>
      </w:r>
      <w:r>
        <w:rPr>
          <w:rFonts w:eastAsia="仿宋"/>
          <w:color w:val="auto"/>
          <w:highlight w:val="none"/>
        </w:rPr>
        <w:t>，</w:t>
      </w:r>
      <w:r>
        <w:rPr>
          <w:rFonts w:hint="eastAsia" w:eastAsia="仿宋"/>
          <w:color w:val="auto"/>
          <w:highlight w:val="none"/>
        </w:rPr>
        <w:t>乙方提交</w:t>
      </w:r>
      <w:r>
        <w:rPr>
          <w:rFonts w:eastAsia="仿宋"/>
          <w:color w:val="auto"/>
          <w:highlight w:val="none"/>
        </w:rPr>
        <w:t>全额有效</w:t>
      </w:r>
      <w:r>
        <w:rPr>
          <w:rFonts w:hint="eastAsia" w:eastAsia="仿宋"/>
          <w:color w:val="auto"/>
          <w:highlight w:val="none"/>
          <w:lang w:val="en-US" w:eastAsia="zh-CN"/>
        </w:rPr>
        <w:t>且</w:t>
      </w:r>
      <w:r>
        <w:rPr>
          <w:rFonts w:hint="eastAsia" w:eastAsia="仿宋"/>
          <w:color w:val="auto"/>
          <w:highlight w:val="none"/>
        </w:rPr>
        <w:t>经甲方确认无误的增值税专用发票后三十日内，甲方</w:t>
      </w:r>
      <w:r>
        <w:rPr>
          <w:rFonts w:eastAsia="仿宋"/>
          <w:color w:val="auto"/>
          <w:highlight w:val="none"/>
        </w:rPr>
        <w:t>应付至结算价的</w:t>
      </w:r>
      <w:r>
        <w:rPr>
          <w:rFonts w:hint="eastAsia" w:eastAsia="仿宋"/>
          <w:color w:val="auto"/>
          <w:highlight w:val="none"/>
          <w:u w:val="single"/>
        </w:rPr>
        <w:t>97</w:t>
      </w:r>
      <w:r>
        <w:rPr>
          <w:rFonts w:eastAsia="仿宋"/>
          <w:color w:val="auto"/>
          <w:highlight w:val="none"/>
        </w:rPr>
        <w:t>%</w:t>
      </w:r>
      <w:r>
        <w:rPr>
          <w:rFonts w:hint="eastAsia" w:eastAsia="仿宋"/>
          <w:color w:val="auto"/>
          <w:highlight w:val="none"/>
        </w:rPr>
        <w:t>；</w:t>
      </w:r>
      <w:bookmarkStart w:id="84" w:name="OLE_LINK5"/>
    </w:p>
    <w:p w14:paraId="684D85A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w:t>
      </w:r>
      <w:r>
        <w:rPr>
          <w:rFonts w:eastAsia="仿宋"/>
          <w:color w:val="auto"/>
          <w:highlight w:val="none"/>
        </w:rPr>
        <w:t>2)余下</w:t>
      </w:r>
      <w:r>
        <w:rPr>
          <w:rFonts w:hint="eastAsia" w:eastAsia="仿宋"/>
          <w:color w:val="auto"/>
          <w:highlight w:val="none"/>
          <w:u w:val="single"/>
        </w:rPr>
        <w:t>3</w:t>
      </w:r>
      <w:r>
        <w:rPr>
          <w:rFonts w:eastAsia="仿宋"/>
          <w:color w:val="auto"/>
          <w:highlight w:val="none"/>
        </w:rPr>
        <w:t>%</w:t>
      </w:r>
      <w:r>
        <w:rPr>
          <w:rFonts w:hint="eastAsia" w:eastAsia="仿宋"/>
          <w:color w:val="auto"/>
          <w:highlight w:val="none"/>
        </w:rPr>
        <w:t>的</w:t>
      </w:r>
      <w:r>
        <w:rPr>
          <w:rFonts w:eastAsia="仿宋"/>
          <w:color w:val="auto"/>
          <w:highlight w:val="none"/>
        </w:rPr>
        <w:t>合同费用作为质保金</w:t>
      </w:r>
      <w:r>
        <w:rPr>
          <w:rFonts w:hint="eastAsia" w:eastAsia="仿宋"/>
          <w:color w:val="auto"/>
          <w:highlight w:val="none"/>
        </w:rPr>
        <w:t>，</w:t>
      </w:r>
      <w:r>
        <w:rPr>
          <w:rFonts w:eastAsia="仿宋"/>
          <w:color w:val="auto"/>
          <w:highlight w:val="none"/>
        </w:rPr>
        <w:t>在</w:t>
      </w:r>
      <w:r>
        <w:rPr>
          <w:rFonts w:hint="eastAsia" w:eastAsia="仿宋"/>
          <w:color w:val="auto"/>
          <w:highlight w:val="none"/>
        </w:rPr>
        <w:t>本</w:t>
      </w:r>
      <w:r>
        <w:rPr>
          <w:rFonts w:eastAsia="仿宋"/>
          <w:color w:val="auto"/>
          <w:highlight w:val="none"/>
        </w:rPr>
        <w:t>项目</w:t>
      </w:r>
      <w:r>
        <w:rPr>
          <w:rFonts w:hint="eastAsia" w:eastAsia="仿宋"/>
          <w:color w:val="auto"/>
          <w:highlight w:val="none"/>
        </w:rPr>
        <w:t>质保期结束并经</w:t>
      </w:r>
      <w:r>
        <w:rPr>
          <w:rFonts w:eastAsia="仿宋"/>
          <w:color w:val="auto"/>
          <w:highlight w:val="none"/>
        </w:rPr>
        <w:t>验收</w:t>
      </w:r>
      <w:r>
        <w:rPr>
          <w:rFonts w:hint="eastAsia" w:eastAsia="仿宋"/>
          <w:color w:val="auto"/>
          <w:highlight w:val="none"/>
        </w:rPr>
        <w:t>合格后三十日内，</w:t>
      </w:r>
      <w:r>
        <w:rPr>
          <w:rFonts w:eastAsia="仿宋"/>
          <w:color w:val="auto"/>
          <w:highlight w:val="none"/>
        </w:rPr>
        <w:t>乙方提供（甲方</w:t>
      </w:r>
      <w:r>
        <w:rPr>
          <w:rFonts w:hint="eastAsia" w:eastAsia="仿宋"/>
          <w:color w:val="auto"/>
          <w:highlight w:val="none"/>
        </w:rPr>
        <w:t>出具</w:t>
      </w:r>
      <w:r>
        <w:rPr>
          <w:rFonts w:eastAsia="仿宋"/>
          <w:color w:val="auto"/>
          <w:highlight w:val="none"/>
        </w:rPr>
        <w:t>的）验收证明文件，由甲方支付给乙方。</w:t>
      </w:r>
      <w:bookmarkEnd w:id="84"/>
    </w:p>
    <w:p w14:paraId="1C42198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eastAsia="仿宋"/>
          <w:color w:val="auto"/>
          <w:highlight w:val="none"/>
        </w:rPr>
        <w:t>2.</w:t>
      </w:r>
      <w:r>
        <w:rPr>
          <w:rFonts w:hint="eastAsia" w:eastAsia="仿宋"/>
          <w:color w:val="auto"/>
          <w:highlight w:val="none"/>
        </w:rPr>
        <w:t>分阶段付款：</w:t>
      </w:r>
    </w:p>
    <w:p w14:paraId="22238C1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（1）首期付款：【</w:t>
      </w:r>
      <w:r>
        <w:rPr>
          <w:rFonts w:hint="eastAsia" w:eastAsia="仿宋"/>
          <w:color w:val="auto"/>
          <w:highlight w:val="none"/>
          <w:u w:val="single"/>
        </w:rPr>
        <w:t>付款条件</w:t>
      </w:r>
      <w:r>
        <w:rPr>
          <w:rFonts w:hint="eastAsia" w:eastAsia="仿宋"/>
          <w:color w:val="auto"/>
          <w:highlight w:val="none"/>
        </w:rPr>
        <w:t>】，【</w:t>
      </w:r>
      <w:r>
        <w:rPr>
          <w:rFonts w:hint="eastAsia" w:eastAsia="仿宋"/>
          <w:color w:val="auto"/>
          <w:highlight w:val="none"/>
          <w:u w:val="single"/>
        </w:rPr>
        <w:t>付款时间</w:t>
      </w:r>
      <w:r>
        <w:rPr>
          <w:rFonts w:hint="eastAsia" w:eastAsia="仿宋"/>
          <w:color w:val="auto"/>
          <w:highlight w:val="none"/>
        </w:rPr>
        <w:t>】，【</w:t>
      </w:r>
      <w:r>
        <w:rPr>
          <w:rFonts w:hint="eastAsia" w:eastAsia="仿宋"/>
          <w:color w:val="auto"/>
          <w:highlight w:val="none"/>
          <w:u w:val="single"/>
        </w:rPr>
        <w:t>付款比例</w:t>
      </w:r>
      <w:r>
        <w:rPr>
          <w:rFonts w:hint="eastAsia" w:eastAsia="仿宋"/>
          <w:color w:val="auto"/>
          <w:highlight w:val="none"/>
        </w:rPr>
        <w:t>】%，即人民币（大写）_____元(￥_____元)；</w:t>
      </w:r>
    </w:p>
    <w:p w14:paraId="438C403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（2）第二期付款：【</w:t>
      </w:r>
      <w:r>
        <w:rPr>
          <w:rFonts w:hint="eastAsia" w:eastAsia="仿宋"/>
          <w:color w:val="auto"/>
          <w:highlight w:val="none"/>
          <w:u w:val="single"/>
        </w:rPr>
        <w:t>付款条件</w:t>
      </w:r>
      <w:r>
        <w:rPr>
          <w:rFonts w:hint="eastAsia" w:eastAsia="仿宋"/>
          <w:color w:val="auto"/>
          <w:highlight w:val="none"/>
        </w:rPr>
        <w:t>】，【</w:t>
      </w:r>
      <w:r>
        <w:rPr>
          <w:rFonts w:hint="eastAsia" w:eastAsia="仿宋"/>
          <w:color w:val="auto"/>
          <w:highlight w:val="none"/>
          <w:u w:val="single"/>
        </w:rPr>
        <w:t>付款时间</w:t>
      </w:r>
      <w:r>
        <w:rPr>
          <w:rFonts w:hint="eastAsia" w:eastAsia="仿宋"/>
          <w:color w:val="auto"/>
          <w:highlight w:val="none"/>
        </w:rPr>
        <w:t>】，【</w:t>
      </w:r>
      <w:r>
        <w:rPr>
          <w:rFonts w:hint="eastAsia" w:eastAsia="仿宋"/>
          <w:color w:val="auto"/>
          <w:highlight w:val="none"/>
          <w:u w:val="single"/>
        </w:rPr>
        <w:t>付款比例</w:t>
      </w:r>
      <w:r>
        <w:rPr>
          <w:rFonts w:hint="eastAsia" w:eastAsia="仿宋"/>
          <w:color w:val="auto"/>
          <w:highlight w:val="none"/>
        </w:rPr>
        <w:t>】%，即人民币（大写）_____元(￥_____元)；</w:t>
      </w:r>
    </w:p>
    <w:p w14:paraId="2E31D88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（3）末期付款：在本</w:t>
      </w:r>
      <w:r>
        <w:rPr>
          <w:rFonts w:eastAsia="仿宋"/>
          <w:color w:val="auto"/>
          <w:highlight w:val="none"/>
        </w:rPr>
        <w:t>项目</w:t>
      </w:r>
      <w:r>
        <w:rPr>
          <w:rFonts w:hint="eastAsia" w:eastAsia="仿宋"/>
          <w:color w:val="auto"/>
          <w:highlight w:val="none"/>
        </w:rPr>
        <w:t>竣工验收通过后（如果存在项目变更，须完成结算审计）</w:t>
      </w:r>
      <w:r>
        <w:rPr>
          <w:rFonts w:eastAsia="仿宋"/>
          <w:color w:val="auto"/>
          <w:highlight w:val="none"/>
        </w:rPr>
        <w:t>，甲方</w:t>
      </w:r>
      <w:r>
        <w:rPr>
          <w:rFonts w:hint="eastAsia" w:eastAsia="仿宋"/>
          <w:color w:val="auto"/>
          <w:highlight w:val="none"/>
        </w:rPr>
        <w:t>收到</w:t>
      </w:r>
      <w:r>
        <w:rPr>
          <w:rFonts w:eastAsia="仿宋"/>
          <w:color w:val="auto"/>
          <w:highlight w:val="none"/>
        </w:rPr>
        <w:t>乙方提供的有效</w:t>
      </w:r>
      <w:r>
        <w:rPr>
          <w:rFonts w:hint="eastAsia" w:eastAsia="仿宋"/>
          <w:color w:val="auto"/>
          <w:highlight w:val="none"/>
        </w:rPr>
        <w:t>增值税专用发票后三十日内，甲方向乙方</w:t>
      </w:r>
      <w:r>
        <w:rPr>
          <w:rFonts w:eastAsia="仿宋"/>
          <w:color w:val="auto"/>
          <w:highlight w:val="none"/>
        </w:rPr>
        <w:t>支付至结算价的</w:t>
      </w:r>
      <w:r>
        <w:rPr>
          <w:rFonts w:hint="eastAsia" w:eastAsia="仿宋"/>
          <w:color w:val="auto"/>
          <w:highlight w:val="none"/>
          <w:u w:val="single"/>
        </w:rPr>
        <w:t>97</w:t>
      </w:r>
      <w:r>
        <w:rPr>
          <w:rFonts w:eastAsia="仿宋"/>
          <w:color w:val="auto"/>
          <w:highlight w:val="none"/>
        </w:rPr>
        <w:t>%</w:t>
      </w:r>
      <w:r>
        <w:rPr>
          <w:rFonts w:hint="eastAsia" w:eastAsia="仿宋"/>
          <w:color w:val="auto"/>
          <w:highlight w:val="none"/>
        </w:rPr>
        <w:t>；</w:t>
      </w:r>
    </w:p>
    <w:p w14:paraId="4AE5BB5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（4）</w:t>
      </w:r>
      <w:r>
        <w:rPr>
          <w:rFonts w:eastAsia="仿宋"/>
          <w:color w:val="auto"/>
          <w:highlight w:val="none"/>
        </w:rPr>
        <w:t>余下</w:t>
      </w:r>
      <w:r>
        <w:rPr>
          <w:rFonts w:hint="eastAsia" w:eastAsia="仿宋"/>
          <w:color w:val="auto"/>
          <w:highlight w:val="none"/>
          <w:u w:val="single"/>
        </w:rPr>
        <w:t>3</w:t>
      </w:r>
      <w:r>
        <w:rPr>
          <w:rFonts w:eastAsia="仿宋"/>
          <w:color w:val="auto"/>
          <w:highlight w:val="none"/>
        </w:rPr>
        <w:t>%</w:t>
      </w:r>
      <w:r>
        <w:rPr>
          <w:rFonts w:hint="eastAsia" w:eastAsia="仿宋"/>
          <w:color w:val="auto"/>
          <w:highlight w:val="none"/>
        </w:rPr>
        <w:t>的</w:t>
      </w:r>
      <w:r>
        <w:rPr>
          <w:rFonts w:eastAsia="仿宋"/>
          <w:color w:val="auto"/>
          <w:highlight w:val="none"/>
        </w:rPr>
        <w:t>合同</w:t>
      </w:r>
      <w:r>
        <w:rPr>
          <w:rFonts w:hint="eastAsia" w:eastAsia="仿宋"/>
          <w:color w:val="auto"/>
          <w:highlight w:val="none"/>
        </w:rPr>
        <w:t>价款</w:t>
      </w:r>
      <w:r>
        <w:rPr>
          <w:rFonts w:eastAsia="仿宋"/>
          <w:color w:val="auto"/>
          <w:highlight w:val="none"/>
        </w:rPr>
        <w:t>作为质保金</w:t>
      </w:r>
      <w:r>
        <w:rPr>
          <w:rFonts w:hint="eastAsia" w:eastAsia="仿宋"/>
          <w:color w:val="auto"/>
          <w:highlight w:val="none"/>
        </w:rPr>
        <w:t>，</w:t>
      </w:r>
      <w:r>
        <w:rPr>
          <w:rFonts w:eastAsia="仿宋"/>
          <w:color w:val="auto"/>
          <w:highlight w:val="none"/>
        </w:rPr>
        <w:t>在</w:t>
      </w:r>
      <w:r>
        <w:rPr>
          <w:rFonts w:hint="eastAsia" w:eastAsia="仿宋"/>
          <w:color w:val="auto"/>
          <w:highlight w:val="none"/>
        </w:rPr>
        <w:t>本</w:t>
      </w:r>
      <w:r>
        <w:rPr>
          <w:rFonts w:eastAsia="仿宋"/>
          <w:color w:val="auto"/>
          <w:highlight w:val="none"/>
        </w:rPr>
        <w:t>项目</w:t>
      </w:r>
      <w:r>
        <w:rPr>
          <w:rFonts w:hint="eastAsia" w:eastAsia="仿宋"/>
          <w:color w:val="auto"/>
          <w:highlight w:val="none"/>
        </w:rPr>
        <w:t>质保期结束并经</w:t>
      </w:r>
      <w:r>
        <w:rPr>
          <w:rFonts w:eastAsia="仿宋"/>
          <w:color w:val="auto"/>
          <w:highlight w:val="none"/>
        </w:rPr>
        <w:t>验收</w:t>
      </w:r>
      <w:r>
        <w:rPr>
          <w:rFonts w:hint="eastAsia" w:eastAsia="仿宋"/>
          <w:color w:val="auto"/>
          <w:highlight w:val="none"/>
        </w:rPr>
        <w:t>合格后三十日内，</w:t>
      </w:r>
      <w:r>
        <w:rPr>
          <w:rFonts w:eastAsia="仿宋"/>
          <w:color w:val="auto"/>
          <w:highlight w:val="none"/>
        </w:rPr>
        <w:t>乙方提供（甲方</w:t>
      </w:r>
      <w:r>
        <w:rPr>
          <w:rFonts w:hint="eastAsia" w:eastAsia="仿宋"/>
          <w:color w:val="auto"/>
          <w:highlight w:val="none"/>
        </w:rPr>
        <w:t>出具</w:t>
      </w:r>
      <w:r>
        <w:rPr>
          <w:rFonts w:eastAsia="仿宋"/>
          <w:color w:val="auto"/>
          <w:highlight w:val="none"/>
        </w:rPr>
        <w:t>的）验收证明文件，由甲方支付给乙方。</w:t>
      </w:r>
    </w:p>
    <w:p w14:paraId="29642C90">
      <w:pPr>
        <w:spacing w:line="360" w:lineRule="auto"/>
        <w:rPr>
          <w:rFonts w:hint="eastAsia" w:eastAsia="仿宋"/>
          <w:color w:val="auto"/>
          <w:highlight w:val="none"/>
          <w:lang w:val="en-US" w:eastAsia="zh-CN"/>
        </w:rPr>
      </w:pPr>
      <w:r>
        <w:rPr>
          <w:rFonts w:hint="eastAsia" w:eastAsia="仿宋"/>
          <w:color w:val="auto"/>
          <w:highlight w:val="none"/>
          <w:lang w:val="en-US" w:eastAsia="zh-CN"/>
        </w:rPr>
        <w:t>4.8 合同价款以</w:t>
      </w:r>
      <w:r>
        <w:rPr>
          <w:rFonts w:hint="eastAsia" w:eastAsia="仿宋"/>
          <w:color w:val="auto"/>
          <w:highlight w:val="none"/>
          <w:u w:val="single"/>
          <w:lang w:val="en-US" w:eastAsia="zh-CN"/>
        </w:rPr>
        <w:t xml:space="preserve"> 银行转账 </w:t>
      </w:r>
      <w:r>
        <w:rPr>
          <w:rFonts w:hint="eastAsia" w:eastAsia="仿宋"/>
          <w:color w:val="auto"/>
          <w:highlight w:val="none"/>
          <w:lang w:val="en-US" w:eastAsia="zh-CN"/>
        </w:rPr>
        <w:t>的方式支付。</w:t>
      </w:r>
    </w:p>
    <w:p w14:paraId="4018C542">
      <w:pPr>
        <w:spacing w:line="360" w:lineRule="auto"/>
        <w:rPr>
          <w:rFonts w:hint="eastAsia" w:eastAsia="仿宋"/>
          <w:color w:val="auto"/>
          <w:highlight w:val="none"/>
          <w:lang w:val="en-US" w:eastAsia="zh-CN"/>
        </w:rPr>
      </w:pPr>
      <w:r>
        <w:rPr>
          <w:rFonts w:hint="eastAsia" w:eastAsia="仿宋"/>
          <w:color w:val="auto"/>
          <w:highlight w:val="none"/>
          <w:lang w:val="en-US" w:eastAsia="zh-CN"/>
        </w:rPr>
        <w:t>乙方银行账户信息确认如下：</w:t>
      </w:r>
    </w:p>
    <w:p w14:paraId="65C45F78">
      <w:pPr>
        <w:spacing w:line="360" w:lineRule="auto"/>
        <w:rPr>
          <w:rFonts w:hint="eastAsia" w:eastAsia="仿宋"/>
          <w:color w:val="auto"/>
          <w:highlight w:val="none"/>
          <w:u w:val="none"/>
          <w:lang w:val="en-US" w:eastAsia="zh-CN"/>
        </w:rPr>
      </w:pPr>
      <w:r>
        <w:rPr>
          <w:rFonts w:hint="eastAsia" w:eastAsia="仿宋"/>
          <w:color w:val="auto"/>
          <w:highlight w:val="none"/>
          <w:lang w:val="en-US" w:eastAsia="zh-CN"/>
        </w:rPr>
        <w:t>账户名：_____________________</w:t>
      </w:r>
      <w:r>
        <w:rPr>
          <w:rFonts w:hint="eastAsia" w:eastAsia="仿宋"/>
          <w:color w:val="auto"/>
          <w:highlight w:val="none"/>
          <w:u w:val="none"/>
          <w:lang w:val="en-US" w:eastAsia="zh-CN"/>
        </w:rPr>
        <w:t xml:space="preserve">  </w:t>
      </w:r>
    </w:p>
    <w:p w14:paraId="59C5C8A9">
      <w:pPr>
        <w:spacing w:line="360" w:lineRule="auto"/>
        <w:rPr>
          <w:rFonts w:hint="default" w:eastAsia="仿宋"/>
          <w:color w:val="auto"/>
          <w:highlight w:val="none"/>
          <w:lang w:val="en-US" w:eastAsia="zh-CN"/>
        </w:rPr>
      </w:pPr>
      <w:r>
        <w:rPr>
          <w:rFonts w:hint="eastAsia" w:eastAsia="仿宋"/>
          <w:color w:val="auto"/>
          <w:highlight w:val="none"/>
          <w:lang w:val="en-US" w:eastAsia="zh-CN"/>
        </w:rPr>
        <w:t xml:space="preserve">开户行：_____________________                                   </w:t>
      </w:r>
    </w:p>
    <w:p w14:paraId="68B4FBE4">
      <w:pPr>
        <w:spacing w:line="360" w:lineRule="auto"/>
        <w:rPr>
          <w:rFonts w:hint="default" w:eastAsia="仿宋"/>
          <w:color w:val="auto"/>
          <w:highlight w:val="none"/>
          <w:lang w:val="en-US" w:eastAsia="zh-CN"/>
        </w:rPr>
      </w:pPr>
      <w:r>
        <w:rPr>
          <w:rFonts w:hint="eastAsia" w:eastAsia="仿宋"/>
          <w:color w:val="auto"/>
          <w:highlight w:val="none"/>
          <w:lang w:val="en-US" w:eastAsia="zh-CN"/>
        </w:rPr>
        <w:t xml:space="preserve">账号： ______________________                                         </w:t>
      </w:r>
    </w:p>
    <w:p w14:paraId="293CCCD3">
      <w:pPr>
        <w:spacing w:line="360" w:lineRule="auto"/>
        <w:rPr>
          <w:rFonts w:hint="eastAsia" w:eastAsia="仿宋"/>
          <w:color w:val="auto"/>
          <w:highlight w:val="none"/>
          <w:lang w:val="en-US" w:eastAsia="zh-CN"/>
        </w:rPr>
      </w:pPr>
      <w:r>
        <w:rPr>
          <w:rFonts w:hint="eastAsia" w:eastAsia="仿宋"/>
          <w:color w:val="auto"/>
          <w:highlight w:val="none"/>
          <w:lang w:val="en-US" w:eastAsia="zh-CN"/>
        </w:rPr>
        <w:t>甲方开票信息确认如下：</w:t>
      </w:r>
    </w:p>
    <w:p w14:paraId="14A355E7">
      <w:pPr>
        <w:spacing w:line="360" w:lineRule="auto"/>
        <w:rPr>
          <w:rFonts w:hint="eastAsia" w:eastAsia="仿宋"/>
          <w:color w:val="auto"/>
          <w:highlight w:val="none"/>
          <w:lang w:val="en-US" w:eastAsia="zh-CN"/>
        </w:rPr>
      </w:pPr>
      <w:r>
        <w:rPr>
          <w:rFonts w:hint="eastAsia" w:eastAsia="仿宋"/>
          <w:color w:val="auto"/>
          <w:highlight w:val="none"/>
          <w:lang w:val="en-US" w:eastAsia="zh-CN"/>
        </w:rPr>
        <w:t xml:space="preserve">单位名称：                                    </w:t>
      </w:r>
    </w:p>
    <w:p w14:paraId="7E7ACC75">
      <w:pPr>
        <w:spacing w:line="360" w:lineRule="auto"/>
        <w:rPr>
          <w:rFonts w:hint="eastAsia" w:eastAsia="仿宋"/>
          <w:color w:val="auto"/>
          <w:highlight w:val="none"/>
          <w:lang w:val="en-US" w:eastAsia="zh-CN"/>
        </w:rPr>
      </w:pPr>
      <w:r>
        <w:rPr>
          <w:rFonts w:hint="eastAsia" w:eastAsia="仿宋"/>
          <w:color w:val="auto"/>
          <w:highlight w:val="none"/>
          <w:lang w:val="en-US" w:eastAsia="zh-CN"/>
        </w:rPr>
        <w:t xml:space="preserve">纳税人识别号：                             </w:t>
      </w:r>
    </w:p>
    <w:p w14:paraId="1FCF13D4">
      <w:pPr>
        <w:spacing w:line="360" w:lineRule="auto"/>
        <w:rPr>
          <w:rFonts w:hint="eastAsia" w:eastAsia="仿宋"/>
          <w:color w:val="auto"/>
          <w:highlight w:val="none"/>
          <w:lang w:val="en-US" w:eastAsia="zh-CN"/>
        </w:rPr>
      </w:pPr>
      <w:r>
        <w:rPr>
          <w:rFonts w:hint="eastAsia" w:eastAsia="仿宋"/>
          <w:color w:val="auto"/>
          <w:highlight w:val="none"/>
          <w:lang w:val="en-US" w:eastAsia="zh-CN"/>
        </w:rPr>
        <w:t xml:space="preserve">地址、电话：                                  </w:t>
      </w:r>
    </w:p>
    <w:p w14:paraId="6F8E176E">
      <w:pPr>
        <w:spacing w:line="360" w:lineRule="auto"/>
        <w:rPr>
          <w:rFonts w:hint="eastAsia" w:eastAsia="仿宋"/>
          <w:color w:val="auto"/>
          <w:highlight w:val="none"/>
          <w:lang w:val="en-US" w:eastAsia="zh-CN"/>
        </w:rPr>
      </w:pPr>
      <w:r>
        <w:rPr>
          <w:rFonts w:hint="eastAsia" w:eastAsia="仿宋"/>
          <w:color w:val="auto"/>
          <w:highlight w:val="none"/>
          <w:lang w:val="en-US" w:eastAsia="zh-CN"/>
        </w:rPr>
        <w:t>开户行、账号：</w:t>
      </w:r>
    </w:p>
    <w:p w14:paraId="79E5541A">
      <w:pPr>
        <w:spacing w:line="360" w:lineRule="auto"/>
        <w:rPr>
          <w:rFonts w:eastAsia="仿宋"/>
          <w:color w:val="auto"/>
          <w:highlight w:val="none"/>
        </w:rPr>
      </w:pPr>
      <w:r>
        <w:rPr>
          <w:rFonts w:hint="eastAsia" w:eastAsia="仿宋"/>
          <w:color w:val="auto"/>
          <w:highlight w:val="none"/>
          <w:lang w:val="en-US" w:eastAsia="zh-CN"/>
        </w:rPr>
        <w:t xml:space="preserve">4.9 </w:t>
      </w:r>
      <w:r>
        <w:rPr>
          <w:rFonts w:hint="eastAsia" w:eastAsia="仿宋"/>
          <w:color w:val="auto"/>
          <w:highlight w:val="none"/>
        </w:rPr>
        <w:t>乙方应支付的违约金、损失赔偿金等均可由甲方直接从未付的合同价款、履约保证金或质保金中扣除。如不足以赔付，甲方有权向乙方另行主张赔偿。</w:t>
      </w:r>
    </w:p>
    <w:p w14:paraId="083F2074">
      <w:pPr>
        <w:spacing w:line="360" w:lineRule="auto"/>
        <w:rPr>
          <w:rFonts w:hint="eastAsia" w:eastAsia="仿宋"/>
          <w:color w:val="auto"/>
          <w:highlight w:val="none"/>
        </w:rPr>
      </w:pPr>
      <w:r>
        <w:rPr>
          <w:rFonts w:hint="eastAsia" w:eastAsia="仿宋"/>
          <w:color w:val="auto"/>
          <w:highlight w:val="none"/>
          <w:lang w:val="en-US" w:eastAsia="zh-CN"/>
        </w:rPr>
        <w:t xml:space="preserve">4.10 </w:t>
      </w:r>
      <w:r>
        <w:rPr>
          <w:rFonts w:hint="eastAsia" w:eastAsia="仿宋"/>
          <w:color w:val="auto"/>
          <w:highlight w:val="none"/>
        </w:rPr>
        <w:t>本合同约定的为含税合同价款。在合同履行期间，如遇国家的税率调整或其他政策影响税率的，税率随变化而变化，则合同价款及综合单价金额不做调整。</w:t>
      </w:r>
    </w:p>
    <w:p w14:paraId="51E95700">
      <w:pPr>
        <w:spacing w:line="360" w:lineRule="auto"/>
        <w:rPr>
          <w:rFonts w:eastAsia="仿宋"/>
          <w:color w:val="auto"/>
          <w:highlight w:val="none"/>
        </w:rPr>
      </w:pPr>
      <w:r>
        <w:rPr>
          <w:rFonts w:hint="eastAsia" w:eastAsia="仿宋"/>
          <w:color w:val="auto"/>
          <w:highlight w:val="none"/>
          <w:lang w:val="en-US" w:eastAsia="zh-CN"/>
        </w:rPr>
        <w:t xml:space="preserve">4.11 </w:t>
      </w:r>
      <w:r>
        <w:rPr>
          <w:rFonts w:hint="eastAsia" w:eastAsia="仿宋"/>
          <w:color w:val="auto"/>
          <w:highlight w:val="none"/>
        </w:rPr>
        <w:t>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14:paraId="76DE4F9A">
      <w:pPr>
        <w:spacing w:line="360" w:lineRule="auto"/>
        <w:rPr>
          <w:rFonts w:eastAsia="仿宋"/>
          <w:b/>
          <w:color w:val="auto"/>
          <w:highlight w:val="none"/>
        </w:rPr>
      </w:pPr>
      <w:r>
        <w:rPr>
          <w:rFonts w:hint="eastAsia" w:eastAsia="仿宋"/>
          <w:b/>
          <w:color w:val="auto"/>
          <w:highlight w:val="none"/>
        </w:rPr>
        <w:t>五、甲方权利义务</w:t>
      </w:r>
    </w:p>
    <w:p w14:paraId="323C04E8">
      <w:pPr>
        <w:spacing w:line="360" w:lineRule="auto"/>
        <w:rPr>
          <w:rFonts w:eastAsia="仿宋"/>
          <w:color w:val="auto"/>
          <w:highlight w:val="none"/>
        </w:rPr>
      </w:pPr>
      <w:r>
        <w:rPr>
          <w:rFonts w:hint="eastAsia" w:eastAsia="仿宋"/>
          <w:color w:val="auto"/>
          <w:highlight w:val="none"/>
        </w:rPr>
        <w:t>5</w:t>
      </w:r>
      <w:r>
        <w:rPr>
          <w:rFonts w:eastAsia="仿宋"/>
          <w:color w:val="auto"/>
          <w:highlight w:val="none"/>
        </w:rPr>
        <w:t>.1</w:t>
      </w:r>
      <w:r>
        <w:rPr>
          <w:rFonts w:hint="eastAsia" w:eastAsia="仿宋"/>
          <w:color w:val="auto"/>
          <w:highlight w:val="none"/>
          <w:lang w:val="en-US" w:eastAsia="zh-CN"/>
        </w:rPr>
        <w:t xml:space="preserve"> </w:t>
      </w:r>
      <w:r>
        <w:rPr>
          <w:rFonts w:hint="eastAsia" w:eastAsia="仿宋"/>
          <w:color w:val="auto"/>
          <w:highlight w:val="none"/>
        </w:rPr>
        <w:t>负责按照本合同约定向乙方支付相应的费用。</w:t>
      </w:r>
    </w:p>
    <w:p w14:paraId="2B7F3C97">
      <w:pPr>
        <w:spacing w:line="360" w:lineRule="auto"/>
        <w:rPr>
          <w:rFonts w:eastAsia="仿宋"/>
          <w:color w:val="auto"/>
          <w:highlight w:val="none"/>
        </w:rPr>
      </w:pPr>
      <w:r>
        <w:rPr>
          <w:rFonts w:hint="eastAsia" w:eastAsia="仿宋"/>
          <w:color w:val="auto"/>
          <w:highlight w:val="none"/>
        </w:rPr>
        <w:t>5</w:t>
      </w:r>
      <w:r>
        <w:rPr>
          <w:rFonts w:eastAsia="仿宋"/>
          <w:color w:val="auto"/>
          <w:highlight w:val="none"/>
        </w:rPr>
        <w:t>.2</w:t>
      </w:r>
      <w:r>
        <w:rPr>
          <w:rFonts w:hint="eastAsia" w:eastAsia="仿宋"/>
          <w:color w:val="auto"/>
          <w:highlight w:val="none"/>
          <w:lang w:val="en-US" w:eastAsia="zh-CN"/>
        </w:rPr>
        <w:t xml:space="preserve"> </w:t>
      </w:r>
      <w:r>
        <w:rPr>
          <w:rFonts w:hint="eastAsia" w:eastAsia="仿宋"/>
          <w:color w:val="auto"/>
          <w:highlight w:val="none"/>
        </w:rPr>
        <w:t>负责向乙方提供本项目相关的图纸和资料，并审批乙方提供的施工方案和计划。</w:t>
      </w:r>
    </w:p>
    <w:p w14:paraId="5FA7BC9C">
      <w:pPr>
        <w:spacing w:line="360" w:lineRule="auto"/>
        <w:rPr>
          <w:rFonts w:eastAsia="仿宋"/>
          <w:color w:val="auto"/>
          <w:highlight w:val="none"/>
        </w:rPr>
      </w:pPr>
      <w:r>
        <w:rPr>
          <w:rFonts w:hint="eastAsia" w:eastAsia="仿宋"/>
          <w:color w:val="auto"/>
          <w:highlight w:val="none"/>
        </w:rPr>
        <w:t>5</w:t>
      </w:r>
      <w:r>
        <w:rPr>
          <w:rFonts w:eastAsia="仿宋"/>
          <w:color w:val="auto"/>
          <w:highlight w:val="none"/>
        </w:rPr>
        <w:t xml:space="preserve">.3 </w:t>
      </w:r>
      <w:r>
        <w:rPr>
          <w:rFonts w:hint="eastAsia" w:eastAsia="仿宋"/>
          <w:color w:val="auto"/>
          <w:highlight w:val="none"/>
        </w:rPr>
        <w:t>对乙方维修中的项目的施工质量、工程进度、安全生产、文明、环保施工等有协调、监督、监察的权利。</w:t>
      </w:r>
    </w:p>
    <w:p w14:paraId="19E9C4D1">
      <w:pPr>
        <w:spacing w:line="360" w:lineRule="auto"/>
        <w:rPr>
          <w:rFonts w:eastAsia="仿宋"/>
          <w:color w:val="auto"/>
          <w:highlight w:val="none"/>
        </w:rPr>
      </w:pPr>
      <w:r>
        <w:rPr>
          <w:rFonts w:hint="eastAsia" w:eastAsia="仿宋"/>
          <w:color w:val="auto"/>
          <w:highlight w:val="none"/>
        </w:rPr>
        <w:t>5.</w:t>
      </w:r>
      <w:r>
        <w:rPr>
          <w:rFonts w:eastAsia="仿宋"/>
          <w:color w:val="auto"/>
          <w:highlight w:val="none"/>
        </w:rPr>
        <w:t>4</w:t>
      </w:r>
      <w:r>
        <w:rPr>
          <w:rFonts w:hint="eastAsia" w:eastAsia="仿宋"/>
          <w:color w:val="auto"/>
          <w:highlight w:val="none"/>
          <w:lang w:val="en-US" w:eastAsia="zh-CN"/>
        </w:rPr>
        <w:t xml:space="preserve"> </w:t>
      </w:r>
      <w:r>
        <w:rPr>
          <w:rFonts w:hint="eastAsia" w:eastAsia="仿宋"/>
          <w:color w:val="auto"/>
          <w:highlight w:val="none"/>
        </w:rPr>
        <w:t>负责本项目的完工验收，并办理项目结算。</w:t>
      </w:r>
    </w:p>
    <w:p w14:paraId="1CE8B7FE">
      <w:pPr>
        <w:spacing w:line="360" w:lineRule="auto"/>
        <w:rPr>
          <w:rFonts w:eastAsia="仿宋"/>
          <w:b/>
          <w:color w:val="auto"/>
          <w:highlight w:val="none"/>
        </w:rPr>
      </w:pPr>
      <w:r>
        <w:rPr>
          <w:rFonts w:hint="eastAsia" w:eastAsia="仿宋"/>
          <w:b/>
          <w:color w:val="auto"/>
          <w:highlight w:val="none"/>
        </w:rPr>
        <w:t>六、乙方权利义务</w:t>
      </w:r>
    </w:p>
    <w:p w14:paraId="4050084B">
      <w:pPr>
        <w:spacing w:line="360" w:lineRule="auto"/>
        <w:rPr>
          <w:rFonts w:eastAsia="仿宋"/>
          <w:color w:val="auto"/>
          <w:highlight w:val="none"/>
        </w:rPr>
      </w:pPr>
      <w:r>
        <w:rPr>
          <w:rFonts w:hint="eastAsia" w:eastAsia="仿宋"/>
          <w:color w:val="auto"/>
          <w:highlight w:val="none"/>
        </w:rPr>
        <w:t>6</w:t>
      </w:r>
      <w:r>
        <w:rPr>
          <w:rFonts w:eastAsia="仿宋"/>
          <w:color w:val="auto"/>
          <w:highlight w:val="none"/>
        </w:rPr>
        <w:t>.1</w:t>
      </w:r>
      <w:r>
        <w:rPr>
          <w:rFonts w:hint="eastAsia" w:eastAsia="仿宋"/>
          <w:color w:val="auto"/>
          <w:highlight w:val="none"/>
          <w:lang w:val="en-US" w:eastAsia="zh-CN"/>
        </w:rPr>
        <w:t xml:space="preserve"> </w:t>
      </w:r>
      <w:r>
        <w:rPr>
          <w:rFonts w:hint="eastAsia" w:eastAsia="仿宋"/>
          <w:color w:val="auto"/>
          <w:highlight w:val="none"/>
        </w:rPr>
        <w:t>乙方应具有完成本项目的施工资质，在施工前应向甲方提供符合要求的施工计划、施工方案以及施工设计图纸等材料。</w:t>
      </w:r>
    </w:p>
    <w:p w14:paraId="2E8A6ADE">
      <w:pPr>
        <w:spacing w:line="360" w:lineRule="auto"/>
        <w:rPr>
          <w:rFonts w:eastAsia="仿宋"/>
          <w:color w:val="auto"/>
          <w:highlight w:val="none"/>
        </w:rPr>
      </w:pPr>
      <w:r>
        <w:rPr>
          <w:rFonts w:hint="eastAsia" w:eastAsia="仿宋"/>
          <w:color w:val="auto"/>
          <w:highlight w:val="none"/>
        </w:rPr>
        <w:t>6</w:t>
      </w:r>
      <w:r>
        <w:rPr>
          <w:rFonts w:eastAsia="仿宋"/>
          <w:color w:val="auto"/>
          <w:highlight w:val="none"/>
        </w:rPr>
        <w:t>.2</w:t>
      </w:r>
      <w:r>
        <w:rPr>
          <w:rFonts w:hint="eastAsia" w:eastAsia="仿宋"/>
          <w:color w:val="auto"/>
          <w:highlight w:val="none"/>
          <w:lang w:val="en-US" w:eastAsia="zh-CN"/>
        </w:rPr>
        <w:t xml:space="preserve"> </w:t>
      </w:r>
      <w:r>
        <w:rPr>
          <w:rFonts w:hint="eastAsia" w:eastAsia="仿宋"/>
          <w:color w:val="auto"/>
          <w:highlight w:val="none"/>
        </w:rPr>
        <w:t>乙方指派项目经理负责组织施工，保质、保量、按期完成施工任务。</w:t>
      </w:r>
    </w:p>
    <w:p w14:paraId="5B9C4442">
      <w:pPr>
        <w:spacing w:line="360" w:lineRule="auto"/>
        <w:rPr>
          <w:rFonts w:eastAsia="仿宋"/>
          <w:color w:val="auto"/>
          <w:highlight w:val="none"/>
        </w:rPr>
      </w:pPr>
      <w:r>
        <w:rPr>
          <w:rFonts w:hint="eastAsia" w:eastAsia="仿宋"/>
          <w:color w:val="auto"/>
          <w:highlight w:val="none"/>
        </w:rPr>
        <w:t>6</w:t>
      </w:r>
      <w:r>
        <w:rPr>
          <w:rFonts w:eastAsia="仿宋"/>
          <w:color w:val="auto"/>
          <w:highlight w:val="none"/>
        </w:rPr>
        <w:t>.3</w:t>
      </w:r>
      <w:r>
        <w:rPr>
          <w:rFonts w:hint="eastAsia" w:eastAsia="仿宋"/>
          <w:color w:val="auto"/>
          <w:highlight w:val="none"/>
          <w:lang w:val="en-US" w:eastAsia="zh-CN"/>
        </w:rPr>
        <w:t xml:space="preserve"> </w:t>
      </w:r>
      <w:r>
        <w:rPr>
          <w:rFonts w:hint="eastAsia" w:eastAsia="仿宋"/>
          <w:color w:val="auto"/>
          <w:highlight w:val="none"/>
        </w:rPr>
        <w:t>在项目实施前向甲方提交一份现场主要施工人员和施工设备的清单，严格执行施工规范、安全操作规程，遵守防火安全、环境保护等规定，做好各项质量检查记录。</w:t>
      </w:r>
    </w:p>
    <w:p w14:paraId="78AACF17">
      <w:pPr>
        <w:spacing w:line="360" w:lineRule="auto"/>
        <w:rPr>
          <w:rFonts w:eastAsia="仿宋"/>
          <w:color w:val="auto"/>
          <w:highlight w:val="none"/>
        </w:rPr>
      </w:pPr>
      <w:r>
        <w:rPr>
          <w:rFonts w:hint="eastAsia" w:eastAsia="仿宋"/>
          <w:color w:val="auto"/>
          <w:highlight w:val="none"/>
        </w:rPr>
        <w:t>6</w:t>
      </w:r>
      <w:r>
        <w:rPr>
          <w:rFonts w:eastAsia="仿宋"/>
          <w:color w:val="auto"/>
          <w:highlight w:val="none"/>
        </w:rPr>
        <w:t>.4</w:t>
      </w:r>
      <w:r>
        <w:rPr>
          <w:rFonts w:hint="eastAsia" w:eastAsia="仿宋"/>
          <w:color w:val="auto"/>
          <w:highlight w:val="none"/>
          <w:lang w:val="en-US" w:eastAsia="zh-CN"/>
        </w:rPr>
        <w:t xml:space="preserve"> </w:t>
      </w:r>
      <w:r>
        <w:rPr>
          <w:rFonts w:hint="eastAsia" w:eastAsia="仿宋"/>
          <w:color w:val="auto"/>
          <w:highlight w:val="none"/>
        </w:rPr>
        <w:t>本项目实施过程中，应接受甲方的检查、检验，并为检查、检验提供便利条件。</w:t>
      </w:r>
    </w:p>
    <w:p w14:paraId="279B723A">
      <w:pPr>
        <w:spacing w:line="360" w:lineRule="auto"/>
        <w:rPr>
          <w:rFonts w:eastAsia="仿宋"/>
          <w:color w:val="auto"/>
          <w:highlight w:val="none"/>
        </w:rPr>
      </w:pPr>
      <w:r>
        <w:rPr>
          <w:rFonts w:hint="eastAsia" w:eastAsia="仿宋"/>
          <w:color w:val="auto"/>
          <w:highlight w:val="none"/>
        </w:rPr>
        <w:t>6</w:t>
      </w:r>
      <w:r>
        <w:rPr>
          <w:rFonts w:eastAsia="仿宋"/>
          <w:color w:val="auto"/>
          <w:highlight w:val="none"/>
        </w:rPr>
        <w:t>.5</w:t>
      </w:r>
      <w:r>
        <w:rPr>
          <w:rFonts w:hint="eastAsia" w:eastAsia="仿宋"/>
          <w:color w:val="auto"/>
          <w:highlight w:val="none"/>
          <w:lang w:val="en-US" w:eastAsia="zh-CN"/>
        </w:rPr>
        <w:t xml:space="preserve"> </w:t>
      </w:r>
      <w:r>
        <w:rPr>
          <w:rFonts w:hint="eastAsia" w:eastAsia="仿宋"/>
          <w:color w:val="auto"/>
          <w:highlight w:val="none"/>
        </w:rPr>
        <w:t>乙方应当严格按照国家颁布的安全法规安全施工，如本项目施工过程中发生安全、火灾等事故的，乙方应立即采取适当救助措施并通知甲方。出现安全事故或造成乙方雇员、第三人人身损害、财产损失的，由乙方承担全部赔偿责任。</w:t>
      </w:r>
    </w:p>
    <w:p w14:paraId="09B954DC">
      <w:pPr>
        <w:spacing w:line="360" w:lineRule="auto"/>
        <w:rPr>
          <w:rFonts w:eastAsia="仿宋"/>
          <w:color w:val="auto"/>
          <w:highlight w:val="none"/>
        </w:rPr>
      </w:pPr>
      <w:r>
        <w:rPr>
          <w:rFonts w:hint="eastAsia" w:eastAsia="仿宋"/>
          <w:color w:val="auto"/>
          <w:highlight w:val="none"/>
        </w:rPr>
        <w:t>6</w:t>
      </w:r>
      <w:r>
        <w:rPr>
          <w:rFonts w:eastAsia="仿宋"/>
          <w:color w:val="auto"/>
          <w:highlight w:val="none"/>
        </w:rPr>
        <w:t>.6</w:t>
      </w:r>
      <w:r>
        <w:rPr>
          <w:rFonts w:hint="eastAsia" w:eastAsia="仿宋"/>
          <w:color w:val="auto"/>
          <w:highlight w:val="none"/>
          <w:lang w:val="en-US" w:eastAsia="zh-CN"/>
        </w:rPr>
        <w:t xml:space="preserve"> </w:t>
      </w:r>
      <w:r>
        <w:rPr>
          <w:rFonts w:hint="eastAsia" w:eastAsia="仿宋"/>
          <w:color w:val="auto"/>
          <w:highlight w:val="none"/>
        </w:rPr>
        <w:t>遵守国家、地方政府及行政主管部门对施工现场管理的规定，妥善保护好施工现场周围建筑物、设备管线不受损坏，保护期间发生侵权或损坏事件的，由乙方负责解决，并承担由此产生的一切费用和损失；做好施工现场保卫和垃圾清运等工作，保证在本项目竣工之日起7天内清理所有的垃圾。</w:t>
      </w:r>
    </w:p>
    <w:p w14:paraId="0D633E09">
      <w:pPr>
        <w:spacing w:line="360" w:lineRule="auto"/>
        <w:rPr>
          <w:rFonts w:eastAsia="仿宋"/>
          <w:color w:val="auto"/>
          <w:highlight w:val="none"/>
        </w:rPr>
      </w:pPr>
      <w:r>
        <w:rPr>
          <w:rFonts w:hint="eastAsia" w:eastAsia="仿宋"/>
          <w:color w:val="auto"/>
          <w:highlight w:val="none"/>
        </w:rPr>
        <w:t>6</w:t>
      </w:r>
      <w:r>
        <w:rPr>
          <w:rFonts w:eastAsia="仿宋"/>
          <w:color w:val="auto"/>
          <w:highlight w:val="none"/>
        </w:rPr>
        <w:t>.7</w:t>
      </w:r>
      <w:r>
        <w:rPr>
          <w:rFonts w:hint="eastAsia" w:eastAsia="仿宋"/>
          <w:color w:val="auto"/>
          <w:highlight w:val="none"/>
          <w:lang w:val="en-US" w:eastAsia="zh-CN"/>
        </w:rPr>
        <w:t xml:space="preserve"> </w:t>
      </w:r>
      <w:r>
        <w:rPr>
          <w:rFonts w:hint="eastAsia" w:eastAsia="仿宋"/>
          <w:color w:val="auto"/>
          <w:highlight w:val="none"/>
        </w:rPr>
        <w:t>本项目完工未移交甲方之前，乙方应负责保管现场的一切设施和工程成品。</w:t>
      </w:r>
    </w:p>
    <w:p w14:paraId="19AD62F2">
      <w:pPr>
        <w:spacing w:line="360" w:lineRule="auto"/>
        <w:rPr>
          <w:rFonts w:eastAsia="仿宋"/>
          <w:color w:val="auto"/>
          <w:highlight w:val="none"/>
        </w:rPr>
      </w:pPr>
      <w:r>
        <w:rPr>
          <w:rFonts w:hint="eastAsia" w:eastAsia="仿宋"/>
          <w:color w:val="auto"/>
          <w:highlight w:val="none"/>
        </w:rPr>
        <w:t>6</w:t>
      </w:r>
      <w:r>
        <w:rPr>
          <w:rFonts w:eastAsia="仿宋"/>
          <w:color w:val="auto"/>
          <w:highlight w:val="none"/>
        </w:rPr>
        <w:t>.8</w:t>
      </w:r>
      <w:r>
        <w:rPr>
          <w:rFonts w:hint="eastAsia" w:eastAsia="仿宋"/>
          <w:color w:val="auto"/>
          <w:highlight w:val="none"/>
          <w:lang w:val="en-US" w:eastAsia="zh-CN"/>
        </w:rPr>
        <w:t xml:space="preserve"> </w:t>
      </w:r>
      <w:r>
        <w:rPr>
          <w:rFonts w:hint="eastAsia" w:eastAsia="仿宋"/>
          <w:color w:val="auto"/>
          <w:highlight w:val="none"/>
        </w:rPr>
        <w:t>未经甲方的书面同意，乙方不得将其在本合同项下的权利和义务转让给第三方。</w:t>
      </w:r>
    </w:p>
    <w:p w14:paraId="0569550B">
      <w:pPr>
        <w:spacing w:line="360" w:lineRule="auto"/>
        <w:rPr>
          <w:rFonts w:hint="eastAsia" w:eastAsia="仿宋"/>
          <w:color w:val="auto"/>
          <w:highlight w:val="none"/>
        </w:rPr>
      </w:pPr>
      <w:r>
        <w:rPr>
          <w:rFonts w:hint="eastAsia" w:eastAsia="仿宋"/>
          <w:color w:val="auto"/>
          <w:highlight w:val="none"/>
        </w:rPr>
        <w:t>6</w:t>
      </w:r>
      <w:r>
        <w:rPr>
          <w:rFonts w:eastAsia="仿宋"/>
          <w:color w:val="auto"/>
          <w:highlight w:val="none"/>
        </w:rPr>
        <w:t>.9</w:t>
      </w:r>
      <w:r>
        <w:rPr>
          <w:rFonts w:hint="eastAsia" w:eastAsia="仿宋"/>
          <w:color w:val="auto"/>
          <w:highlight w:val="none"/>
          <w:lang w:val="en-US" w:eastAsia="zh-CN"/>
        </w:rPr>
        <w:t xml:space="preserve"> </w:t>
      </w:r>
      <w:r>
        <w:rPr>
          <w:rFonts w:hint="eastAsia" w:eastAsia="仿宋"/>
          <w:color w:val="auto"/>
          <w:highlight w:val="none"/>
        </w:rPr>
        <w:t>负责办理</w:t>
      </w:r>
      <w:r>
        <w:rPr>
          <w:rFonts w:hint="eastAsia" w:eastAsia="仿宋"/>
          <w:color w:val="auto"/>
          <w:highlight w:val="none"/>
          <w:lang w:val="en-US" w:eastAsia="zh-CN"/>
        </w:rPr>
        <w:t>项目</w:t>
      </w:r>
      <w:r>
        <w:rPr>
          <w:rFonts w:hint="eastAsia" w:eastAsia="仿宋"/>
          <w:color w:val="auto"/>
          <w:highlight w:val="none"/>
        </w:rPr>
        <w:t>施工期间乙方相关雇员的工伤保险、意外伤害保险、第三者责任保险及工程设备保险等事宜并承担相关费用，并负责处理与其雇员、员工之间的劳动人事争议。</w:t>
      </w:r>
    </w:p>
    <w:p w14:paraId="6D4FF2E7">
      <w:pPr>
        <w:spacing w:line="360" w:lineRule="auto"/>
        <w:rPr>
          <w:rFonts w:hint="eastAsia" w:eastAsia="仿宋" w:cs="Times New Roman (正文 CS 字体)"/>
          <w:color w:val="auto"/>
          <w:highlight w:val="none"/>
        </w:rPr>
      </w:pPr>
      <w:r>
        <w:rPr>
          <w:rFonts w:hint="eastAsia" w:eastAsia="仿宋"/>
          <w:color w:val="auto"/>
          <w:highlight w:val="none"/>
          <w:lang w:val="en-US" w:eastAsia="zh-CN"/>
        </w:rPr>
        <w:t xml:space="preserve">6.10 </w:t>
      </w:r>
      <w:r>
        <w:rPr>
          <w:rFonts w:hint="eastAsia" w:eastAsia="仿宋"/>
          <w:color w:val="auto"/>
          <w:highlight w:val="none"/>
        </w:rPr>
        <w:t>乙方承诺严格规范劳动用工，</w:t>
      </w:r>
      <w:r>
        <w:rPr>
          <w:rFonts w:hint="eastAsia" w:eastAsia="仿宋"/>
          <w:color w:val="auto"/>
          <w:highlight w:val="none"/>
          <w:lang w:val="en-US" w:eastAsia="zh-CN"/>
        </w:rPr>
        <w:t>并</w:t>
      </w:r>
      <w:r>
        <w:rPr>
          <w:rFonts w:hint="eastAsia" w:eastAsia="仿宋"/>
          <w:color w:val="auto"/>
          <w:highlight w:val="none"/>
        </w:rPr>
        <w:t>不得发生任何拖欠第三方材料款、拖欠农民工工资或集体聚集、上访、打架等群体事件，</w:t>
      </w:r>
      <w:r>
        <w:rPr>
          <w:rFonts w:hint="eastAsia" w:eastAsia="仿宋"/>
          <w:color w:val="auto"/>
          <w:highlight w:val="none"/>
          <w:lang w:val="en-US" w:eastAsia="zh-CN"/>
        </w:rPr>
        <w:t>否则甲方有权解除合同，并有权从应付未付的合同款项、履约保证金中扣除因</w:t>
      </w:r>
      <w:r>
        <w:rPr>
          <w:rFonts w:hint="eastAsia" w:eastAsia="仿宋" w:cs="Times New Roman (正文 CS 字体)"/>
          <w:color w:val="auto"/>
          <w:highlight w:val="none"/>
        </w:rPr>
        <w:t>乙方</w:t>
      </w:r>
      <w:r>
        <w:rPr>
          <w:rFonts w:hint="eastAsia" w:eastAsia="仿宋" w:cs="Times New Roman (正文 CS 字体)"/>
          <w:color w:val="auto"/>
          <w:highlight w:val="none"/>
          <w:lang w:val="en-US" w:eastAsia="zh-CN"/>
        </w:rPr>
        <w:t>原因</w:t>
      </w:r>
      <w:r>
        <w:rPr>
          <w:rFonts w:hint="eastAsia" w:eastAsia="仿宋" w:cs="Times New Roman (正文 CS 字体)"/>
          <w:color w:val="auto"/>
          <w:highlight w:val="none"/>
        </w:rPr>
        <w:t>导致的任何费用支出、违约金、损失或损害赔偿金。</w:t>
      </w:r>
    </w:p>
    <w:p w14:paraId="4D12B00B">
      <w:pPr>
        <w:spacing w:line="360" w:lineRule="auto"/>
        <w:rPr>
          <w:rFonts w:hint="eastAsia" w:eastAsia="仿宋"/>
          <w:color w:val="auto"/>
          <w:highlight w:val="none"/>
          <w:lang w:val="en-US" w:eastAsia="zh-CN"/>
        </w:rPr>
      </w:pPr>
      <w:r>
        <w:rPr>
          <w:rFonts w:hint="default" w:eastAsia="仿宋"/>
          <w:color w:val="auto"/>
          <w:highlight w:val="none"/>
          <w:lang w:eastAsia="zh-CN"/>
        </w:rPr>
        <w:t>6.11</w:t>
      </w:r>
      <w:r>
        <w:rPr>
          <w:rFonts w:hint="eastAsia" w:eastAsia="仿宋"/>
          <w:color w:val="auto"/>
          <w:highlight w:val="none"/>
          <w:lang w:val="en-US" w:eastAsia="zh-CN"/>
        </w:rPr>
        <w:t xml:space="preserve"> 乙方</w:t>
      </w:r>
      <w:r>
        <w:rPr>
          <w:rFonts w:hint="eastAsia" w:eastAsia="仿宋"/>
          <w:color w:val="auto"/>
          <w:highlight w:val="none"/>
          <w:lang w:val="en-US" w:eastAsia="zh-Hans"/>
        </w:rPr>
        <w:t>如</w:t>
      </w:r>
      <w:r>
        <w:rPr>
          <w:rFonts w:hint="eastAsia" w:eastAsia="仿宋"/>
          <w:color w:val="auto"/>
          <w:highlight w:val="none"/>
          <w:lang w:val="en-US" w:eastAsia="zh-CN"/>
        </w:rPr>
        <w:t>在中标后</w:t>
      </w:r>
      <w:r>
        <w:rPr>
          <w:rFonts w:hint="eastAsia" w:eastAsia="仿宋"/>
          <w:color w:val="auto"/>
          <w:highlight w:val="none"/>
          <w:lang w:val="en-US" w:eastAsia="zh-Hans"/>
        </w:rPr>
        <w:t>或者合同履行期间发生</w:t>
      </w:r>
      <w:r>
        <w:rPr>
          <w:rFonts w:hint="eastAsia" w:eastAsia="仿宋"/>
          <w:color w:val="auto"/>
          <w:highlight w:val="none"/>
          <w:lang w:val="en-US" w:eastAsia="zh-CN"/>
        </w:rPr>
        <w:t>被人民法院列为失信被执行人、影响合同履约能力的重大行政处罚等情形，应及时向</w:t>
      </w:r>
      <w:r>
        <w:rPr>
          <w:rFonts w:hint="eastAsia" w:eastAsia="仿宋"/>
          <w:color w:val="auto"/>
          <w:highlight w:val="none"/>
          <w:lang w:val="en-US" w:eastAsia="zh-Hans"/>
        </w:rPr>
        <w:t>甲方的</w:t>
      </w:r>
      <w:r>
        <w:rPr>
          <w:rFonts w:hint="eastAsia" w:eastAsia="仿宋"/>
          <w:color w:val="auto"/>
          <w:highlight w:val="none"/>
          <w:lang w:val="en-US" w:eastAsia="zh-CN"/>
        </w:rPr>
        <w:t>履约管理单位</w:t>
      </w:r>
      <w:r>
        <w:rPr>
          <w:rFonts w:hint="eastAsia" w:eastAsia="仿宋"/>
          <w:color w:val="auto"/>
          <w:highlight w:val="none"/>
          <w:lang w:val="en-US" w:eastAsia="zh-Hans"/>
        </w:rPr>
        <w:t>、</w:t>
      </w:r>
      <w:r>
        <w:rPr>
          <w:rFonts w:hint="eastAsia" w:eastAsia="仿宋"/>
          <w:color w:val="auto"/>
          <w:highlight w:val="none"/>
          <w:lang w:val="en-US" w:eastAsia="zh-CN"/>
        </w:rPr>
        <w:t>物资部报备。</w:t>
      </w:r>
    </w:p>
    <w:p w14:paraId="7CBADB6F">
      <w:pPr>
        <w:spacing w:line="360" w:lineRule="auto"/>
        <w:rPr>
          <w:rFonts w:eastAsia="仿宋"/>
          <w:b/>
          <w:color w:val="auto"/>
          <w:highlight w:val="none"/>
        </w:rPr>
      </w:pPr>
      <w:r>
        <w:rPr>
          <w:rFonts w:hint="eastAsia" w:eastAsia="仿宋"/>
          <w:b/>
          <w:color w:val="auto"/>
          <w:highlight w:val="none"/>
          <w:lang w:val="en-US" w:eastAsia="zh-CN"/>
        </w:rPr>
        <w:t>七</w:t>
      </w:r>
      <w:r>
        <w:rPr>
          <w:rFonts w:hint="eastAsia" w:eastAsia="仿宋"/>
          <w:b/>
          <w:color w:val="auto"/>
          <w:highlight w:val="none"/>
        </w:rPr>
        <w:t>、质量及验收要求</w:t>
      </w:r>
    </w:p>
    <w:p w14:paraId="24592128">
      <w:pPr>
        <w:spacing w:line="360" w:lineRule="auto"/>
        <w:rPr>
          <w:rFonts w:eastAsia="仿宋"/>
          <w:color w:val="auto"/>
          <w:highlight w:val="none"/>
        </w:rPr>
      </w:pPr>
      <w:r>
        <w:rPr>
          <w:rFonts w:hint="eastAsia" w:eastAsia="仿宋"/>
          <w:color w:val="auto"/>
          <w:highlight w:val="none"/>
        </w:rPr>
        <w:t>7</w:t>
      </w:r>
      <w:r>
        <w:rPr>
          <w:rFonts w:eastAsia="仿宋"/>
          <w:color w:val="auto"/>
          <w:highlight w:val="none"/>
        </w:rPr>
        <w:t>.1</w:t>
      </w:r>
      <w:r>
        <w:rPr>
          <w:rFonts w:hint="eastAsia" w:eastAsia="仿宋"/>
          <w:color w:val="auto"/>
          <w:highlight w:val="none"/>
          <w:lang w:val="en-US" w:eastAsia="zh-CN"/>
        </w:rPr>
        <w:t xml:space="preserve"> </w:t>
      </w:r>
      <w:r>
        <w:rPr>
          <w:rFonts w:hint="eastAsia" w:eastAsia="仿宋"/>
          <w:color w:val="auto"/>
          <w:highlight w:val="none"/>
        </w:rPr>
        <w:t>乙方为本项目提供的材料均须符合国家标准，有质量合格证明，主要材料的品种、规格等经甲方认可后方可使用。</w:t>
      </w:r>
    </w:p>
    <w:p w14:paraId="232BC6F9">
      <w:pPr>
        <w:spacing w:line="360" w:lineRule="auto"/>
        <w:rPr>
          <w:rFonts w:eastAsia="仿宋"/>
          <w:color w:val="auto"/>
          <w:highlight w:val="none"/>
        </w:rPr>
      </w:pPr>
      <w:r>
        <w:rPr>
          <w:rFonts w:hint="eastAsia" w:eastAsia="仿宋"/>
          <w:color w:val="auto"/>
          <w:highlight w:val="none"/>
        </w:rPr>
        <w:t>7</w:t>
      </w:r>
      <w:r>
        <w:rPr>
          <w:rFonts w:eastAsia="仿宋"/>
          <w:color w:val="auto"/>
          <w:highlight w:val="none"/>
        </w:rPr>
        <w:t>.2</w:t>
      </w:r>
      <w:r>
        <w:rPr>
          <w:rFonts w:hint="eastAsia" w:eastAsia="仿宋"/>
          <w:color w:val="auto"/>
          <w:highlight w:val="none"/>
          <w:lang w:val="en-US" w:eastAsia="zh-CN"/>
        </w:rPr>
        <w:t xml:space="preserve"> </w:t>
      </w:r>
      <w:r>
        <w:rPr>
          <w:rFonts w:hint="eastAsia" w:eastAsia="仿宋"/>
          <w:color w:val="auto"/>
          <w:highlight w:val="none"/>
        </w:rPr>
        <w:t>本项目施工质量应符合</w:t>
      </w:r>
      <w:r>
        <w:rPr>
          <w:rFonts w:eastAsia="仿宋"/>
          <w:color w:val="auto"/>
          <w:highlight w:val="none"/>
        </w:rPr>
        <w:t>国家标准、行业标准、工程所在地的地方性标准</w:t>
      </w:r>
      <w:r>
        <w:rPr>
          <w:rFonts w:hint="eastAsia" w:eastAsia="仿宋"/>
          <w:color w:val="auto"/>
          <w:highlight w:val="none"/>
        </w:rPr>
        <w:t>，并达到合同规定要求，各项技术指标符合施工图纸中所列举的指标要求。</w:t>
      </w:r>
    </w:p>
    <w:p w14:paraId="5F170DCF">
      <w:pPr>
        <w:spacing w:line="360" w:lineRule="auto"/>
        <w:rPr>
          <w:rFonts w:eastAsia="仿宋"/>
          <w:color w:val="auto"/>
          <w:highlight w:val="none"/>
        </w:rPr>
      </w:pPr>
      <w:r>
        <w:rPr>
          <w:rFonts w:hint="eastAsia" w:eastAsia="仿宋"/>
          <w:color w:val="auto"/>
          <w:highlight w:val="none"/>
        </w:rPr>
        <w:t>7.3</w:t>
      </w:r>
      <w:r>
        <w:rPr>
          <w:rFonts w:hint="eastAsia" w:eastAsia="仿宋"/>
          <w:color w:val="auto"/>
          <w:highlight w:val="none"/>
          <w:lang w:val="en-US" w:eastAsia="zh-CN"/>
        </w:rPr>
        <w:t xml:space="preserve"> </w:t>
      </w:r>
      <w:r>
        <w:rPr>
          <w:rFonts w:hint="eastAsia" w:eastAsia="仿宋"/>
          <w:color w:val="auto"/>
          <w:highlight w:val="none"/>
        </w:rPr>
        <w:t>原则上没有国家标准、规范的，适用行业标准、规范；没有国家和行业标准、规范的，适用项目所在地的地方标准、规范；国内没有相应标准、规范的，由甲方向乙方提出技术要求，乙方提出维修方案，经甲方批准后执行。</w:t>
      </w:r>
    </w:p>
    <w:p w14:paraId="52A1C298">
      <w:pPr>
        <w:spacing w:line="360" w:lineRule="auto"/>
        <w:rPr>
          <w:rFonts w:eastAsia="仿宋"/>
          <w:color w:val="auto"/>
          <w:highlight w:val="none"/>
        </w:rPr>
      </w:pPr>
      <w:r>
        <w:rPr>
          <w:rFonts w:hint="eastAsia" w:eastAsia="仿宋"/>
          <w:color w:val="auto"/>
          <w:highlight w:val="none"/>
        </w:rPr>
        <w:t>7.4</w:t>
      </w:r>
      <w:r>
        <w:rPr>
          <w:rFonts w:hint="eastAsia" w:eastAsia="仿宋"/>
          <w:color w:val="auto"/>
          <w:highlight w:val="none"/>
          <w:lang w:val="en-US" w:eastAsia="zh-CN"/>
        </w:rPr>
        <w:t xml:space="preserve"> </w:t>
      </w:r>
      <w:r>
        <w:rPr>
          <w:rFonts w:hint="eastAsia" w:eastAsia="仿宋"/>
          <w:color w:val="auto"/>
          <w:highlight w:val="none"/>
        </w:rPr>
        <w:t>如遇规范、标准、技术规程对同一问题的处理出现相互矛盾的情况时，乙方应通知甲方，提出解决办法并征得甲方的同意。本项目所用的规范及标准应采用双方最新确定的方案。</w:t>
      </w:r>
    </w:p>
    <w:p w14:paraId="6B2E976F">
      <w:pPr>
        <w:spacing w:line="360" w:lineRule="auto"/>
        <w:rPr>
          <w:rFonts w:eastAsia="仿宋"/>
          <w:color w:val="auto"/>
          <w:highlight w:val="none"/>
        </w:rPr>
      </w:pPr>
      <w:r>
        <w:rPr>
          <w:rFonts w:hint="eastAsia" w:eastAsia="仿宋"/>
          <w:color w:val="auto"/>
          <w:highlight w:val="none"/>
        </w:rPr>
        <w:t>7</w:t>
      </w:r>
      <w:r>
        <w:rPr>
          <w:rFonts w:eastAsia="仿宋"/>
          <w:color w:val="auto"/>
          <w:highlight w:val="none"/>
        </w:rPr>
        <w:t>.</w:t>
      </w:r>
      <w:r>
        <w:rPr>
          <w:rFonts w:hint="eastAsia" w:eastAsia="仿宋"/>
          <w:color w:val="auto"/>
          <w:highlight w:val="none"/>
        </w:rPr>
        <w:t>5</w:t>
      </w:r>
      <w:r>
        <w:rPr>
          <w:rFonts w:hint="eastAsia" w:eastAsia="仿宋"/>
          <w:color w:val="auto"/>
          <w:highlight w:val="none"/>
          <w:lang w:val="en-US" w:eastAsia="zh-CN"/>
        </w:rPr>
        <w:t xml:space="preserve"> </w:t>
      </w:r>
      <w:r>
        <w:rPr>
          <w:rFonts w:hint="eastAsia" w:eastAsia="仿宋"/>
          <w:color w:val="auto"/>
          <w:highlight w:val="none"/>
        </w:rPr>
        <w:t>工程完工后七日内，乙方应书面通知甲方验收，甲方自接到验收通知之日起七日内组织验收；如果性能及施工质量不能满足甲方要求，乙方将全部或部分重新设计施工，延误的工期以及造成的损失由乙方承担。甲、乙双方可另定验收之日组织验收，验收合格之日为质保期起算日。</w:t>
      </w:r>
    </w:p>
    <w:p w14:paraId="67B86106">
      <w:pPr>
        <w:spacing w:line="360" w:lineRule="auto"/>
        <w:rPr>
          <w:rFonts w:eastAsia="仿宋"/>
          <w:color w:val="auto"/>
          <w:highlight w:val="none"/>
        </w:rPr>
      </w:pPr>
      <w:r>
        <w:rPr>
          <w:rFonts w:hint="eastAsia" w:eastAsia="仿宋"/>
          <w:color w:val="auto"/>
          <w:highlight w:val="none"/>
        </w:rPr>
        <w:t>7</w:t>
      </w:r>
      <w:r>
        <w:rPr>
          <w:rFonts w:eastAsia="仿宋"/>
          <w:color w:val="auto"/>
          <w:highlight w:val="none"/>
        </w:rPr>
        <w:t>.</w:t>
      </w:r>
      <w:r>
        <w:rPr>
          <w:rFonts w:hint="eastAsia" w:eastAsia="仿宋"/>
          <w:color w:val="auto"/>
          <w:highlight w:val="none"/>
        </w:rPr>
        <w:t>6</w:t>
      </w:r>
      <w:r>
        <w:rPr>
          <w:rFonts w:hint="eastAsia" w:eastAsia="仿宋"/>
          <w:color w:val="auto"/>
          <w:highlight w:val="none"/>
          <w:lang w:val="en-US" w:eastAsia="zh-CN"/>
        </w:rPr>
        <w:t xml:space="preserve"> </w:t>
      </w:r>
      <w:r>
        <w:rPr>
          <w:rFonts w:hint="eastAsia" w:eastAsia="仿宋"/>
          <w:color w:val="auto"/>
          <w:highlight w:val="none"/>
        </w:rPr>
        <w:t>甲乙双方对工程质量有争议，应协商确定第三方工程质量检验机构进行鉴定，所需费用及由此造成的损失，由责任方承担。</w:t>
      </w:r>
    </w:p>
    <w:p w14:paraId="79C4323B">
      <w:pPr>
        <w:spacing w:line="360" w:lineRule="auto"/>
        <w:rPr>
          <w:rFonts w:eastAsia="仿宋"/>
          <w:b/>
          <w:color w:val="auto"/>
          <w:highlight w:val="none"/>
        </w:rPr>
      </w:pPr>
      <w:r>
        <w:rPr>
          <w:rFonts w:hint="eastAsia" w:eastAsia="仿宋"/>
          <w:b/>
          <w:color w:val="auto"/>
          <w:highlight w:val="none"/>
        </w:rPr>
        <w:t>八、质量保证</w:t>
      </w:r>
    </w:p>
    <w:p w14:paraId="1E4CDD10">
      <w:pPr>
        <w:spacing w:line="360" w:lineRule="auto"/>
        <w:ind w:firstLine="420" w:firstLineChars="200"/>
        <w:rPr>
          <w:rFonts w:eastAsia="仿宋"/>
          <w:color w:val="auto"/>
          <w:highlight w:val="none"/>
        </w:rPr>
      </w:pPr>
      <w:r>
        <w:rPr>
          <w:rFonts w:hint="eastAsia" w:eastAsia="仿宋"/>
          <w:color w:val="auto"/>
          <w:highlight w:val="none"/>
        </w:rPr>
        <w:t>乙方应按法律法规及本合同约定，对交付甲方使用的工程或设备在质量保证期内承担质量保证责任。</w:t>
      </w:r>
    </w:p>
    <w:p w14:paraId="2D3A36F6">
      <w:pPr>
        <w:spacing w:line="360" w:lineRule="auto"/>
        <w:rPr>
          <w:rFonts w:eastAsia="仿宋"/>
          <w:color w:val="auto"/>
          <w:highlight w:val="none"/>
        </w:rPr>
      </w:pPr>
      <w:r>
        <w:rPr>
          <w:rFonts w:hint="eastAsia" w:eastAsia="仿宋"/>
          <w:color w:val="auto"/>
          <w:highlight w:val="none"/>
        </w:rPr>
        <w:t>8</w:t>
      </w:r>
      <w:r>
        <w:rPr>
          <w:rFonts w:eastAsia="仿宋"/>
          <w:color w:val="auto"/>
          <w:highlight w:val="none"/>
        </w:rPr>
        <w:t>.1</w:t>
      </w:r>
      <w:r>
        <w:rPr>
          <w:rFonts w:hint="eastAsia" w:eastAsia="仿宋"/>
          <w:color w:val="auto"/>
          <w:highlight w:val="none"/>
          <w:lang w:val="en-US" w:eastAsia="zh-CN"/>
        </w:rPr>
        <w:t xml:space="preserve"> </w:t>
      </w:r>
      <w:r>
        <w:rPr>
          <w:rFonts w:hint="eastAsia" w:eastAsia="仿宋"/>
          <w:color w:val="auto"/>
          <w:highlight w:val="none"/>
        </w:rPr>
        <w:t>质量保证范围</w:t>
      </w:r>
    </w:p>
    <w:p w14:paraId="40E14083">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color w:val="auto"/>
          <w:highlight w:val="none"/>
        </w:rPr>
      </w:pPr>
      <w:r>
        <w:rPr>
          <w:rFonts w:hint="eastAsia" w:eastAsia="仿宋"/>
          <w:color w:val="auto"/>
          <w:highlight w:val="none"/>
        </w:rPr>
        <w:t>质量保证范围包括乙方承担的本项目一切工作和合同约定的其他工作。</w:t>
      </w:r>
    </w:p>
    <w:p w14:paraId="5CEE4F48">
      <w:pPr>
        <w:spacing w:line="360" w:lineRule="auto"/>
        <w:rPr>
          <w:rFonts w:eastAsia="仿宋"/>
          <w:color w:val="auto"/>
          <w:highlight w:val="none"/>
        </w:rPr>
      </w:pPr>
      <w:r>
        <w:rPr>
          <w:rFonts w:hint="eastAsia" w:eastAsia="仿宋"/>
          <w:color w:val="auto"/>
          <w:highlight w:val="none"/>
        </w:rPr>
        <w:t>8</w:t>
      </w:r>
      <w:r>
        <w:rPr>
          <w:rFonts w:eastAsia="仿宋"/>
          <w:color w:val="auto"/>
          <w:highlight w:val="none"/>
        </w:rPr>
        <w:t>.2</w:t>
      </w:r>
      <w:r>
        <w:rPr>
          <w:rFonts w:hint="eastAsia" w:eastAsia="仿宋"/>
          <w:color w:val="auto"/>
          <w:highlight w:val="none"/>
          <w:lang w:val="en-US" w:eastAsia="zh-CN"/>
        </w:rPr>
        <w:t xml:space="preserve"> </w:t>
      </w:r>
      <w:r>
        <w:rPr>
          <w:rFonts w:hint="eastAsia" w:eastAsia="仿宋"/>
          <w:color w:val="auto"/>
          <w:highlight w:val="none"/>
        </w:rPr>
        <w:t>质量保证期限</w:t>
      </w:r>
    </w:p>
    <w:p w14:paraId="3CA964A3">
      <w:pPr>
        <w:spacing w:line="360" w:lineRule="auto"/>
        <w:rPr>
          <w:rFonts w:eastAsia="仿宋"/>
          <w:color w:val="auto"/>
          <w:highlight w:val="none"/>
        </w:rPr>
      </w:pPr>
      <w:r>
        <w:rPr>
          <w:rFonts w:hint="eastAsia" w:eastAsia="仿宋"/>
          <w:color w:val="auto"/>
          <w:highlight w:val="none"/>
        </w:rPr>
        <w:t>乙方对本项目承担质量保证责任的期限为</w:t>
      </w:r>
      <w:r>
        <w:rPr>
          <w:rFonts w:hint="eastAsia" w:ascii="宋体" w:hAnsi="宋体" w:eastAsia="宋体" w:cs="宋体"/>
          <w:color w:val="auto"/>
          <w:highlight w:val="none"/>
          <w:u w:val="single"/>
        </w:rPr>
        <w:t>2年</w:t>
      </w:r>
      <w:r>
        <w:rPr>
          <w:rFonts w:eastAsia="仿宋"/>
          <w:color w:val="auto"/>
          <w:highlight w:val="none"/>
        </w:rPr>
        <w:t>，</w:t>
      </w:r>
      <w:r>
        <w:rPr>
          <w:rFonts w:hint="eastAsia" w:eastAsia="仿宋"/>
          <w:color w:val="auto"/>
          <w:highlight w:val="none"/>
        </w:rPr>
        <w:t>从验收合格之日起计算。</w:t>
      </w:r>
    </w:p>
    <w:p w14:paraId="10D4A0D2">
      <w:pPr>
        <w:spacing w:line="360" w:lineRule="auto"/>
        <w:rPr>
          <w:rFonts w:eastAsia="仿宋"/>
          <w:color w:val="auto"/>
          <w:highlight w:val="none"/>
        </w:rPr>
      </w:pPr>
      <w:r>
        <w:rPr>
          <w:rFonts w:hint="eastAsia" w:eastAsia="仿宋"/>
          <w:color w:val="auto"/>
          <w:highlight w:val="none"/>
        </w:rPr>
        <w:t>8</w:t>
      </w:r>
      <w:r>
        <w:rPr>
          <w:rFonts w:eastAsia="仿宋"/>
          <w:color w:val="auto"/>
          <w:highlight w:val="none"/>
        </w:rPr>
        <w:t>.3</w:t>
      </w:r>
      <w:r>
        <w:rPr>
          <w:rFonts w:hint="eastAsia" w:eastAsia="仿宋"/>
          <w:color w:val="auto"/>
          <w:highlight w:val="none"/>
          <w:lang w:val="en-US" w:eastAsia="zh-CN"/>
        </w:rPr>
        <w:t xml:space="preserve"> </w:t>
      </w:r>
      <w:r>
        <w:rPr>
          <w:rFonts w:hint="eastAsia" w:eastAsia="仿宋"/>
          <w:color w:val="auto"/>
          <w:highlight w:val="none"/>
        </w:rPr>
        <w:t>质量保证责任承担</w:t>
      </w:r>
    </w:p>
    <w:p w14:paraId="661B6560">
      <w:pPr>
        <w:spacing w:line="360" w:lineRule="auto"/>
        <w:rPr>
          <w:rFonts w:eastAsia="仿宋"/>
          <w:color w:val="auto"/>
          <w:highlight w:val="none"/>
        </w:rPr>
      </w:pPr>
      <w:r>
        <w:rPr>
          <w:rFonts w:eastAsia="仿宋"/>
          <w:color w:val="auto"/>
          <w:highlight w:val="none"/>
        </w:rPr>
        <w:t>1）</w:t>
      </w:r>
      <w:r>
        <w:rPr>
          <w:rFonts w:hint="eastAsia" w:eastAsia="仿宋"/>
          <w:color w:val="auto"/>
          <w:highlight w:val="none"/>
        </w:rPr>
        <w:t>属于保证范围和内容的项目，甲方在保证期间内发现本项目维修改造工作有缺陷，可要求乙方立即修复，乙方必须在收到甲方的通知后立即派人员到现场免费修复。如乙方拖延修复，甲方可自行组织修复，由此产生的一切费用和损失由乙方承担。在质量保证期内，由于乙方的原因造成的维修费用损失和甲方的损失由乙方承担，且不能抵扣质量保证金。</w:t>
      </w:r>
    </w:p>
    <w:p w14:paraId="4AFA0C8F">
      <w:pPr>
        <w:spacing w:line="360" w:lineRule="auto"/>
        <w:rPr>
          <w:rFonts w:eastAsia="仿宋"/>
          <w:color w:val="auto"/>
          <w:highlight w:val="none"/>
        </w:rPr>
      </w:pPr>
      <w:r>
        <w:rPr>
          <w:rFonts w:eastAsia="仿宋"/>
          <w:color w:val="auto"/>
          <w:highlight w:val="none"/>
        </w:rPr>
        <w:t>2</w:t>
      </w:r>
      <w:r>
        <w:rPr>
          <w:rFonts w:hint="eastAsia" w:eastAsia="仿宋"/>
          <w:color w:val="auto"/>
          <w:highlight w:val="none"/>
        </w:rPr>
        <w:t>）发生须紧急抢修的事故时，乙方接到通知后，应立即到达事故现场抢修。非乙方作业质量引起的事故，抢修费用由甲方承担（属于合同工作范围的在该合同项下支付）。</w:t>
      </w:r>
    </w:p>
    <w:p w14:paraId="706DBF66">
      <w:pPr>
        <w:spacing w:line="360" w:lineRule="auto"/>
        <w:rPr>
          <w:rFonts w:eastAsia="仿宋"/>
          <w:color w:val="auto"/>
          <w:highlight w:val="none"/>
        </w:rPr>
      </w:pPr>
      <w:r>
        <w:rPr>
          <w:rFonts w:eastAsia="仿宋"/>
          <w:color w:val="auto"/>
          <w:highlight w:val="none"/>
        </w:rPr>
        <w:t>3</w:t>
      </w:r>
      <w:r>
        <w:rPr>
          <w:rFonts w:hint="eastAsia" w:eastAsia="仿宋"/>
          <w:color w:val="auto"/>
          <w:highlight w:val="none"/>
        </w:rPr>
        <w:t>）在国家规定的合理使用期限内，因乙方作业质量原因致使本项目在合理使用期限内造成人身伤亡和财产损害的，由乙方承担损害赔偿责任。</w:t>
      </w:r>
    </w:p>
    <w:p w14:paraId="7CAAA652">
      <w:pPr>
        <w:spacing w:line="360" w:lineRule="auto"/>
        <w:rPr>
          <w:rFonts w:eastAsia="仿宋"/>
          <w:b/>
          <w:color w:val="auto"/>
          <w:highlight w:val="none"/>
        </w:rPr>
      </w:pPr>
      <w:r>
        <w:rPr>
          <w:rFonts w:hint="eastAsia" w:eastAsia="仿宋"/>
          <w:b/>
          <w:color w:val="auto"/>
          <w:highlight w:val="none"/>
        </w:rPr>
        <w:t>九、履约担保</w:t>
      </w:r>
    </w:p>
    <w:p w14:paraId="702A23F7">
      <w:pPr>
        <w:spacing w:line="360" w:lineRule="auto"/>
        <w:rPr>
          <w:rFonts w:eastAsia="仿宋"/>
          <w:color w:val="auto"/>
          <w:highlight w:val="none"/>
        </w:rPr>
      </w:pPr>
      <w:r>
        <w:rPr>
          <w:rFonts w:hint="eastAsia" w:eastAsia="仿宋"/>
          <w:color w:val="auto"/>
          <w:highlight w:val="none"/>
        </w:rPr>
        <w:t>9</w:t>
      </w:r>
      <w:r>
        <w:rPr>
          <w:rFonts w:eastAsia="仿宋"/>
          <w:color w:val="auto"/>
          <w:highlight w:val="none"/>
        </w:rPr>
        <w:t>.1</w:t>
      </w:r>
      <w:bookmarkStart w:id="85" w:name="_Toc198694697"/>
      <w:bookmarkStart w:id="86" w:name="_Toc198693812"/>
      <w:r>
        <w:rPr>
          <w:rFonts w:hint="eastAsia" w:eastAsia="仿宋"/>
          <w:color w:val="auto"/>
          <w:highlight w:val="none"/>
          <w:lang w:val="en-US" w:eastAsia="zh-CN"/>
        </w:rPr>
        <w:t xml:space="preserve"> </w:t>
      </w:r>
      <w:r>
        <w:rPr>
          <w:rFonts w:hint="eastAsia" w:eastAsia="仿宋"/>
          <w:color w:val="auto"/>
          <w:highlight w:val="none"/>
        </w:rPr>
        <w:t>履约担保</w:t>
      </w:r>
    </w:p>
    <w:p w14:paraId="03EB424E">
      <w:pPr>
        <w:spacing w:line="360" w:lineRule="auto"/>
        <w:rPr>
          <w:rFonts w:eastAsia="仿宋" w:cs="Times New Roman (正文 CS 字体)"/>
          <w:color w:val="auto"/>
          <w:highlight w:val="none"/>
        </w:rPr>
      </w:pPr>
      <w:r>
        <w:rPr>
          <w:rFonts w:hint="eastAsia" w:eastAsia="仿宋" w:cs="Times New Roman (正文 CS 字体)"/>
          <w:color w:val="auto"/>
          <w:highlight w:val="none"/>
        </w:rPr>
        <w:t>1</w:t>
      </w:r>
      <w:r>
        <w:rPr>
          <w:rFonts w:eastAsia="仿宋" w:cs="Times New Roman (正文 CS 字体)"/>
          <w:color w:val="auto"/>
          <w:highlight w:val="none"/>
        </w:rPr>
        <w:t>.在本合同签订时，乙方应向甲方提交履约保证金，本项目履约保证金的金额为合同总价款</w:t>
      </w:r>
      <w:r>
        <w:rPr>
          <w:rFonts w:hint="eastAsia" w:eastAsia="仿宋" w:cs="Times New Roman (正文 CS 字体)"/>
          <w:color w:val="auto"/>
          <w:highlight w:val="none"/>
          <w:u w:val="single"/>
          <w:lang w:val="en-US" w:eastAsia="zh-CN"/>
        </w:rPr>
        <w:t>10</w:t>
      </w:r>
      <w:r>
        <w:rPr>
          <w:rFonts w:eastAsia="仿宋" w:cs="Times New Roman (正文 CS 字体)"/>
          <w:color w:val="auto"/>
          <w:highlight w:val="none"/>
          <w:u w:val="single"/>
        </w:rPr>
        <w:t>%</w:t>
      </w:r>
      <w:r>
        <w:rPr>
          <w:rFonts w:eastAsia="仿宋" w:cs="Times New Roman (正文 CS 字体)"/>
          <w:color w:val="auto"/>
          <w:highlight w:val="none"/>
        </w:rPr>
        <w:t>。</w:t>
      </w:r>
    </w:p>
    <w:p w14:paraId="13F07B54">
      <w:pPr>
        <w:spacing w:line="360" w:lineRule="auto"/>
        <w:rPr>
          <w:rFonts w:eastAsia="仿宋" w:cs="Times New Roman (正文 CS 字体)"/>
          <w:color w:val="auto"/>
          <w:highlight w:val="none"/>
        </w:rPr>
      </w:pPr>
      <w:r>
        <w:rPr>
          <w:rFonts w:eastAsia="仿宋" w:cs="Times New Roman (正文 CS 字体)"/>
          <w:color w:val="auto"/>
          <w:highlight w:val="none"/>
        </w:rPr>
        <w:t>2.履约保证金由甲方持有，甲方有权在该保证金内扣除任何乙方应付而未付之任何款项</w:t>
      </w:r>
      <w:r>
        <w:rPr>
          <w:rFonts w:hint="eastAsia" w:eastAsia="仿宋" w:cs="Times New Roman (正文 CS 字体)"/>
          <w:color w:val="auto"/>
          <w:highlight w:val="none"/>
        </w:rPr>
        <w:t>（包括但不限于合同约定的乙方应支付款项、甲方垫付的其他费用等），及任何因乙方在不遵守或不履行本</w:t>
      </w:r>
      <w:r>
        <w:rPr>
          <w:rFonts w:hint="eastAsia" w:eastAsia="仿宋" w:cs="Times New Roman (正文 CS 字体)"/>
          <w:color w:val="auto"/>
          <w:highlight w:val="none"/>
          <w:lang w:eastAsia="zh-CN"/>
        </w:rPr>
        <w:t>合同</w:t>
      </w:r>
      <w:r>
        <w:rPr>
          <w:rFonts w:hint="eastAsia" w:eastAsia="仿宋" w:cs="Times New Roman (正文 CS 字体)"/>
          <w:color w:val="auto"/>
          <w:highlight w:val="none"/>
        </w:rPr>
        <w:t>条款之任何部分而导致的任何费用支出、违约金、损失或损害赔偿金。</w:t>
      </w:r>
      <w:r>
        <w:rPr>
          <w:rFonts w:eastAsia="仿宋" w:cs="Times New Roman (正文 CS 字体)"/>
          <w:color w:val="auto"/>
          <w:highlight w:val="none"/>
        </w:rPr>
        <w:t>如甲方根据</w:t>
      </w:r>
      <w:r>
        <w:rPr>
          <w:rFonts w:hint="eastAsia" w:eastAsia="仿宋" w:cs="Times New Roman (正文 CS 字体)"/>
          <w:color w:val="auto"/>
          <w:highlight w:val="none"/>
        </w:rPr>
        <w:t>上述</w:t>
      </w:r>
      <w:r>
        <w:rPr>
          <w:rFonts w:eastAsia="仿宋" w:cs="Times New Roman (正文 CS 字体)"/>
          <w:color w:val="auto"/>
          <w:highlight w:val="none"/>
        </w:rPr>
        <w:t>情况扣除保证金，乙方必须在扣款后七个工作日内，补足相等于该扣除款额的履约保证金，以保证合同履行期间履约保证金的完整。如履约保证金尚不能弥补甲方的损失，甲方有权另行向乙方主张赔偿。</w:t>
      </w:r>
    </w:p>
    <w:p w14:paraId="06A7B3F3">
      <w:pPr>
        <w:spacing w:line="360" w:lineRule="auto"/>
        <w:ind w:firstLine="105" w:firstLineChars="50"/>
        <w:rPr>
          <w:rFonts w:eastAsia="仿宋" w:cs="Times New Roman (正文 CS 字体)"/>
          <w:color w:val="auto"/>
          <w:highlight w:val="none"/>
        </w:rPr>
      </w:pPr>
      <w:r>
        <w:rPr>
          <w:rFonts w:hint="eastAsia" w:eastAsia="仿宋" w:cs="Times New Roman (正文 CS 字体)"/>
          <w:color w:val="auto"/>
          <w:highlight w:val="none"/>
        </w:rPr>
        <w:t>（采用履约保证金的方式时选用）</w:t>
      </w:r>
    </w:p>
    <w:p w14:paraId="2659DB8A">
      <w:pPr>
        <w:spacing w:line="360" w:lineRule="auto"/>
        <w:rPr>
          <w:rFonts w:eastAsia="仿宋" w:cs="Times New Roman (正文 CS 字体)"/>
          <w:b/>
          <w:color w:val="auto"/>
          <w:highlight w:val="none"/>
        </w:rPr>
      </w:pPr>
      <w:r>
        <w:rPr>
          <w:rFonts w:hint="eastAsia" w:eastAsia="仿宋" w:cs="Times New Roman (正文 CS 字体)"/>
          <w:b/>
          <w:color w:val="auto"/>
          <w:highlight w:val="none"/>
        </w:rPr>
        <w:t>或</w:t>
      </w:r>
    </w:p>
    <w:p w14:paraId="40F0A449">
      <w:pPr>
        <w:spacing w:line="360" w:lineRule="auto"/>
        <w:rPr>
          <w:rFonts w:eastAsia="仿宋" w:cs="Times New Roman (正文 CS 字体)"/>
          <w:color w:val="auto"/>
          <w:highlight w:val="none"/>
        </w:rPr>
      </w:pPr>
      <w:r>
        <w:rPr>
          <w:rFonts w:eastAsia="仿宋" w:cs="Times New Roman (正文 CS 字体)"/>
          <w:color w:val="auto"/>
          <w:highlight w:val="none"/>
        </w:rPr>
        <w:t>1.在本合同签订时，乙方应</w:t>
      </w:r>
      <w:r>
        <w:rPr>
          <w:rFonts w:hint="eastAsia" w:eastAsia="仿宋" w:cs="Times New Roman (正文 CS 字体)"/>
          <w:color w:val="auto"/>
          <w:highlight w:val="none"/>
        </w:rPr>
        <w:t>提交经甲方认可的银行履约保函，保函金</w:t>
      </w:r>
      <w:r>
        <w:rPr>
          <w:rFonts w:eastAsia="仿宋" w:cs="Times New Roman (正文 CS 字体)"/>
          <w:color w:val="auto"/>
          <w:highlight w:val="none"/>
        </w:rPr>
        <w:t>额为合同总价款</w:t>
      </w:r>
      <w:r>
        <w:rPr>
          <w:rFonts w:hint="eastAsia" w:eastAsia="仿宋" w:cs="Times New Roman (正文 CS 字体)"/>
          <w:color w:val="auto"/>
          <w:highlight w:val="none"/>
          <w:u w:val="single"/>
          <w:lang w:val="en-US" w:eastAsia="zh-CN"/>
        </w:rPr>
        <w:t>10</w:t>
      </w:r>
      <w:r>
        <w:rPr>
          <w:rFonts w:eastAsia="仿宋" w:cs="Times New Roman (正文 CS 字体)"/>
          <w:color w:val="auto"/>
          <w:highlight w:val="none"/>
          <w:u w:val="single"/>
        </w:rPr>
        <w:t>%</w:t>
      </w:r>
      <w:r>
        <w:rPr>
          <w:rFonts w:eastAsia="仿宋" w:cs="Times New Roman (正文 CS 字体)"/>
          <w:color w:val="auto"/>
          <w:highlight w:val="none"/>
        </w:rPr>
        <w:t>。</w:t>
      </w:r>
    </w:p>
    <w:p w14:paraId="4F0155FF">
      <w:pPr>
        <w:spacing w:line="360" w:lineRule="auto"/>
        <w:rPr>
          <w:rFonts w:eastAsia="仿宋" w:cs="Times New Roman (正文 CS 字体)"/>
          <w:color w:val="auto"/>
          <w:highlight w:val="none"/>
        </w:rPr>
      </w:pPr>
      <w:r>
        <w:rPr>
          <w:rFonts w:hint="eastAsia" w:eastAsia="仿宋" w:cs="Times New Roman (正文 CS 字体)"/>
          <w:color w:val="auto"/>
          <w:highlight w:val="none"/>
        </w:rPr>
        <w:t>2</w:t>
      </w:r>
      <w:r>
        <w:rPr>
          <w:rFonts w:eastAsia="仿宋" w:cs="Times New Roman (正文 CS 字体)"/>
          <w:color w:val="auto"/>
          <w:highlight w:val="none"/>
        </w:rPr>
        <w:t>.甲方有权在履约保函内提取任何乙方应付而未付之任何款项</w:t>
      </w:r>
      <w:bookmarkStart w:id="87" w:name="_Hlk18247249"/>
      <w:r>
        <w:rPr>
          <w:rFonts w:hint="eastAsia" w:eastAsia="仿宋" w:cs="Times New Roman (正文 CS 字体)"/>
          <w:color w:val="auto"/>
          <w:highlight w:val="none"/>
        </w:rPr>
        <w:t>（包括但不限于合同约定的乙方应支付款项、甲方垫付的其他费用等），</w:t>
      </w:r>
      <w:bookmarkStart w:id="88" w:name="_Hlk17966884"/>
      <w:r>
        <w:rPr>
          <w:rFonts w:hint="eastAsia" w:eastAsia="仿宋" w:cs="Times New Roman (正文 CS 字体)"/>
          <w:color w:val="auto"/>
          <w:highlight w:val="none"/>
        </w:rPr>
        <w:t>及任何因乙方在不遵守或不履行本</w:t>
      </w:r>
      <w:r>
        <w:rPr>
          <w:rFonts w:hint="eastAsia" w:eastAsia="仿宋" w:cs="Times New Roman (正文 CS 字体)"/>
          <w:color w:val="auto"/>
          <w:highlight w:val="none"/>
          <w:lang w:eastAsia="zh-CN"/>
        </w:rPr>
        <w:t>合同</w:t>
      </w:r>
      <w:r>
        <w:rPr>
          <w:rFonts w:hint="eastAsia" w:eastAsia="仿宋" w:cs="Times New Roman (正文 CS 字体)"/>
          <w:color w:val="auto"/>
          <w:highlight w:val="none"/>
        </w:rPr>
        <w:t>条款之任何部分而导致的任何费用支出、违约金、损失或损害赔偿金。</w:t>
      </w:r>
      <w:bookmarkEnd w:id="87"/>
      <w:bookmarkEnd w:id="88"/>
      <w:r>
        <w:rPr>
          <w:rFonts w:eastAsia="仿宋" w:cs="Times New Roman (正文 CS 字体)"/>
          <w:color w:val="auto"/>
          <w:highlight w:val="none"/>
        </w:rPr>
        <w:t>如甲方根据上述情况提取保函金额，乙方必须在该项提取发生之日起七个工作日内，补足至原履约保函金额</w:t>
      </w:r>
      <w:r>
        <w:rPr>
          <w:rFonts w:hint="eastAsia" w:eastAsia="仿宋" w:cs="Times New Roman (正文 CS 字体)"/>
          <w:color w:val="auto"/>
          <w:highlight w:val="none"/>
        </w:rPr>
        <w:t>即元</w:t>
      </w:r>
      <w:r>
        <w:rPr>
          <w:rFonts w:eastAsia="仿宋" w:cs="Times New Roman (正文 CS 字体)"/>
          <w:color w:val="auto"/>
          <w:highlight w:val="none"/>
        </w:rPr>
        <w:t>整，以保证合同履行期间履约保函的完整。如履约保函金额全部提取尚不能弥补甲方的损失，甲方有权另行向乙方主张赔偿。</w:t>
      </w:r>
      <w:r>
        <w:rPr>
          <w:rFonts w:hint="eastAsia" w:eastAsia="仿宋" w:cs="Times New Roman (正文 CS 字体)"/>
          <w:color w:val="auto"/>
          <w:highlight w:val="none"/>
        </w:rPr>
        <w:t>（采用履约保函的方式时选用）</w:t>
      </w:r>
    </w:p>
    <w:p w14:paraId="19B7ADA3">
      <w:pPr>
        <w:spacing w:line="360" w:lineRule="auto"/>
        <w:rPr>
          <w:rFonts w:eastAsia="仿宋" w:cs="Times New Roman (正文 CS 字体)"/>
          <w:color w:val="auto"/>
          <w:highlight w:val="none"/>
        </w:rPr>
      </w:pPr>
      <w:r>
        <w:rPr>
          <w:rFonts w:eastAsia="仿宋" w:cs="Times New Roman (正文 CS 字体)"/>
          <w:color w:val="auto"/>
          <w:highlight w:val="none"/>
        </w:rPr>
        <w:t>3</w:t>
      </w:r>
      <w:r>
        <w:rPr>
          <w:rFonts w:hint="eastAsia" w:eastAsia="仿宋" w:cs="Times New Roman (正文 CS 字体)"/>
          <w:color w:val="auto"/>
          <w:highlight w:val="none"/>
        </w:rPr>
        <w:t>.</w:t>
      </w:r>
      <w:r>
        <w:rPr>
          <w:rFonts w:eastAsia="仿宋" w:cs="Times New Roman (正文 CS 字体)"/>
          <w:color w:val="auto"/>
          <w:highlight w:val="none"/>
        </w:rPr>
        <w:t>履约担保的有效期</w:t>
      </w:r>
      <w:r>
        <w:rPr>
          <w:rFonts w:hint="eastAsia" w:eastAsia="仿宋" w:cs="Times New Roman (正文 CS 字体)"/>
          <w:color w:val="auto"/>
          <w:highlight w:val="none"/>
        </w:rPr>
        <w:t>（采用履约保函的方式时选用）</w:t>
      </w:r>
    </w:p>
    <w:p w14:paraId="6DB9DEE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s="Times New Roman (正文 CS 字体)"/>
          <w:color w:val="auto"/>
          <w:highlight w:val="none"/>
        </w:rPr>
      </w:pPr>
      <w:r>
        <w:rPr>
          <w:rFonts w:eastAsia="仿宋" w:cs="Times New Roman (正文 CS 字体)"/>
          <w:color w:val="auto"/>
          <w:highlight w:val="none"/>
        </w:rPr>
        <w:t>乙方应承诺提交的履约保函在本合同履行期间内有效，若因变更指令或索赔等原因致使前述日期延后，则乙方应无条件顺延履约保函的有效期。若银行出具的履约保函记载的有效期先于前述日期到期的，乙方应在履约保函到期前无条件到银行顺延履约保函的有效期或按照原保函格式提供新保函，并应在履约保函到期前30日将银行出具的顺延履约保函的正式文书或符合本合同要求的新保函提供给甲方，由此发生的费用包含在合同价款中。</w:t>
      </w:r>
    </w:p>
    <w:p w14:paraId="2DEA6A2F">
      <w:pPr>
        <w:spacing w:line="360" w:lineRule="auto"/>
        <w:rPr>
          <w:rFonts w:eastAsia="仿宋" w:cs="Times New Roman (正文 CS 字体)"/>
          <w:color w:val="auto"/>
          <w:highlight w:val="none"/>
        </w:rPr>
      </w:pPr>
      <w:r>
        <w:rPr>
          <w:rFonts w:hint="eastAsia" w:eastAsia="仿宋" w:cs="Times New Roman (正文 CS 字体)"/>
          <w:color w:val="auto"/>
          <w:highlight w:val="none"/>
          <w:lang w:val="en-US" w:eastAsia="zh-CN"/>
        </w:rPr>
        <w:t xml:space="preserve">9.2 </w:t>
      </w:r>
      <w:r>
        <w:rPr>
          <w:rFonts w:hint="eastAsia" w:eastAsia="仿宋" w:cs="Times New Roman (正文 CS 字体)"/>
          <w:color w:val="auto"/>
          <w:highlight w:val="none"/>
        </w:rPr>
        <w:t>履约担保</w:t>
      </w:r>
      <w:r>
        <w:rPr>
          <w:rFonts w:eastAsia="仿宋" w:cs="Times New Roman (正文 CS 字体)"/>
          <w:color w:val="auto"/>
          <w:highlight w:val="none"/>
        </w:rPr>
        <w:t>的</w:t>
      </w:r>
      <w:r>
        <w:rPr>
          <w:rFonts w:hint="eastAsia" w:eastAsia="仿宋" w:cs="Times New Roman (正文 CS 字体)"/>
          <w:color w:val="auto"/>
          <w:highlight w:val="none"/>
        </w:rPr>
        <w:t>退</w:t>
      </w:r>
      <w:r>
        <w:rPr>
          <w:rFonts w:eastAsia="仿宋" w:cs="Times New Roman (正文 CS 字体)"/>
          <w:color w:val="auto"/>
          <w:highlight w:val="none"/>
        </w:rPr>
        <w:t>还</w:t>
      </w:r>
    </w:p>
    <w:bookmarkEnd w:id="85"/>
    <w:bookmarkEnd w:id="86"/>
    <w:p w14:paraId="2C0241D9">
      <w:pPr>
        <w:spacing w:line="360" w:lineRule="auto"/>
        <w:ind w:firstLine="420" w:firstLineChars="200"/>
        <w:rPr>
          <w:rFonts w:eastAsia="仿宋" w:cs="Times New Roman (正文 CS 字体)"/>
          <w:color w:val="auto"/>
          <w:highlight w:val="none"/>
        </w:rPr>
      </w:pPr>
      <w:r>
        <w:rPr>
          <w:rFonts w:hint="eastAsia" w:eastAsia="仿宋" w:cs="Times New Roman (正文 CS 字体)"/>
          <w:color w:val="auto"/>
          <w:highlight w:val="none"/>
          <w:lang w:val="en-US" w:eastAsia="zh-CN"/>
        </w:rPr>
        <w:t xml:space="preserve">乙方在本合同约定的服务期限届满并经甲方验收合格后30日内办理履约保证金（或履约保函）退还手续。 </w:t>
      </w:r>
    </w:p>
    <w:p w14:paraId="22A2AF58">
      <w:pPr>
        <w:spacing w:line="360" w:lineRule="auto"/>
        <w:rPr>
          <w:rFonts w:eastAsia="仿宋"/>
          <w:b/>
          <w:color w:val="auto"/>
          <w:highlight w:val="none"/>
        </w:rPr>
      </w:pPr>
      <w:r>
        <w:rPr>
          <w:rFonts w:hint="eastAsia" w:eastAsia="仿宋"/>
          <w:b/>
          <w:color w:val="auto"/>
          <w:highlight w:val="none"/>
        </w:rPr>
        <w:t>十、违约责任</w:t>
      </w:r>
    </w:p>
    <w:p w14:paraId="32217B45">
      <w:pPr>
        <w:spacing w:line="360" w:lineRule="auto"/>
        <w:rPr>
          <w:rFonts w:eastAsia="仿宋"/>
          <w:color w:val="auto"/>
          <w:highlight w:val="none"/>
        </w:rPr>
      </w:pPr>
      <w:r>
        <w:rPr>
          <w:rFonts w:hint="eastAsia" w:eastAsia="仿宋"/>
          <w:color w:val="auto"/>
          <w:highlight w:val="none"/>
        </w:rPr>
        <w:t>10</w:t>
      </w:r>
      <w:r>
        <w:rPr>
          <w:rFonts w:eastAsia="仿宋"/>
          <w:color w:val="auto"/>
          <w:highlight w:val="none"/>
        </w:rPr>
        <w:t>.1</w:t>
      </w:r>
      <w:r>
        <w:rPr>
          <w:rFonts w:hint="eastAsia" w:eastAsia="仿宋"/>
          <w:color w:val="auto"/>
          <w:highlight w:val="none"/>
          <w:lang w:val="en-US" w:eastAsia="zh-CN"/>
        </w:rPr>
        <w:t xml:space="preserve"> </w:t>
      </w:r>
      <w:r>
        <w:rPr>
          <w:rFonts w:hint="eastAsia" w:eastAsia="仿宋"/>
          <w:color w:val="auto"/>
          <w:highlight w:val="none"/>
        </w:rPr>
        <w:t>在合同履行中，乙方不按照甲方的管理规定以及现场检查人员的施工管理要求进行施工的，每发现一次应向甲方支付1000元作为违约金，如同时给甲方造成损失的，乙方还应承担赔偿责任。</w:t>
      </w:r>
    </w:p>
    <w:p w14:paraId="308393AE">
      <w:pPr>
        <w:spacing w:line="360" w:lineRule="auto"/>
        <w:rPr>
          <w:rFonts w:hint="eastAsia" w:eastAsia="仿宋"/>
          <w:color w:val="auto"/>
          <w:highlight w:val="none"/>
        </w:rPr>
      </w:pPr>
      <w:r>
        <w:rPr>
          <w:rFonts w:eastAsia="仿宋"/>
          <w:color w:val="auto"/>
          <w:highlight w:val="none"/>
        </w:rPr>
        <w:t>10.2</w:t>
      </w:r>
      <w:r>
        <w:rPr>
          <w:rFonts w:hint="eastAsia" w:eastAsia="仿宋"/>
          <w:color w:val="auto"/>
          <w:highlight w:val="none"/>
          <w:lang w:val="en-US" w:eastAsia="zh-CN"/>
        </w:rPr>
        <w:t xml:space="preserve"> </w:t>
      </w:r>
      <w:r>
        <w:rPr>
          <w:rFonts w:hint="eastAsia" w:eastAsia="仿宋"/>
          <w:color w:val="auto"/>
          <w:highlight w:val="none"/>
        </w:rPr>
        <w:t>违反本合同第</w:t>
      </w:r>
      <w:r>
        <w:rPr>
          <w:rFonts w:eastAsia="仿宋"/>
          <w:color w:val="auto"/>
          <w:highlight w:val="none"/>
        </w:rPr>
        <w:t>6.9</w:t>
      </w:r>
      <w:r>
        <w:rPr>
          <w:rFonts w:hint="eastAsia" w:eastAsia="仿宋"/>
          <w:color w:val="auto"/>
          <w:highlight w:val="none"/>
        </w:rPr>
        <w:t>条规定，每发</w:t>
      </w:r>
      <w:r>
        <w:rPr>
          <w:rFonts w:hint="eastAsia" w:eastAsia="仿宋"/>
          <w:color w:val="auto"/>
          <w:highlight w:val="none"/>
          <w:lang w:val="en-US" w:eastAsia="zh-CN"/>
        </w:rPr>
        <w:t>生一次</w:t>
      </w:r>
      <w:r>
        <w:rPr>
          <w:rFonts w:hint="eastAsia" w:eastAsia="仿宋"/>
          <w:color w:val="auto"/>
          <w:highlight w:val="none"/>
        </w:rPr>
        <w:t>应向甲方支付</w:t>
      </w:r>
      <w:r>
        <w:rPr>
          <w:rFonts w:eastAsia="仿宋"/>
          <w:color w:val="auto"/>
          <w:highlight w:val="none"/>
        </w:rPr>
        <w:t>1000</w:t>
      </w:r>
      <w:r>
        <w:rPr>
          <w:rFonts w:hint="eastAsia" w:eastAsia="仿宋"/>
          <w:color w:val="auto"/>
          <w:highlight w:val="none"/>
        </w:rPr>
        <w:t>元作为违约金，如同时给甲方造成损失的，乙方还应承担赔偿责任。</w:t>
      </w:r>
    </w:p>
    <w:p w14:paraId="4A817B87">
      <w:pPr>
        <w:spacing w:line="360" w:lineRule="auto"/>
        <w:rPr>
          <w:rFonts w:eastAsia="仿宋"/>
          <w:color w:val="auto"/>
          <w:highlight w:val="none"/>
        </w:rPr>
      </w:pPr>
      <w:r>
        <w:rPr>
          <w:rFonts w:hint="eastAsia" w:eastAsia="仿宋"/>
          <w:color w:val="auto"/>
          <w:highlight w:val="none"/>
        </w:rPr>
        <w:t>10</w:t>
      </w:r>
      <w:r>
        <w:rPr>
          <w:rFonts w:eastAsia="仿宋"/>
          <w:color w:val="auto"/>
          <w:highlight w:val="none"/>
        </w:rPr>
        <w:t>.</w:t>
      </w:r>
      <w:r>
        <w:rPr>
          <w:rFonts w:hint="eastAsia" w:eastAsia="仿宋"/>
          <w:color w:val="auto"/>
          <w:highlight w:val="none"/>
        </w:rPr>
        <w:t>3</w:t>
      </w:r>
      <w:r>
        <w:rPr>
          <w:rFonts w:hint="eastAsia" w:eastAsia="仿宋"/>
          <w:color w:val="auto"/>
          <w:highlight w:val="none"/>
          <w:lang w:val="en-US" w:eastAsia="zh-CN"/>
        </w:rPr>
        <w:t xml:space="preserve"> </w:t>
      </w:r>
      <w:r>
        <w:rPr>
          <w:rFonts w:hint="eastAsia" w:eastAsia="仿宋"/>
          <w:color w:val="auto"/>
          <w:highlight w:val="none"/>
        </w:rPr>
        <w:t>乙方未能按照甲方审查确认的施工图纸或做法说明进行施工而造成的工程量变更，乙方不得提出费用增加的要求，甲方也不需为此支付额外的费用。</w:t>
      </w:r>
    </w:p>
    <w:p w14:paraId="5C873073">
      <w:pPr>
        <w:spacing w:line="360" w:lineRule="auto"/>
        <w:rPr>
          <w:rFonts w:eastAsia="仿宋"/>
          <w:color w:val="auto"/>
          <w:highlight w:val="none"/>
        </w:rPr>
      </w:pPr>
      <w:r>
        <w:rPr>
          <w:rFonts w:hint="eastAsia" w:eastAsia="仿宋"/>
          <w:color w:val="auto"/>
          <w:highlight w:val="none"/>
        </w:rPr>
        <w:t>10</w:t>
      </w:r>
      <w:r>
        <w:rPr>
          <w:rFonts w:eastAsia="仿宋"/>
          <w:color w:val="auto"/>
          <w:highlight w:val="none"/>
        </w:rPr>
        <w:t>.</w:t>
      </w:r>
      <w:r>
        <w:rPr>
          <w:rFonts w:hint="eastAsia" w:eastAsia="仿宋"/>
          <w:color w:val="auto"/>
          <w:highlight w:val="none"/>
        </w:rPr>
        <w:t>4</w:t>
      </w:r>
      <w:r>
        <w:rPr>
          <w:rFonts w:hint="eastAsia" w:eastAsia="仿宋"/>
          <w:color w:val="auto"/>
          <w:highlight w:val="none"/>
          <w:lang w:val="en-US" w:eastAsia="zh-CN"/>
        </w:rPr>
        <w:t xml:space="preserve"> </w:t>
      </w:r>
      <w:r>
        <w:rPr>
          <w:rFonts w:hint="eastAsia" w:eastAsia="仿宋"/>
          <w:color w:val="auto"/>
          <w:highlight w:val="none"/>
        </w:rPr>
        <w:t>由于乙方原因造成工程质量不合格或设计不符合双方约定的，乙方应按合同价款的</w:t>
      </w:r>
      <w:r>
        <w:rPr>
          <w:rFonts w:hint="eastAsia" w:eastAsia="仿宋"/>
          <w:color w:val="auto"/>
          <w:highlight w:val="none"/>
          <w:u w:val="single"/>
        </w:rPr>
        <w:t>10%</w:t>
      </w:r>
      <w:r>
        <w:rPr>
          <w:rFonts w:hint="eastAsia" w:eastAsia="仿宋"/>
          <w:color w:val="auto"/>
          <w:highlight w:val="none"/>
        </w:rPr>
        <w:t>向甲方支付违约金，并负责在本合同规定工期内返工至约定的质量标准要求，若违约金不足以弥补甲方的损失，乙方应足额赔偿甲方的损失。</w:t>
      </w:r>
    </w:p>
    <w:p w14:paraId="09CA3538">
      <w:pPr>
        <w:spacing w:line="360" w:lineRule="auto"/>
        <w:rPr>
          <w:rFonts w:eastAsia="仿宋"/>
          <w:color w:val="auto"/>
          <w:highlight w:val="none"/>
        </w:rPr>
      </w:pPr>
      <w:r>
        <w:rPr>
          <w:rFonts w:hint="eastAsia" w:eastAsia="仿宋"/>
          <w:color w:val="auto"/>
          <w:highlight w:val="none"/>
        </w:rPr>
        <w:t>10</w:t>
      </w:r>
      <w:r>
        <w:rPr>
          <w:rFonts w:eastAsia="仿宋"/>
          <w:color w:val="auto"/>
          <w:highlight w:val="none"/>
        </w:rPr>
        <w:t>.</w:t>
      </w:r>
      <w:r>
        <w:rPr>
          <w:rFonts w:hint="eastAsia" w:eastAsia="仿宋"/>
          <w:color w:val="auto"/>
          <w:highlight w:val="none"/>
        </w:rPr>
        <w:t>5</w:t>
      </w:r>
      <w:r>
        <w:rPr>
          <w:rFonts w:hint="eastAsia" w:eastAsia="仿宋"/>
          <w:color w:val="auto"/>
          <w:highlight w:val="none"/>
          <w:lang w:val="en-US" w:eastAsia="zh-CN"/>
        </w:rPr>
        <w:t xml:space="preserve"> </w:t>
      </w:r>
      <w:r>
        <w:rPr>
          <w:rFonts w:hint="eastAsia" w:eastAsia="仿宋"/>
          <w:color w:val="auto"/>
          <w:highlight w:val="none"/>
        </w:rPr>
        <w:t>乙方未能在规定日期内竣工验收并交付甲方使用的，每逾期一日，乙方须按合同价款的</w:t>
      </w:r>
      <w:r>
        <w:rPr>
          <w:rFonts w:hint="eastAsia" w:eastAsia="仿宋"/>
          <w:color w:val="auto"/>
          <w:highlight w:val="none"/>
          <w:u w:val="single"/>
        </w:rPr>
        <w:t>0.5%</w:t>
      </w:r>
      <w:r>
        <w:rPr>
          <w:rFonts w:hint="eastAsia" w:eastAsia="仿宋"/>
          <w:color w:val="auto"/>
          <w:highlight w:val="none"/>
        </w:rPr>
        <w:t>向甲方支付违约金。</w:t>
      </w:r>
    </w:p>
    <w:p w14:paraId="06CE7E5C">
      <w:pPr>
        <w:spacing w:line="360" w:lineRule="auto"/>
        <w:rPr>
          <w:rFonts w:eastAsia="仿宋"/>
          <w:color w:val="auto"/>
          <w:highlight w:val="none"/>
        </w:rPr>
      </w:pPr>
      <w:r>
        <w:rPr>
          <w:rFonts w:hint="eastAsia" w:eastAsia="仿宋"/>
          <w:color w:val="auto"/>
          <w:highlight w:val="none"/>
        </w:rPr>
        <w:t>10</w:t>
      </w:r>
      <w:r>
        <w:rPr>
          <w:rFonts w:eastAsia="仿宋"/>
          <w:color w:val="auto"/>
          <w:highlight w:val="none"/>
        </w:rPr>
        <w:t>.</w:t>
      </w:r>
      <w:r>
        <w:rPr>
          <w:rFonts w:hint="eastAsia" w:eastAsia="仿宋"/>
          <w:color w:val="auto"/>
          <w:highlight w:val="none"/>
        </w:rPr>
        <w:t>6</w:t>
      </w:r>
      <w:r>
        <w:rPr>
          <w:rFonts w:hint="eastAsia" w:eastAsia="仿宋"/>
          <w:color w:val="auto"/>
          <w:highlight w:val="none"/>
          <w:lang w:val="en-US" w:eastAsia="zh-CN"/>
        </w:rPr>
        <w:t xml:space="preserve"> </w:t>
      </w:r>
      <w:r>
        <w:rPr>
          <w:rFonts w:hint="eastAsia" w:eastAsia="仿宋"/>
          <w:color w:val="auto"/>
          <w:highlight w:val="none"/>
        </w:rPr>
        <w:t>乙方发生下列情形之一，甲方有权解除本合同</w:t>
      </w:r>
      <w:r>
        <w:rPr>
          <w:rFonts w:hint="eastAsia" w:eastAsia="仿宋"/>
          <w:color w:val="auto"/>
          <w:highlight w:val="none"/>
          <w:lang w:val="en-US" w:eastAsia="zh-CN"/>
        </w:rPr>
        <w:t>并不予退还履约保证金，</w:t>
      </w:r>
      <w:r>
        <w:rPr>
          <w:rFonts w:hint="eastAsia" w:eastAsia="仿宋"/>
          <w:color w:val="auto"/>
          <w:highlight w:val="none"/>
        </w:rPr>
        <w:t>甲方因合同解除而遭受损失的，乙方</w:t>
      </w:r>
      <w:r>
        <w:rPr>
          <w:rFonts w:hint="eastAsia" w:eastAsia="仿宋"/>
          <w:color w:val="auto"/>
          <w:highlight w:val="none"/>
          <w:lang w:val="en-US" w:eastAsia="zh-CN"/>
        </w:rPr>
        <w:t>还</w:t>
      </w:r>
      <w:r>
        <w:rPr>
          <w:rFonts w:hint="eastAsia" w:eastAsia="仿宋"/>
          <w:color w:val="auto"/>
          <w:highlight w:val="none"/>
        </w:rPr>
        <w:t>应承担赔偿责任：</w:t>
      </w:r>
    </w:p>
    <w:p w14:paraId="5F3FBCD4">
      <w:pPr>
        <w:spacing w:line="360" w:lineRule="auto"/>
        <w:rPr>
          <w:rFonts w:eastAsia="仿宋"/>
          <w:color w:val="auto"/>
          <w:highlight w:val="none"/>
        </w:rPr>
      </w:pPr>
      <w:r>
        <w:rPr>
          <w:rFonts w:hint="eastAsia" w:eastAsia="仿宋"/>
          <w:color w:val="auto"/>
          <w:highlight w:val="none"/>
        </w:rPr>
        <w:t>1）因乙方未能按照本合同规定，导致工程开工延误</w:t>
      </w:r>
      <w:r>
        <w:rPr>
          <w:rFonts w:hint="eastAsia" w:eastAsia="仿宋"/>
          <w:color w:val="auto"/>
          <w:highlight w:val="none"/>
          <w:u w:val="single"/>
        </w:rPr>
        <w:t>20日</w:t>
      </w:r>
      <w:r>
        <w:rPr>
          <w:rFonts w:hint="eastAsia" w:eastAsia="仿宋"/>
          <w:color w:val="auto"/>
          <w:highlight w:val="none"/>
        </w:rPr>
        <w:t>以上；</w:t>
      </w:r>
    </w:p>
    <w:p w14:paraId="57CC1CE5">
      <w:pPr>
        <w:spacing w:line="360" w:lineRule="auto"/>
        <w:rPr>
          <w:rFonts w:eastAsia="仿宋"/>
          <w:color w:val="auto"/>
          <w:highlight w:val="none"/>
        </w:rPr>
      </w:pPr>
      <w:r>
        <w:rPr>
          <w:rFonts w:hint="eastAsia" w:eastAsia="仿宋"/>
          <w:color w:val="auto"/>
          <w:highlight w:val="none"/>
        </w:rPr>
        <w:t>2）因乙方原因导致工程未能在本合同约定的期限内完工，且工期延误</w:t>
      </w:r>
      <w:r>
        <w:rPr>
          <w:rFonts w:hint="eastAsia" w:eastAsia="仿宋"/>
          <w:color w:val="auto"/>
          <w:highlight w:val="none"/>
          <w:u w:val="single"/>
        </w:rPr>
        <w:t>30日</w:t>
      </w:r>
      <w:r>
        <w:rPr>
          <w:rFonts w:hint="eastAsia" w:eastAsia="仿宋"/>
          <w:color w:val="auto"/>
          <w:highlight w:val="none"/>
        </w:rPr>
        <w:t>以上；</w:t>
      </w:r>
    </w:p>
    <w:p w14:paraId="581A71E4">
      <w:pPr>
        <w:spacing w:line="360" w:lineRule="auto"/>
        <w:rPr>
          <w:rFonts w:eastAsia="仿宋"/>
          <w:color w:val="auto"/>
          <w:highlight w:val="none"/>
        </w:rPr>
      </w:pPr>
      <w:r>
        <w:rPr>
          <w:rFonts w:hint="eastAsia" w:eastAsia="仿宋"/>
          <w:color w:val="auto"/>
          <w:highlight w:val="none"/>
        </w:rPr>
        <w:t>3）乙方违反本合同第六条的规定，导致发生安全事故的；</w:t>
      </w:r>
    </w:p>
    <w:p w14:paraId="377EB593">
      <w:pPr>
        <w:spacing w:line="360" w:lineRule="auto"/>
        <w:rPr>
          <w:rFonts w:eastAsia="仿宋"/>
          <w:color w:val="auto"/>
          <w:highlight w:val="none"/>
        </w:rPr>
      </w:pPr>
      <w:r>
        <w:rPr>
          <w:rFonts w:hint="eastAsia" w:eastAsia="仿宋"/>
          <w:color w:val="auto"/>
          <w:highlight w:val="none"/>
        </w:rPr>
        <w:t>4）乙方违反本合同项下的其他义务，并且在甲方发出违约通知后</w:t>
      </w:r>
      <w:r>
        <w:rPr>
          <w:rFonts w:hint="eastAsia" w:eastAsia="仿宋"/>
          <w:color w:val="auto"/>
          <w:highlight w:val="none"/>
          <w:u w:val="single"/>
        </w:rPr>
        <w:t>10</w:t>
      </w:r>
      <w:r>
        <w:rPr>
          <w:rFonts w:hint="eastAsia" w:eastAsia="仿宋"/>
          <w:color w:val="auto"/>
          <w:highlight w:val="none"/>
        </w:rPr>
        <w:t>天内或在违约通知限定的期限内仍未纠正，或纠正后仍不符合本合同的约定或甲方要求。</w:t>
      </w:r>
    </w:p>
    <w:p w14:paraId="46F65E24">
      <w:pPr>
        <w:spacing w:line="360" w:lineRule="auto"/>
        <w:rPr>
          <w:rFonts w:eastAsia="仿宋"/>
          <w:color w:val="auto"/>
          <w:highlight w:val="none"/>
        </w:rPr>
      </w:pPr>
      <w:r>
        <w:rPr>
          <w:rFonts w:hint="eastAsia" w:eastAsia="仿宋"/>
          <w:color w:val="auto"/>
          <w:highlight w:val="none"/>
        </w:rPr>
        <w:t>10</w:t>
      </w:r>
      <w:r>
        <w:rPr>
          <w:rFonts w:eastAsia="仿宋"/>
          <w:color w:val="auto"/>
          <w:highlight w:val="none"/>
        </w:rPr>
        <w:t>.</w:t>
      </w:r>
      <w:r>
        <w:rPr>
          <w:rFonts w:hint="eastAsia" w:eastAsia="仿宋"/>
          <w:color w:val="auto"/>
          <w:highlight w:val="none"/>
        </w:rPr>
        <w:t>7</w:t>
      </w:r>
      <w:r>
        <w:rPr>
          <w:rFonts w:hint="eastAsia" w:eastAsia="仿宋"/>
          <w:color w:val="auto"/>
          <w:highlight w:val="none"/>
          <w:lang w:val="en-US" w:eastAsia="zh-CN"/>
        </w:rPr>
        <w:t xml:space="preserve"> </w:t>
      </w:r>
      <w:r>
        <w:rPr>
          <w:rFonts w:hint="eastAsia" w:eastAsia="仿宋"/>
          <w:color w:val="auto"/>
          <w:highlight w:val="none"/>
        </w:rPr>
        <w:t>在合同履行期间，擅自解除合同方，应按合同总金额的20％作为违约金付给</w:t>
      </w:r>
      <w:r>
        <w:rPr>
          <w:rFonts w:hint="eastAsia" w:eastAsia="仿宋"/>
          <w:color w:val="auto"/>
          <w:highlight w:val="none"/>
          <w:lang w:val="en-US" w:eastAsia="zh-CN"/>
        </w:rPr>
        <w:t>守约</w:t>
      </w:r>
      <w:r>
        <w:rPr>
          <w:rFonts w:hint="eastAsia" w:eastAsia="仿宋"/>
          <w:color w:val="auto"/>
          <w:highlight w:val="none"/>
        </w:rPr>
        <w:t>方。因擅自解除合同，使对方造成的实际损失超过违约金的，责任方应足额赔偿另一方损失。</w:t>
      </w:r>
    </w:p>
    <w:p w14:paraId="26ED1767">
      <w:pPr>
        <w:pageBreakBefore w:val="0"/>
        <w:kinsoku/>
        <w:wordWrap/>
        <w:overflowPunct/>
        <w:topLinePunct w:val="0"/>
        <w:bidi w:val="0"/>
        <w:snapToGrid/>
        <w:spacing w:line="360" w:lineRule="auto"/>
        <w:textAlignment w:val="auto"/>
        <w:rPr>
          <w:rFonts w:hint="eastAsia" w:eastAsia="仿宋"/>
          <w:color w:val="auto"/>
          <w:highlight w:val="none"/>
        </w:rPr>
      </w:pPr>
      <w:r>
        <w:rPr>
          <w:rFonts w:hint="eastAsia" w:eastAsia="仿宋"/>
          <w:color w:val="auto"/>
          <w:highlight w:val="none"/>
        </w:rPr>
        <w:t>10</w:t>
      </w:r>
      <w:r>
        <w:rPr>
          <w:rFonts w:eastAsia="仿宋"/>
          <w:color w:val="auto"/>
          <w:highlight w:val="none"/>
        </w:rPr>
        <w:t>.</w:t>
      </w:r>
      <w:r>
        <w:rPr>
          <w:rFonts w:hint="eastAsia" w:eastAsia="仿宋"/>
          <w:color w:val="auto"/>
          <w:highlight w:val="none"/>
        </w:rPr>
        <w:t>8</w:t>
      </w:r>
      <w:r>
        <w:rPr>
          <w:rFonts w:hint="eastAsia" w:eastAsia="仿宋"/>
          <w:color w:val="auto"/>
          <w:highlight w:val="none"/>
          <w:lang w:val="en-US" w:eastAsia="zh-CN"/>
        </w:rPr>
        <w:t xml:space="preserve"> </w:t>
      </w:r>
      <w:r>
        <w:rPr>
          <w:rFonts w:hint="eastAsia" w:ascii="仿宋" w:hAnsi="仿宋" w:eastAsia="仿宋" w:cs="仿宋"/>
          <w:color w:val="auto"/>
          <w:sz w:val="24"/>
          <w:szCs w:val="24"/>
          <w:highlight w:val="none"/>
          <w:lang w:eastAsia="zh-CN"/>
        </w:rPr>
        <w:t>本合同所称不可抗力事件指合同当事人不能预见、不能避免、不能克服的客观情况，包括但不限于地震、</w:t>
      </w:r>
      <w:r>
        <w:rPr>
          <w:rFonts w:hint="eastAsia" w:ascii="仿宋" w:hAnsi="仿宋" w:eastAsia="仿宋" w:cs="仿宋"/>
          <w:color w:val="auto"/>
          <w:sz w:val="24"/>
          <w:szCs w:val="24"/>
          <w:highlight w:val="none"/>
          <w:lang w:val="en-US" w:eastAsia="zh-CN"/>
        </w:rPr>
        <w:t>火灾、</w:t>
      </w:r>
      <w:r>
        <w:rPr>
          <w:rFonts w:hint="eastAsia" w:ascii="仿宋" w:hAnsi="仿宋" w:eastAsia="仿宋" w:cs="仿宋"/>
          <w:color w:val="auto"/>
          <w:sz w:val="24"/>
          <w:szCs w:val="24"/>
          <w:highlight w:val="none"/>
          <w:lang w:eastAsia="zh-CN"/>
        </w:rPr>
        <w:t>水灾、雷击、雪灾等天灾，战争、恐怖袭击、内乱、</w:t>
      </w:r>
      <w:r>
        <w:rPr>
          <w:rFonts w:hint="eastAsia" w:ascii="仿宋" w:hAnsi="仿宋" w:eastAsia="仿宋" w:cs="仿宋"/>
          <w:color w:val="auto"/>
          <w:sz w:val="24"/>
          <w:szCs w:val="24"/>
          <w:highlight w:val="none"/>
          <w:lang w:val="en-US" w:eastAsia="zh-CN"/>
        </w:rPr>
        <w:t>疫情等</w:t>
      </w:r>
      <w:r>
        <w:rPr>
          <w:rFonts w:hint="eastAsia" w:ascii="仿宋" w:hAnsi="仿宋" w:eastAsia="仿宋" w:cs="仿宋"/>
          <w:color w:val="auto"/>
          <w:sz w:val="24"/>
          <w:szCs w:val="24"/>
          <w:highlight w:val="none"/>
          <w:lang w:eastAsia="zh-CN"/>
        </w:rPr>
        <w:t>严重威胁安全或健康的情形。</w:t>
      </w:r>
      <w:r>
        <w:rPr>
          <w:rFonts w:hint="eastAsia" w:eastAsia="仿宋"/>
          <w:color w:val="auto"/>
          <w:highlight w:val="none"/>
        </w:rPr>
        <w:t>因不可抗力使本合同的履行受到影响的，受不可抗力影响方应于该事由发生后</w:t>
      </w:r>
      <w:r>
        <w:rPr>
          <w:rFonts w:hint="eastAsia" w:eastAsia="仿宋"/>
          <w:color w:val="auto"/>
          <w:highlight w:val="none"/>
          <w:u w:val="single"/>
        </w:rPr>
        <w:t>10</w:t>
      </w:r>
      <w:r>
        <w:rPr>
          <w:rFonts w:hint="eastAsia" w:eastAsia="仿宋"/>
          <w:color w:val="auto"/>
          <w:highlight w:val="none"/>
        </w:rPr>
        <w:t>日内通知对方并提供相关证明。双方可根据受不可抗力影响的程度决定全部或部分免除本合同项下义务或解除本合同。因不可抗力导致的合同义务减免或合同终止，双方均不承担责任。</w:t>
      </w:r>
    </w:p>
    <w:p w14:paraId="03D2E371">
      <w:pPr>
        <w:spacing w:line="360" w:lineRule="auto"/>
        <w:rPr>
          <w:rFonts w:hint="eastAsia" w:eastAsia="仿宋"/>
          <w:b/>
          <w:color w:val="auto"/>
          <w:highlight w:val="none"/>
          <w:lang w:eastAsia="zh-CN"/>
        </w:rPr>
      </w:pPr>
      <w:bookmarkStart w:id="89" w:name="_Toc424651548"/>
      <w:r>
        <w:rPr>
          <w:rFonts w:hint="eastAsia" w:eastAsia="仿宋"/>
          <w:b/>
          <w:color w:val="auto"/>
          <w:highlight w:val="none"/>
          <w:lang w:val="en-US" w:eastAsia="zh-CN"/>
        </w:rPr>
        <w:t>十一、</w:t>
      </w:r>
      <w:r>
        <w:rPr>
          <w:rFonts w:hint="eastAsia" w:eastAsia="仿宋"/>
          <w:b/>
          <w:color w:val="auto"/>
          <w:highlight w:val="none"/>
          <w:lang w:eastAsia="zh-CN"/>
        </w:rPr>
        <w:t>通知</w:t>
      </w:r>
      <w:bookmarkEnd w:id="89"/>
    </w:p>
    <w:p w14:paraId="705DF8D7">
      <w:pPr>
        <w:spacing w:line="360" w:lineRule="auto"/>
        <w:rPr>
          <w:rFonts w:hint="eastAsia" w:eastAsia="仿宋"/>
          <w:b w:val="0"/>
          <w:bCs/>
          <w:color w:val="auto"/>
          <w:highlight w:val="none"/>
          <w:lang w:eastAsia="zh-CN"/>
        </w:rPr>
      </w:pPr>
      <w:r>
        <w:rPr>
          <w:rFonts w:hint="eastAsia" w:eastAsia="仿宋"/>
          <w:b w:val="0"/>
          <w:bCs/>
          <w:color w:val="auto"/>
          <w:highlight w:val="none"/>
          <w:lang w:val="en-US" w:eastAsia="zh-CN"/>
        </w:rPr>
        <w:t xml:space="preserve">11.1 </w:t>
      </w:r>
      <w:r>
        <w:rPr>
          <w:rFonts w:hint="eastAsia" w:eastAsia="仿宋"/>
          <w:b w:val="0"/>
          <w:bCs/>
          <w:color w:val="auto"/>
          <w:highlight w:val="none"/>
          <w:lang w:eastAsia="zh-CN"/>
        </w:rPr>
        <w:t>任何与本合同有关的通知应以书面形式做出，由本合同一方以专人递送、邮递方式发出。通知以专人递送，于递交时视为送达；以邮递方式发出，于邮件寄出后的第3个工作日视为送达。任何通知一经送达即行生效。</w:t>
      </w:r>
    </w:p>
    <w:p w14:paraId="25ABBDB6">
      <w:pPr>
        <w:spacing w:line="360" w:lineRule="auto"/>
        <w:rPr>
          <w:rFonts w:hint="eastAsia" w:eastAsia="仿宋"/>
          <w:b w:val="0"/>
          <w:bCs/>
          <w:color w:val="auto"/>
          <w:highlight w:val="none"/>
          <w:lang w:eastAsia="zh-CN"/>
        </w:rPr>
      </w:pPr>
      <w:r>
        <w:rPr>
          <w:rFonts w:hint="eastAsia" w:eastAsia="仿宋"/>
          <w:b w:val="0"/>
          <w:bCs/>
          <w:color w:val="auto"/>
          <w:highlight w:val="none"/>
          <w:lang w:eastAsia="zh-CN"/>
        </w:rPr>
        <w:t>各方的联络及通讯方法以各方的下列信息为准：</w:t>
      </w:r>
    </w:p>
    <w:p w14:paraId="7E86F170">
      <w:pPr>
        <w:spacing w:line="360" w:lineRule="auto"/>
        <w:rPr>
          <w:rFonts w:hint="eastAsia" w:eastAsia="仿宋"/>
          <w:b w:val="0"/>
          <w:bCs/>
          <w:color w:val="auto"/>
          <w:highlight w:val="none"/>
          <w:lang w:val="en-US" w:eastAsia="zh-CN"/>
        </w:rPr>
      </w:pPr>
      <w:r>
        <w:rPr>
          <w:rFonts w:hint="eastAsia" w:eastAsia="仿宋"/>
          <w:b w:val="0"/>
          <w:bCs/>
          <w:color w:val="auto"/>
          <w:highlight w:val="none"/>
          <w:lang w:val="en-US" w:eastAsia="zh-CN"/>
        </w:rPr>
        <w:t xml:space="preserve">甲方： </w:t>
      </w:r>
    </w:p>
    <w:p w14:paraId="20BDD487">
      <w:pPr>
        <w:spacing w:line="360" w:lineRule="auto"/>
        <w:rPr>
          <w:rFonts w:hint="eastAsia" w:eastAsia="仿宋"/>
          <w:b w:val="0"/>
          <w:bCs/>
          <w:color w:val="auto"/>
          <w:highlight w:val="none"/>
          <w:lang w:val="en-US" w:eastAsia="zh-CN"/>
        </w:rPr>
      </w:pPr>
      <w:r>
        <w:rPr>
          <w:rFonts w:hint="eastAsia" w:eastAsia="仿宋"/>
          <w:b w:val="0"/>
          <w:bCs/>
          <w:color w:val="auto"/>
          <w:highlight w:val="none"/>
          <w:lang w:val="en-US" w:eastAsia="zh-CN"/>
        </w:rPr>
        <w:t>地址：</w:t>
      </w:r>
    </w:p>
    <w:p w14:paraId="40352DA1">
      <w:pPr>
        <w:spacing w:line="360" w:lineRule="auto"/>
        <w:rPr>
          <w:rFonts w:hint="eastAsia" w:eastAsia="仿宋"/>
          <w:b w:val="0"/>
          <w:bCs/>
          <w:color w:val="auto"/>
          <w:highlight w:val="none"/>
          <w:lang w:eastAsia="zh-CN"/>
        </w:rPr>
      </w:pPr>
      <w:r>
        <w:rPr>
          <w:rFonts w:hint="eastAsia" w:eastAsia="仿宋"/>
          <w:b w:val="0"/>
          <w:bCs/>
          <w:color w:val="auto"/>
          <w:highlight w:val="none"/>
          <w:lang w:val="en-US" w:eastAsia="zh-CN"/>
        </w:rPr>
        <w:t>电话：</w:t>
      </w:r>
    </w:p>
    <w:p w14:paraId="3C608947">
      <w:pPr>
        <w:spacing w:line="360" w:lineRule="auto"/>
        <w:rPr>
          <w:rFonts w:hint="eastAsia" w:eastAsia="仿宋"/>
          <w:b w:val="0"/>
          <w:bCs/>
          <w:color w:val="auto"/>
          <w:highlight w:val="none"/>
          <w:lang w:eastAsia="zh-CN"/>
        </w:rPr>
      </w:pPr>
      <w:r>
        <w:rPr>
          <w:rFonts w:hint="eastAsia" w:eastAsia="仿宋"/>
          <w:b w:val="0"/>
          <w:bCs/>
          <w:color w:val="auto"/>
          <w:highlight w:val="none"/>
          <w:lang w:eastAsia="zh-CN"/>
        </w:rPr>
        <w:t>收件人：_____________________</w:t>
      </w:r>
    </w:p>
    <w:p w14:paraId="30211E70">
      <w:pPr>
        <w:spacing w:line="360" w:lineRule="auto"/>
        <w:rPr>
          <w:rFonts w:hint="eastAsia" w:eastAsia="仿宋"/>
          <w:b w:val="0"/>
          <w:bCs/>
          <w:color w:val="auto"/>
          <w:highlight w:val="none"/>
          <w:lang w:eastAsia="zh-CN"/>
        </w:rPr>
      </w:pPr>
      <w:r>
        <w:rPr>
          <w:rFonts w:hint="eastAsia" w:eastAsia="仿宋"/>
          <w:b w:val="0"/>
          <w:bCs/>
          <w:color w:val="auto"/>
          <w:highlight w:val="none"/>
          <w:lang w:eastAsia="zh-CN"/>
        </w:rPr>
        <w:t>联系人：_____________________</w:t>
      </w:r>
    </w:p>
    <w:p w14:paraId="5D70738B">
      <w:pPr>
        <w:spacing w:line="360" w:lineRule="auto"/>
        <w:rPr>
          <w:rFonts w:hint="eastAsia" w:eastAsia="仿宋"/>
          <w:b w:val="0"/>
          <w:bCs/>
          <w:color w:val="auto"/>
          <w:highlight w:val="none"/>
          <w:lang w:eastAsia="zh-CN"/>
        </w:rPr>
      </w:pPr>
    </w:p>
    <w:p w14:paraId="743D5C09">
      <w:pPr>
        <w:spacing w:line="360" w:lineRule="auto"/>
        <w:rPr>
          <w:rFonts w:hint="eastAsia" w:eastAsia="仿宋"/>
          <w:b w:val="0"/>
          <w:bCs/>
          <w:color w:val="auto"/>
          <w:highlight w:val="none"/>
          <w:lang w:eastAsia="zh-CN"/>
        </w:rPr>
      </w:pPr>
      <w:r>
        <w:rPr>
          <w:rFonts w:hint="eastAsia" w:eastAsia="仿宋"/>
          <w:b w:val="0"/>
          <w:bCs/>
          <w:color w:val="auto"/>
          <w:highlight w:val="none"/>
          <w:lang w:eastAsia="zh-CN"/>
        </w:rPr>
        <w:t>乙方：</w:t>
      </w:r>
    </w:p>
    <w:p w14:paraId="5DC89FF7">
      <w:pPr>
        <w:spacing w:line="360" w:lineRule="auto"/>
        <w:rPr>
          <w:rFonts w:hint="eastAsia" w:eastAsia="仿宋"/>
          <w:b w:val="0"/>
          <w:bCs/>
          <w:color w:val="auto"/>
          <w:highlight w:val="none"/>
          <w:lang w:eastAsia="zh-CN"/>
        </w:rPr>
      </w:pPr>
      <w:r>
        <w:rPr>
          <w:rFonts w:hint="eastAsia" w:eastAsia="仿宋"/>
          <w:b w:val="0"/>
          <w:bCs/>
          <w:color w:val="auto"/>
          <w:highlight w:val="none"/>
          <w:lang w:eastAsia="zh-CN"/>
        </w:rPr>
        <w:t>地址：_____________________</w:t>
      </w:r>
    </w:p>
    <w:p w14:paraId="573A37F1">
      <w:pPr>
        <w:spacing w:line="360" w:lineRule="auto"/>
        <w:rPr>
          <w:rFonts w:hint="eastAsia" w:eastAsia="仿宋"/>
          <w:b w:val="0"/>
          <w:bCs/>
          <w:color w:val="auto"/>
          <w:highlight w:val="none"/>
          <w:lang w:eastAsia="zh-CN"/>
        </w:rPr>
      </w:pPr>
      <w:r>
        <w:rPr>
          <w:rFonts w:hint="eastAsia" w:eastAsia="仿宋"/>
          <w:b w:val="0"/>
          <w:bCs/>
          <w:color w:val="auto"/>
          <w:highlight w:val="none"/>
          <w:lang w:eastAsia="zh-CN"/>
        </w:rPr>
        <w:t>电话：_____________________</w:t>
      </w:r>
    </w:p>
    <w:p w14:paraId="75D5F75A">
      <w:pPr>
        <w:spacing w:line="360" w:lineRule="auto"/>
        <w:rPr>
          <w:rFonts w:hint="eastAsia" w:eastAsia="仿宋"/>
          <w:b w:val="0"/>
          <w:bCs/>
          <w:color w:val="auto"/>
          <w:highlight w:val="none"/>
          <w:lang w:eastAsia="zh-CN"/>
        </w:rPr>
      </w:pPr>
      <w:r>
        <w:rPr>
          <w:rFonts w:hint="eastAsia" w:eastAsia="仿宋"/>
          <w:b w:val="0"/>
          <w:bCs/>
          <w:color w:val="auto"/>
          <w:highlight w:val="none"/>
          <w:lang w:eastAsia="zh-CN"/>
        </w:rPr>
        <w:t>收件人：____________________</w:t>
      </w:r>
    </w:p>
    <w:p w14:paraId="6FC567FA">
      <w:pPr>
        <w:spacing w:line="360" w:lineRule="auto"/>
        <w:rPr>
          <w:rFonts w:hint="eastAsia" w:eastAsia="仿宋"/>
          <w:b w:val="0"/>
          <w:bCs/>
          <w:color w:val="auto"/>
          <w:highlight w:val="none"/>
          <w:lang w:eastAsia="zh-CN"/>
        </w:rPr>
      </w:pPr>
      <w:r>
        <w:rPr>
          <w:rFonts w:hint="eastAsia" w:eastAsia="仿宋"/>
          <w:b w:val="0"/>
          <w:bCs/>
          <w:color w:val="auto"/>
          <w:highlight w:val="none"/>
          <w:lang w:eastAsia="zh-CN"/>
        </w:rPr>
        <w:t>联系人：__________________</w:t>
      </w:r>
    </w:p>
    <w:p w14:paraId="127EBB1F">
      <w:pPr>
        <w:spacing w:line="360" w:lineRule="auto"/>
        <w:rPr>
          <w:rFonts w:hint="eastAsia" w:eastAsia="仿宋"/>
          <w:b w:val="0"/>
          <w:bCs/>
          <w:color w:val="auto"/>
          <w:highlight w:val="none"/>
          <w:lang w:val="en-US" w:eastAsia="zh-CN"/>
        </w:rPr>
      </w:pPr>
      <w:r>
        <w:rPr>
          <w:rFonts w:hint="eastAsia" w:eastAsia="仿宋"/>
          <w:b w:val="0"/>
          <w:bCs/>
          <w:color w:val="auto"/>
          <w:highlight w:val="none"/>
          <w:lang w:val="en-US" w:eastAsia="zh-CN"/>
        </w:rPr>
        <w:t xml:space="preserve">11.2 一方变更名称、地址、联系人或联系方式的，应当在变更后三日内及时书面通知对方，对方实际收到变更通知前的送达仍为有效送达。变更方未及时通知，对方按照变更前的信息进行送达的仍视为有效送达，因此产生的不利后果由变更方承担。 </w:t>
      </w:r>
    </w:p>
    <w:p w14:paraId="71179729">
      <w:pPr>
        <w:spacing w:line="360" w:lineRule="auto"/>
        <w:rPr>
          <w:rFonts w:hint="eastAsia" w:eastAsia="仿宋"/>
          <w:b w:val="0"/>
          <w:bCs/>
          <w:color w:val="auto"/>
          <w:highlight w:val="none"/>
        </w:rPr>
      </w:pPr>
      <w:r>
        <w:rPr>
          <w:rFonts w:hint="eastAsia" w:eastAsia="仿宋"/>
          <w:b w:val="0"/>
          <w:bCs/>
          <w:color w:val="auto"/>
          <w:highlight w:val="none"/>
          <w:lang w:val="en-US" w:eastAsia="zh-CN"/>
        </w:rPr>
        <w:t>11.3 本条款为独立条款，不受协议整体或其他条款的效力的影响，始终有效。</w:t>
      </w:r>
    </w:p>
    <w:p w14:paraId="5821E501">
      <w:pPr>
        <w:spacing w:line="360" w:lineRule="auto"/>
        <w:rPr>
          <w:rFonts w:eastAsia="仿宋"/>
          <w:b/>
          <w:color w:val="auto"/>
          <w:highlight w:val="none"/>
        </w:rPr>
      </w:pPr>
      <w:r>
        <w:rPr>
          <w:rFonts w:hint="eastAsia" w:eastAsia="仿宋"/>
          <w:b/>
          <w:color w:val="auto"/>
          <w:highlight w:val="none"/>
        </w:rPr>
        <w:t>十</w:t>
      </w:r>
      <w:r>
        <w:rPr>
          <w:rFonts w:hint="eastAsia" w:eastAsia="仿宋"/>
          <w:b/>
          <w:color w:val="auto"/>
          <w:highlight w:val="none"/>
          <w:lang w:val="en-US" w:eastAsia="zh-CN"/>
        </w:rPr>
        <w:t>二</w:t>
      </w:r>
      <w:r>
        <w:rPr>
          <w:rFonts w:hint="eastAsia" w:eastAsia="仿宋"/>
          <w:b/>
          <w:color w:val="auto"/>
          <w:highlight w:val="none"/>
        </w:rPr>
        <w:t>、争议解决</w:t>
      </w:r>
    </w:p>
    <w:p w14:paraId="0A93F26D">
      <w:pPr>
        <w:spacing w:line="360" w:lineRule="auto"/>
        <w:ind w:firstLine="420" w:firstLineChars="200"/>
        <w:rPr>
          <w:rFonts w:hint="eastAsia" w:eastAsia="仿宋"/>
          <w:b/>
          <w:color w:val="auto"/>
          <w:highlight w:val="none"/>
          <w:lang w:val="en-US" w:eastAsia="zh-CN"/>
        </w:rPr>
      </w:pPr>
      <w:r>
        <w:rPr>
          <w:rFonts w:hint="eastAsia" w:eastAsia="仿宋"/>
          <w:color w:val="auto"/>
          <w:highlight w:val="none"/>
        </w:rPr>
        <w:t>因履行合同所发生的或与本合同有关的一切争议，双方应通过友好协商解决。如果双方协商不成，任何一方可向</w:t>
      </w:r>
      <w:r>
        <w:rPr>
          <w:rFonts w:hint="eastAsia" w:eastAsia="仿宋"/>
          <w:color w:val="auto"/>
          <w:highlight w:val="none"/>
          <w:lang w:val="en-US" w:eastAsia="zh-CN"/>
        </w:rPr>
        <w:t>甲方</w:t>
      </w:r>
      <w:r>
        <w:rPr>
          <w:rFonts w:hint="eastAsia" w:eastAsia="仿宋"/>
          <w:color w:val="auto"/>
          <w:highlight w:val="none"/>
        </w:rPr>
        <w:t>所在地有管辖权的人民法院起诉。</w:t>
      </w:r>
    </w:p>
    <w:p w14:paraId="34F2CA80">
      <w:pPr>
        <w:spacing w:line="360" w:lineRule="auto"/>
        <w:rPr>
          <w:rFonts w:hint="default" w:eastAsia="仿宋"/>
          <w:b/>
          <w:color w:val="auto"/>
          <w:highlight w:val="none"/>
          <w:lang w:val="en-US" w:eastAsia="zh-CN"/>
        </w:rPr>
      </w:pPr>
      <w:r>
        <w:rPr>
          <w:rFonts w:hint="eastAsia" w:eastAsia="仿宋"/>
          <w:b/>
          <w:color w:val="auto"/>
          <w:highlight w:val="none"/>
          <w:lang w:val="en-US" w:eastAsia="zh-CN"/>
        </w:rPr>
        <w:t>十三、廉洁规范条款</w:t>
      </w:r>
    </w:p>
    <w:p w14:paraId="395FE2DD">
      <w:pPr>
        <w:spacing w:line="360" w:lineRule="auto"/>
        <w:ind w:firstLine="420" w:firstLineChars="200"/>
        <w:rPr>
          <w:rFonts w:hint="eastAsia" w:eastAsia="仿宋"/>
          <w:color w:val="auto"/>
          <w:highlight w:val="none"/>
          <w:lang w:val="zh-CN"/>
        </w:rPr>
      </w:pPr>
      <w:r>
        <w:rPr>
          <w:rFonts w:hint="eastAsia" w:eastAsia="仿宋"/>
          <w:color w:val="auto"/>
          <w:highlight w:val="none"/>
          <w:lang w:val="en-US" w:eastAsia="zh-CN"/>
        </w:rPr>
        <w:t>合同各方</w:t>
      </w:r>
      <w:r>
        <w:rPr>
          <w:rFonts w:hint="eastAsia" w:eastAsia="仿宋"/>
          <w:color w:val="auto"/>
          <w:highlight w:val="none"/>
        </w:rPr>
        <w:t>承诺：在</w:t>
      </w:r>
      <w:r>
        <w:rPr>
          <w:rFonts w:hint="eastAsia" w:eastAsia="仿宋"/>
          <w:color w:val="auto"/>
          <w:highlight w:val="none"/>
          <w:lang w:val="en-US" w:eastAsia="zh-CN"/>
        </w:rPr>
        <w:t>本项目实施</w:t>
      </w:r>
      <w:r>
        <w:rPr>
          <w:rFonts w:hint="eastAsia" w:eastAsia="仿宋"/>
          <w:color w:val="auto"/>
          <w:highlight w:val="none"/>
        </w:rPr>
        <w:t>中均将严格遵守商业廉洁规范，不得直接、间接或变相向其他方公司及其员工、顾问及其亲朋好友提供任何形式的不正当利益，包括但不限于回扣、佣金、礼金、物品、有价证券、信用卡、购物卡/券、宴请、消费性娱乐活动、旅游活动，不得承诺未来兑现某种利益等形式，并将要求员工履行廉洁义务。任何一方违反廉洁条款都将视为该方根本违约，守约方可以解除本</w:t>
      </w:r>
      <w:r>
        <w:rPr>
          <w:rFonts w:hint="eastAsia" w:eastAsia="仿宋"/>
          <w:color w:val="auto"/>
          <w:highlight w:val="none"/>
          <w:lang w:eastAsia="zh-CN"/>
        </w:rPr>
        <w:t>合同，</w:t>
      </w:r>
      <w:r>
        <w:rPr>
          <w:rFonts w:hint="eastAsia" w:ascii="仿宋" w:hAnsi="仿宋" w:eastAsia="仿宋" w:cs="仿宋"/>
          <w:color w:val="auto"/>
          <w:sz w:val="24"/>
          <w:highlight w:val="none"/>
          <w:lang w:val="en-US" w:eastAsia="zh-CN"/>
        </w:rPr>
        <w:t>甲方解除本合同的，有权不予退还乙方履约保证金</w:t>
      </w:r>
      <w:r>
        <w:rPr>
          <w:rFonts w:hint="eastAsia" w:eastAsia="仿宋"/>
          <w:color w:val="auto"/>
          <w:highlight w:val="none"/>
        </w:rPr>
        <w:t>。</w:t>
      </w:r>
    </w:p>
    <w:p w14:paraId="5F5EB6C0">
      <w:pPr>
        <w:spacing w:line="360" w:lineRule="auto"/>
        <w:rPr>
          <w:rFonts w:eastAsia="仿宋"/>
          <w:b/>
          <w:color w:val="auto"/>
          <w:highlight w:val="none"/>
        </w:rPr>
      </w:pPr>
      <w:r>
        <w:rPr>
          <w:rFonts w:hint="eastAsia" w:eastAsia="仿宋"/>
          <w:b/>
          <w:color w:val="auto"/>
          <w:highlight w:val="none"/>
        </w:rPr>
        <w:t>十</w:t>
      </w:r>
      <w:r>
        <w:rPr>
          <w:rFonts w:hint="eastAsia" w:eastAsia="仿宋"/>
          <w:b/>
          <w:color w:val="auto"/>
          <w:highlight w:val="none"/>
          <w:lang w:val="en-US" w:eastAsia="zh-CN"/>
        </w:rPr>
        <w:t>四</w:t>
      </w:r>
      <w:r>
        <w:rPr>
          <w:rFonts w:hint="eastAsia" w:eastAsia="仿宋"/>
          <w:b/>
          <w:color w:val="auto"/>
          <w:highlight w:val="none"/>
        </w:rPr>
        <w:t>、附则</w:t>
      </w:r>
    </w:p>
    <w:p w14:paraId="21516AD2">
      <w:pPr>
        <w:spacing w:line="360" w:lineRule="auto"/>
        <w:rPr>
          <w:rFonts w:eastAsia="仿宋"/>
          <w:color w:val="auto"/>
          <w:highlight w:val="none"/>
        </w:rPr>
      </w:pPr>
      <w:r>
        <w:rPr>
          <w:rFonts w:eastAsia="仿宋"/>
          <w:color w:val="auto"/>
          <w:highlight w:val="none"/>
        </w:rPr>
        <w:t>1</w:t>
      </w:r>
      <w:r>
        <w:rPr>
          <w:rFonts w:hint="eastAsia" w:eastAsia="仿宋"/>
          <w:color w:val="auto"/>
          <w:highlight w:val="none"/>
          <w:lang w:val="en-US" w:eastAsia="zh-CN"/>
        </w:rPr>
        <w:t>4</w:t>
      </w:r>
      <w:r>
        <w:rPr>
          <w:rFonts w:eastAsia="仿宋"/>
          <w:color w:val="auto"/>
          <w:highlight w:val="none"/>
        </w:rPr>
        <w:t xml:space="preserve">.1 </w:t>
      </w:r>
      <w:bookmarkStart w:id="90" w:name="_Toc478650037"/>
      <w:r>
        <w:rPr>
          <w:rFonts w:hint="eastAsia" w:eastAsia="仿宋"/>
          <w:color w:val="auto"/>
          <w:highlight w:val="none"/>
        </w:rPr>
        <w:t>本合同经甲、乙双方法定代表人或授权代表人签名</w:t>
      </w:r>
      <w:r>
        <w:rPr>
          <w:rFonts w:hint="eastAsia" w:eastAsia="仿宋"/>
          <w:color w:val="auto"/>
          <w:highlight w:val="none"/>
          <w:lang w:val="en-US" w:eastAsia="zh-CN"/>
        </w:rPr>
        <w:t>（如为授权代表签名，乙方需提交法定代表人授权委托书</w:t>
      </w:r>
      <w:r>
        <w:rPr>
          <w:rFonts w:hint="eastAsia" w:eastAsia="仿宋"/>
          <w:color w:val="auto"/>
          <w:highlight w:val="none"/>
          <w:lang w:eastAsia="zh-CN"/>
        </w:rPr>
        <w:t>）</w:t>
      </w:r>
      <w:r>
        <w:rPr>
          <w:rFonts w:hint="eastAsia" w:eastAsia="仿宋"/>
          <w:color w:val="auto"/>
          <w:highlight w:val="none"/>
        </w:rPr>
        <w:t>并加盖单位公章或者合同专用章后生效。</w:t>
      </w:r>
      <w:r>
        <w:rPr>
          <w:rFonts w:eastAsia="仿宋"/>
          <w:color w:val="auto"/>
          <w:highlight w:val="none"/>
        </w:rPr>
        <w:t>未尽事宜，双方根据需要，经协商可另外签订补充</w:t>
      </w:r>
      <w:r>
        <w:rPr>
          <w:rFonts w:hint="eastAsia" w:eastAsia="仿宋"/>
          <w:color w:val="auto"/>
          <w:highlight w:val="none"/>
          <w:lang w:eastAsia="zh-CN"/>
        </w:rPr>
        <w:t>合同</w:t>
      </w:r>
      <w:r>
        <w:rPr>
          <w:rFonts w:eastAsia="仿宋"/>
          <w:color w:val="auto"/>
          <w:highlight w:val="none"/>
        </w:rPr>
        <w:t>。</w:t>
      </w:r>
      <w:bookmarkEnd w:id="90"/>
    </w:p>
    <w:p w14:paraId="0A67CA98">
      <w:pPr>
        <w:spacing w:line="360" w:lineRule="auto"/>
        <w:rPr>
          <w:rFonts w:eastAsia="仿宋"/>
          <w:color w:val="auto"/>
          <w:highlight w:val="none"/>
        </w:rPr>
      </w:pPr>
      <w:r>
        <w:rPr>
          <w:rFonts w:eastAsia="仿宋"/>
          <w:color w:val="auto"/>
          <w:highlight w:val="none"/>
        </w:rPr>
        <w:t>1</w:t>
      </w:r>
      <w:r>
        <w:rPr>
          <w:rFonts w:hint="eastAsia" w:eastAsia="仿宋"/>
          <w:color w:val="auto"/>
          <w:highlight w:val="none"/>
          <w:lang w:val="en-US" w:eastAsia="zh-CN"/>
        </w:rPr>
        <w:t>4</w:t>
      </w:r>
      <w:r>
        <w:rPr>
          <w:rFonts w:eastAsia="仿宋"/>
          <w:color w:val="auto"/>
          <w:highlight w:val="none"/>
        </w:rPr>
        <w:t>.2 本合同一式</w:t>
      </w:r>
      <w:r>
        <w:rPr>
          <w:rFonts w:eastAsia="仿宋"/>
          <w:color w:val="auto"/>
          <w:highlight w:val="none"/>
          <w:u w:val="single"/>
        </w:rPr>
        <w:t>9</w:t>
      </w:r>
      <w:r>
        <w:rPr>
          <w:rFonts w:eastAsia="仿宋"/>
          <w:color w:val="auto"/>
          <w:highlight w:val="none"/>
        </w:rPr>
        <w:t>份，其中正本</w:t>
      </w:r>
      <w:r>
        <w:rPr>
          <w:rFonts w:eastAsia="仿宋"/>
          <w:color w:val="auto"/>
          <w:highlight w:val="none"/>
          <w:u w:val="single"/>
        </w:rPr>
        <w:t>3</w:t>
      </w:r>
      <w:r>
        <w:rPr>
          <w:rFonts w:eastAsia="仿宋"/>
          <w:color w:val="auto"/>
          <w:highlight w:val="none"/>
        </w:rPr>
        <w:t>份，甲方执</w:t>
      </w:r>
      <w:r>
        <w:rPr>
          <w:rFonts w:eastAsia="仿宋"/>
          <w:color w:val="auto"/>
          <w:highlight w:val="none"/>
          <w:u w:val="single"/>
        </w:rPr>
        <w:t>1</w:t>
      </w:r>
      <w:r>
        <w:rPr>
          <w:rFonts w:eastAsia="仿宋"/>
          <w:color w:val="auto"/>
          <w:highlight w:val="none"/>
        </w:rPr>
        <w:t>份，乙方执</w:t>
      </w:r>
      <w:r>
        <w:rPr>
          <w:rFonts w:eastAsia="仿宋"/>
          <w:color w:val="auto"/>
          <w:highlight w:val="none"/>
          <w:u w:val="single"/>
        </w:rPr>
        <w:t>2</w:t>
      </w:r>
      <w:r>
        <w:rPr>
          <w:rFonts w:eastAsia="仿宋"/>
          <w:color w:val="auto"/>
          <w:highlight w:val="none"/>
        </w:rPr>
        <w:t>份；副本</w:t>
      </w:r>
      <w:r>
        <w:rPr>
          <w:rFonts w:eastAsia="仿宋"/>
          <w:color w:val="auto"/>
          <w:highlight w:val="none"/>
          <w:u w:val="single"/>
        </w:rPr>
        <w:t>6</w:t>
      </w:r>
      <w:r>
        <w:rPr>
          <w:rFonts w:eastAsia="仿宋"/>
          <w:color w:val="auto"/>
          <w:highlight w:val="none"/>
        </w:rPr>
        <w:t>份，甲方执</w:t>
      </w:r>
      <w:r>
        <w:rPr>
          <w:rFonts w:eastAsia="仿宋"/>
          <w:color w:val="auto"/>
          <w:highlight w:val="none"/>
          <w:u w:val="single"/>
        </w:rPr>
        <w:t>4</w:t>
      </w:r>
      <w:r>
        <w:rPr>
          <w:rFonts w:eastAsia="仿宋"/>
          <w:color w:val="auto"/>
          <w:highlight w:val="none"/>
        </w:rPr>
        <w:t>份，乙方执</w:t>
      </w:r>
      <w:r>
        <w:rPr>
          <w:rFonts w:eastAsia="仿宋"/>
          <w:color w:val="auto"/>
          <w:highlight w:val="none"/>
          <w:u w:val="single"/>
        </w:rPr>
        <w:t>2</w:t>
      </w:r>
      <w:r>
        <w:rPr>
          <w:rFonts w:eastAsia="仿宋"/>
          <w:color w:val="auto"/>
          <w:highlight w:val="none"/>
        </w:rPr>
        <w:t>份；</w:t>
      </w:r>
      <w:r>
        <w:rPr>
          <w:rFonts w:hint="eastAsia" w:eastAsia="仿宋"/>
          <w:color w:val="auto"/>
          <w:highlight w:val="none"/>
        </w:rPr>
        <w:t>正本和副本</w:t>
      </w:r>
      <w:r>
        <w:rPr>
          <w:rFonts w:eastAsia="仿宋"/>
          <w:color w:val="auto"/>
          <w:highlight w:val="none"/>
        </w:rPr>
        <w:t>具有同等的法律效力</w:t>
      </w:r>
      <w:r>
        <w:rPr>
          <w:rFonts w:hint="eastAsia" w:eastAsia="仿宋"/>
          <w:color w:val="auto"/>
          <w:highlight w:val="none"/>
        </w:rPr>
        <w:t>，如有互相矛盾之处，以正本为准。</w:t>
      </w:r>
    </w:p>
    <w:p w14:paraId="681D6EC2">
      <w:pPr>
        <w:spacing w:line="360" w:lineRule="auto"/>
        <w:rPr>
          <w:rFonts w:eastAsia="仿宋"/>
          <w:color w:val="auto"/>
          <w:highlight w:val="none"/>
        </w:rPr>
      </w:pPr>
      <w:r>
        <w:rPr>
          <w:rFonts w:hint="eastAsia" w:eastAsia="仿宋"/>
          <w:color w:val="auto"/>
          <w:highlight w:val="none"/>
        </w:rPr>
        <w:t>1</w:t>
      </w:r>
      <w:r>
        <w:rPr>
          <w:rFonts w:hint="eastAsia" w:eastAsia="仿宋"/>
          <w:color w:val="auto"/>
          <w:highlight w:val="none"/>
          <w:lang w:val="en-US" w:eastAsia="zh-CN"/>
        </w:rPr>
        <w:t>4</w:t>
      </w:r>
      <w:r>
        <w:rPr>
          <w:rFonts w:hint="eastAsia" w:eastAsia="仿宋"/>
          <w:color w:val="auto"/>
          <w:highlight w:val="none"/>
        </w:rPr>
        <w:t>.3</w:t>
      </w:r>
      <w:r>
        <w:rPr>
          <w:rFonts w:hint="eastAsia" w:eastAsia="仿宋"/>
          <w:color w:val="auto"/>
          <w:highlight w:val="none"/>
          <w:lang w:val="en-US" w:eastAsia="zh-CN"/>
        </w:rPr>
        <w:t xml:space="preserve"> </w:t>
      </w:r>
      <w:r>
        <w:rPr>
          <w:rFonts w:hint="eastAsia" w:eastAsia="仿宋"/>
          <w:color w:val="auto"/>
          <w:highlight w:val="none"/>
        </w:rPr>
        <w:t>本合同的附件内容作为合同的组成部分，与本合同具有同等法律效力。</w:t>
      </w:r>
    </w:p>
    <w:p w14:paraId="3B7996CC">
      <w:pPr>
        <w:spacing w:line="360" w:lineRule="auto"/>
        <w:rPr>
          <w:rFonts w:eastAsia="仿宋"/>
          <w:b/>
          <w:bCs/>
          <w:color w:val="auto"/>
          <w:highlight w:val="none"/>
        </w:rPr>
      </w:pPr>
      <w:r>
        <w:rPr>
          <w:rFonts w:hint="eastAsia" w:eastAsia="仿宋"/>
          <w:b/>
          <w:bCs/>
          <w:color w:val="auto"/>
          <w:highlight w:val="none"/>
        </w:rPr>
        <w:t>十</w:t>
      </w:r>
      <w:r>
        <w:rPr>
          <w:rFonts w:hint="eastAsia" w:eastAsia="仿宋"/>
          <w:b/>
          <w:bCs/>
          <w:color w:val="auto"/>
          <w:highlight w:val="none"/>
          <w:lang w:val="en-US" w:eastAsia="zh-CN"/>
        </w:rPr>
        <w:t>五</w:t>
      </w:r>
      <w:r>
        <w:rPr>
          <w:rFonts w:hint="eastAsia" w:eastAsia="仿宋"/>
          <w:b/>
          <w:bCs/>
          <w:color w:val="auto"/>
          <w:highlight w:val="none"/>
        </w:rPr>
        <w:t>、合同附件</w:t>
      </w:r>
    </w:p>
    <w:p w14:paraId="3AB7E9DF">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附件一：</w:t>
      </w:r>
      <w:r>
        <w:rPr>
          <w:rFonts w:hint="eastAsia" w:ascii="仿宋" w:hAnsi="仿宋" w:eastAsia="仿宋" w:cs="仿宋"/>
          <w:color w:val="auto"/>
          <w:sz w:val="21"/>
          <w:szCs w:val="21"/>
          <w:highlight w:val="none"/>
          <w:lang w:val="en-US" w:eastAsia="zh-CN"/>
        </w:rPr>
        <w:t>用户</w:t>
      </w:r>
      <w:r>
        <w:rPr>
          <w:rFonts w:hint="eastAsia" w:ascii="仿宋" w:hAnsi="仿宋" w:eastAsia="仿宋" w:cs="仿宋"/>
          <w:color w:val="auto"/>
          <w:sz w:val="21"/>
          <w:szCs w:val="21"/>
          <w:highlight w:val="none"/>
        </w:rPr>
        <w:t>需求书</w:t>
      </w:r>
    </w:p>
    <w:p w14:paraId="1E055B59">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附件二：价格明细表</w:t>
      </w:r>
    </w:p>
    <w:p w14:paraId="3FB2AA6E">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附件三：项目组成员</w:t>
      </w:r>
    </w:p>
    <w:p w14:paraId="0CCAA860">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附件四：拟投入设备一览表</w:t>
      </w:r>
    </w:p>
    <w:p w14:paraId="7DB29068">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附件五：乙方技术方案及承诺（</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授权书）</w:t>
      </w:r>
    </w:p>
    <w:p w14:paraId="74EC129F">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附件六：法定代表人授权书及法定代表人身份证复印件</w:t>
      </w:r>
    </w:p>
    <w:p w14:paraId="41E59E0E">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附件七：履约保证金收据/履约保函复印件</w:t>
      </w:r>
    </w:p>
    <w:p w14:paraId="345888E7">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附件八：中标通知书/成交通知书复印件</w:t>
      </w:r>
    </w:p>
    <w:p w14:paraId="514FD059">
      <w:pPr>
        <w:spacing w:line="360" w:lineRule="auto"/>
        <w:ind w:firstLine="480" w:firstLineChars="200"/>
        <w:rPr>
          <w:rFonts w:ascii="Arial" w:hAnsi="Arial" w:cs="宋体"/>
          <w:color w:val="auto"/>
          <w:sz w:val="24"/>
          <w:highlight w:val="none"/>
        </w:rPr>
      </w:pPr>
    </w:p>
    <w:p w14:paraId="71B0CFF2">
      <w:pPr>
        <w:spacing w:line="360" w:lineRule="auto"/>
        <w:ind w:firstLine="480" w:firstLineChars="200"/>
        <w:rPr>
          <w:rFonts w:ascii="Arial" w:hAnsi="Arial" w:cs="宋体"/>
          <w:color w:val="auto"/>
          <w:sz w:val="24"/>
          <w:highlight w:val="none"/>
        </w:rPr>
      </w:pPr>
    </w:p>
    <w:p w14:paraId="63AF2035">
      <w:pPr>
        <w:spacing w:line="360" w:lineRule="auto"/>
        <w:rPr>
          <w:rFonts w:ascii="Arial" w:hAnsi="Arial" w:cs="宋体"/>
          <w:color w:val="auto"/>
          <w:sz w:val="24"/>
          <w:highlight w:val="none"/>
        </w:rPr>
      </w:pPr>
    </w:p>
    <w:p w14:paraId="7D697222">
      <w:pPr>
        <w:spacing w:line="360" w:lineRule="auto"/>
        <w:rPr>
          <w:rFonts w:ascii="Arial" w:hAnsi="Arial" w:cs="宋体"/>
          <w:color w:val="auto"/>
          <w:sz w:val="24"/>
          <w:highlight w:val="none"/>
        </w:rPr>
      </w:pPr>
    </w:p>
    <w:p w14:paraId="067A9639">
      <w:pPr>
        <w:rPr>
          <w:color w:val="auto"/>
          <w:highlight w:val="none"/>
        </w:rPr>
      </w:pPr>
    </w:p>
    <w:p w14:paraId="294B1AFD">
      <w:pPr>
        <w:rPr>
          <w:color w:val="auto"/>
          <w:highlight w:val="none"/>
        </w:rPr>
      </w:pPr>
    </w:p>
    <w:p w14:paraId="29873A26">
      <w:pPr>
        <w:rPr>
          <w:color w:val="auto"/>
          <w:highlight w:val="none"/>
        </w:rPr>
      </w:pPr>
    </w:p>
    <w:p w14:paraId="3DE23829">
      <w:pPr>
        <w:rPr>
          <w:color w:val="auto"/>
          <w:highlight w:val="none"/>
        </w:rPr>
      </w:pPr>
    </w:p>
    <w:p w14:paraId="51864C53">
      <w:pPr>
        <w:rPr>
          <w:color w:val="auto"/>
          <w:highlight w:val="none"/>
        </w:rPr>
      </w:pPr>
    </w:p>
    <w:p w14:paraId="42F74275">
      <w:pPr>
        <w:rPr>
          <w:color w:val="auto"/>
          <w:highlight w:val="none"/>
        </w:rPr>
      </w:pPr>
    </w:p>
    <w:p w14:paraId="37EB5115">
      <w:pPr>
        <w:rPr>
          <w:color w:val="auto"/>
          <w:highlight w:val="none"/>
        </w:rPr>
      </w:pPr>
    </w:p>
    <w:p w14:paraId="795BF467">
      <w:pPr>
        <w:rPr>
          <w:color w:val="auto"/>
          <w:highlight w:val="none"/>
        </w:rPr>
      </w:pPr>
    </w:p>
    <w:p w14:paraId="66467677">
      <w:pPr>
        <w:rPr>
          <w:color w:val="auto"/>
          <w:highlight w:val="none"/>
        </w:rPr>
      </w:pPr>
    </w:p>
    <w:p w14:paraId="139B3F68">
      <w:pPr>
        <w:rPr>
          <w:color w:val="auto"/>
          <w:highlight w:val="none"/>
        </w:rPr>
      </w:pPr>
    </w:p>
    <w:p w14:paraId="12972CCF">
      <w:pPr>
        <w:rPr>
          <w:color w:val="auto"/>
          <w:highlight w:val="none"/>
        </w:rPr>
      </w:pPr>
    </w:p>
    <w:p w14:paraId="61E3E4AA">
      <w:pPr>
        <w:rPr>
          <w:color w:val="auto"/>
          <w:highlight w:val="none"/>
        </w:rPr>
      </w:pPr>
    </w:p>
    <w:p w14:paraId="7AD86687">
      <w:pPr>
        <w:rPr>
          <w:color w:val="auto"/>
          <w:highlight w:val="none"/>
        </w:rPr>
      </w:pPr>
    </w:p>
    <w:p w14:paraId="6B754E16">
      <w:pPr>
        <w:pStyle w:val="13"/>
        <w:spacing w:line="360" w:lineRule="exact"/>
        <w:jc w:val="center"/>
        <w:rPr>
          <w:rFonts w:hAnsi="宋体"/>
          <w:b/>
          <w:color w:val="auto"/>
          <w:sz w:val="24"/>
          <w:szCs w:val="24"/>
          <w:highlight w:val="none"/>
        </w:rPr>
      </w:pPr>
    </w:p>
    <w:p w14:paraId="62D2A023">
      <w:pPr>
        <w:pStyle w:val="13"/>
        <w:spacing w:line="360" w:lineRule="exact"/>
        <w:jc w:val="center"/>
        <w:rPr>
          <w:rFonts w:hint="eastAsia" w:hAnsi="宋体"/>
          <w:b/>
          <w:color w:val="auto"/>
          <w:sz w:val="24"/>
          <w:szCs w:val="24"/>
          <w:highlight w:val="none"/>
        </w:rPr>
      </w:pPr>
    </w:p>
    <w:p w14:paraId="2D8E8A0D">
      <w:pPr>
        <w:pStyle w:val="13"/>
        <w:spacing w:line="360" w:lineRule="exact"/>
        <w:jc w:val="center"/>
        <w:rPr>
          <w:rFonts w:hint="eastAsia" w:hAnsi="宋体"/>
          <w:b/>
          <w:color w:val="auto"/>
          <w:sz w:val="24"/>
          <w:szCs w:val="24"/>
          <w:highlight w:val="none"/>
        </w:rPr>
      </w:pPr>
    </w:p>
    <w:p w14:paraId="1A65A772">
      <w:pPr>
        <w:pStyle w:val="13"/>
        <w:spacing w:line="360" w:lineRule="exact"/>
        <w:jc w:val="center"/>
        <w:rPr>
          <w:rFonts w:hint="eastAsia" w:hAnsi="宋体"/>
          <w:b/>
          <w:color w:val="auto"/>
          <w:sz w:val="24"/>
          <w:szCs w:val="24"/>
          <w:highlight w:val="none"/>
        </w:rPr>
      </w:pPr>
    </w:p>
    <w:p w14:paraId="48551250">
      <w:pPr>
        <w:rPr>
          <w:rFonts w:hint="eastAsia" w:hAnsi="宋体"/>
          <w:b/>
          <w:color w:val="auto"/>
          <w:sz w:val="24"/>
          <w:szCs w:val="24"/>
          <w:highlight w:val="none"/>
        </w:rPr>
      </w:pPr>
      <w:r>
        <w:rPr>
          <w:rFonts w:hint="eastAsia" w:hAnsi="宋体"/>
          <w:b/>
          <w:color w:val="auto"/>
          <w:sz w:val="24"/>
          <w:szCs w:val="24"/>
          <w:highlight w:val="none"/>
        </w:rPr>
        <w:br w:type="page"/>
      </w:r>
    </w:p>
    <w:p w14:paraId="1BFC7788">
      <w:pPr>
        <w:pStyle w:val="13"/>
        <w:spacing w:line="360" w:lineRule="exact"/>
        <w:jc w:val="center"/>
        <w:rPr>
          <w:rFonts w:hint="eastAsia" w:hAnsi="宋体"/>
          <w:b/>
          <w:color w:val="auto"/>
          <w:sz w:val="24"/>
          <w:szCs w:val="24"/>
          <w:highlight w:val="none"/>
        </w:rPr>
      </w:pPr>
    </w:p>
    <w:p w14:paraId="4D86F8F5">
      <w:pPr>
        <w:pStyle w:val="13"/>
        <w:spacing w:line="360" w:lineRule="exact"/>
        <w:jc w:val="center"/>
        <w:rPr>
          <w:rFonts w:hAnsi="宋体"/>
          <w:b/>
          <w:color w:val="auto"/>
          <w:sz w:val="24"/>
          <w:szCs w:val="24"/>
          <w:highlight w:val="none"/>
        </w:rPr>
      </w:pPr>
      <w:r>
        <w:rPr>
          <w:rFonts w:hint="eastAsia" w:hAnsi="宋体"/>
          <w:b/>
          <w:color w:val="auto"/>
          <w:sz w:val="24"/>
          <w:szCs w:val="24"/>
          <w:highlight w:val="none"/>
        </w:rPr>
        <w:t>（此页无正文，为合同签署页）</w:t>
      </w:r>
    </w:p>
    <w:p w14:paraId="61A8A274">
      <w:pPr>
        <w:pStyle w:val="13"/>
        <w:jc w:val="left"/>
        <w:rPr>
          <w:rFonts w:hAnsi="宋体"/>
          <w:b/>
          <w:color w:val="auto"/>
          <w:sz w:val="24"/>
          <w:szCs w:val="24"/>
          <w:highlight w:val="none"/>
        </w:rPr>
      </w:pPr>
    </w:p>
    <w:p w14:paraId="382424A2">
      <w:pPr>
        <w:pStyle w:val="13"/>
        <w:jc w:val="left"/>
        <w:rPr>
          <w:rFonts w:hAnsi="宋体"/>
          <w:b/>
          <w:color w:val="auto"/>
          <w:sz w:val="24"/>
          <w:szCs w:val="24"/>
          <w:highlight w:val="none"/>
        </w:rPr>
      </w:pPr>
      <w:r>
        <w:rPr>
          <w:b/>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3055620</wp:posOffset>
                </wp:positionH>
                <wp:positionV relativeFrom="paragraph">
                  <wp:posOffset>18415</wp:posOffset>
                </wp:positionV>
                <wp:extent cx="2828925" cy="4015740"/>
                <wp:effectExtent l="0" t="0" r="9525" b="3810"/>
                <wp:wrapNone/>
                <wp:docPr id="8" name="文本框 8"/>
                <wp:cNvGraphicFramePr/>
                <a:graphic xmlns:a="http://schemas.openxmlformats.org/drawingml/2006/main">
                  <a:graphicData uri="http://schemas.microsoft.com/office/word/2010/wordprocessingShape">
                    <wps:wsp>
                      <wps:cNvSpPr txBox="1"/>
                      <wps:spPr>
                        <a:xfrm>
                          <a:off x="0" y="0"/>
                          <a:ext cx="2828925" cy="3643630"/>
                        </a:xfrm>
                        <a:prstGeom prst="rect">
                          <a:avLst/>
                        </a:prstGeom>
                        <a:solidFill>
                          <a:srgbClr val="FFFFFF"/>
                        </a:solidFill>
                        <a:ln>
                          <a:noFill/>
                        </a:ln>
                        <a:effectLst/>
                      </wps:spPr>
                      <wps:txbx>
                        <w:txbxContent>
                          <w:p w14:paraId="711626A6">
                            <w:pPr>
                              <w:ind w:left="14" w:hanging="14" w:hangingChars="6"/>
                              <w:rPr>
                                <w:rFonts w:ascii="宋体" w:hAnsi="宋体"/>
                                <w:b/>
                                <w:sz w:val="24"/>
                              </w:rPr>
                            </w:pPr>
                            <w:r>
                              <w:rPr>
                                <w:rFonts w:hint="eastAsia" w:ascii="宋体" w:hAnsi="宋体"/>
                                <w:b/>
                                <w:sz w:val="24"/>
                              </w:rPr>
                              <w:t>乙方：</w:t>
                            </w:r>
                            <w:r>
                              <w:rPr>
                                <w:rFonts w:ascii="宋体" w:hAnsi="宋体"/>
                                <w:b/>
                                <w:sz w:val="24"/>
                              </w:rPr>
                              <w:t>（盖章）</w:t>
                            </w:r>
                          </w:p>
                          <w:p w14:paraId="43CC8E57">
                            <w:pPr>
                              <w:pStyle w:val="11"/>
                              <w:tabs>
                                <w:tab w:val="left" w:pos="180"/>
                              </w:tabs>
                              <w:rPr>
                                <w:rFonts w:hAnsi="宋体"/>
                                <w:b/>
                                <w:color w:val="auto"/>
                                <w:kern w:val="2"/>
                                <w:sz w:val="24"/>
                                <w:szCs w:val="24"/>
                              </w:rPr>
                            </w:pPr>
                          </w:p>
                          <w:p w14:paraId="5704F75C">
                            <w:pPr>
                              <w:pStyle w:val="11"/>
                              <w:tabs>
                                <w:tab w:val="left" w:pos="180"/>
                              </w:tabs>
                              <w:rPr>
                                <w:rFonts w:hAnsi="宋体"/>
                                <w:b/>
                                <w:color w:val="auto"/>
                                <w:kern w:val="2"/>
                                <w:sz w:val="24"/>
                                <w:szCs w:val="24"/>
                              </w:rPr>
                            </w:pPr>
                          </w:p>
                          <w:p w14:paraId="4765B22F">
                            <w:pPr>
                              <w:pStyle w:val="11"/>
                              <w:tabs>
                                <w:tab w:val="left" w:pos="180"/>
                              </w:tabs>
                              <w:rPr>
                                <w:rFonts w:hAnsi="宋体"/>
                                <w:b/>
                                <w:color w:val="auto"/>
                                <w:kern w:val="2"/>
                                <w:sz w:val="24"/>
                                <w:szCs w:val="24"/>
                              </w:rPr>
                            </w:pPr>
                          </w:p>
                          <w:p w14:paraId="02AD0269">
                            <w:pPr>
                              <w:pStyle w:val="11"/>
                              <w:tabs>
                                <w:tab w:val="left" w:pos="180"/>
                              </w:tabs>
                              <w:rPr>
                                <w:rFonts w:hAnsi="宋体"/>
                                <w:b/>
                                <w:color w:val="auto"/>
                                <w:kern w:val="2"/>
                                <w:sz w:val="24"/>
                                <w:szCs w:val="24"/>
                              </w:rPr>
                            </w:pPr>
                            <w:r>
                              <w:rPr>
                                <w:rFonts w:hint="eastAsia" w:hAnsi="宋体"/>
                                <w:b/>
                                <w:color w:val="auto"/>
                                <w:kern w:val="2"/>
                                <w:sz w:val="24"/>
                                <w:szCs w:val="24"/>
                              </w:rPr>
                              <w:t>地址：</w:t>
                            </w:r>
                          </w:p>
                          <w:p w14:paraId="68EE164F">
                            <w:pPr>
                              <w:pStyle w:val="11"/>
                              <w:tabs>
                                <w:tab w:val="left" w:pos="180"/>
                              </w:tabs>
                              <w:rPr>
                                <w:rFonts w:hAnsi="宋体"/>
                                <w:b/>
                                <w:color w:val="auto"/>
                                <w:kern w:val="2"/>
                                <w:sz w:val="24"/>
                                <w:szCs w:val="24"/>
                              </w:rPr>
                            </w:pPr>
                          </w:p>
                          <w:p w14:paraId="7B673EF5">
                            <w:pPr>
                              <w:pStyle w:val="11"/>
                              <w:tabs>
                                <w:tab w:val="left" w:pos="180"/>
                              </w:tabs>
                              <w:rPr>
                                <w:rFonts w:hAnsi="宋体"/>
                                <w:b/>
                                <w:color w:val="auto"/>
                                <w:kern w:val="2"/>
                                <w:sz w:val="24"/>
                                <w:szCs w:val="24"/>
                              </w:rPr>
                            </w:pPr>
                            <w:r>
                              <w:rPr>
                                <w:rFonts w:hint="eastAsia" w:hAnsi="宋体"/>
                                <w:b/>
                                <w:color w:val="auto"/>
                                <w:kern w:val="2"/>
                                <w:sz w:val="24"/>
                                <w:szCs w:val="24"/>
                              </w:rPr>
                              <w:t>法人（或授权）代表：</w:t>
                            </w:r>
                          </w:p>
                          <w:p w14:paraId="2EF24AB5">
                            <w:pPr>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06681A1A">
                            <w:pPr>
                              <w:rPr>
                                <w:rFonts w:ascii="宋体" w:hAnsi="宋体"/>
                                <w:b/>
                                <w:sz w:val="24"/>
                                <w:szCs w:val="20"/>
                              </w:rPr>
                            </w:pPr>
                          </w:p>
                          <w:p w14:paraId="0A5647DD">
                            <w:pPr>
                              <w:rPr>
                                <w:rFonts w:ascii="宋体" w:hAnsi="宋体"/>
                                <w:b/>
                                <w:sz w:val="24"/>
                                <w:szCs w:val="20"/>
                              </w:rPr>
                            </w:pPr>
                          </w:p>
                          <w:p w14:paraId="45ED59E1">
                            <w:r>
                              <w:rPr>
                                <w:rFonts w:hint="eastAsia" w:ascii="宋体" w:hAnsi="宋体"/>
                                <w:b/>
                                <w:sz w:val="24"/>
                                <w:szCs w:val="20"/>
                              </w:rPr>
                              <w:t>日期:      年   月   日</w:t>
                            </w:r>
                          </w:p>
                        </w:txbxContent>
                      </wps:txbx>
                      <wps:bodyPr upright="1"/>
                    </wps:wsp>
                  </a:graphicData>
                </a:graphic>
              </wp:anchor>
            </w:drawing>
          </mc:Choice>
          <mc:Fallback>
            <w:pict>
              <v:shape id="_x0000_s1026" o:spid="_x0000_s1026" o:spt="202" type="#_x0000_t202" style="position:absolute;left:0pt;margin-left:240.6pt;margin-top:1.45pt;height:316.2pt;width:222.75pt;z-index:251660288;mso-width-relative:page;mso-height-relative:page;" fillcolor="#FFFFFF" filled="t" stroked="f" coordsize="21600,21600" o:gfxdata="UEsDBAoAAAAAAIdO4kAAAAAAAAAAAAAAAAAEAAAAZHJzL1BLAwQUAAAACACHTuJAq9VEKNgAAAAJ&#10;AQAADwAAAGRycy9kb3ducmV2LnhtbE2PwW6DMBBE75X6D9ZW6qVqDCSBQFgitVKrXpPmAxa8ARRs&#10;I+yE5O/rntrjaEYzb8rdTQ/iypPrrUGIFxEINo1VvWkRjt8frxsQzpNRNFjDCHd2sKseH0oqlJ3N&#10;nq8H34pQYlxBCJ33YyGlazrW5BZ2ZBO8k500+SCnVqqJ5lCuB5lEUSo19SYsdDTye8fN+XDRCKev&#10;+WWdz/WnP2b7VfpGfVbbO+LzUxxtQXi++b8w/OIHdKgCU20vRjkxIKw2cRKiCEkOIvh5kmYgaoR0&#10;uV6CrEr5/0H1A1BLAwQUAAAACACHTuJAlCNMpckBAACGAwAADgAAAGRycy9lMm9Eb2MueG1srVPN&#10;jtMwEL4j8Q6W7zTdFKoSNV0JqnJBgLTwAK7jJJb8pxm3TV8A3oATF+48V5+DsZMty3LZAzk445nx&#10;N/N9Y69vB2vYUQFq72p+M5tzppz0jXZdzb983r1YcYZRuEYY71TNzwr57eb5s/UpVKr0vTeNAkYg&#10;DqtTqHkfY6iKAmWvrMCZD8pRsPVgRaQtdEUD4kTo1hTlfL4sTh6aAF4qRPJuxyCfEOEpgL5ttVRb&#10;Lw9WuTiigjIiEiXsdUC+yd22rZLxY9uiiszUnJjGvFIRsvdpLTZrUXUgQq/l1IJ4SguPOFmhHRW9&#10;Qm1FFOwA+h8oqyV49G2cSW+LkUhWhFjczB9pc9eLoDIXkhrDVXT8f7Dyw/ETMN3UnMbuhKWBX75/&#10;u/z4dfn5la2SPKeAFWXdBcqLwxs/0KW59yM5E+uhBZv+xIdRnMQ9X8VVQ2SSnOWqXL0uX3EmKbZY&#10;vlwsF1n+4s/xABjfKW9ZMmoONL0sqji+x0itUOp9SqqG3uhmp43JG+j2bw2wo6BJ7/KXuqQjf6UZ&#10;l5KdT8fG8OhR+a5MZRLlkVqy4rAfJh32vjmTDIcAuuupwyxEkZJoPLnYdJXS/B/uyX74f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vVRCjYAAAACQEAAA8AAAAAAAAAAQAgAAAAIgAAAGRycy9k&#10;b3ducmV2LnhtbFBLAQIUABQAAAAIAIdO4kCUI0ylyQEAAIYDAAAOAAAAAAAAAAEAIAAAACcBAABk&#10;cnMvZTJvRG9jLnhtbFBLBQYAAAAABgAGAFkBAABiBQAAAAA=&#10;">
                <v:fill on="t" focussize="0,0"/>
                <v:stroke on="f"/>
                <v:imagedata o:title=""/>
                <o:lock v:ext="edit" aspectratio="f"/>
                <v:textbox>
                  <w:txbxContent>
                    <w:p w14:paraId="711626A6">
                      <w:pPr>
                        <w:ind w:left="14" w:hanging="14" w:hangingChars="6"/>
                        <w:rPr>
                          <w:rFonts w:ascii="宋体" w:hAnsi="宋体"/>
                          <w:b/>
                          <w:sz w:val="24"/>
                        </w:rPr>
                      </w:pPr>
                      <w:r>
                        <w:rPr>
                          <w:rFonts w:hint="eastAsia" w:ascii="宋体" w:hAnsi="宋体"/>
                          <w:b/>
                          <w:sz w:val="24"/>
                        </w:rPr>
                        <w:t>乙方：</w:t>
                      </w:r>
                      <w:r>
                        <w:rPr>
                          <w:rFonts w:ascii="宋体" w:hAnsi="宋体"/>
                          <w:b/>
                          <w:sz w:val="24"/>
                        </w:rPr>
                        <w:t>（盖章）</w:t>
                      </w:r>
                    </w:p>
                    <w:p w14:paraId="43CC8E57">
                      <w:pPr>
                        <w:pStyle w:val="11"/>
                        <w:tabs>
                          <w:tab w:val="left" w:pos="180"/>
                        </w:tabs>
                        <w:rPr>
                          <w:rFonts w:hAnsi="宋体"/>
                          <w:b/>
                          <w:color w:val="auto"/>
                          <w:kern w:val="2"/>
                          <w:sz w:val="24"/>
                          <w:szCs w:val="24"/>
                        </w:rPr>
                      </w:pPr>
                    </w:p>
                    <w:p w14:paraId="5704F75C">
                      <w:pPr>
                        <w:pStyle w:val="11"/>
                        <w:tabs>
                          <w:tab w:val="left" w:pos="180"/>
                        </w:tabs>
                        <w:rPr>
                          <w:rFonts w:hAnsi="宋体"/>
                          <w:b/>
                          <w:color w:val="auto"/>
                          <w:kern w:val="2"/>
                          <w:sz w:val="24"/>
                          <w:szCs w:val="24"/>
                        </w:rPr>
                      </w:pPr>
                    </w:p>
                    <w:p w14:paraId="4765B22F">
                      <w:pPr>
                        <w:pStyle w:val="11"/>
                        <w:tabs>
                          <w:tab w:val="left" w:pos="180"/>
                        </w:tabs>
                        <w:rPr>
                          <w:rFonts w:hAnsi="宋体"/>
                          <w:b/>
                          <w:color w:val="auto"/>
                          <w:kern w:val="2"/>
                          <w:sz w:val="24"/>
                          <w:szCs w:val="24"/>
                        </w:rPr>
                      </w:pPr>
                    </w:p>
                    <w:p w14:paraId="02AD0269">
                      <w:pPr>
                        <w:pStyle w:val="11"/>
                        <w:tabs>
                          <w:tab w:val="left" w:pos="180"/>
                        </w:tabs>
                        <w:rPr>
                          <w:rFonts w:hAnsi="宋体"/>
                          <w:b/>
                          <w:color w:val="auto"/>
                          <w:kern w:val="2"/>
                          <w:sz w:val="24"/>
                          <w:szCs w:val="24"/>
                        </w:rPr>
                      </w:pPr>
                      <w:r>
                        <w:rPr>
                          <w:rFonts w:hint="eastAsia" w:hAnsi="宋体"/>
                          <w:b/>
                          <w:color w:val="auto"/>
                          <w:kern w:val="2"/>
                          <w:sz w:val="24"/>
                          <w:szCs w:val="24"/>
                        </w:rPr>
                        <w:t>地址：</w:t>
                      </w:r>
                    </w:p>
                    <w:p w14:paraId="68EE164F">
                      <w:pPr>
                        <w:pStyle w:val="11"/>
                        <w:tabs>
                          <w:tab w:val="left" w:pos="180"/>
                        </w:tabs>
                        <w:rPr>
                          <w:rFonts w:hAnsi="宋体"/>
                          <w:b/>
                          <w:color w:val="auto"/>
                          <w:kern w:val="2"/>
                          <w:sz w:val="24"/>
                          <w:szCs w:val="24"/>
                        </w:rPr>
                      </w:pPr>
                    </w:p>
                    <w:p w14:paraId="7B673EF5">
                      <w:pPr>
                        <w:pStyle w:val="11"/>
                        <w:tabs>
                          <w:tab w:val="left" w:pos="180"/>
                        </w:tabs>
                        <w:rPr>
                          <w:rFonts w:hAnsi="宋体"/>
                          <w:b/>
                          <w:color w:val="auto"/>
                          <w:kern w:val="2"/>
                          <w:sz w:val="24"/>
                          <w:szCs w:val="24"/>
                        </w:rPr>
                      </w:pPr>
                      <w:r>
                        <w:rPr>
                          <w:rFonts w:hint="eastAsia" w:hAnsi="宋体"/>
                          <w:b/>
                          <w:color w:val="auto"/>
                          <w:kern w:val="2"/>
                          <w:sz w:val="24"/>
                          <w:szCs w:val="24"/>
                        </w:rPr>
                        <w:t>法人（或授权）代表：</w:t>
                      </w:r>
                    </w:p>
                    <w:p w14:paraId="2EF24AB5">
                      <w:pPr>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06681A1A">
                      <w:pPr>
                        <w:rPr>
                          <w:rFonts w:ascii="宋体" w:hAnsi="宋体"/>
                          <w:b/>
                          <w:sz w:val="24"/>
                          <w:szCs w:val="20"/>
                        </w:rPr>
                      </w:pPr>
                    </w:p>
                    <w:p w14:paraId="0A5647DD">
                      <w:pPr>
                        <w:rPr>
                          <w:rFonts w:ascii="宋体" w:hAnsi="宋体"/>
                          <w:b/>
                          <w:sz w:val="24"/>
                          <w:szCs w:val="20"/>
                        </w:rPr>
                      </w:pPr>
                    </w:p>
                    <w:p w14:paraId="45ED59E1">
                      <w:r>
                        <w:rPr>
                          <w:rFonts w:hint="eastAsia" w:ascii="宋体" w:hAnsi="宋体"/>
                          <w:b/>
                          <w:sz w:val="24"/>
                          <w:szCs w:val="20"/>
                        </w:rPr>
                        <w:t>日期:      年   月   日</w:t>
                      </w:r>
                    </w:p>
                  </w:txbxContent>
                </v:textbox>
              </v:shape>
            </w:pict>
          </mc:Fallback>
        </mc:AlternateContent>
      </w:r>
      <w:r>
        <w:rPr>
          <w:b/>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5" name="文本框 5"/>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0A854F5A"/>
                        </w:txbxContent>
                      </wps:txbx>
                      <wps:bodyPr upright="1"/>
                    </wps:wsp>
                  </a:graphicData>
                </a:graphic>
              </wp:anchor>
            </w:drawing>
          </mc:Choice>
          <mc:Fallback>
            <w:pict>
              <v:shape id="_x0000_s1026" o:spid="_x0000_s1026" o:spt="202" type="#_x0000_t202" style="position:absolute;left:0pt;margin-left:0pt;margin-top:0.05pt;height:313pt;width:225pt;z-index:251659264;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C5UmkvFAQAAhgMAAA4AAABkcnMvZTJvRG9jLnhtbK1TTY7TMBTe&#10;I3EHy3uatCjMEDUdaajKBgHSwAFcx04s+U9+bpNeAG7Aig17ztVz8OxkyjBsZjFZJO/P33vf95z1&#10;zWg0OYoAytmGLhclJcJy1yrbNfTrl92ra0ogMtsy7axo6EkAvdm8fLEefC1Wrne6FYEgiIV68A3t&#10;Y/R1UQDvhWGwcF5YTEoXDIvohq5oAxsQ3ehiVZZvisGF1gfHBQBGt1OSzojhKYBOSsXF1vGDETZO&#10;qEFoFpES9MoD3eRppRQ8fpISRCS6ocg05jc2QXuf3sVmzeouMN8rPo/AnjLCI06GKYtNL1BbFhk5&#10;BPUflFE8OHAyLrgzxUQkK4IsluUjbe565kXmglKDv4gOzwfLPx4/B6LahlaUWGZw4ecf388/f59/&#10;fSNVkmfwUGPVnce6ON66ES/NfRwwmFiPMpj0RT4E8yju6SKuGCPhGFxdV1dViSmOuddvr6olOohf&#10;/D3uA8T3whmSjIYG3F4WlR0/QJxK70tSN3BatTuldXZCt3+nAzky3PQuPzP6P2XapmLr0rEJcYqI&#10;fFfmNonyRC1ZcdyPsw57155QhoMPqutxwixEkYpwPZnKfJXS/h/6aD/8fT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gyeLTAAAABQEAAA8AAAAAAAAAAQAgAAAAIgAAAGRycy9kb3ducmV2Lnht&#10;bFBLAQIUABQAAAAIAIdO4kAuVJpLxQEAAIYDAAAOAAAAAAAAAAEAIAAAACIBAABkcnMvZTJvRG9j&#10;LnhtbFBLBQYAAAAABgAGAFkBAABZBQAAAAA=&#10;">
                <v:fill on="t" focussize="0,0"/>
                <v:stroke on="f"/>
                <v:imagedata o:title=""/>
                <o:lock v:ext="edit" aspectratio="f"/>
                <v:textbox>
                  <w:txbxContent>
                    <w:p w14:paraId="0A854F5A"/>
                  </w:txbxContent>
                </v:textbox>
              </v:shape>
            </w:pict>
          </mc:Fallback>
        </mc:AlternateContent>
      </w:r>
      <w:r>
        <w:rPr>
          <w:b/>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12" name="文本框 12"/>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71EB1585">
                            <w:pPr>
                              <w:spacing w:line="360" w:lineRule="auto"/>
                              <w:rPr>
                                <w:rFonts w:hint="eastAsia" w:ascii="宋体" w:hAnsi="宋体" w:eastAsia="宋体"/>
                                <w:b/>
                                <w:sz w:val="24"/>
                                <w:lang w:eastAsia="zh-CN"/>
                              </w:rPr>
                            </w:pPr>
                            <w:r>
                              <w:rPr>
                                <w:rFonts w:hint="eastAsia" w:ascii="宋体" w:hAnsi="宋体"/>
                                <w:b/>
                                <w:sz w:val="24"/>
                              </w:rPr>
                              <w:t>甲</w:t>
                            </w:r>
                            <w:r>
                              <w:rPr>
                                <w:rFonts w:ascii="宋体" w:hAnsi="宋体"/>
                                <w:b/>
                                <w:sz w:val="24"/>
                              </w:rPr>
                              <w:t>方：</w:t>
                            </w:r>
                            <w:r>
                              <w:rPr>
                                <w:rFonts w:hint="eastAsia"/>
                                <w:b/>
                                <w:sz w:val="24"/>
                                <w:lang w:eastAsia="zh-CN"/>
                              </w:rPr>
                              <w:t>滁州市轨道交通运营有限公司</w:t>
                            </w:r>
                          </w:p>
                          <w:p w14:paraId="1648B6BF">
                            <w:pPr>
                              <w:spacing w:line="360" w:lineRule="auto"/>
                              <w:ind w:left="14" w:hanging="14" w:hangingChars="6"/>
                              <w:rPr>
                                <w:rFonts w:ascii="宋体" w:hAnsi="宋体"/>
                                <w:b/>
                                <w:sz w:val="24"/>
                              </w:rPr>
                            </w:pPr>
                            <w:r>
                              <w:rPr>
                                <w:rFonts w:ascii="宋体" w:hAnsi="宋体"/>
                                <w:b/>
                                <w:sz w:val="24"/>
                              </w:rPr>
                              <w:t>（盖章）</w:t>
                            </w:r>
                          </w:p>
                          <w:p w14:paraId="58562E31">
                            <w:pPr>
                              <w:spacing w:line="360" w:lineRule="auto"/>
                              <w:ind w:left="14" w:hanging="14" w:hangingChars="6"/>
                              <w:rPr>
                                <w:rFonts w:ascii="宋体" w:hAnsi="宋体"/>
                                <w:b/>
                                <w:sz w:val="24"/>
                              </w:rPr>
                            </w:pPr>
                          </w:p>
                          <w:p w14:paraId="33646B62">
                            <w:pPr>
                              <w:spacing w:line="360" w:lineRule="auto"/>
                              <w:ind w:left="14" w:hanging="14" w:hangingChars="6"/>
                              <w:rPr>
                                <w:rFonts w:ascii="宋体" w:hAnsi="宋体"/>
                                <w:b/>
                                <w:sz w:val="24"/>
                              </w:rPr>
                            </w:pPr>
                            <w:r>
                              <w:rPr>
                                <w:rFonts w:ascii="宋体" w:hAnsi="宋体"/>
                                <w:b/>
                                <w:sz w:val="24"/>
                              </w:rPr>
                              <w:t>地址：</w:t>
                            </w:r>
                          </w:p>
                          <w:p w14:paraId="20F3CFD0">
                            <w:pPr>
                              <w:spacing w:line="360" w:lineRule="auto"/>
                              <w:ind w:left="14" w:hanging="14" w:hangingChars="6"/>
                              <w:rPr>
                                <w:rFonts w:ascii="宋体" w:hAnsi="宋体"/>
                                <w:b/>
                                <w:sz w:val="24"/>
                              </w:rPr>
                            </w:pPr>
                          </w:p>
                          <w:p w14:paraId="6FE7A7D8">
                            <w:pPr>
                              <w:spacing w:line="360" w:lineRule="auto"/>
                              <w:ind w:left="14" w:hanging="14" w:hangingChars="6"/>
                              <w:rPr>
                                <w:rFonts w:ascii="宋体" w:hAnsi="宋体"/>
                                <w:b/>
                                <w:sz w:val="24"/>
                              </w:rPr>
                            </w:pPr>
                            <w:r>
                              <w:rPr>
                                <w:rFonts w:ascii="宋体" w:hAnsi="宋体"/>
                                <w:b/>
                                <w:sz w:val="24"/>
                              </w:rPr>
                              <w:t>法人（或授权）代表：</w:t>
                            </w:r>
                          </w:p>
                          <w:p w14:paraId="5E44EF3F">
                            <w:pPr>
                              <w:spacing w:line="360" w:lineRule="auto"/>
                              <w:ind w:left="14" w:hanging="14" w:hangingChars="6"/>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6C51E269">
                            <w:pPr>
                              <w:spacing w:line="360" w:lineRule="auto"/>
                              <w:ind w:left="14" w:hanging="14" w:hangingChars="6"/>
                              <w:rPr>
                                <w:rFonts w:ascii="宋体" w:hAnsi="宋体"/>
                                <w:b/>
                                <w:sz w:val="24"/>
                              </w:rPr>
                            </w:pPr>
                          </w:p>
                          <w:p w14:paraId="3AA49C60">
                            <w:pPr>
                              <w:spacing w:line="360" w:lineRule="auto"/>
                              <w:ind w:left="14" w:hanging="14" w:hangingChars="6"/>
                              <w:rPr>
                                <w:rFonts w:ascii="宋体" w:hAnsi="宋体"/>
                                <w:b/>
                                <w:sz w:val="24"/>
                              </w:rPr>
                            </w:pPr>
                            <w:r>
                              <w:rPr>
                                <w:rFonts w:ascii="宋体" w:hAnsi="宋体"/>
                                <w:b/>
                                <w:sz w:val="24"/>
                              </w:rPr>
                              <w:t>日期:      年   月   日</w:t>
                            </w:r>
                          </w:p>
                        </w:txbxContent>
                      </wps:txbx>
                      <wps:bodyPr upright="1"/>
                    </wps:wsp>
                  </a:graphicData>
                </a:graphic>
              </wp:anchor>
            </w:drawing>
          </mc:Choice>
          <mc:Fallback>
            <w:pict>
              <v:shape id="_x0000_s1026" o:spid="_x0000_s1026" o:spt="202" type="#_x0000_t202" style="position:absolute;left:0pt;margin-left:0pt;margin-top:0.05pt;height:313pt;width:225pt;z-index:251661312;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FaBeKzGAQAAiAMAAA4AAABkcnMvZTJvRG9jLnhtbK1TzY7TMBC+&#10;I/EOlu80aVHZJWq60lKVCwKkhQdwHSexZHssj9umLwBvwIkLd56rz8HYyZZluexhc0jmz9/M93my&#10;uhmsYQcVUIOr+XxWcqachEa7ruZfv2xfXXOGUbhGGHCq5ieF/Gb98sXq6Cu1gB5MowIjEIfV0de8&#10;j9FXRYGyV1bgDLxylGwhWBHJDV3RBHEkdGuKRVm+KY4QGh9AKkSKbsYknxDDUwChbbVUG5B7q1wc&#10;UYMyIhIl7LVHvs7Ttq2S8VPboorM1JyYxvymJmTv0rtYr0TVBeF7LacRxFNGeMTJCu2o6QVqI6Jg&#10;+6D/g7JaBkBo40yCLUYiWRFiMS8faXPXC68yF5Ia/UV0fD5Y+fHwOTDd0CYsOHPC0o2ff3w///x9&#10;/vWNUYwEOnqsqO7OU2UcbmGg4vs4UjDxHtpg05cYMcqTvKeLvGqITFJwcb28WpaUkpR7/fZqOSeH&#10;8Iu/x33A+F6BZcmoeaD7y7KKwweMY+l9SeqGYHSz1cZkJ3S7dyawg6C73uZnQv+nzLhU7CAdGxHH&#10;iMrbMrVJlEdqyYrDbph02EFzIhn2PuiupwmzEEUqogvKVKZlShvw0Cf74Q+0/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P4Mni0wAAAAUBAAAPAAAAAAAAAAEAIAAAACIAAABkcnMvZG93bnJldi54&#10;bWxQSwECFAAUAAAACACHTuJAVoF4rMYBAACIAwAADgAAAAAAAAABACAAAAAiAQAAZHJzL2Uyb0Rv&#10;Yy54bWxQSwUGAAAAAAYABgBZAQAAWgUAAAAA&#10;">
                <v:fill on="t" focussize="0,0"/>
                <v:stroke on="f"/>
                <v:imagedata o:title=""/>
                <o:lock v:ext="edit" aspectratio="f"/>
                <v:textbox>
                  <w:txbxContent>
                    <w:p w14:paraId="71EB1585">
                      <w:pPr>
                        <w:spacing w:line="360" w:lineRule="auto"/>
                        <w:rPr>
                          <w:rFonts w:hint="eastAsia" w:ascii="宋体" w:hAnsi="宋体" w:eastAsia="宋体"/>
                          <w:b/>
                          <w:sz w:val="24"/>
                          <w:lang w:eastAsia="zh-CN"/>
                        </w:rPr>
                      </w:pPr>
                      <w:r>
                        <w:rPr>
                          <w:rFonts w:hint="eastAsia" w:ascii="宋体" w:hAnsi="宋体"/>
                          <w:b/>
                          <w:sz w:val="24"/>
                        </w:rPr>
                        <w:t>甲</w:t>
                      </w:r>
                      <w:r>
                        <w:rPr>
                          <w:rFonts w:ascii="宋体" w:hAnsi="宋体"/>
                          <w:b/>
                          <w:sz w:val="24"/>
                        </w:rPr>
                        <w:t>方：</w:t>
                      </w:r>
                      <w:r>
                        <w:rPr>
                          <w:rFonts w:hint="eastAsia"/>
                          <w:b/>
                          <w:sz w:val="24"/>
                          <w:lang w:eastAsia="zh-CN"/>
                        </w:rPr>
                        <w:t>滁州市轨道交通运营有限公司</w:t>
                      </w:r>
                    </w:p>
                    <w:p w14:paraId="1648B6BF">
                      <w:pPr>
                        <w:spacing w:line="360" w:lineRule="auto"/>
                        <w:ind w:left="14" w:hanging="14" w:hangingChars="6"/>
                        <w:rPr>
                          <w:rFonts w:ascii="宋体" w:hAnsi="宋体"/>
                          <w:b/>
                          <w:sz w:val="24"/>
                        </w:rPr>
                      </w:pPr>
                      <w:r>
                        <w:rPr>
                          <w:rFonts w:ascii="宋体" w:hAnsi="宋体"/>
                          <w:b/>
                          <w:sz w:val="24"/>
                        </w:rPr>
                        <w:t>（盖章）</w:t>
                      </w:r>
                    </w:p>
                    <w:p w14:paraId="58562E31">
                      <w:pPr>
                        <w:spacing w:line="360" w:lineRule="auto"/>
                        <w:ind w:left="14" w:hanging="14" w:hangingChars="6"/>
                        <w:rPr>
                          <w:rFonts w:ascii="宋体" w:hAnsi="宋体"/>
                          <w:b/>
                          <w:sz w:val="24"/>
                        </w:rPr>
                      </w:pPr>
                    </w:p>
                    <w:p w14:paraId="33646B62">
                      <w:pPr>
                        <w:spacing w:line="360" w:lineRule="auto"/>
                        <w:ind w:left="14" w:hanging="14" w:hangingChars="6"/>
                        <w:rPr>
                          <w:rFonts w:ascii="宋体" w:hAnsi="宋体"/>
                          <w:b/>
                          <w:sz w:val="24"/>
                        </w:rPr>
                      </w:pPr>
                      <w:r>
                        <w:rPr>
                          <w:rFonts w:ascii="宋体" w:hAnsi="宋体"/>
                          <w:b/>
                          <w:sz w:val="24"/>
                        </w:rPr>
                        <w:t>地址：</w:t>
                      </w:r>
                    </w:p>
                    <w:p w14:paraId="20F3CFD0">
                      <w:pPr>
                        <w:spacing w:line="360" w:lineRule="auto"/>
                        <w:ind w:left="14" w:hanging="14" w:hangingChars="6"/>
                        <w:rPr>
                          <w:rFonts w:ascii="宋体" w:hAnsi="宋体"/>
                          <w:b/>
                          <w:sz w:val="24"/>
                        </w:rPr>
                      </w:pPr>
                    </w:p>
                    <w:p w14:paraId="6FE7A7D8">
                      <w:pPr>
                        <w:spacing w:line="360" w:lineRule="auto"/>
                        <w:ind w:left="14" w:hanging="14" w:hangingChars="6"/>
                        <w:rPr>
                          <w:rFonts w:ascii="宋体" w:hAnsi="宋体"/>
                          <w:b/>
                          <w:sz w:val="24"/>
                        </w:rPr>
                      </w:pPr>
                      <w:r>
                        <w:rPr>
                          <w:rFonts w:ascii="宋体" w:hAnsi="宋体"/>
                          <w:b/>
                          <w:sz w:val="24"/>
                        </w:rPr>
                        <w:t>法人（或授权）代表：</w:t>
                      </w:r>
                    </w:p>
                    <w:p w14:paraId="5E44EF3F">
                      <w:pPr>
                        <w:spacing w:line="360" w:lineRule="auto"/>
                        <w:ind w:left="14" w:hanging="14" w:hangingChars="6"/>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6C51E269">
                      <w:pPr>
                        <w:spacing w:line="360" w:lineRule="auto"/>
                        <w:ind w:left="14" w:hanging="14" w:hangingChars="6"/>
                        <w:rPr>
                          <w:rFonts w:ascii="宋体" w:hAnsi="宋体"/>
                          <w:b/>
                          <w:sz w:val="24"/>
                        </w:rPr>
                      </w:pPr>
                    </w:p>
                    <w:p w14:paraId="3AA49C60">
                      <w:pPr>
                        <w:spacing w:line="360" w:lineRule="auto"/>
                        <w:ind w:left="14" w:hanging="14" w:hangingChars="6"/>
                        <w:rPr>
                          <w:rFonts w:ascii="宋体" w:hAnsi="宋体"/>
                          <w:b/>
                          <w:sz w:val="24"/>
                        </w:rPr>
                      </w:pPr>
                      <w:r>
                        <w:rPr>
                          <w:rFonts w:ascii="宋体" w:hAnsi="宋体"/>
                          <w:b/>
                          <w:sz w:val="24"/>
                        </w:rPr>
                        <w:t>日期:      年   月   日</w:t>
                      </w:r>
                    </w:p>
                  </w:txbxContent>
                </v:textbox>
              </v:shape>
            </w:pict>
          </mc:Fallback>
        </mc:AlternateContent>
      </w:r>
    </w:p>
    <w:p w14:paraId="1DC2D81A">
      <w:pPr>
        <w:pStyle w:val="13"/>
        <w:jc w:val="left"/>
        <w:rPr>
          <w:rFonts w:hAnsi="宋体"/>
          <w:b/>
          <w:color w:val="auto"/>
          <w:sz w:val="24"/>
          <w:szCs w:val="24"/>
          <w:highlight w:val="none"/>
        </w:rPr>
      </w:pPr>
    </w:p>
    <w:p w14:paraId="5A774302">
      <w:pPr>
        <w:pStyle w:val="13"/>
        <w:jc w:val="left"/>
        <w:rPr>
          <w:rFonts w:hAnsi="宋体"/>
          <w:b/>
          <w:color w:val="auto"/>
          <w:sz w:val="24"/>
          <w:szCs w:val="24"/>
          <w:highlight w:val="none"/>
        </w:rPr>
      </w:pPr>
    </w:p>
    <w:p w14:paraId="7A1E1CCA">
      <w:pPr>
        <w:pStyle w:val="13"/>
        <w:spacing w:line="360" w:lineRule="auto"/>
        <w:jc w:val="left"/>
        <w:rPr>
          <w:rFonts w:hAnsi="宋体"/>
          <w:b/>
          <w:color w:val="auto"/>
          <w:sz w:val="24"/>
          <w:szCs w:val="24"/>
          <w:highlight w:val="none"/>
        </w:rPr>
      </w:pPr>
    </w:p>
    <w:p w14:paraId="7B1903DC">
      <w:pPr>
        <w:pStyle w:val="13"/>
        <w:spacing w:line="360" w:lineRule="auto"/>
        <w:jc w:val="left"/>
        <w:rPr>
          <w:rFonts w:hAnsi="宋体"/>
          <w:b/>
          <w:color w:val="auto"/>
          <w:sz w:val="24"/>
          <w:szCs w:val="24"/>
          <w:highlight w:val="none"/>
        </w:rPr>
      </w:pPr>
    </w:p>
    <w:p w14:paraId="30F2110F">
      <w:pPr>
        <w:pStyle w:val="13"/>
        <w:spacing w:line="360" w:lineRule="auto"/>
        <w:rPr>
          <w:rFonts w:hAnsi="宋体" w:cs="Arial"/>
          <w:color w:val="auto"/>
          <w:sz w:val="24"/>
          <w:highlight w:val="none"/>
        </w:rPr>
      </w:pPr>
    </w:p>
    <w:p w14:paraId="04C0108E">
      <w:pPr>
        <w:pStyle w:val="13"/>
        <w:spacing w:line="360" w:lineRule="auto"/>
        <w:rPr>
          <w:color w:val="auto"/>
          <w:highlight w:val="none"/>
        </w:rPr>
        <w:sectPr>
          <w:footerReference r:id="rId3" w:type="default"/>
          <w:pgSz w:w="11906" w:h="16838"/>
          <w:pgMar w:top="1440" w:right="1247" w:bottom="1440" w:left="1247" w:header="851" w:footer="992" w:gutter="0"/>
          <w:pgNumType w:fmt="decimal" w:start="1"/>
          <w:cols w:space="720" w:num="1"/>
          <w:docGrid w:type="linesAndChars" w:linePitch="312" w:charSpace="0"/>
        </w:sectPr>
      </w:pPr>
    </w:p>
    <w:p w14:paraId="3EA9E6F0">
      <w:pPr>
        <w:rPr>
          <w:rFonts w:hint="eastAsia" w:ascii="宋体" w:hAnsi="宋体" w:eastAsia="宋体" w:cs="宋体"/>
          <w:color w:val="auto"/>
          <w:kern w:val="2"/>
          <w:sz w:val="28"/>
          <w:szCs w:val="28"/>
          <w:highlight w:val="none"/>
          <w:u w:color="auto"/>
          <w:lang w:val="en-US" w:eastAsia="zh-CN" w:bidi="ar"/>
        </w:rPr>
      </w:pPr>
    </w:p>
    <w:p w14:paraId="6DBDE40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559917C0">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37C94678">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p>
    <w:p w14:paraId="4BA9F3DE">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bookmarkStart w:id="91" w:name="_Toc21573"/>
      <w:bookmarkEnd w:id="91"/>
    </w:p>
    <w:p w14:paraId="246666FC">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bookmarkStart w:id="92" w:name="_Toc128_WPSOffice_Level1"/>
      <w:r>
        <w:rPr>
          <w:rFonts w:hint="eastAsia" w:ascii="宋体" w:hAnsi="宋体" w:eastAsia="宋体" w:cs="宋体"/>
          <w:b/>
          <w:bCs w:val="0"/>
          <w:color w:val="auto"/>
          <w:kern w:val="0"/>
          <w:sz w:val="44"/>
          <w:szCs w:val="44"/>
          <w:highlight w:val="none"/>
          <w:u w:color="000000"/>
          <w:lang w:val="en-US" w:eastAsia="zh-CN" w:bidi="ar"/>
        </w:rPr>
        <w:t>投 标 文 件</w:t>
      </w:r>
      <w:bookmarkEnd w:id="92"/>
    </w:p>
    <w:p w14:paraId="6EECEAA5">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bookmarkStart w:id="93" w:name="_Toc19336_WPSOffice_Level2"/>
      <w:bookmarkEnd w:id="93"/>
      <w:r>
        <w:rPr>
          <w:rFonts w:hint="eastAsia" w:ascii="黑体" w:hAnsi="宋体" w:eastAsia="黑体" w:cs="黑体"/>
          <w:color w:val="auto"/>
          <w:kern w:val="0"/>
          <w:sz w:val="44"/>
          <w:szCs w:val="44"/>
          <w:highlight w:val="none"/>
          <w:u w:color="000000"/>
          <w:lang w:val="en-US" w:eastAsia="zh-CN" w:bidi="ar"/>
        </w:rPr>
        <w:t xml:space="preserve"> </w:t>
      </w:r>
    </w:p>
    <w:p w14:paraId="0E77BCFD">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bookmarkStart w:id="94" w:name="_Toc7180_WPSOffice_Level3"/>
      <w:bookmarkEnd w:id="94"/>
      <w:r>
        <w:rPr>
          <w:rFonts w:hint="eastAsia" w:ascii="宋体" w:hAnsi="宋体" w:eastAsia="宋体" w:cs="宋体"/>
          <w:color w:val="auto"/>
          <w:kern w:val="0"/>
          <w:sz w:val="30"/>
          <w:szCs w:val="30"/>
          <w:highlight w:val="none"/>
          <w:u w:color="000000"/>
          <w:lang w:val="en-US" w:eastAsia="zh-CN" w:bidi="ar"/>
        </w:rPr>
        <w:t>项目名称：</w:t>
      </w:r>
    </w:p>
    <w:p w14:paraId="62BD026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5BEB12C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69E1BC79">
      <w:pPr>
        <w:pStyle w:val="6"/>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68E6B8DF">
      <w:pPr>
        <w:rPr>
          <w:color w:val="auto"/>
          <w:sz w:val="28"/>
          <w:szCs w:val="28"/>
          <w:highlight w:val="none"/>
          <w:lang w:val="en-US"/>
        </w:rPr>
      </w:pPr>
    </w:p>
    <w:p w14:paraId="477EA443">
      <w:pPr>
        <w:rPr>
          <w:color w:val="auto"/>
          <w:sz w:val="28"/>
          <w:szCs w:val="28"/>
          <w:highlight w:val="none"/>
          <w:lang w:val="en-US"/>
        </w:rPr>
      </w:pPr>
    </w:p>
    <w:p w14:paraId="76134514">
      <w:pPr>
        <w:pStyle w:val="18"/>
        <w:widowControl/>
        <w:rPr>
          <w:color w:val="auto"/>
          <w:highlight w:val="none"/>
          <w:lang w:val="en-US"/>
        </w:rPr>
      </w:pPr>
      <w:r>
        <w:rPr>
          <w:color w:val="auto"/>
          <w:highlight w:val="none"/>
          <w:lang w:val="en-US"/>
        </w:rPr>
        <w:t xml:space="preserve"> </w:t>
      </w:r>
    </w:p>
    <w:p w14:paraId="5477395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770C05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1D8010E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705AFAD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6D24C94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6EC873C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2511EEA3">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95" w:name="_Toc14710_WPSOffice_Level1"/>
      <w:bookmarkEnd w:id="95"/>
      <w:r>
        <w:rPr>
          <w:rFonts w:hint="eastAsia" w:ascii="宋体" w:hAnsi="宋体" w:eastAsia="宋体" w:cs="宋体"/>
          <w:b/>
          <w:bCs w:val="0"/>
          <w:color w:val="auto"/>
          <w:kern w:val="0"/>
          <w:sz w:val="44"/>
          <w:szCs w:val="44"/>
          <w:highlight w:val="none"/>
          <w:u w:color="000000"/>
          <w:lang w:val="en-US" w:eastAsia="zh-CN" w:bidi="ar"/>
        </w:rPr>
        <w:t>目   录</w:t>
      </w:r>
    </w:p>
    <w:p w14:paraId="161FF9A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332B2548">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66AE26FA">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（1）法人代表人身份证明及其有效身份证（或法人代表授权委托书及其有效身份证）（格式见附件）；</w:t>
      </w:r>
    </w:p>
    <w:p w14:paraId="329AADE8">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（2）投标人有效的营业执照、税务登记证、组织机构代码证（或三合一证书）</w:t>
      </w:r>
      <w:r>
        <w:rPr>
          <w:rFonts w:hint="eastAsia" w:ascii="宋体" w:hAnsi="Times New Roman" w:eastAsia="宋体" w:cs="Times New Roman"/>
          <w:color w:val="auto"/>
          <w:szCs w:val="21"/>
          <w:highlight w:val="none"/>
          <w:lang w:eastAsia="zh-CN"/>
        </w:rPr>
        <w:t>；</w:t>
      </w:r>
    </w:p>
    <w:p w14:paraId="365C07D8">
      <w:pPr>
        <w:spacing w:line="360" w:lineRule="auto"/>
        <w:ind w:firstLine="420" w:firstLineChars="200"/>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投标人有效企业资质证书和安全生产许可证；</w:t>
      </w:r>
    </w:p>
    <w:p w14:paraId="73951022">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诚信投标承诺书（格式见附件）</w:t>
      </w:r>
      <w:r>
        <w:rPr>
          <w:rFonts w:hint="eastAsia" w:ascii="宋体" w:hAnsi="Times New Roman" w:eastAsia="宋体" w:cs="Times New Roman"/>
          <w:color w:val="auto"/>
          <w:szCs w:val="21"/>
          <w:highlight w:val="none"/>
          <w:lang w:eastAsia="zh-CN"/>
        </w:rPr>
        <w:t>；</w:t>
      </w:r>
    </w:p>
    <w:p w14:paraId="5B87188B">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服务承诺：是否响应招标文件要求的书面说明和服务承诺书（格式见附件）</w:t>
      </w:r>
      <w:r>
        <w:rPr>
          <w:rFonts w:hint="eastAsia" w:ascii="宋体" w:hAnsi="Times New Roman" w:eastAsia="宋体" w:cs="Times New Roman"/>
          <w:color w:val="auto"/>
          <w:szCs w:val="21"/>
          <w:highlight w:val="none"/>
          <w:lang w:eastAsia="zh-CN"/>
        </w:rPr>
        <w:t>；</w:t>
      </w:r>
    </w:p>
    <w:p w14:paraId="41D3EAF7">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（6）开标一览表（格式见附件）；</w:t>
      </w:r>
    </w:p>
    <w:p w14:paraId="3EAF57FF">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（7）投标函（格式见附件）；</w:t>
      </w:r>
    </w:p>
    <w:p w14:paraId="770A7426">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8）</w:t>
      </w:r>
      <w:r>
        <w:rPr>
          <w:rFonts w:hint="eastAsia" w:ascii="宋体" w:hAnsi="Times New Roman" w:eastAsia="宋体" w:cs="Times New Roman"/>
          <w:color w:val="auto"/>
          <w:szCs w:val="21"/>
          <w:highlight w:val="none"/>
        </w:rPr>
        <w:t>全国建筑市场监管公共服务平台(四库一平台)企业注册人员网页截图；</w:t>
      </w:r>
    </w:p>
    <w:p w14:paraId="42951A5B">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9）</w:t>
      </w:r>
      <w:r>
        <w:rPr>
          <w:rFonts w:hint="eastAsia" w:ascii="宋体" w:hAnsi="Times New Roman" w:eastAsia="宋体" w:cs="Times New Roman"/>
          <w:color w:val="auto"/>
          <w:szCs w:val="21"/>
          <w:highlight w:val="none"/>
        </w:rPr>
        <w:t>投标人认为需要提供的其他证明材料。</w:t>
      </w:r>
    </w:p>
    <w:p w14:paraId="02B3DBDA">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5762840B">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465587F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14:paraId="3E809E94">
      <w:pPr>
        <w:pStyle w:val="38"/>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7B29470">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69A2B6F7">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6DB79AD1">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022CFFA">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A8A989C">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23BBAC49">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hAnsi="Times New Roman" w:eastAsia="宋体" w:cs="Times New Roman"/>
          <w:color w:val="auto"/>
          <w:sz w:val="24"/>
          <w:highlight w:val="none"/>
        </w:rPr>
        <w:t>姓</w:t>
      </w:r>
      <w:r>
        <w:rPr>
          <w:rFonts w:hint="eastAsia" w:ascii="宋体" w:hAnsi="Times New Roman" w:eastAsia="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名：</w:t>
      </w:r>
      <w:r>
        <w:rPr>
          <w:rFonts w:hint="eastAsia" w:ascii="宋体"/>
          <w:color w:val="auto"/>
          <w:sz w:val="24"/>
          <w:highlight w:val="none"/>
          <w:u w:val="single"/>
        </w:rPr>
        <w:t xml:space="preserve">          </w:t>
      </w:r>
      <w:r>
        <w:rPr>
          <w:rFonts w:hint="eastAsia" w:ascii="宋体" w:hAnsi="Times New Roman" w:eastAsia="宋体" w:cs="Times New Roman"/>
          <w:color w:val="auto"/>
          <w:sz w:val="24"/>
          <w:highlight w:val="none"/>
        </w:rPr>
        <w:t>身份证号码：</w:t>
      </w:r>
      <w:r>
        <w:rPr>
          <w:rFonts w:hint="eastAsia" w:ascii="宋体" w:hAnsi="Times New Roman" w:eastAsia="宋体" w:cs="Times New Roman"/>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lang w:eastAsia="zh-CN"/>
        </w:rPr>
        <w:t>，</w:t>
      </w: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4AD26A31">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特此证明。</w:t>
      </w:r>
    </w:p>
    <w:p w14:paraId="1E5E1AB8">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盖</w:t>
      </w:r>
      <w:r>
        <w:rPr>
          <w:rFonts w:hint="eastAsia" w:ascii="宋体"/>
          <w:color w:val="auto"/>
          <w:sz w:val="24"/>
          <w:highlight w:val="none"/>
        </w:rPr>
        <w:t>章）</w:t>
      </w:r>
    </w:p>
    <w:p w14:paraId="6F039E07">
      <w:pPr>
        <w:keepNext w:val="0"/>
        <w:keepLines w:val="0"/>
        <w:pageBreakBefore w:val="0"/>
        <w:kinsoku/>
        <w:wordWrap w:val="0"/>
        <w:overflowPunct/>
        <w:topLinePunct w:val="0"/>
        <w:autoSpaceDE/>
        <w:autoSpaceDN/>
        <w:bidi w:val="0"/>
        <w:adjustRightInd/>
        <w:snapToGrid/>
        <w:spacing w:line="400" w:lineRule="exact"/>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0A76931">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14:paraId="0F754A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3FB938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r>
        <w:rPr>
          <w:rFonts w:hint="eastAsia" w:ascii="宋体"/>
          <w:color w:val="auto"/>
          <w:sz w:val="24"/>
          <w:highlight w:val="none"/>
        </w:rPr>
        <w:t xml:space="preserve">                                </w:t>
      </w:r>
    </w:p>
    <w:p w14:paraId="4D3B2CF9">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4"/>
          <w:szCs w:val="24"/>
          <w:highlight w:val="none"/>
          <w:u w:color="000000"/>
          <w:lang w:val="en-US" w:eastAsia="zh-CN" w:bidi="ar"/>
        </w:rPr>
        <w:t>代理人无转委托权，特此委托。</w:t>
      </w:r>
    </w:p>
    <w:p w14:paraId="7F9062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0A935B70">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70F6CD5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p>
    <w:p w14:paraId="7667E0E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 xml:space="preserve"> </w:t>
      </w:r>
    </w:p>
    <w:p w14:paraId="7E111A4B">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投标人（盖单位章）：</w:t>
      </w:r>
    </w:p>
    <w:p w14:paraId="7FBC2353">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法定代表人（身份证号码）：           （签字或盖章）</w:t>
      </w:r>
    </w:p>
    <w:p w14:paraId="57F72B99">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委托代理人（身份证号码）：           （签字或盖章）</w:t>
      </w:r>
    </w:p>
    <w:p w14:paraId="6015DCCD">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年    月    日</w:t>
      </w:r>
    </w:p>
    <w:p w14:paraId="78550558">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71D34958">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36E3B59D">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170C226D">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14:paraId="3496123B">
      <w:pPr>
        <w:spacing w:line="360" w:lineRule="exact"/>
        <w:ind w:firstLine="413" w:firstLineChars="147"/>
        <w:jc w:val="center"/>
        <w:rPr>
          <w:rFonts w:hint="default" w:ascii="Calibri" w:hAnsi="Calibri" w:cs="Times New Roman"/>
          <w:b/>
          <w:bCs w:val="0"/>
          <w:color w:val="auto"/>
          <w:sz w:val="28"/>
          <w:szCs w:val="28"/>
          <w:highlight w:val="none"/>
          <w:lang w:val="en-US"/>
        </w:rPr>
      </w:pPr>
      <w:r>
        <w:rPr>
          <w:rFonts w:hint="eastAsia"/>
          <w:b/>
          <w:color w:val="auto"/>
          <w:sz w:val="28"/>
          <w:szCs w:val="28"/>
          <w:highlight w:val="none"/>
        </w:rPr>
        <w:t>诚信投标承诺书</w:t>
      </w:r>
    </w:p>
    <w:p w14:paraId="4ACABA9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bookmarkStart w:id="96" w:name="_Toc425084385"/>
      <w:bookmarkStart w:id="97" w:name="_Toc451384148"/>
      <w:r>
        <w:rPr>
          <w:rFonts w:hint="eastAsia" w:ascii="宋体" w:hAnsi="宋体"/>
          <w:color w:val="auto"/>
          <w:szCs w:val="21"/>
          <w:highlight w:val="none"/>
        </w:rPr>
        <w:t>一、将遵循公</w:t>
      </w:r>
      <w:bookmarkStart w:id="98" w:name="_Toc503196197"/>
      <w:bookmarkStart w:id="99" w:name="_Toc506107356"/>
      <w:bookmarkStart w:id="100" w:name="_Toc26598"/>
      <w:r>
        <w:rPr>
          <w:rFonts w:hint="eastAsia" w:ascii="宋体" w:hAnsi="宋体"/>
          <w:color w:val="auto"/>
          <w:szCs w:val="21"/>
          <w:highlight w:val="none"/>
        </w:rPr>
        <w:t>开、公正和诚实信用</w:t>
      </w:r>
      <w:bookmarkEnd w:id="98"/>
      <w:bookmarkEnd w:id="99"/>
      <w:r>
        <w:rPr>
          <w:rFonts w:hint="eastAsia" w:ascii="宋体" w:hAnsi="宋体"/>
          <w:color w:val="auto"/>
          <w:szCs w:val="21"/>
          <w:highlight w:val="none"/>
        </w:rPr>
        <w:t>的</w:t>
      </w:r>
      <w:bookmarkEnd w:id="100"/>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09C0E71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04D2923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91DA1B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D29816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F9D710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color w:val="auto"/>
          <w:szCs w:val="21"/>
          <w:highlight w:val="none"/>
        </w:rPr>
        <w:t>。</w:t>
      </w:r>
    </w:p>
    <w:p w14:paraId="432A0D8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7C8CCB5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540989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1A2FDD9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5844E2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auto"/>
          <w:szCs w:val="21"/>
          <w:highlight w:val="none"/>
          <w:lang w:eastAsia="zh-CN"/>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auto"/>
          <w:szCs w:val="21"/>
          <w:highlight w:val="none"/>
          <w:lang w:eastAsia="zh-CN"/>
        </w:rPr>
        <w:t>。</w:t>
      </w:r>
    </w:p>
    <w:p w14:paraId="7C1A34D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121038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w:t>
      </w:r>
    </w:p>
    <w:p w14:paraId="71751A0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基本账户：</w:t>
      </w:r>
    </w:p>
    <w:p w14:paraId="53D57FD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投标单位（签章或盖章）：          法定代表人（签字或签章）：</w:t>
      </w:r>
    </w:p>
    <w:p w14:paraId="5EA53B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p>
    <w:p w14:paraId="654BAEA8">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0D4728">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br w:type="page"/>
      </w:r>
    </w:p>
    <w:p w14:paraId="5F7E9732">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3</w:t>
      </w:r>
    </w:p>
    <w:p w14:paraId="3B262F83">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color w:val="auto"/>
          <w:sz w:val="28"/>
          <w:szCs w:val="28"/>
          <w:highlight w:val="none"/>
          <w:lang w:eastAsia="zh-CN"/>
        </w:rPr>
      </w:pPr>
    </w:p>
    <w:p w14:paraId="02E3582A">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color w:val="auto"/>
          <w:sz w:val="28"/>
          <w:szCs w:val="28"/>
          <w:highlight w:val="none"/>
        </w:rPr>
      </w:pPr>
      <w:r>
        <w:rPr>
          <w:rFonts w:hint="eastAsia"/>
          <w:b/>
          <w:bCs/>
          <w:color w:val="auto"/>
          <w:sz w:val="28"/>
          <w:szCs w:val="28"/>
          <w:highlight w:val="none"/>
        </w:rPr>
        <w:t>服务承诺书</w:t>
      </w:r>
    </w:p>
    <w:p w14:paraId="43CC5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14:paraId="2729E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本承诺声明：（投标人名称）对本招标文件所有要求完全响应，若有幸中标将严格按照以上承诺进行服务且提供不少于2年的质保期。若发现有偏离且不能按招标人要求调整的，招标人有权终止合同重新招标，我方承担因此产生的所有经济及工期责任。</w:t>
      </w:r>
    </w:p>
    <w:p w14:paraId="5692E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特此声明。</w:t>
      </w:r>
    </w:p>
    <w:p w14:paraId="7E75DDF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w:t>
      </w:r>
    </w:p>
    <w:p w14:paraId="101BEA8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（签字或签章）       </w:t>
      </w:r>
    </w:p>
    <w:p w14:paraId="33F52DD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u w:val="single"/>
        </w:rPr>
      </w:pPr>
      <w:r>
        <w:rPr>
          <w:rFonts w:hint="eastAsia" w:ascii="宋体" w:hAnsi="宋体"/>
          <w:color w:val="auto"/>
          <w:sz w:val="24"/>
          <w:highlight w:val="none"/>
        </w:rPr>
        <w:t xml:space="preserve">                                     </w:t>
      </w:r>
    </w:p>
    <w:p w14:paraId="3BAF78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（盖章）    </w:t>
      </w:r>
    </w:p>
    <w:p w14:paraId="22D42F3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rPr>
      </w:pPr>
    </w:p>
    <w:p w14:paraId="180FA26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3AFB0F11">
      <w:pPr>
        <w:spacing w:line="400" w:lineRule="exact"/>
        <w:ind w:firstLine="482" w:firstLineChars="200"/>
        <w:rPr>
          <w:rFonts w:ascii="宋体" w:hAnsi="宋体"/>
          <w:b/>
          <w:color w:val="auto"/>
          <w:sz w:val="24"/>
          <w:highlight w:val="none"/>
        </w:rPr>
      </w:pPr>
    </w:p>
    <w:bookmarkEnd w:id="96"/>
    <w:bookmarkEnd w:id="97"/>
    <w:p w14:paraId="45610A89">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r>
        <w:rPr>
          <w:rFonts w:hint="eastAsia" w:ascii="宋体" w:hAnsi="宋体"/>
          <w:b/>
          <w:color w:val="auto"/>
          <w:sz w:val="30"/>
          <w:szCs w:val="30"/>
          <w:highlight w:val="none"/>
          <w:lang w:val="en-US" w:eastAsia="zh-CN"/>
        </w:rPr>
        <w:br w:type="page"/>
      </w:r>
    </w:p>
    <w:p w14:paraId="5F9AA834">
      <w:pPr>
        <w:jc w:val="left"/>
        <w:rPr>
          <w:rFonts w:hint="default"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附件4</w:t>
      </w:r>
    </w:p>
    <w:p w14:paraId="28C025CC">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开标一览表</w:t>
      </w:r>
    </w:p>
    <w:p w14:paraId="5151B3D5">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0FFEF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796D442E">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29110E2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rPr>
            </w:pPr>
            <w:r>
              <w:rPr>
                <w:rFonts w:hint="default" w:ascii="Times New Roman" w:hAnsi="Times New Roman" w:eastAsia="宋体" w:cs="Times New Roman"/>
                <w:color w:val="auto"/>
                <w:kern w:val="2"/>
                <w:sz w:val="24"/>
                <w:szCs w:val="24"/>
                <w:highlight w:val="none"/>
                <w:u w:color="000000"/>
                <w:lang w:val="en-US" w:eastAsia="zh-CN" w:bidi="ar"/>
              </w:rPr>
              <w:t xml:space="preserve">         </w:t>
            </w:r>
          </w:p>
        </w:tc>
      </w:tr>
      <w:tr w14:paraId="4CC74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0FA3D833">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4EE28A0B">
            <w:pPr>
              <w:pStyle w:val="14"/>
              <w:widowControl/>
              <w:spacing w:line="460" w:lineRule="exact"/>
              <w:ind w:left="86" w:leftChars="41"/>
              <w:rPr>
                <w:rFonts w:hint="eastAsia" w:ascii="宋体" w:hAnsi="Arial" w:eastAsia="宋体" w:cs="宋体"/>
                <w:color w:val="auto"/>
                <w:sz w:val="24"/>
                <w:szCs w:val="24"/>
                <w:highlight w:val="none"/>
                <w:lang w:val="en-US"/>
              </w:rPr>
            </w:pPr>
          </w:p>
        </w:tc>
      </w:tr>
      <w:tr w14:paraId="09FCE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3F3B7CB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投标报价\工期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1B821B9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投标报价（大写）：</w:t>
            </w:r>
            <w:r>
              <w:rPr>
                <w:rFonts w:hint="eastAsia" w:ascii="宋体" w:hAnsi="宋体" w:eastAsia="宋体" w:cs="宋体"/>
                <w:color w:val="auto"/>
                <w:kern w:val="2"/>
                <w:sz w:val="24"/>
                <w:szCs w:val="24"/>
                <w:highlight w:val="none"/>
                <w:u w:val="single" w:color="000000"/>
                <w:lang w:val="en-US" w:eastAsia="zh-CN" w:bidi="ar"/>
              </w:rPr>
              <w:t xml:space="preserve">                      </w:t>
            </w:r>
            <w:r>
              <w:rPr>
                <w:rFonts w:hint="eastAsia" w:ascii="宋体" w:hAnsi="宋体" w:eastAsia="宋体" w:cs="宋体"/>
                <w:color w:val="auto"/>
                <w:kern w:val="2"/>
                <w:sz w:val="24"/>
                <w:szCs w:val="24"/>
                <w:highlight w:val="none"/>
                <w:u w:color="000000"/>
                <w:lang w:val="en-US" w:eastAsia="zh-CN" w:bidi="ar"/>
              </w:rPr>
              <w:t>元</w:t>
            </w:r>
          </w:p>
          <w:p w14:paraId="58390941">
            <w:pPr>
              <w:keepNext w:val="0"/>
              <w:keepLines w:val="0"/>
              <w:widowControl/>
              <w:suppressLineNumbers w:val="0"/>
              <w:spacing w:before="0" w:beforeAutospacing="0" w:after="0" w:afterAutospacing="0" w:line="360" w:lineRule="auto"/>
              <w:ind w:left="0" w:right="0" w:firstLine="960" w:firstLineChars="40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(小写) ：</w:t>
            </w:r>
            <w:r>
              <w:rPr>
                <w:rFonts w:hint="eastAsia" w:ascii="宋体" w:hAnsi="宋体" w:eastAsia="宋体" w:cs="宋体"/>
                <w:color w:val="auto"/>
                <w:kern w:val="2"/>
                <w:sz w:val="24"/>
                <w:szCs w:val="24"/>
                <w:highlight w:val="none"/>
                <w:u w:val="single" w:color="000000"/>
                <w:lang w:val="en-US" w:eastAsia="zh-CN" w:bidi="ar"/>
              </w:rPr>
              <w:t xml:space="preserve">                       </w:t>
            </w:r>
            <w:r>
              <w:rPr>
                <w:rFonts w:hint="eastAsia" w:ascii="宋体" w:hAnsi="宋体" w:eastAsia="宋体" w:cs="宋体"/>
                <w:color w:val="auto"/>
                <w:kern w:val="2"/>
                <w:sz w:val="24"/>
                <w:szCs w:val="24"/>
                <w:highlight w:val="none"/>
                <w:u w:color="000000"/>
                <w:lang w:val="en-US" w:eastAsia="zh-CN" w:bidi="ar"/>
              </w:rPr>
              <w:t>元</w:t>
            </w:r>
          </w:p>
          <w:p w14:paraId="0B593EEB">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color="000000"/>
                <w:lang w:val="en-US" w:eastAsia="zh-CN" w:bidi="ar"/>
              </w:rPr>
            </w:pPr>
          </w:p>
          <w:p w14:paraId="4FD08F45">
            <w:pPr>
              <w:keepNext w:val="0"/>
              <w:keepLines w:val="0"/>
              <w:widowControl/>
              <w:suppressLineNumbers w:val="0"/>
              <w:spacing w:before="0" w:beforeAutospacing="0" w:after="0" w:afterAutospacing="0" w:line="360" w:lineRule="auto"/>
              <w:ind w:left="0" w:right="0"/>
              <w:jc w:val="both"/>
              <w:rPr>
                <w:rFonts w:hint="default"/>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工期：</w:t>
            </w:r>
            <w:r>
              <w:rPr>
                <w:rFonts w:hint="eastAsia" w:ascii="宋体" w:hAnsi="宋体" w:eastAsia="宋体" w:cs="宋体"/>
                <w:color w:val="auto"/>
                <w:kern w:val="2"/>
                <w:sz w:val="24"/>
                <w:szCs w:val="24"/>
                <w:highlight w:val="none"/>
                <w:u w:val="single" w:color="000000"/>
                <w:lang w:val="en-US" w:eastAsia="zh-CN" w:bidi="ar"/>
              </w:rPr>
              <w:t xml:space="preserve">                        </w:t>
            </w:r>
          </w:p>
        </w:tc>
      </w:tr>
    </w:tbl>
    <w:p w14:paraId="35B37C1D">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p>
    <w:p w14:paraId="5B39EB2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法定代表人或授权委托人（签字或盖章）：         投标人（盖章）：</w:t>
      </w:r>
    </w:p>
    <w:p w14:paraId="06282E5B">
      <w:pPr>
        <w:keepNext w:val="0"/>
        <w:keepLines w:val="0"/>
        <w:widowControl/>
        <w:suppressLineNumbers w:val="0"/>
        <w:snapToGrid w:val="0"/>
        <w:spacing w:before="312" w:beforeLines="100" w:beforeAutospacing="0" w:after="312" w:afterLines="100" w:afterAutospacing="0" w:line="360" w:lineRule="auto"/>
        <w:ind w:left="0" w:right="0"/>
        <w:jc w:val="center"/>
        <w:rPr>
          <w:color w:val="auto"/>
          <w:highlight w:val="none"/>
          <w:lang w:val="en-US"/>
        </w:rPr>
      </w:pPr>
      <w:r>
        <w:rPr>
          <w:rFonts w:hint="eastAsia" w:ascii="宋体" w:hAnsi="宋体" w:eastAsia="宋体" w:cs="宋体"/>
          <w:color w:val="auto"/>
          <w:kern w:val="0"/>
          <w:sz w:val="24"/>
          <w:szCs w:val="24"/>
          <w:highlight w:val="none"/>
          <w:u w:color="000000"/>
          <w:lang w:val="en-US" w:eastAsia="zh-CN" w:bidi="ar"/>
        </w:rPr>
        <w:t xml:space="preserve">                                      日  期：    年   月   日 </w:t>
      </w:r>
    </w:p>
    <w:p w14:paraId="6E01043F">
      <w:pPr>
        <w:spacing w:line="360" w:lineRule="auto"/>
        <w:rPr>
          <w:rFonts w:hint="eastAsia" w:ascii="宋体" w:hAnsi="宋体" w:eastAsia="宋体" w:cs="宋体"/>
          <w:b/>
          <w:bCs w:val="0"/>
          <w:color w:val="auto"/>
          <w:kern w:val="0"/>
          <w:sz w:val="30"/>
          <w:szCs w:val="30"/>
          <w:highlight w:val="none"/>
          <w:lang w:val="en-US" w:eastAsia="zh-CN" w:bidi="ar"/>
        </w:rPr>
        <w:sectPr>
          <w:footerReference r:id="rId4" w:type="default"/>
          <w:pgSz w:w="11906" w:h="16838"/>
          <w:pgMar w:top="1440" w:right="1800" w:bottom="1440" w:left="1800" w:header="851" w:footer="992" w:gutter="0"/>
          <w:pgNumType w:fmt="decimal"/>
          <w:cols w:space="425" w:num="1"/>
          <w:docGrid w:type="lines" w:linePitch="312" w:charSpace="0"/>
        </w:sectPr>
      </w:pPr>
    </w:p>
    <w:p w14:paraId="54424D41">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附件5</w:t>
      </w:r>
    </w:p>
    <w:p w14:paraId="7B1CD580">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36"/>
          <w:szCs w:val="36"/>
          <w:highlight w:val="none"/>
          <w:u w:color="000000"/>
          <w:lang w:val="en-US" w:eastAsia="zh-CN" w:bidi="ar"/>
        </w:rPr>
        <w:t>投  标  函</w:t>
      </w:r>
    </w:p>
    <w:p w14:paraId="28FD246F">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致：</w:t>
      </w:r>
      <w:r>
        <w:rPr>
          <w:rFonts w:hint="eastAsia" w:ascii="宋体" w:hAnsi="宋体" w:eastAsia="宋体" w:cs="宋体"/>
          <w:color w:val="auto"/>
          <w:kern w:val="0"/>
          <w:sz w:val="24"/>
          <w:szCs w:val="24"/>
          <w:highlight w:val="none"/>
          <w:u w:val="single" w:color="000000"/>
          <w:lang w:val="en-US" w:eastAsia="zh-CN" w:bidi="ar"/>
        </w:rPr>
        <w:t xml:space="preserve">       (招标人)       </w:t>
      </w:r>
      <w:r>
        <w:rPr>
          <w:rFonts w:hint="eastAsia" w:ascii="宋体" w:hAnsi="宋体" w:eastAsia="宋体" w:cs="宋体"/>
          <w:color w:val="auto"/>
          <w:kern w:val="0"/>
          <w:sz w:val="24"/>
          <w:szCs w:val="24"/>
          <w:highlight w:val="none"/>
          <w:u w:color="000000"/>
          <w:lang w:val="en-US" w:eastAsia="zh-CN" w:bidi="ar"/>
        </w:rPr>
        <w:t xml:space="preserve"> </w:t>
      </w:r>
    </w:p>
    <w:p w14:paraId="759E66C0">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1.我们决定参加贵单位组织的“</w:t>
      </w:r>
      <w:r>
        <w:rPr>
          <w:rFonts w:hint="eastAsia" w:ascii="宋体" w:hAnsi="宋体" w:eastAsia="宋体" w:cs="宋体"/>
          <w:color w:val="auto"/>
          <w:kern w:val="0"/>
          <w:sz w:val="24"/>
          <w:szCs w:val="24"/>
          <w:highlight w:val="none"/>
          <w:u w:val="single" w:color="000000"/>
          <w:lang w:val="en-US" w:eastAsia="zh-CN" w:bidi="ar"/>
        </w:rPr>
        <w:t xml:space="preserve"> （项目名称）    </w:t>
      </w:r>
      <w:r>
        <w:rPr>
          <w:rFonts w:hint="eastAsia" w:ascii="宋体" w:hAnsi="宋体" w:eastAsia="宋体" w:cs="宋体"/>
          <w:color w:val="auto"/>
          <w:kern w:val="0"/>
          <w:sz w:val="24"/>
          <w:szCs w:val="24"/>
          <w:highlight w:val="none"/>
          <w:u w:color="000000"/>
          <w:lang w:val="en-US" w:eastAsia="zh-CN" w:bidi="ar"/>
        </w:rPr>
        <w:t xml:space="preserve">”的招标。我方授权 </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(姓名和职务)代表我方</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（投标单位的名称）全权处理本项目投标的有关事宜。</w:t>
      </w:r>
    </w:p>
    <w:p w14:paraId="6F6C2D0D">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2.我方愿意按照招标文件规定的各项要求，向招标人提供本项目的货物与服务，投标报价为人民币（大写）</w:t>
      </w:r>
      <w:r>
        <w:rPr>
          <w:rFonts w:hint="eastAsia" w:ascii="宋体" w:hAnsi="宋体" w:eastAsia="宋体" w:cs="宋体"/>
          <w:color w:val="auto"/>
          <w:kern w:val="0"/>
          <w:sz w:val="24"/>
          <w:szCs w:val="24"/>
          <w:highlight w:val="none"/>
          <w:u w:val="single" w:color="000000"/>
          <w:lang w:val="en-US" w:eastAsia="zh-CN" w:bidi="ar"/>
        </w:rPr>
        <w:t xml:space="preserve">                   （小写）         元</w:t>
      </w:r>
      <w:r>
        <w:rPr>
          <w:rFonts w:hint="eastAsia" w:ascii="宋体" w:hAnsi="宋体" w:eastAsia="宋体" w:cs="宋体"/>
          <w:color w:val="auto"/>
          <w:kern w:val="0"/>
          <w:sz w:val="24"/>
          <w:szCs w:val="24"/>
          <w:highlight w:val="none"/>
          <w:u w:color="000000"/>
          <w:lang w:val="en-US" w:eastAsia="zh-CN" w:bidi="ar"/>
        </w:rPr>
        <w:t>；</w:t>
      </w:r>
      <w:r>
        <w:rPr>
          <w:rFonts w:hint="eastAsia" w:ascii="宋体" w:hAnsi="宋体" w:eastAsia="宋体" w:cs="宋体"/>
          <w:color w:val="auto"/>
          <w:kern w:val="2"/>
          <w:sz w:val="24"/>
          <w:szCs w:val="24"/>
          <w:highlight w:val="none"/>
          <w:u w:color="000000"/>
          <w:lang w:val="en-US" w:eastAsia="zh-CN" w:bidi="ar"/>
        </w:rPr>
        <w:t>工期</w:t>
      </w:r>
      <w:r>
        <w:rPr>
          <w:rFonts w:hint="eastAsia" w:ascii="宋体" w:hAnsi="宋体" w:eastAsia="宋体" w:cs="宋体"/>
          <w:color w:val="auto"/>
          <w:kern w:val="0"/>
          <w:sz w:val="24"/>
          <w:szCs w:val="24"/>
          <w:highlight w:val="none"/>
          <w:u w:color="000000"/>
          <w:lang w:val="en-US" w:eastAsia="zh-CN" w:bidi="ar"/>
        </w:rPr>
        <w:t>：</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w:t>
      </w:r>
    </w:p>
    <w:p w14:paraId="0B76E31F">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3.一旦我方成为合同签字人，我方将严格履行合同规定的责任和义务。</w:t>
      </w:r>
    </w:p>
    <w:p w14:paraId="55DFB67B">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4.投标有效期：为</w:t>
      </w:r>
      <w:r>
        <w:rPr>
          <w:rFonts w:hint="eastAsia" w:ascii="宋体" w:hAnsi="宋体" w:eastAsia="宋体" w:cs="宋体"/>
          <w:color w:val="auto"/>
          <w:kern w:val="0"/>
          <w:sz w:val="24"/>
          <w:szCs w:val="24"/>
          <w:highlight w:val="none"/>
          <w:u w:val="single" w:color="auto"/>
          <w:lang w:val="en-US" w:eastAsia="zh-CN" w:bidi="ar"/>
        </w:rPr>
        <w:t xml:space="preserve"> 60 </w:t>
      </w:r>
      <w:r>
        <w:rPr>
          <w:rFonts w:hint="eastAsia" w:ascii="宋体" w:hAnsi="宋体" w:eastAsia="宋体" w:cs="宋体"/>
          <w:color w:val="auto"/>
          <w:kern w:val="0"/>
          <w:sz w:val="24"/>
          <w:szCs w:val="24"/>
          <w:highlight w:val="none"/>
          <w:u w:color="000000"/>
          <w:lang w:val="en-US" w:eastAsia="zh-CN" w:bidi="ar"/>
        </w:rPr>
        <w:t>日历天（从投标截止之日算起）。</w:t>
      </w:r>
    </w:p>
    <w:p w14:paraId="5FD9C970">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5.我方愿意提供可能另外要求的、与投标有关的文件资料，并保证我方已提供和将要提供的文件是真实的、准确的。</w:t>
      </w:r>
    </w:p>
    <w:p w14:paraId="1B49AAA5">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6.我单位提供如下通讯地址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，电子邮箱（地址）：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58C6553C">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default" w:ascii="Times New Roman" w:hAnsi="Times New Roman" w:eastAsia="宋体" w:cs="Times New Roman"/>
          <w:color w:val="auto"/>
          <w:kern w:val="0"/>
          <w:sz w:val="24"/>
          <w:szCs w:val="24"/>
          <w:highlight w:val="none"/>
          <w:u w:color="000000"/>
          <w:lang w:val="en-US" w:eastAsia="zh-CN" w:bidi="ar"/>
        </w:rPr>
        <w:t xml:space="preserve"> </w:t>
      </w:r>
    </w:p>
    <w:p w14:paraId="720350C4">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009180F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p w14:paraId="6939C05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6F5AE68F">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309EB380">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1AC0D13B">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56E27A99">
      <w:pPr>
        <w:keepNext w:val="0"/>
        <w:keepLines w:val="0"/>
        <w:widowControl/>
        <w:suppressLineNumbers w:val="0"/>
        <w:spacing w:before="0" w:beforeAutospacing="0" w:after="0" w:afterAutospacing="0" w:line="357" w:lineRule="atLeast"/>
        <w:ind w:left="0" w:right="-178" w:rightChars="-85" w:firstLine="2520" w:firstLineChars="105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p w14:paraId="23E2A5ED">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75E35018">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4F891CCD">
      <w:pPr>
        <w:rPr>
          <w:rFonts w:hint="eastAsia" w:ascii="宋体" w:hAnsi="宋体" w:eastAsia="宋体" w:cs="宋体"/>
          <w:b/>
          <w:bCs w:val="0"/>
          <w:color w:val="auto"/>
          <w:kern w:val="0"/>
          <w:sz w:val="36"/>
          <w:szCs w:val="36"/>
          <w:highlight w:val="none"/>
          <w:u w:color="000000"/>
          <w:lang w:val="en-US" w:eastAsia="zh-CN" w:bidi="ar"/>
        </w:rPr>
      </w:pPr>
      <w:r>
        <w:rPr>
          <w:rFonts w:hint="eastAsia" w:ascii="宋体" w:hAnsi="宋体" w:eastAsia="宋体" w:cs="宋体"/>
          <w:b/>
          <w:bCs w:val="0"/>
          <w:color w:val="auto"/>
          <w:kern w:val="0"/>
          <w:sz w:val="36"/>
          <w:szCs w:val="36"/>
          <w:highlight w:val="none"/>
          <w:u w:color="000000"/>
          <w:lang w:val="en-US" w:eastAsia="zh-CN" w:bidi="ar"/>
        </w:rPr>
        <w:br w:type="page"/>
      </w:r>
    </w:p>
    <w:p w14:paraId="13E76AE2">
      <w:pPr>
        <w:pStyle w:val="21"/>
        <w:widowControl/>
        <w:spacing w:before="0" w:beforeAutospacing="0" w:after="0" w:afterAutospacing="0" w:line="375" w:lineRule="atLeast"/>
        <w:ind w:left="0" w:right="0"/>
        <w:jc w:val="center"/>
        <w:outlineLvl w:val="0"/>
        <w:rPr>
          <w:b/>
          <w:bCs w:val="0"/>
          <w:color w:val="auto"/>
          <w:sz w:val="32"/>
          <w:szCs w:val="32"/>
          <w:highlight w:val="none"/>
          <w:lang w:val="en-US"/>
        </w:rPr>
      </w:pPr>
      <w:bookmarkStart w:id="101" w:name="_Toc6275_WPSOffice_Level1"/>
      <w:bookmarkEnd w:id="101"/>
      <w:r>
        <w:rPr>
          <w:b/>
          <w:bCs w:val="0"/>
          <w:color w:val="auto"/>
          <w:sz w:val="32"/>
          <w:szCs w:val="32"/>
          <w:highlight w:val="none"/>
          <w:lang w:eastAsia="zh-CN"/>
        </w:rPr>
        <w:t>第</w:t>
      </w:r>
      <w:r>
        <w:rPr>
          <w:rFonts w:hint="eastAsia"/>
          <w:b/>
          <w:bCs w:val="0"/>
          <w:color w:val="auto"/>
          <w:sz w:val="32"/>
          <w:szCs w:val="32"/>
          <w:highlight w:val="none"/>
          <w:lang w:val="en-US" w:eastAsia="zh-CN"/>
        </w:rPr>
        <w:t>八</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p>
    <w:tbl>
      <w:tblPr>
        <w:tblStyle w:val="23"/>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1A3B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71D4B23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12D21BB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000000"/>
                <w:lang w:val="en-US" w:eastAsia="zh-CN" w:bidi="ar"/>
              </w:rPr>
              <w:t>滁州至南京城际铁路（滁州段）一期、二期重点区域加装围墙防爬刺项目</w:t>
            </w:r>
            <w:r>
              <w:rPr>
                <w:rFonts w:hint="eastAsia" w:ascii="宋体" w:hAnsi="宋体" w:eastAsia="宋体" w:cs="宋体"/>
                <w:color w:val="auto"/>
                <w:kern w:val="2"/>
                <w:sz w:val="28"/>
                <w:szCs w:val="28"/>
                <w:highlight w:val="none"/>
                <w:u w:color="000000"/>
                <w:lang w:val="en-US" w:eastAsia="zh-CN" w:bidi="ar"/>
              </w:rPr>
              <w:t>招标文件进行确认。</w:t>
            </w:r>
          </w:p>
          <w:p w14:paraId="06DCC0E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招标人：滁州市滁宁城际铁路开发建设有限公司 </w:t>
            </w:r>
          </w:p>
          <w:p w14:paraId="422F30B2">
            <w:pPr>
              <w:keepNext w:val="0"/>
              <w:keepLines w:val="0"/>
              <w:widowControl/>
              <w:suppressLineNumbers w:val="0"/>
              <w:spacing w:before="0" w:beforeAutospacing="0" w:after="0" w:afterAutospacing="0" w:line="720" w:lineRule="exact"/>
              <w:ind w:left="0" w:right="0" w:firstLine="560" w:firstLineChars="200"/>
              <w:jc w:val="both"/>
              <w:rPr>
                <w:rFonts w:hint="default"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联系人：杨雅辰</w:t>
            </w:r>
          </w:p>
          <w:p w14:paraId="58B0E9E2">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联系电话：13339207910</w:t>
            </w:r>
          </w:p>
          <w:p w14:paraId="113352A3">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w:t>
            </w:r>
          </w:p>
          <w:p w14:paraId="30212E6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4FEF71AD">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5EC6C013">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52F681E5">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2026年1月</w:t>
            </w:r>
          </w:p>
          <w:p w14:paraId="56DEE5B6">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4A4A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3BB393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5FFB4BD4">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65F08E38">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经办人：周蓓蕾</w:t>
            </w:r>
          </w:p>
          <w:p w14:paraId="57C79F2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电话：0550-3519519、18005505728</w:t>
            </w:r>
          </w:p>
          <w:p w14:paraId="4C067E4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445B7223">
            <w:pPr>
              <w:pStyle w:val="6"/>
              <w:widowControl/>
              <w:spacing w:before="0" w:beforeAutospacing="0" w:after="120" w:afterAutospacing="0"/>
              <w:ind w:leftChars="200" w:right="0" w:firstLine="560"/>
              <w:rPr>
                <w:color w:val="auto"/>
                <w:kern w:val="2"/>
                <w:sz w:val="28"/>
                <w:szCs w:val="28"/>
                <w:highlight w:val="none"/>
                <w:lang w:val="en-US"/>
              </w:rPr>
            </w:pPr>
          </w:p>
          <w:p w14:paraId="1F2F0EB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72BE766B">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828CB58">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0C15B413">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2026年1月</w:t>
            </w:r>
          </w:p>
        </w:tc>
      </w:tr>
    </w:tbl>
    <w:p w14:paraId="7C616BD9">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 w:name="宋体-18030">
    <w:altName w:val="宋体"/>
    <w:panose1 w:val="00000000000000000000"/>
    <w:charset w:val="86"/>
    <w:family w:val="modern"/>
    <w:pitch w:val="default"/>
    <w:sig w:usb0="00000000" w:usb1="00000000" w:usb2="00000010" w:usb3="00000000" w:csb0="00040000" w:csb1="00000000"/>
  </w:font>
  <w:font w:name="Times New Roman (正文 CS 字体)">
    <w:altName w:val="宋体"/>
    <w:panose1 w:val="00000000000000000000"/>
    <w:charset w:val="86"/>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ED0A">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74653">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3E74653">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AC4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0C545">
                          <w:pPr>
                            <w:pStyle w:val="15"/>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DB0C545">
                    <w:pPr>
                      <w:pStyle w:val="15"/>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4F3AC"/>
    <w:multiLevelType w:val="singleLevel"/>
    <w:tmpl w:val="8F54F3AC"/>
    <w:lvl w:ilvl="0" w:tentative="0">
      <w:start w:val="2"/>
      <w:numFmt w:val="chineseCounting"/>
      <w:suff w:val="space"/>
      <w:lvlText w:val="第%1章"/>
      <w:lvlJc w:val="left"/>
      <w:rPr>
        <w:rFonts w:hint="eastAsia"/>
      </w:rPr>
    </w:lvl>
  </w:abstractNum>
  <w:abstractNum w:abstractNumId="1">
    <w:nsid w:val="C46C6862"/>
    <w:multiLevelType w:val="singleLevel"/>
    <w:tmpl w:val="C46C6862"/>
    <w:lvl w:ilvl="0" w:tentative="0">
      <w:start w:val="5"/>
      <w:numFmt w:val="chineseCounting"/>
      <w:suff w:val="space"/>
      <w:lvlText w:val="第%1章"/>
      <w:lvlJc w:val="left"/>
      <w:rPr>
        <w:rFonts w:hint="eastAsia"/>
      </w:rPr>
    </w:lvl>
  </w:abstractNum>
  <w:abstractNum w:abstractNumId="2">
    <w:nsid w:val="F4A311EA"/>
    <w:multiLevelType w:val="singleLevel"/>
    <w:tmpl w:val="F4A311EA"/>
    <w:lvl w:ilvl="0" w:tentative="0">
      <w:start w:val="3"/>
      <w:numFmt w:val="decimal"/>
      <w:suff w:val="nothing"/>
      <w:lvlText w:val="%1．"/>
      <w:lvlJc w:val="left"/>
    </w:lvl>
  </w:abstractNum>
  <w:abstractNum w:abstractNumId="3">
    <w:nsid w:val="2C0E891D"/>
    <w:multiLevelType w:val="multilevel"/>
    <w:tmpl w:val="2C0E891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4E8B8FD"/>
    <w:multiLevelType w:val="singleLevel"/>
    <w:tmpl w:val="44E8B8FD"/>
    <w:lvl w:ilvl="0" w:tentative="0">
      <w:start w:val="6"/>
      <w:numFmt w:val="chineseCounting"/>
      <w:suff w:val="space"/>
      <w:lvlText w:val="第%1章"/>
      <w:lvlJc w:val="left"/>
      <w:rPr>
        <w:rFonts w:hint="eastAsia"/>
      </w:rPr>
    </w:lvl>
  </w:abstractNum>
  <w:abstractNum w:abstractNumId="5">
    <w:nsid w:val="76057C8D"/>
    <w:multiLevelType w:val="multilevel"/>
    <w:tmpl w:val="76057C8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950983"/>
    <w:rsid w:val="01D118B5"/>
    <w:rsid w:val="01E872A1"/>
    <w:rsid w:val="032031D0"/>
    <w:rsid w:val="03471A81"/>
    <w:rsid w:val="06D54ED0"/>
    <w:rsid w:val="07C425FF"/>
    <w:rsid w:val="0AFF501E"/>
    <w:rsid w:val="0B8C2605"/>
    <w:rsid w:val="0CEF01A1"/>
    <w:rsid w:val="0D4228C9"/>
    <w:rsid w:val="0EBB3464"/>
    <w:rsid w:val="0F5A3543"/>
    <w:rsid w:val="0FC82D5D"/>
    <w:rsid w:val="101C4945"/>
    <w:rsid w:val="11273F56"/>
    <w:rsid w:val="12431559"/>
    <w:rsid w:val="14334ED5"/>
    <w:rsid w:val="147673EE"/>
    <w:rsid w:val="162403C8"/>
    <w:rsid w:val="1A2C0203"/>
    <w:rsid w:val="1B0B6A26"/>
    <w:rsid w:val="1CF617FA"/>
    <w:rsid w:val="1DD7722D"/>
    <w:rsid w:val="1E474369"/>
    <w:rsid w:val="1FBE5586"/>
    <w:rsid w:val="2035457B"/>
    <w:rsid w:val="204506D8"/>
    <w:rsid w:val="20F63292"/>
    <w:rsid w:val="21391D2B"/>
    <w:rsid w:val="21FC6157"/>
    <w:rsid w:val="222D5B93"/>
    <w:rsid w:val="239955A4"/>
    <w:rsid w:val="271F6EDF"/>
    <w:rsid w:val="27427F5F"/>
    <w:rsid w:val="287E4991"/>
    <w:rsid w:val="28FD1B10"/>
    <w:rsid w:val="30F76170"/>
    <w:rsid w:val="32013042"/>
    <w:rsid w:val="323852C9"/>
    <w:rsid w:val="32812567"/>
    <w:rsid w:val="32AB6635"/>
    <w:rsid w:val="39196E3A"/>
    <w:rsid w:val="3D7F110E"/>
    <w:rsid w:val="3D8B68BD"/>
    <w:rsid w:val="3F3A5217"/>
    <w:rsid w:val="3FDC1609"/>
    <w:rsid w:val="40585B1F"/>
    <w:rsid w:val="41C76417"/>
    <w:rsid w:val="42AB7679"/>
    <w:rsid w:val="42F933B2"/>
    <w:rsid w:val="440F4D94"/>
    <w:rsid w:val="44121234"/>
    <w:rsid w:val="45132EF4"/>
    <w:rsid w:val="45602117"/>
    <w:rsid w:val="46501639"/>
    <w:rsid w:val="474318BA"/>
    <w:rsid w:val="47DC16A5"/>
    <w:rsid w:val="491938C4"/>
    <w:rsid w:val="49560276"/>
    <w:rsid w:val="4B8A2C90"/>
    <w:rsid w:val="4C3857CB"/>
    <w:rsid w:val="4F522371"/>
    <w:rsid w:val="4FA1515E"/>
    <w:rsid w:val="510E11AC"/>
    <w:rsid w:val="5523352E"/>
    <w:rsid w:val="57D3727A"/>
    <w:rsid w:val="5AB972A9"/>
    <w:rsid w:val="5AC41FE9"/>
    <w:rsid w:val="5D2B5019"/>
    <w:rsid w:val="5D322B2E"/>
    <w:rsid w:val="5D7002D3"/>
    <w:rsid w:val="604D11B9"/>
    <w:rsid w:val="62C47C43"/>
    <w:rsid w:val="62F928A2"/>
    <w:rsid w:val="6509245E"/>
    <w:rsid w:val="668A652A"/>
    <w:rsid w:val="6EA934B6"/>
    <w:rsid w:val="706E041E"/>
    <w:rsid w:val="72A03324"/>
    <w:rsid w:val="746B63CF"/>
    <w:rsid w:val="746C0AE0"/>
    <w:rsid w:val="74C85615"/>
    <w:rsid w:val="75843174"/>
    <w:rsid w:val="760F0C92"/>
    <w:rsid w:val="76B7003F"/>
    <w:rsid w:val="79757E4E"/>
    <w:rsid w:val="7A2A6204"/>
    <w:rsid w:val="7AF5326F"/>
    <w:rsid w:val="7B583976"/>
    <w:rsid w:val="7C5E3F2C"/>
    <w:rsid w:val="7D256A57"/>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34"/>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3">
    <w:name w:val="heading 3"/>
    <w:basedOn w:val="1"/>
    <w:next w:val="1"/>
    <w:qFormat/>
    <w:uiPriority w:val="0"/>
    <w:pPr>
      <w:keepNext/>
      <w:keepLines/>
      <w:outlineLvl w:val="2"/>
    </w:pPr>
    <w:rPr>
      <w:kern w:val="0"/>
      <w:sz w:val="28"/>
      <w:szCs w:val="20"/>
    </w:rPr>
  </w:style>
  <w:style w:type="character" w:default="1" w:styleId="25">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Normal Indent"/>
    <w:basedOn w:val="1"/>
    <w:next w:val="6"/>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6">
    <w:name w:val="Body Text First Indent 2"/>
    <w:basedOn w:val="7"/>
    <w:next w:val="1"/>
    <w:link w:val="32"/>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7">
    <w:name w:val="Body Text Indent"/>
    <w:basedOn w:val="1"/>
    <w:next w:val="8"/>
    <w:link w:val="31"/>
    <w:qFormat/>
    <w:uiPriority w:val="0"/>
    <w:pPr>
      <w:spacing w:after="120" w:afterLines="0" w:afterAutospacing="0"/>
      <w:ind w:left="420" w:leftChars="200"/>
    </w:pPr>
  </w:style>
  <w:style w:type="paragraph" w:styleId="8">
    <w:name w:val="envelope return"/>
    <w:basedOn w:val="1"/>
    <w:next w:val="4"/>
    <w:qFormat/>
    <w:uiPriority w:val="0"/>
    <w:pPr>
      <w:snapToGrid w:val="0"/>
    </w:pPr>
    <w:rPr>
      <w:rFonts w:ascii="Arial" w:hAnsi="Arial"/>
    </w:rPr>
  </w:style>
  <w:style w:type="paragraph" w:styleId="9">
    <w:name w:val="annotation text"/>
    <w:basedOn w:val="1"/>
    <w:qFormat/>
    <w:uiPriority w:val="0"/>
    <w:pPr>
      <w:jc w:val="left"/>
    </w:p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qFormat/>
    <w:uiPriority w:val="0"/>
    <w:pPr>
      <w:widowControl w:val="0"/>
      <w:snapToGrid w:val="0"/>
      <w:spacing w:line="360" w:lineRule="auto"/>
    </w:pPr>
    <w:rPr>
      <w:rFonts w:ascii="Arial" w:hAnsi="Arial" w:eastAsia="仿宋_GB2312"/>
      <w:sz w:val="31"/>
    </w:rPr>
  </w:style>
  <w:style w:type="paragraph" w:styleId="12">
    <w:name w:val="toc 3"/>
    <w:basedOn w:val="1"/>
    <w:next w:val="1"/>
    <w:qFormat/>
    <w:uiPriority w:val="39"/>
    <w:pPr>
      <w:jc w:val="left"/>
    </w:pPr>
    <w:rPr>
      <w:rFonts w:ascii="Calibri" w:hAnsi="Calibri"/>
      <w:smallCaps/>
      <w:sz w:val="22"/>
      <w:szCs w:val="22"/>
    </w:rPr>
  </w:style>
  <w:style w:type="paragraph" w:styleId="13">
    <w:name w:val="Plain Text"/>
    <w:basedOn w:val="1"/>
    <w:link w:val="36"/>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4">
    <w:name w:val="Date"/>
    <w:basedOn w:val="1"/>
    <w:next w:val="1"/>
    <w:link w:val="33"/>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5">
    <w:name w:val="footer"/>
    <w:basedOn w:val="1"/>
    <w:link w:val="37"/>
    <w:qFormat/>
    <w:uiPriority w:val="0"/>
    <w:pPr>
      <w:tabs>
        <w:tab w:val="center" w:pos="4153"/>
        <w:tab w:val="right" w:pos="8306"/>
      </w:tabs>
      <w:snapToGrid w:val="0"/>
      <w:jc w:val="left"/>
    </w:pPr>
    <w:rPr>
      <w:sz w:val="18"/>
    </w:rPr>
  </w:style>
  <w:style w:type="paragraph" w:styleId="16">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spacing w:before="120" w:after="120"/>
      <w:jc w:val="left"/>
    </w:pPr>
    <w:rPr>
      <w:b/>
      <w:bCs/>
      <w:caps/>
      <w:sz w:val="20"/>
    </w:rPr>
  </w:style>
  <w:style w:type="paragraph" w:styleId="18">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19">
    <w:name w:val="footnote text"/>
    <w:basedOn w:val="1"/>
    <w:semiHidden/>
    <w:unhideWhenUsed/>
    <w:qFormat/>
    <w:uiPriority w:val="99"/>
    <w:pPr>
      <w:snapToGrid w:val="0"/>
      <w:jc w:val="left"/>
    </w:pPr>
    <w:rPr>
      <w:sz w:val="18"/>
    </w:rPr>
  </w:style>
  <w:style w:type="paragraph" w:styleId="20">
    <w:name w:val="Body Text 2"/>
    <w:basedOn w:val="1"/>
    <w:qFormat/>
    <w:uiPriority w:val="0"/>
    <w:rPr>
      <w:kern w:val="0"/>
      <w:sz w:val="24"/>
    </w:rPr>
  </w:style>
  <w:style w:type="paragraph" w:styleId="21">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2">
    <w:name w:val="Body Text First Indent"/>
    <w:basedOn w:val="11"/>
    <w:qFormat/>
    <w:uiPriority w:val="0"/>
    <w:pPr>
      <w:adjustRightInd/>
      <w:spacing w:after="120" w:line="240" w:lineRule="auto"/>
      <w:ind w:firstLine="420" w:firstLineChars="100"/>
      <w:jc w:val="both"/>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99"/>
  </w:style>
  <w:style w:type="character" w:styleId="27">
    <w:name w:val="Hyperlink"/>
    <w:qFormat/>
    <w:uiPriority w:val="99"/>
    <w:rPr>
      <w:color w:val="0000FF"/>
      <w:u w:val="single"/>
    </w:rPr>
  </w:style>
  <w:style w:type="character" w:styleId="28">
    <w:name w:val="footnote reference"/>
    <w:basedOn w:val="25"/>
    <w:semiHidden/>
    <w:unhideWhenUsed/>
    <w:qFormat/>
    <w:uiPriority w:val="99"/>
    <w:rPr>
      <w:vertAlign w:val="superscript"/>
    </w:rPr>
  </w:style>
  <w:style w:type="paragraph" w:customStyle="1" w:styleId="29">
    <w:name w:val="正文文字 8"/>
    <w:basedOn w:val="1"/>
    <w:next w:val="1"/>
    <w:qFormat/>
    <w:uiPriority w:val="0"/>
    <w:pPr>
      <w:ind w:left="240"/>
    </w:pPr>
    <w:rPr>
      <w:sz w:val="16"/>
    </w:rPr>
  </w:style>
  <w:style w:type="paragraph" w:customStyle="1" w:styleId="30">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31">
    <w:name w:val="正文文本缩进 Char"/>
    <w:basedOn w:val="25"/>
    <w:link w:val="7"/>
    <w:qFormat/>
    <w:uiPriority w:val="0"/>
    <w:rPr>
      <w:rFonts w:hint="default" w:ascii="Times New Roman" w:hAnsi="Times New Roman" w:eastAsia="宋体" w:cs="Times New Roman"/>
      <w:color w:val="000000"/>
      <w:kern w:val="0"/>
      <w:szCs w:val="21"/>
      <w:u w:color="000000"/>
    </w:rPr>
  </w:style>
  <w:style w:type="character" w:customStyle="1" w:styleId="32">
    <w:name w:val="正文首行缩进 2 Char"/>
    <w:basedOn w:val="31"/>
    <w:link w:val="6"/>
    <w:qFormat/>
    <w:uiPriority w:val="0"/>
    <w:rPr>
      <w:rFonts w:hint="default" w:ascii="Times New Roman" w:hAnsi="Times New Roman" w:eastAsia="宋体" w:cs="Times New Roman"/>
      <w:color w:val="000000"/>
      <w:kern w:val="0"/>
      <w:szCs w:val="21"/>
      <w:u w:color="000000"/>
    </w:rPr>
  </w:style>
  <w:style w:type="character" w:customStyle="1" w:styleId="33">
    <w:name w:val="日期 Char"/>
    <w:basedOn w:val="25"/>
    <w:link w:val="14"/>
    <w:qFormat/>
    <w:uiPriority w:val="0"/>
    <w:rPr>
      <w:rFonts w:ascii="Arial" w:hAnsi="Arial" w:eastAsia="仿宋_GB2312" w:cs="Arial"/>
      <w:color w:val="000000"/>
      <w:sz w:val="32"/>
      <w:szCs w:val="32"/>
      <w:u w:color="000000"/>
    </w:rPr>
  </w:style>
  <w:style w:type="character" w:customStyle="1" w:styleId="34">
    <w:name w:val="标题 2 Char"/>
    <w:basedOn w:val="25"/>
    <w:link w:val="2"/>
    <w:qFormat/>
    <w:uiPriority w:val="0"/>
    <w:rPr>
      <w:rFonts w:hint="default" w:ascii="Times New Roman" w:hAnsi="Times New Roman" w:eastAsia="宋体" w:cs="Times New Roman"/>
      <w:kern w:val="0"/>
      <w:sz w:val="24"/>
      <w:szCs w:val="24"/>
    </w:rPr>
  </w:style>
  <w:style w:type="character" w:customStyle="1" w:styleId="35">
    <w:name w:val="页眉 Char"/>
    <w:basedOn w:val="25"/>
    <w:link w:val="16"/>
    <w:qFormat/>
    <w:uiPriority w:val="0"/>
    <w:rPr>
      <w:rFonts w:hint="default" w:ascii="Times New Roman" w:hAnsi="Times New Roman" w:eastAsia="宋体" w:cs="Times New Roman"/>
      <w:color w:val="000000"/>
      <w:kern w:val="0"/>
      <w:sz w:val="18"/>
      <w:szCs w:val="18"/>
      <w:u w:color="000000"/>
    </w:rPr>
  </w:style>
  <w:style w:type="character" w:customStyle="1" w:styleId="36">
    <w:name w:val="纯文本 Char"/>
    <w:basedOn w:val="25"/>
    <w:link w:val="13"/>
    <w:qFormat/>
    <w:uiPriority w:val="0"/>
    <w:rPr>
      <w:rFonts w:hint="eastAsia" w:ascii="宋体" w:hAnsi="宋体" w:eastAsia="宋体" w:cs="宋体"/>
      <w:szCs w:val="21"/>
    </w:rPr>
  </w:style>
  <w:style w:type="character" w:customStyle="1" w:styleId="37">
    <w:name w:val="页脚 Char"/>
    <w:basedOn w:val="25"/>
    <w:link w:val="15"/>
    <w:qFormat/>
    <w:uiPriority w:val="0"/>
    <w:rPr>
      <w:rFonts w:hint="default" w:ascii="Times New Roman" w:hAnsi="Times New Roman" w:eastAsia="宋体" w:cs="Times New Roman"/>
      <w:color w:val="000000"/>
      <w:kern w:val="0"/>
      <w:sz w:val="18"/>
      <w:szCs w:val="18"/>
      <w:u w:color="000000"/>
    </w:rPr>
  </w:style>
  <w:style w:type="paragraph" w:customStyle="1" w:styleId="38">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39">
    <w:name w:val="List Paragraph"/>
    <w:basedOn w:val="1"/>
    <w:qFormat/>
    <w:uiPriority w:val="0"/>
    <w:pPr>
      <w:widowControl w:val="0"/>
      <w:spacing w:line="240" w:lineRule="auto"/>
      <w:ind w:firstLine="200" w:firstLineChars="200"/>
      <w:textAlignment w:val="auto"/>
    </w:pPr>
    <w:rPr>
      <w:u w:val="none" w:color="000000"/>
    </w:rPr>
  </w:style>
  <w:style w:type="character" w:customStyle="1" w:styleId="40">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2">
    <w:name w:val="font51"/>
    <w:basedOn w:val="25"/>
    <w:qFormat/>
    <w:uiPriority w:val="0"/>
    <w:rPr>
      <w:rFonts w:hint="eastAsia" w:ascii="宋体" w:hAnsi="宋体" w:eastAsia="宋体" w:cs="宋体"/>
      <w:color w:val="000000"/>
      <w:sz w:val="22"/>
      <w:szCs w:val="22"/>
      <w:u w:val="none"/>
    </w:rPr>
  </w:style>
  <w:style w:type="character" w:customStyle="1" w:styleId="43">
    <w:name w:val="font31"/>
    <w:basedOn w:val="25"/>
    <w:qFormat/>
    <w:uiPriority w:val="0"/>
    <w:rPr>
      <w:rFonts w:hint="default" w:ascii="Times New Roman" w:hAnsi="Times New Roman" w:cs="Times New Roman"/>
      <w:color w:val="000000"/>
      <w:sz w:val="22"/>
      <w:szCs w:val="22"/>
      <w:u w:val="none"/>
    </w:rPr>
  </w:style>
  <w:style w:type="character" w:customStyle="1" w:styleId="44">
    <w:name w:val="font61"/>
    <w:basedOn w:val="25"/>
    <w:qFormat/>
    <w:uiPriority w:val="0"/>
    <w:rPr>
      <w:rFonts w:hint="default" w:ascii="Times New Roman" w:hAnsi="Times New Roman" w:cs="Times New Roman"/>
      <w:color w:val="000000"/>
      <w:sz w:val="21"/>
      <w:szCs w:val="21"/>
      <w:u w:val="none"/>
    </w:rPr>
  </w:style>
  <w:style w:type="character" w:customStyle="1" w:styleId="45">
    <w:name w:val="font71"/>
    <w:basedOn w:val="25"/>
    <w:qFormat/>
    <w:uiPriority w:val="0"/>
    <w:rPr>
      <w:rFonts w:hint="eastAsia" w:ascii="宋体" w:hAnsi="宋体" w:eastAsia="宋体" w:cs="宋体"/>
      <w:color w:val="000000"/>
      <w:sz w:val="21"/>
      <w:szCs w:val="21"/>
      <w:u w:val="none"/>
    </w:rPr>
  </w:style>
  <w:style w:type="character" w:customStyle="1" w:styleId="46">
    <w:name w:val="font01"/>
    <w:basedOn w:val="25"/>
    <w:qFormat/>
    <w:uiPriority w:val="0"/>
    <w:rPr>
      <w:rFonts w:hint="eastAsia" w:ascii="宋体" w:hAnsi="宋体" w:eastAsia="宋体" w:cs="宋体"/>
      <w:color w:val="000000"/>
      <w:sz w:val="22"/>
      <w:szCs w:val="22"/>
      <w:u w:val="none"/>
    </w:rPr>
  </w:style>
  <w:style w:type="character" w:customStyle="1" w:styleId="47">
    <w:name w:val="font11"/>
    <w:basedOn w:val="25"/>
    <w:qFormat/>
    <w:uiPriority w:val="0"/>
    <w:rPr>
      <w:rFonts w:hint="eastAsia" w:ascii="宋体" w:hAnsi="宋体" w:eastAsia="宋体" w:cs="宋体"/>
      <w:color w:val="000000"/>
      <w:sz w:val="21"/>
      <w:szCs w:val="21"/>
      <w:u w:val="none"/>
    </w:rPr>
  </w:style>
  <w:style w:type="character" w:customStyle="1" w:styleId="48">
    <w:name w:val="font41"/>
    <w:basedOn w:val="25"/>
    <w:qFormat/>
    <w:uiPriority w:val="0"/>
    <w:rPr>
      <w:rFonts w:hint="default" w:ascii="Times New Roman" w:hAnsi="Times New Roman" w:cs="Times New Roman"/>
      <w:color w:val="000000"/>
      <w:sz w:val="22"/>
      <w:szCs w:val="22"/>
      <w:u w:val="none"/>
    </w:rPr>
  </w:style>
  <w:style w:type="paragraph" w:customStyle="1" w:styleId="49">
    <w:name w:val="二级标题"/>
    <w:basedOn w:val="1"/>
    <w:next w:val="1"/>
    <w:qFormat/>
    <w:uiPriority w:val="0"/>
    <w:rPr>
      <w:rFonts w:hint="eastAsia" w:eastAsia="楷体"/>
    </w:rPr>
  </w:style>
  <w:style w:type="paragraph" w:customStyle="1" w:styleId="50">
    <w:name w:val="首行缩进"/>
    <w:basedOn w:val="1"/>
    <w:qFormat/>
    <w:uiPriority w:val="0"/>
    <w:pPr>
      <w:ind w:firstLine="480" w:firstLineChars="200"/>
    </w:pPr>
    <w:rPr>
      <w:rFonts w:eastAsia="楷体_GB2312"/>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10206</Words>
  <Characters>10924</Characters>
  <Lines>0</Lines>
  <Paragraphs>0</Paragraphs>
  <TotalTime>1</TotalTime>
  <ScaleCrop>false</ScaleCrop>
  <LinksUpToDate>false</LinksUpToDate>
  <CharactersWithSpaces>11357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傻傻一辈子</cp:lastModifiedBy>
  <cp:lastPrinted>2023-11-23T14:11:00Z</cp:lastPrinted>
  <dcterms:modified xsi:type="dcterms:W3CDTF">2026-01-19T10:59:50Z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6D9A791FE09F4AF69DC46F4A104A7358</vt:lpwstr>
  </property>
  <property fmtid="{D5CDD505-2E9C-101B-9397-08002B2CF9AE}" pid="4" name="KSOTemplateDocerSaveRecord">
    <vt:lpwstr>eyJoZGlkIjoiMTljMDcwYWJmYjExZWQzNTVmZDAzZTYwM2JlMzJmZDYiLCJ1c2VySWQiOiIzODU2Mzk2OTQifQ==</vt:lpwstr>
  </property>
</Properties>
</file>