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3694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7AE7F68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432D040D">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97AA04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1538CE0A">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2024版</w:t>
      </w:r>
      <w:r>
        <w:rPr>
          <w:rFonts w:hint="eastAsia" w:ascii="宋体" w:hAnsi="宋体" w:eastAsia="宋体"/>
          <w:b/>
          <w:bCs/>
          <w:color w:val="auto"/>
          <w:sz w:val="52"/>
          <w:szCs w:val="52"/>
          <w:highlight w:val="none"/>
          <w:lang w:eastAsia="zh-CN"/>
        </w:rPr>
        <w:t>）</w:t>
      </w:r>
    </w:p>
    <w:p w14:paraId="33905E4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76FA39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A837B5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F94592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74C221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F551E01">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spacing w:val="0"/>
          <w:kern w:val="0"/>
          <w:sz w:val="32"/>
          <w:szCs w:val="32"/>
          <w:highlight w:val="none"/>
        </w:rPr>
      </w:pPr>
    </w:p>
    <w:p w14:paraId="518E24DB">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spacing w:val="0"/>
          <w:kern w:val="0"/>
          <w:sz w:val="32"/>
          <w:szCs w:val="32"/>
          <w:highlight w:val="none"/>
        </w:rPr>
      </w:pPr>
    </w:p>
    <w:p w14:paraId="139D6A5C">
      <w:pPr>
        <w:tabs>
          <w:tab w:val="left" w:pos="2410"/>
        </w:tabs>
        <w:autoSpaceDE w:val="0"/>
        <w:autoSpaceDN w:val="0"/>
        <w:adjustRightInd w:val="0"/>
        <w:snapToGrid w:val="0"/>
        <w:spacing w:line="360" w:lineRule="auto"/>
        <w:ind w:left="2244" w:leftChars="304" w:hanging="1606" w:hangingChars="500"/>
        <w:rPr>
          <w:rFonts w:hint="default" w:ascii="宋体" w:hAnsi="宋体" w:eastAsia="宋体"/>
          <w:b/>
          <w:color w:val="auto"/>
          <w:spacing w:val="0"/>
          <w:kern w:val="0"/>
          <w:sz w:val="32"/>
          <w:szCs w:val="32"/>
          <w:highlight w:val="none"/>
          <w:lang w:val="en-US" w:eastAsia="zh-CN"/>
        </w:rPr>
      </w:pPr>
      <w:r>
        <w:rPr>
          <w:rFonts w:hint="eastAsia" w:ascii="宋体" w:hAnsi="宋体" w:eastAsia="宋体"/>
          <w:b/>
          <w:color w:val="auto"/>
          <w:spacing w:val="0"/>
          <w:kern w:val="0"/>
          <w:sz w:val="32"/>
          <w:szCs w:val="32"/>
          <w:highlight w:val="none"/>
        </w:rPr>
        <w:t>项目名称：</w:t>
      </w:r>
      <w:r>
        <w:rPr>
          <w:rFonts w:hint="eastAsia" w:ascii="宋体" w:hAnsi="宋体" w:eastAsia="宋体"/>
          <w:b/>
          <w:color w:val="auto"/>
          <w:spacing w:val="0"/>
          <w:kern w:val="0"/>
          <w:sz w:val="32"/>
          <w:szCs w:val="32"/>
          <w:highlight w:val="none"/>
          <w:u w:val="single"/>
          <w:lang w:val="en-US" w:eastAsia="zh-CN"/>
        </w:rPr>
        <w:t>南谯区各镇单元详细规划编制工作项目</w:t>
      </w:r>
    </w:p>
    <w:p w14:paraId="53C74886">
      <w:pPr>
        <w:tabs>
          <w:tab w:val="left" w:pos="2410"/>
        </w:tabs>
        <w:autoSpaceDE w:val="0"/>
        <w:autoSpaceDN w:val="0"/>
        <w:adjustRightInd w:val="0"/>
        <w:snapToGrid w:val="0"/>
        <w:spacing w:line="360" w:lineRule="auto"/>
        <w:ind w:firstLine="643" w:firstLineChars="200"/>
        <w:rPr>
          <w:rFonts w:hint="default" w:ascii="宋体" w:hAnsi="宋体" w:eastAsia="宋体"/>
          <w:b/>
          <w:color w:val="auto"/>
          <w:spacing w:val="0"/>
          <w:kern w:val="0"/>
          <w:sz w:val="32"/>
          <w:szCs w:val="32"/>
          <w:highlight w:val="none"/>
          <w:lang w:val="en-US"/>
        </w:rPr>
      </w:pPr>
      <w:r>
        <w:rPr>
          <w:rFonts w:hint="eastAsia" w:ascii="宋体" w:hAnsi="宋体" w:eastAsia="宋体"/>
          <w:b/>
          <w:color w:val="auto"/>
          <w:spacing w:val="0"/>
          <w:kern w:val="0"/>
          <w:sz w:val="32"/>
          <w:szCs w:val="32"/>
          <w:highlight w:val="none"/>
        </w:rPr>
        <w:t>项目编号：</w:t>
      </w:r>
      <w:r>
        <w:rPr>
          <w:rFonts w:hint="eastAsia" w:ascii="宋体" w:hAnsi="宋体" w:eastAsia="宋体"/>
          <w:b/>
          <w:color w:val="auto"/>
          <w:spacing w:val="0"/>
          <w:kern w:val="0"/>
          <w:sz w:val="32"/>
          <w:szCs w:val="32"/>
          <w:highlight w:val="none"/>
          <w:u w:val="single"/>
          <w:lang w:val="en-US" w:eastAsia="zh-CN"/>
        </w:rPr>
        <w:t>cznqcg202512-011</w:t>
      </w:r>
      <w:r>
        <w:rPr>
          <w:rFonts w:hint="eastAsia" w:ascii="宋体" w:hAnsi="宋体" w:eastAsia="宋体"/>
          <w:b/>
          <w:color w:val="auto"/>
          <w:spacing w:val="0"/>
          <w:kern w:val="0"/>
          <w:sz w:val="32"/>
          <w:szCs w:val="32"/>
          <w:highlight w:val="none"/>
          <w:u w:val="single"/>
          <w:lang w:val="en-US" w:eastAsia="zh-CN"/>
        </w:rPr>
        <w:t xml:space="preserve"> </w:t>
      </w:r>
    </w:p>
    <w:p w14:paraId="2E4B1144">
      <w:pPr>
        <w:tabs>
          <w:tab w:val="left" w:pos="2410"/>
        </w:tabs>
        <w:autoSpaceDE w:val="0"/>
        <w:autoSpaceDN w:val="0"/>
        <w:adjustRightInd w:val="0"/>
        <w:snapToGrid w:val="0"/>
        <w:spacing w:line="360" w:lineRule="auto"/>
        <w:ind w:firstLine="643" w:firstLineChars="200"/>
        <w:rPr>
          <w:rFonts w:ascii="宋体" w:hAnsi="宋体" w:eastAsia="宋体"/>
          <w:b/>
          <w:color w:val="auto"/>
          <w:spacing w:val="0"/>
          <w:kern w:val="0"/>
          <w:sz w:val="32"/>
          <w:szCs w:val="32"/>
          <w:highlight w:val="none"/>
        </w:rPr>
      </w:pPr>
      <w:r>
        <w:rPr>
          <w:rFonts w:hint="eastAsia" w:ascii="宋体" w:hAnsi="宋体" w:eastAsia="宋体"/>
          <w:b/>
          <w:color w:val="auto"/>
          <w:spacing w:val="0"/>
          <w:kern w:val="0"/>
          <w:sz w:val="32"/>
          <w:szCs w:val="32"/>
          <w:highlight w:val="none"/>
        </w:rPr>
        <w:t>采 购 人：</w:t>
      </w:r>
      <w:r>
        <w:rPr>
          <w:rFonts w:hint="eastAsia" w:ascii="宋体" w:hAnsi="宋体" w:eastAsia="宋体"/>
          <w:b/>
          <w:color w:val="auto"/>
          <w:spacing w:val="-6"/>
          <w:kern w:val="0"/>
          <w:sz w:val="32"/>
          <w:szCs w:val="32"/>
          <w:highlight w:val="none"/>
          <w:u w:val="single"/>
          <w:lang w:val="en-US" w:eastAsia="zh-CN"/>
        </w:rPr>
        <w:t>滁州市南谯区土地开发整理中心</w:t>
      </w:r>
    </w:p>
    <w:p w14:paraId="61773014">
      <w:pPr>
        <w:tabs>
          <w:tab w:val="left" w:pos="2410"/>
        </w:tabs>
        <w:autoSpaceDE w:val="0"/>
        <w:autoSpaceDN w:val="0"/>
        <w:adjustRightInd w:val="0"/>
        <w:snapToGrid w:val="0"/>
        <w:spacing w:line="360" w:lineRule="auto"/>
        <w:ind w:firstLine="643" w:firstLineChars="200"/>
        <w:rPr>
          <w:rFonts w:hint="default" w:ascii="宋体" w:hAnsi="宋体" w:eastAsia="宋体"/>
          <w:b/>
          <w:color w:val="auto"/>
          <w:spacing w:val="0"/>
          <w:kern w:val="0"/>
          <w:sz w:val="32"/>
          <w:szCs w:val="32"/>
          <w:highlight w:val="none"/>
          <w:lang w:val="en-US"/>
        </w:rPr>
      </w:pPr>
      <w:r>
        <w:rPr>
          <w:rFonts w:hint="eastAsia" w:ascii="宋体" w:hAnsi="宋体" w:eastAsia="宋体"/>
          <w:b/>
          <w:color w:val="auto"/>
          <w:spacing w:val="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滁州市城投工程咨询管理有限公司</w:t>
      </w:r>
    </w:p>
    <w:p w14:paraId="2A6FC25B">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0"/>
          <w:kern w:val="0"/>
          <w:sz w:val="32"/>
          <w:szCs w:val="32"/>
          <w:highlight w:val="none"/>
        </w:rPr>
      </w:pPr>
    </w:p>
    <w:p w14:paraId="4C9F0F6B">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12</w:t>
      </w:r>
      <w:r>
        <w:rPr>
          <w:rFonts w:hint="eastAsia" w:ascii="宋体" w:hAnsi="宋体" w:eastAsia="宋体"/>
          <w:b/>
          <w:color w:val="auto"/>
          <w:sz w:val="36"/>
          <w:highlight w:val="none"/>
        </w:rPr>
        <w:t>月</w:t>
      </w:r>
    </w:p>
    <w:p w14:paraId="16EACF86">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6B3E044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E2CE302">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48A0D08D">
      <w:pPr>
        <w:pStyle w:val="21"/>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_Toc19927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_Toc19927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98D178">
      <w:pPr>
        <w:pStyle w:val="21"/>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85D7C7">
      <w:pPr>
        <w:pStyle w:val="21"/>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_Toc28125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0967A8">
      <w:pPr>
        <w:pStyle w:val="21"/>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D58D2A">
      <w:pPr>
        <w:pStyle w:val="21"/>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AE3240">
      <w:pPr>
        <w:pStyle w:val="21"/>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59BAC6">
      <w:pPr>
        <w:pStyle w:val="21"/>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val="en-US" w:eastAsia="zh-CN"/>
        </w:rPr>
        <w:t>七</w:t>
      </w:r>
      <w:r>
        <w:rPr>
          <w:rFonts w:hint="eastAsia" w:ascii="宋体" w:hAnsi="宋体" w:eastAsia="宋体" w:cs="宋体"/>
          <w:bCs/>
          <w:color w:val="auto"/>
          <w:sz w:val="24"/>
          <w:szCs w:val="24"/>
          <w:highlight w:val="none"/>
        </w:rPr>
        <w:t>章  政府采购</w:t>
      </w:r>
      <w:r>
        <w:rPr>
          <w:rFonts w:hint="eastAsia" w:ascii="宋体" w:hAnsi="宋体" w:eastAsia="宋体" w:cs="宋体"/>
          <w:color w:val="auto"/>
          <w:sz w:val="24"/>
          <w:szCs w:val="24"/>
          <w:highlight w:val="none"/>
        </w:rPr>
        <w:t>供应</w:t>
      </w:r>
      <w:r>
        <w:rPr>
          <w:rFonts w:hint="eastAsia" w:ascii="宋体" w:hAnsi="宋体" w:eastAsia="宋体" w:cs="宋体"/>
          <w:bCs/>
          <w:color w:val="auto"/>
          <w:sz w:val="24"/>
          <w:szCs w:val="24"/>
          <w:highlight w:val="none"/>
        </w:rPr>
        <w:t>商询问函和质疑函范本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9FE303">
      <w:pPr>
        <w:pStyle w:val="23"/>
        <w:tabs>
          <w:tab w:val="right" w:leader="dot" w:pos="8296"/>
        </w:tabs>
        <w:rPr>
          <w:rFonts w:asciiTheme="minorEastAsia" w:hAnsiTheme="minorEastAsia"/>
          <w:b/>
          <w:color w:val="auto"/>
          <w:sz w:val="32"/>
          <w:highlight w:val="none"/>
        </w:rPr>
      </w:pPr>
      <w:r>
        <w:rPr>
          <w:rFonts w:hint="eastAsia" w:ascii="宋体" w:hAnsi="宋体" w:eastAsia="宋体" w:cs="宋体"/>
          <w:color w:val="auto"/>
          <w:sz w:val="24"/>
          <w:szCs w:val="24"/>
          <w:highlight w:val="none"/>
        </w:rPr>
        <w:fldChar w:fldCharType="end"/>
      </w:r>
    </w:p>
    <w:p w14:paraId="7A9189AC">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134" w:right="1814" w:bottom="1474" w:left="1814" w:header="851" w:footer="992" w:gutter="0"/>
          <w:pgBorders>
            <w:top w:val="none" w:sz="0" w:space="0"/>
            <w:left w:val="none" w:sz="0" w:space="0"/>
            <w:bottom w:val="none" w:sz="0" w:space="0"/>
            <w:right w:val="none" w:sz="0" w:space="0"/>
          </w:pgBorders>
          <w:cols w:space="720" w:num="1"/>
          <w:docGrid w:linePitch="462" w:charSpace="0"/>
        </w:sectPr>
      </w:pPr>
    </w:p>
    <w:p w14:paraId="3B944D49">
      <w:pPr>
        <w:spacing w:line="360" w:lineRule="auto"/>
        <w:jc w:val="center"/>
        <w:outlineLvl w:val="0"/>
        <w:rPr>
          <w:rFonts w:asciiTheme="minorEastAsia" w:hAnsiTheme="minorEastAsia" w:eastAsiaTheme="minorEastAsia"/>
          <w:b/>
          <w:color w:val="auto"/>
          <w:sz w:val="28"/>
          <w:highlight w:val="none"/>
        </w:rPr>
      </w:pPr>
      <w:bookmarkStart w:id="1" w:name="_Toc501"/>
      <w:bookmarkStart w:id="2" w:name="_Toc19988"/>
      <w:bookmarkStart w:id="3" w:name="_Toc19927"/>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bookmarkEnd w:id="3"/>
    </w:p>
    <w:p w14:paraId="2DCF0D7E">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项目概况</w:t>
      </w:r>
    </w:p>
    <w:p w14:paraId="52B09448">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南谯区各镇单元详细规划编制工作项目</w:t>
      </w:r>
      <w:r>
        <w:rPr>
          <w:rFonts w:hint="eastAsia" w:ascii="宋体" w:hAnsi="宋体" w:eastAsia="宋体" w:cs="宋体"/>
          <w:color w:val="auto"/>
          <w:kern w:val="2"/>
          <w:sz w:val="24"/>
          <w:szCs w:val="24"/>
          <w:highlight w:val="none"/>
          <w:lang w:val="en-US" w:eastAsia="zh-CN" w:bidi="ar"/>
        </w:rPr>
        <w:t>的潜在供应商应在滁州市公共资源交易中心网（http://ggzy.chuzhou.gov.cn/）获取采购文件，并于2026年1月9日8点50分</w:t>
      </w:r>
      <w:r>
        <w:rPr>
          <w:rFonts w:hint="eastAsia" w:ascii="宋体" w:hAnsi="宋体" w:eastAsia="宋体" w:cs="宋体"/>
          <w:color w:val="auto"/>
          <w:kern w:val="2"/>
          <w:sz w:val="24"/>
          <w:szCs w:val="24"/>
          <w:highlight w:val="none"/>
          <w:lang w:val="en-US" w:eastAsia="zh-CN" w:bidi="ar"/>
        </w:rPr>
        <w:t>（北京时间）前递交响应文件。</w:t>
      </w:r>
    </w:p>
    <w:p w14:paraId="06AD6A2A">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一、项目名称及内容</w:t>
      </w:r>
    </w:p>
    <w:p w14:paraId="207842AB">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项目编号：cznqcg202512-011 </w:t>
      </w:r>
    </w:p>
    <w:p w14:paraId="0E020772">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项目名称：南谯区各镇单元详细规划编制工作项目</w:t>
      </w:r>
    </w:p>
    <w:p w14:paraId="037BBCEC">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采购方式：竞争性磋商</w:t>
      </w:r>
    </w:p>
    <w:p w14:paraId="312E2672">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预算金额：1780000.00元</w:t>
      </w:r>
    </w:p>
    <w:p w14:paraId="4A5BCB03">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最高限价：1780000.00元。响应报价不得高于最高限价，否则按无效响应处理</w:t>
      </w:r>
    </w:p>
    <w:p w14:paraId="1D918781">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olor w:val="auto"/>
          <w:sz w:val="24"/>
          <w:szCs w:val="18"/>
          <w:highlight w:val="none"/>
          <w:lang w:val="en-US" w:eastAsia="zh-CN"/>
        </w:rPr>
      </w:pPr>
      <w:r>
        <w:rPr>
          <w:rFonts w:hint="eastAsia" w:ascii="宋体" w:hAnsi="宋体" w:eastAsia="宋体" w:cs="宋体"/>
          <w:color w:val="auto"/>
          <w:kern w:val="2"/>
          <w:sz w:val="24"/>
          <w:szCs w:val="24"/>
          <w:highlight w:val="none"/>
          <w:lang w:val="en-US" w:eastAsia="zh-CN" w:bidi="ar"/>
        </w:rPr>
        <w:t>采购需求：</w:t>
      </w:r>
      <w:r>
        <w:rPr>
          <w:rFonts w:hint="eastAsia" w:ascii="宋体" w:hAnsi="宋体" w:eastAsia="宋体"/>
          <w:color w:val="auto"/>
          <w:sz w:val="24"/>
          <w:szCs w:val="18"/>
          <w:highlight w:val="none"/>
          <w:lang w:val="en-US" w:eastAsia="zh-CN"/>
        </w:rPr>
        <w:t>根据国土空间总体规划，南谯区大柳镇、黄泥岗镇、章广镇、珠龙镇、施集镇、沙河镇、乌衣镇等7个镇需要编制单元详细规划。本项工作主要任务是为了承接上位规划传导要求，深化总体规划中的结构性内容，确定结构性要素的差异化落位管控形式，细化总体规划中各类设施和开放空间等的配置要求和管控规则。单元详细规划主要内容和成果形式满足安徽省国土空间详细规划编制规程规定和滁州市自然资源和规划局审查要求。</w:t>
      </w:r>
    </w:p>
    <w:p w14:paraId="760D2EA3">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合同履行期限：2026年3月30日完成《滁州市南谯区各镇单元规划编制》初步方案，并广泛征求意见，2026年4月30日进行中期方案汇报，形成评审稿。2026年5月30日完成各镇单元规划编制。</w:t>
      </w:r>
    </w:p>
    <w:p w14:paraId="4903ADF6">
      <w:pPr>
        <w:keepNext w:val="0"/>
        <w:keepLines w:val="0"/>
        <w:widowControl w:val="0"/>
        <w:suppressLineNumbers w:val="0"/>
        <w:autoSpaceDE w:val="0"/>
        <w:autoSpaceDN w:val="0"/>
        <w:adjustRightInd w:val="0"/>
        <w:spacing w:before="0" w:beforeAutospacing="0" w:after="0" w:afterAutospacing="0" w:line="480" w:lineRule="exact"/>
        <w:ind w:left="0" w:right="0" w:firstLine="439" w:firstLineChars="182"/>
        <w:jc w:val="left"/>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本项目接受联合体。</w:t>
      </w:r>
    </w:p>
    <w:p w14:paraId="79572665">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
        </w:rPr>
        <w:t>申请人的资格要求</w:t>
      </w:r>
    </w:p>
    <w:p w14:paraId="0C73CCC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14:paraId="60BAFF9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3F1144D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3.本项目的特定资格要求：①供应商具有城乡规划编制乙级（或）</w:t>
      </w:r>
      <w:r>
        <w:rPr>
          <w:rFonts w:hint="eastAsia" w:ascii="宋体" w:hAnsi="宋体" w:eastAsia="宋体"/>
          <w:color w:val="auto"/>
          <w:sz w:val="24"/>
          <w:szCs w:val="18"/>
          <w:highlight w:val="none"/>
          <w:lang w:val="en-US" w:eastAsia="zh-CN"/>
        </w:rPr>
        <w:t>以上资质；②项目负责人具有注册城乡规划师执业资格证书。</w:t>
      </w:r>
    </w:p>
    <w:p w14:paraId="0BA21E7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4.信誉要求：供应商不得存在以下情形：</w:t>
      </w:r>
    </w:p>
    <w:p w14:paraId="0862CF1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2AEC5A9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2A2ACF8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75DF977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w:t>
      </w:r>
      <w:bookmarkStart w:id="4" w:name="OLE_LINK127"/>
      <w:bookmarkStart w:id="5" w:name="OLE_LINK128"/>
      <w:bookmarkStart w:id="6" w:name="OLE_LINK129"/>
      <w:r>
        <w:rPr>
          <w:rFonts w:hint="eastAsia" w:ascii="宋体" w:hAnsi="宋体" w:eastAsia="宋体" w:cs="宋体"/>
          <w:color w:val="auto"/>
          <w:kern w:val="2"/>
          <w:sz w:val="24"/>
          <w:szCs w:val="24"/>
          <w:highlight w:val="none"/>
          <w:lang w:val="en-US" w:eastAsia="zh-CN" w:bidi="ar"/>
        </w:rPr>
        <w:t>“信用中国”网站</w:t>
      </w:r>
      <w:bookmarkEnd w:id="4"/>
      <w:bookmarkEnd w:id="5"/>
      <w:bookmarkEnd w:id="6"/>
      <w:r>
        <w:rPr>
          <w:rFonts w:hint="eastAsia" w:ascii="宋体" w:hAnsi="宋体" w:eastAsia="宋体" w:cs="宋体"/>
          <w:color w:val="auto"/>
          <w:kern w:val="2"/>
          <w:sz w:val="24"/>
          <w:szCs w:val="24"/>
          <w:highlight w:val="none"/>
          <w:lang w:val="en-US" w:eastAsia="zh-CN" w:bidi="ar"/>
        </w:rPr>
        <w:t>上披露的仍在公示期的严重失信行为(具体行为类别及判定依据见“信用中国”查询的严重失信行为类别及判定依据)的。</w:t>
      </w:r>
    </w:p>
    <w:p w14:paraId="00B08AF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5EC981C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bookmarkStart w:id="7" w:name="OLE_LINK113"/>
      <w:bookmarkStart w:id="8" w:name="OLE_LINK114"/>
      <w:r>
        <w:rPr>
          <w:rFonts w:hint="eastAsia" w:ascii="宋体" w:hAnsi="宋体" w:eastAsia="宋体" w:cs="宋体"/>
          <w:color w:val="auto"/>
          <w:kern w:val="2"/>
          <w:sz w:val="24"/>
          <w:szCs w:val="24"/>
          <w:highlight w:val="none"/>
          <w:lang w:val="en-US" w:eastAsia="zh-CN" w:bidi="ar"/>
        </w:rPr>
        <w:t>⑥</w:t>
      </w:r>
      <w:bookmarkEnd w:id="7"/>
      <w:bookmarkEnd w:id="8"/>
      <w:r>
        <w:rPr>
          <w:rFonts w:hint="eastAsia" w:ascii="宋体" w:hAnsi="宋体" w:eastAsia="宋体" w:cs="宋体"/>
          <w:color w:val="auto"/>
          <w:kern w:val="2"/>
          <w:sz w:val="24"/>
          <w:szCs w:val="24"/>
          <w:highlight w:val="none"/>
          <w:lang w:val="en-US" w:eastAsia="zh-CN" w:bidi="ar"/>
        </w:rPr>
        <w:t>被列入中国政府采购网站“政府采购严重违法失信行为信息记录”的。</w:t>
      </w:r>
    </w:p>
    <w:p w14:paraId="28C2B17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3F7EB3E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5.供应商所属分公司、办事处等分支机构存在第4条信誉要求①-⑦项情形之一的，接受供应商参加本项目；</w:t>
      </w:r>
    </w:p>
    <w:p w14:paraId="13A4091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备注：第4、5条按照“关于联合惩戒失信行为加强信用查询管理的通知”查询或承诺。</w:t>
      </w:r>
    </w:p>
    <w:p w14:paraId="5975697C">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w:t>
      </w:r>
      <w:r>
        <w:rPr>
          <w:rFonts w:hint="eastAsia" w:ascii="宋体" w:hAnsi="宋体" w:eastAsia="宋体" w:cs="宋体"/>
          <w:b/>
          <w:bCs w:val="0"/>
          <w:color w:val="auto"/>
          <w:kern w:val="2"/>
          <w:sz w:val="24"/>
          <w:szCs w:val="24"/>
          <w:highlight w:val="none"/>
          <w:lang w:val="en-US" w:eastAsia="zh-CN" w:bidi="ar"/>
        </w:rPr>
        <w:t>、获取采购文件</w:t>
      </w:r>
    </w:p>
    <w:p w14:paraId="2E8308EF">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none"/>
          <w:lang w:val="en-US" w:eastAsia="zh-CN" w:bidi="ar"/>
        </w:rPr>
        <w:t>2025年12月30日至2026年1月9日</w:t>
      </w:r>
    </w:p>
    <w:p w14:paraId="5B729517">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w:t>
      </w:r>
      <w:r>
        <w:rPr>
          <w:rFonts w:hint="eastAsia" w:ascii="宋体" w:hAnsi="宋体" w:eastAsia="宋体" w:cs="宋体"/>
          <w:color w:val="auto"/>
          <w:kern w:val="2"/>
          <w:sz w:val="24"/>
          <w:szCs w:val="24"/>
          <w:highlight w:val="none"/>
          <w:u w:val="single"/>
          <w:lang w:val="en-US" w:eastAsia="zh-CN" w:bidi="ar"/>
        </w:rPr>
        <w:t>滁州市公共资源交易中心网</w:t>
      </w:r>
    </w:p>
    <w:p w14:paraId="5BBC6769">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方式：</w:t>
      </w:r>
      <w:r>
        <w:rPr>
          <w:rFonts w:hint="eastAsia" w:ascii="宋体" w:hAnsi="宋体" w:eastAsia="宋体" w:cs="宋体"/>
          <w:color w:val="auto"/>
          <w:kern w:val="2"/>
          <w:sz w:val="24"/>
          <w:szCs w:val="24"/>
          <w:highlight w:val="none"/>
          <w:u w:val="single"/>
          <w:lang w:val="en-US" w:eastAsia="zh-CN" w:bidi="ar"/>
        </w:rPr>
        <w:t>网上下载</w:t>
      </w:r>
    </w:p>
    <w:p w14:paraId="2F8B0435">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售价：</w:t>
      </w:r>
      <w:r>
        <w:rPr>
          <w:rFonts w:hint="eastAsia" w:ascii="宋体" w:hAnsi="宋体" w:eastAsia="宋体" w:cs="宋体"/>
          <w:color w:val="auto"/>
          <w:kern w:val="2"/>
          <w:sz w:val="24"/>
          <w:szCs w:val="24"/>
          <w:highlight w:val="none"/>
          <w:u w:val="single"/>
          <w:lang w:val="en-US" w:eastAsia="zh-CN" w:bidi="ar"/>
        </w:rPr>
        <w:t>0元</w:t>
      </w:r>
    </w:p>
    <w:p w14:paraId="28F555AC">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
        </w:rPr>
        <w:t>响应文件提交</w:t>
      </w:r>
    </w:p>
    <w:p w14:paraId="0CD5491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截止时间：</w:t>
      </w:r>
      <w:r>
        <w:rPr>
          <w:rFonts w:hint="eastAsia" w:ascii="宋体" w:hAnsi="宋体" w:eastAsia="宋体" w:cs="宋体"/>
          <w:color w:val="auto"/>
          <w:kern w:val="2"/>
          <w:sz w:val="24"/>
          <w:szCs w:val="24"/>
          <w:highlight w:val="none"/>
          <w:u w:val="none"/>
          <w:lang w:val="en-US" w:eastAsia="zh-CN" w:bidi="ar"/>
        </w:rPr>
        <w:t>2026年1月9日</w:t>
      </w:r>
      <w:r>
        <w:rPr>
          <w:rFonts w:hint="eastAsia" w:ascii="宋体" w:hAnsi="宋体" w:eastAsia="宋体" w:cs="宋体"/>
          <w:bCs/>
          <w:color w:val="auto"/>
          <w:kern w:val="2"/>
          <w:sz w:val="24"/>
          <w:szCs w:val="24"/>
          <w:highlight w:val="none"/>
          <w:u w:val="single"/>
          <w:lang w:val="en-US" w:eastAsia="zh-CN" w:bidi="ar"/>
        </w:rPr>
        <w:t>8点50分</w:t>
      </w:r>
      <w:r>
        <w:rPr>
          <w:rFonts w:hint="eastAsia" w:ascii="宋体" w:hAnsi="宋体" w:eastAsia="宋体" w:cs="宋体"/>
          <w:bCs/>
          <w:color w:val="auto"/>
          <w:kern w:val="2"/>
          <w:sz w:val="24"/>
          <w:szCs w:val="24"/>
          <w:highlight w:val="none"/>
          <w:lang w:val="en-US" w:eastAsia="zh-CN" w:bidi="ar"/>
        </w:rPr>
        <w:t>（北京时间）</w:t>
      </w:r>
    </w:p>
    <w:p w14:paraId="3338ADFC">
      <w:pPr>
        <w:keepNext w:val="0"/>
        <w:keepLines w:val="0"/>
        <w:widowControl w:val="0"/>
        <w:suppressLineNumbers w:val="0"/>
        <w:spacing w:before="0" w:beforeAutospacing="0" w:after="0" w:afterAutospacing="0" w:line="480" w:lineRule="exact"/>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地点：滁州市公共资源交易平台电子交易系统</w:t>
      </w:r>
    </w:p>
    <w:p w14:paraId="48E86873">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五</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
        </w:rPr>
        <w:t>开启</w:t>
      </w:r>
    </w:p>
    <w:p w14:paraId="7CB84E76">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none"/>
          <w:lang w:val="en-US" w:eastAsia="zh-CN" w:bidi="ar"/>
        </w:rPr>
        <w:t>2026年1月9日</w:t>
      </w:r>
      <w:r>
        <w:rPr>
          <w:rFonts w:hint="eastAsia" w:ascii="宋体" w:hAnsi="宋体" w:eastAsia="宋体" w:cs="宋体"/>
          <w:bCs/>
          <w:color w:val="auto"/>
          <w:kern w:val="2"/>
          <w:sz w:val="24"/>
          <w:szCs w:val="24"/>
          <w:highlight w:val="none"/>
          <w:u w:val="single"/>
          <w:lang w:val="en-US" w:eastAsia="zh-CN" w:bidi="ar"/>
        </w:rPr>
        <w:t>8点50分</w:t>
      </w:r>
      <w:r>
        <w:rPr>
          <w:rFonts w:hint="eastAsia" w:ascii="宋体" w:hAnsi="宋体" w:eastAsia="宋体" w:cs="宋体"/>
          <w:bCs/>
          <w:color w:val="auto"/>
          <w:kern w:val="2"/>
          <w:sz w:val="24"/>
          <w:szCs w:val="24"/>
          <w:highlight w:val="none"/>
          <w:lang w:val="en-US" w:eastAsia="zh-CN" w:bidi="ar"/>
        </w:rPr>
        <w:t>（北京时间）</w:t>
      </w:r>
    </w:p>
    <w:p w14:paraId="0650878F">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地点：滁州市公共资源交易平台电子交易系统</w:t>
      </w:r>
    </w:p>
    <w:p w14:paraId="1510FB2A">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六、公告期限</w:t>
      </w:r>
    </w:p>
    <w:p w14:paraId="37434D3F">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自本公告发布之日起3个工作日。</w:t>
      </w:r>
    </w:p>
    <w:p w14:paraId="78FF6FEA">
      <w:pPr>
        <w:keepNext w:val="0"/>
        <w:keepLines w:val="0"/>
        <w:widowControl w:val="0"/>
        <w:suppressLineNumbers w:val="0"/>
        <w:spacing w:before="0" w:beforeAutospacing="0" w:after="0" w:afterAutospacing="0" w:line="480" w:lineRule="exact"/>
        <w:ind w:left="0" w:right="0" w:firstLine="435"/>
        <w:jc w:val="both"/>
        <w:outlineLvl w:val="1"/>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七、其他补充事宜</w:t>
      </w:r>
    </w:p>
    <w:p w14:paraId="7A5F495B">
      <w:pPr>
        <w:keepNext w:val="0"/>
        <w:keepLines w:val="0"/>
        <w:widowControl w:val="0"/>
        <w:suppressLineNumbers w:val="0"/>
        <w:wordWrap w:val="0"/>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34770181">
      <w:pPr>
        <w:keepNext w:val="0"/>
        <w:keepLines w:val="0"/>
        <w:widowControl w:val="0"/>
        <w:suppressLineNumbers w:val="0"/>
        <w:wordWrap w:val="0"/>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2.请供应商登录滁州市公共资源交易中心网站查看参加本项目的程序。（具体操作步骤和程序请参见服务指南&gt;交易须知&gt;投标人填写投标信息、下载文件及网上提问操作手册）。</w:t>
      </w:r>
    </w:p>
    <w:p w14:paraId="1A07E542">
      <w:pPr>
        <w:keepNext w:val="0"/>
        <w:keepLines w:val="0"/>
        <w:widowControl w:val="0"/>
        <w:suppressLineNumbers w:val="0"/>
        <w:wordWrap w:val="0"/>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76806A66">
      <w:pPr>
        <w:keepNext w:val="0"/>
        <w:keepLines w:val="0"/>
        <w:widowControl w:val="0"/>
        <w:suppressLineNumbers w:val="0"/>
        <w:wordWrap w:val="0"/>
        <w:autoSpaceDE w:val="0"/>
        <w:autoSpaceDN/>
        <w:spacing w:before="0" w:beforeAutospacing="0" w:after="0" w:afterAutospacing="0" w:line="480" w:lineRule="exact"/>
        <w:ind w:left="0" w:right="0" w:firstLine="480" w:firstLineChars="2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759609E0">
      <w:pPr>
        <w:keepNext w:val="0"/>
        <w:keepLines w:val="0"/>
        <w:widowControl w:val="0"/>
        <w:suppressLineNumbers w:val="0"/>
        <w:spacing w:before="0" w:beforeAutospacing="0" w:after="0" w:afterAutospacing="0" w:line="360" w:lineRule="auto"/>
        <w:ind w:left="0" w:right="0" w:firstLine="435"/>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
        </w:rPr>
        <w:t>凡对本次采购提出询问，请按以下方式联系</w:t>
      </w:r>
    </w:p>
    <w:p w14:paraId="5F931432">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4330BBD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滁州市南谯区土地开发整理中心</w:t>
      </w:r>
    </w:p>
    <w:p w14:paraId="060E9F3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滁州市龙蟠大道109号房产商务大厦东3楼</w:t>
      </w:r>
    </w:p>
    <w:p w14:paraId="017916A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张雅男</w:t>
      </w:r>
    </w:p>
    <w:p w14:paraId="2A8C0E5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0550-3518028</w:t>
      </w:r>
    </w:p>
    <w:p w14:paraId="7E88303C">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2.采购代理机构</w:t>
      </w:r>
      <w:r>
        <w:rPr>
          <w:rFonts w:hint="eastAsia" w:ascii="宋体" w:hAnsi="宋体" w:eastAsia="宋体" w:cs="宋体"/>
          <w:color w:val="auto"/>
          <w:kern w:val="2"/>
          <w:sz w:val="24"/>
          <w:szCs w:val="24"/>
          <w:highlight w:val="none"/>
          <w:lang w:val="en-US" w:eastAsia="zh-CN" w:bidi="ar"/>
        </w:rPr>
        <w:t>信息</w:t>
      </w:r>
    </w:p>
    <w:p w14:paraId="6D34AA0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滁州市城投工程咨询管理有限公司</w:t>
      </w:r>
    </w:p>
    <w:p w14:paraId="4C53C5C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滁州市龙蟠大道109号房产商务大厦6楼605室</w:t>
      </w:r>
    </w:p>
    <w:p w14:paraId="0C31CA6A">
      <w:pPr>
        <w:keepNext w:val="0"/>
        <w:keepLines w:val="0"/>
        <w:widowControl w:val="0"/>
        <w:suppressLineNumbers w:val="0"/>
        <w:spacing w:before="0" w:beforeAutospacing="0" w:after="0" w:afterAutospacing="0" w:line="360" w:lineRule="auto"/>
        <w:ind w:left="0" w:right="0" w:firstLine="435"/>
        <w:jc w:val="both"/>
        <w:rPr>
          <w:rFonts w:hint="eastAsia" w:ascii="@仿宋_GB2312" w:hAnsi="@仿宋_GB2312" w:eastAsia="宋体" w:cs="@仿宋_GB2312"/>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张夏骄</w:t>
      </w:r>
    </w:p>
    <w:p w14:paraId="496265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0550-3519512、18155023588</w:t>
      </w:r>
    </w:p>
    <w:p w14:paraId="2CB54CDE">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仿宋_GB2312"/>
          <w:b/>
          <w:bCs w:val="0"/>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3</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政府采购监督管理部门信息</w:t>
      </w:r>
    </w:p>
    <w:p w14:paraId="2C4CC74A">
      <w:pPr>
        <w:keepNext w:val="0"/>
        <w:keepLines w:val="0"/>
        <w:widowControl w:val="0"/>
        <w:suppressLineNumbers w:val="0"/>
        <w:spacing w:before="0" w:beforeAutospacing="0" w:after="0" w:afterAutospacing="0" w:line="360" w:lineRule="auto"/>
        <w:ind w:left="0" w:right="0" w:firstLine="435"/>
        <w:jc w:val="both"/>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滁州市南谯区财政局</w:t>
      </w:r>
    </w:p>
    <w:p w14:paraId="566382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滁州市乌衣镇南谯政务新区5号楼</w:t>
      </w:r>
    </w:p>
    <w:p w14:paraId="06A31DB5">
      <w:pPr>
        <w:keepNext w:val="0"/>
        <w:keepLines w:val="0"/>
        <w:widowControl w:val="0"/>
        <w:suppressLineNumbers w:val="0"/>
        <w:spacing w:before="0" w:beforeAutospacing="0" w:after="0" w:afterAutospacing="0" w:line="360" w:lineRule="auto"/>
        <w:ind w:left="0" w:right="0" w:firstLine="435"/>
        <w:jc w:val="both"/>
        <w:rPr>
          <w:color w:val="auto"/>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0550-3919183</w:t>
      </w:r>
    </w:p>
    <w:p w14:paraId="375DE35D">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7C6CDEE6">
      <w:pPr>
        <w:spacing w:line="360" w:lineRule="auto"/>
        <w:jc w:val="center"/>
        <w:outlineLvl w:val="0"/>
        <w:rPr>
          <w:rFonts w:asciiTheme="minorEastAsia" w:hAnsiTheme="minorEastAsia" w:eastAsiaTheme="minorEastAsia"/>
          <w:b/>
          <w:color w:val="auto"/>
          <w:sz w:val="28"/>
          <w:highlight w:val="none"/>
        </w:rPr>
      </w:pPr>
      <w:bookmarkStart w:id="9" w:name="_Toc7162"/>
      <w:bookmarkStart w:id="10" w:name="_Toc378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9"/>
      <w:bookmarkEnd w:id="10"/>
    </w:p>
    <w:p w14:paraId="675ADB61">
      <w:pPr>
        <w:spacing w:line="360" w:lineRule="auto"/>
        <w:jc w:val="center"/>
        <w:outlineLvl w:val="1"/>
        <w:rPr>
          <w:rFonts w:asciiTheme="minorEastAsia" w:hAnsiTheme="minorEastAsia" w:eastAsiaTheme="minorEastAsia"/>
          <w:b/>
          <w:color w:val="auto"/>
          <w:sz w:val="24"/>
          <w:highlight w:val="none"/>
        </w:rPr>
      </w:pPr>
      <w:bookmarkStart w:id="11" w:name="_Toc11709"/>
      <w:bookmarkStart w:id="12"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1"/>
      <w:bookmarkEnd w:id="12"/>
    </w:p>
    <w:p w14:paraId="77FDAA85">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7"/>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214"/>
        <w:gridCol w:w="6234"/>
      </w:tblGrid>
      <w:tr w14:paraId="7228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76C736">
            <w:pPr>
              <w:pStyle w:val="46"/>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593F81D8">
            <w:pPr>
              <w:pStyle w:val="46"/>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78180A84">
            <w:pPr>
              <w:pStyle w:val="46"/>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B57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146D1E7">
            <w:pPr>
              <w:pStyle w:val="47"/>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34798187">
            <w:pPr>
              <w:pStyle w:val="4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4D85C90D">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CDB00DD">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500E5AB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3884B4E">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p>
          <w:p w14:paraId="5C9BC48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0FBEE02">
            <w:pPr>
              <w:pStyle w:val="46"/>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3AFB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894666F">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2DB781CB">
            <w:pPr>
              <w:pStyle w:val="4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236F591A">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21C8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25405E40">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1160" w:type="pct"/>
            <w:vAlign w:val="center"/>
          </w:tcPr>
          <w:p w14:paraId="31645533">
            <w:pPr>
              <w:pStyle w:val="4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4E2C2FD6">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个包</w:t>
            </w:r>
          </w:p>
          <w:p w14:paraId="2DA50C6A">
            <w:pPr>
              <w:pStyle w:val="46"/>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default"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hint="default" w:ascii="宋体" w:hAnsi="宋体" w:eastAsia="宋体"/>
                <w:b w:val="0"/>
                <w:bCs w:val="0"/>
                <w:color w:val="auto"/>
                <w:sz w:val="24"/>
                <w:szCs w:val="18"/>
                <w:highlight w:val="none"/>
                <w:u w:val="single"/>
              </w:rPr>
              <w:t xml:space="preserve">    </w:t>
            </w:r>
            <w:r>
              <w:rPr>
                <w:rFonts w:hint="eastAsia" w:ascii="宋体" w:hAnsi="宋体" w:eastAsia="宋体"/>
                <w:b w:val="0"/>
                <w:bCs w:val="0"/>
                <w:color w:val="0000FF"/>
                <w:sz w:val="24"/>
                <w:szCs w:val="24"/>
                <w:highlight w:val="none"/>
                <w:lang w:val="en-US" w:eastAsia="zh-CN"/>
              </w:rPr>
              <w:t>。</w:t>
            </w:r>
          </w:p>
        </w:tc>
      </w:tr>
      <w:tr w14:paraId="0DA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41D95278">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1160" w:type="pct"/>
            <w:vAlign w:val="center"/>
          </w:tcPr>
          <w:p w14:paraId="14674D83">
            <w:pPr>
              <w:pStyle w:val="4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6A40945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39AC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25DEB39">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8C92C81">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37383AB0">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1071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E67CF3E">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45D55D9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4BA80261">
            <w:pPr>
              <w:pStyle w:val="46"/>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分钟内（以本项目网上招投标系统解密倒计时为准）</w:t>
            </w:r>
            <w:r>
              <w:rPr>
                <w:rFonts w:hint="eastAsia" w:ascii="宋体" w:hAnsi="宋体" w:eastAsia="宋体"/>
                <w:b w:val="0"/>
                <w:color w:val="auto"/>
                <w:sz w:val="24"/>
                <w:highlight w:val="none"/>
                <w:u w:val="none"/>
                <w:lang w:eastAsia="zh-CN"/>
              </w:rPr>
              <w:t>。</w:t>
            </w:r>
          </w:p>
        </w:tc>
      </w:tr>
      <w:tr w14:paraId="5E65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9AC6C35">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1160" w:type="pct"/>
            <w:vAlign w:val="center"/>
          </w:tcPr>
          <w:p w14:paraId="389A0B02">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0942052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51D6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BF7B848">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17.4</w:t>
            </w:r>
          </w:p>
        </w:tc>
        <w:tc>
          <w:tcPr>
            <w:tcW w:w="1160" w:type="pct"/>
            <w:vAlign w:val="center"/>
          </w:tcPr>
          <w:p w14:paraId="432952A2">
            <w:pPr>
              <w:pStyle w:val="46"/>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最后报价扣除</w:t>
            </w:r>
          </w:p>
        </w:tc>
        <w:tc>
          <w:tcPr>
            <w:tcW w:w="3267" w:type="pct"/>
            <w:vAlign w:val="center"/>
          </w:tcPr>
          <w:p w14:paraId="7179F355">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195133E7">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7D1E96B">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8523718">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4FC73DFD">
            <w:pPr>
              <w:pStyle w:val="46"/>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0709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74520B40">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0BA8F0CA">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6149A878">
            <w:pPr>
              <w:pStyle w:val="4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6D1C6F60">
            <w:pPr>
              <w:pStyle w:val="46"/>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61A8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2AD3D19">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0F1A82B4">
            <w:pPr>
              <w:pStyle w:val="46"/>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06423F63">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1A339E50">
            <w:pPr>
              <w:pStyle w:val="46"/>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采购人委托磋商小组确定     </w:t>
            </w:r>
            <w:r>
              <w:rPr>
                <w:rFonts w:hint="eastAsia" w:ascii="宋体" w:hAnsi="宋体" w:eastAsia="宋体"/>
                <w:b w:val="0"/>
                <w:color w:val="auto"/>
                <w:sz w:val="24"/>
                <w:highlight w:val="none"/>
              </w:rPr>
              <w:sym w:font="Wingdings" w:char="00A8"/>
            </w:r>
            <w:r>
              <w:rPr>
                <w:rFonts w:hint="eastAsia" w:ascii="宋体" w:hAnsi="宋体" w:eastAsia="宋体"/>
                <w:b w:val="0"/>
                <w:color w:val="auto"/>
                <w:sz w:val="24"/>
                <w:highlight w:val="none"/>
              </w:rPr>
              <w:t>采购人确定</w:t>
            </w:r>
          </w:p>
        </w:tc>
      </w:tr>
      <w:tr w14:paraId="3C66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6E55BEC">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0E717897">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426DC988">
            <w:pPr>
              <w:pStyle w:val="46"/>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0F1A0A46">
            <w:pPr>
              <w:pStyle w:val="46"/>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5E9586BB">
            <w:pPr>
              <w:pStyle w:val="46"/>
              <w:widowControl w:val="0"/>
              <w:spacing w:before="0" w:beforeAutospacing="0" w:after="0" w:afterAutospacing="0" w:line="360" w:lineRule="auto"/>
              <w:jc w:val="both"/>
              <w:rPr>
                <w:rFonts w:hint="eastAsia"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tc>
      </w:tr>
      <w:tr w14:paraId="346A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C68936A">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2756FD49">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1DBE7650">
            <w:pPr>
              <w:pStyle w:val="46"/>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39D6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53DD30F">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1E26AA9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5A722817">
            <w:pPr>
              <w:pStyle w:val="46"/>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7052FC6F">
            <w:pPr>
              <w:pStyle w:val="4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0C04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A43BE5C">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7507067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1A41585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D91AB8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58FEFFE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16FFB14F">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376D45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9CE5D3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809DD62">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64A882A2">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21C6A784">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262FD87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CAF906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A06909D">
            <w:pPr>
              <w:pStyle w:val="46"/>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1F0A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D14537F">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15803E50">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3C780672">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lang w:val="en-US" w:eastAsia="zh-CN"/>
              </w:rPr>
              <w:t>成交供应商</w:t>
            </w:r>
          </w:p>
          <w:p w14:paraId="236F1B5B">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领取成交通知书时一次性支付给代理机构。</w:t>
            </w:r>
          </w:p>
          <w:p w14:paraId="687E4988">
            <w:pPr>
              <w:pStyle w:val="46"/>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u w:val="single" w:color="auto"/>
                <w:lang w:val="en-US" w:eastAsia="zh-CN" w:bidi="ar-SA"/>
              </w:rPr>
              <w:t>参考</w:t>
            </w:r>
            <w:r>
              <w:rPr>
                <w:rFonts w:hint="eastAsia" w:ascii="宋体" w:hAnsi="宋体" w:eastAsia="宋体" w:cs="宋体"/>
                <w:b w:val="0"/>
                <w:bCs w:val="0"/>
                <w:color w:val="auto"/>
                <w:kern w:val="2"/>
                <w:sz w:val="24"/>
                <w:szCs w:val="24"/>
                <w:highlight w:val="none"/>
                <w:u w:val="single" w:color="auto"/>
                <w:lang w:val="en-US" w:eastAsia="zh-CN" w:bidi="ar-SA"/>
              </w:rPr>
              <w:t>《滁州市公共资源交易代理机构及从业人员管理暂行办法》滁公管〔2022〕5号，以及补充文件滁公管综〔2023〕19号《关于进一步明确代理费计取标准的通知》标准，以最高限价（控制价）计算</w:t>
            </w:r>
            <w:r>
              <w:rPr>
                <w:rFonts w:hint="eastAsia" w:ascii="宋体" w:hAnsi="宋体" w:eastAsia="宋体" w:cs="宋体"/>
                <w:b w:val="0"/>
                <w:bCs/>
                <w:color w:val="auto"/>
                <w:sz w:val="24"/>
                <w:szCs w:val="24"/>
                <w:highlight w:val="none"/>
                <w:u w:val="single" w:color="auto"/>
              </w:rPr>
              <w:t>。</w:t>
            </w:r>
            <w:r>
              <w:rPr>
                <w:rFonts w:hint="eastAsia" w:ascii="宋体" w:hAnsi="宋体" w:eastAsia="宋体" w:cs="宋体"/>
                <w:b w:val="0"/>
                <w:bCs/>
                <w:color w:val="auto"/>
                <w:sz w:val="24"/>
                <w:szCs w:val="24"/>
                <w:highlight w:val="none"/>
                <w:u w:val="single" w:color="auto"/>
                <w:lang w:val="en-US" w:eastAsia="zh-CN"/>
              </w:rPr>
              <w:t>10620元。</w:t>
            </w:r>
          </w:p>
        </w:tc>
      </w:tr>
      <w:tr w14:paraId="49BA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5FFBFDC">
            <w:pPr>
              <w:pStyle w:val="47"/>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7395B1FE">
            <w:pPr>
              <w:pStyle w:val="4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5FE2CFF9">
            <w:pPr>
              <w:pStyle w:val="46"/>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（1）采购人与成交供应商应当自发出成交通知书之日起7个工作日内签订合同，采购合同签订之日起2个工作日内完成政府采购合同公开。</w:t>
            </w:r>
          </w:p>
          <w:p w14:paraId="42F9A423">
            <w:pPr>
              <w:pStyle w:val="4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bCs w:val="0"/>
                <w:color w:val="auto"/>
                <w:sz w:val="24"/>
                <w:szCs w:val="24"/>
                <w:highlight w:val="none"/>
              </w:rPr>
              <w:t>（2）采购人与</w:t>
            </w:r>
            <w:r>
              <w:rPr>
                <w:rFonts w:hint="eastAsia" w:ascii="宋体" w:hAnsi="宋体" w:eastAsia="宋体"/>
                <w:b/>
                <w:bCs w:val="0"/>
                <w:color w:val="auto"/>
                <w:sz w:val="24"/>
                <w:highlight w:val="none"/>
                <w:lang w:val="en-US" w:eastAsia="zh-CN"/>
              </w:rPr>
              <w:t>成交供应商</w:t>
            </w:r>
            <w:r>
              <w:rPr>
                <w:rFonts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w:t>
            </w:r>
            <w:r>
              <w:rPr>
                <w:rFonts w:hint="eastAsia" w:ascii="宋体" w:hAnsi="宋体" w:eastAsia="宋体" w:cs="宋体"/>
                <w:color w:val="auto"/>
                <w:sz w:val="24"/>
                <w:szCs w:val="24"/>
                <w:highlight w:val="none"/>
                <w:lang w:val="en-US" w:eastAsia="zh-CN"/>
              </w:rPr>
              <w:t>和滁州市公共资源交易中心网</w:t>
            </w:r>
            <w:r>
              <w:rPr>
                <w:rFonts w:ascii="宋体" w:hAnsi="宋体" w:eastAsia="宋体" w:cs="宋体"/>
                <w:color w:val="auto"/>
                <w:sz w:val="24"/>
                <w:szCs w:val="24"/>
                <w:highlight w:val="none"/>
              </w:rPr>
              <w:t>发布政府采购合同变更公告，但涉及国家秘密、商业秘密的信息和其他依法不得公开的信息除外。</w:t>
            </w:r>
          </w:p>
        </w:tc>
      </w:tr>
      <w:tr w14:paraId="5330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54FEADA">
            <w:pPr>
              <w:pStyle w:val="47"/>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1160" w:type="pct"/>
            <w:vAlign w:val="center"/>
          </w:tcPr>
          <w:p w14:paraId="357BFA5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5F1DC7E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26161663">
            <w:pPr>
              <w:pStyle w:val="46"/>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lang w:eastAsia="zh-CN"/>
              </w:rPr>
              <w:t>滁州市南谯区土地开发整理中心</w:t>
            </w:r>
            <w:r>
              <w:rPr>
                <w:rFonts w:hint="eastAsia" w:ascii="宋体" w:hAnsi="宋体" w:eastAsia="宋体"/>
                <w:bCs/>
                <w:color w:val="auto"/>
                <w:kern w:val="0"/>
                <w:sz w:val="24"/>
                <w:szCs w:val="28"/>
                <w:highlight w:val="none"/>
                <w:u w:val="single"/>
              </w:rPr>
              <w:t>、滁州市城投工程咨询管理有限公司；</w:t>
            </w:r>
          </w:p>
          <w:p w14:paraId="4101A95B">
            <w:pPr>
              <w:pStyle w:val="46"/>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lang w:eastAsia="zh-CN"/>
              </w:rPr>
              <w:t>0550-3518028</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0550-3519512</w:t>
            </w:r>
            <w:r>
              <w:rPr>
                <w:rFonts w:hint="eastAsia" w:ascii="宋体" w:hAnsi="宋体" w:eastAsia="宋体"/>
                <w:bCs/>
                <w:color w:val="auto"/>
                <w:kern w:val="0"/>
                <w:sz w:val="24"/>
                <w:szCs w:val="28"/>
                <w:highlight w:val="none"/>
                <w:u w:val="single"/>
              </w:rPr>
              <w:t>；</w:t>
            </w:r>
          </w:p>
          <w:p w14:paraId="5D6ABDCF">
            <w:pPr>
              <w:pStyle w:val="4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lang w:eastAsia="zh-CN"/>
              </w:rPr>
              <w:t>滁州市龙蟠大道109号房产商务大厦东3楼</w:t>
            </w:r>
            <w:r>
              <w:rPr>
                <w:rFonts w:hint="eastAsia" w:ascii="宋体" w:hAnsi="宋体" w:eastAsia="宋体"/>
                <w:bCs/>
                <w:color w:val="auto"/>
                <w:kern w:val="0"/>
                <w:sz w:val="24"/>
                <w:szCs w:val="28"/>
                <w:highlight w:val="none"/>
                <w:u w:val="single"/>
              </w:rPr>
              <w:t>、滁州市龙蟠大道109号房产商务大厦6楼</w:t>
            </w:r>
            <w:r>
              <w:rPr>
                <w:rFonts w:hint="eastAsia" w:ascii="宋体" w:hAnsi="宋体" w:eastAsia="宋体"/>
                <w:bCs/>
                <w:color w:val="auto"/>
                <w:kern w:val="0"/>
                <w:sz w:val="24"/>
                <w:szCs w:val="28"/>
                <w:highlight w:val="none"/>
                <w:u w:val="single"/>
                <w:lang w:val="en-US" w:eastAsia="zh-CN"/>
              </w:rPr>
              <w:t>。</w:t>
            </w:r>
          </w:p>
        </w:tc>
      </w:tr>
      <w:tr w14:paraId="4C94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60EB030">
            <w:pPr>
              <w:pStyle w:val="4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30</w:t>
            </w:r>
          </w:p>
        </w:tc>
        <w:tc>
          <w:tcPr>
            <w:tcW w:w="1160" w:type="pct"/>
            <w:vAlign w:val="center"/>
          </w:tcPr>
          <w:p w14:paraId="01DFA0F7">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2A87A920">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0FDB2F4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26DFE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F2E83E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118320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4D62B5A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12A6CD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78680B5D">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p w14:paraId="2BAF5046">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4.部分可提供线下政采贷的金融机构：</w:t>
            </w:r>
          </w:p>
          <w:p w14:paraId="50B555A6">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市本级</w:t>
            </w:r>
          </w:p>
          <w:p w14:paraId="685FB5D6">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 xml:space="preserve">金融机构名称：滁州皖东农村商业银行城中支行 </w:t>
            </w:r>
          </w:p>
          <w:p w14:paraId="2EE1EE78">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地址：滁州经济技术开发区清流西路248号</w:t>
            </w:r>
          </w:p>
          <w:p w14:paraId="46945857">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联系人及电话：杨行长13855011150刘经理18019805345</w:t>
            </w:r>
          </w:p>
          <w:p w14:paraId="73B4C342">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5.特别提示：</w:t>
            </w:r>
          </w:p>
          <w:p w14:paraId="47AA294E">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（1）供应商应填写投标信息并下载采购文件，否则无法上传响应文件。</w:t>
            </w:r>
          </w:p>
          <w:p w14:paraId="077FC283">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（2）本项目采用电子招标投标，请供应商在滁州市公共资源交易中心网&gt;服务指南&gt;软件下载栏目点击下载响应文件制作工具。供应商需采用最新版响</w:t>
            </w:r>
            <w:r>
              <w:rPr>
                <w:rFonts w:hint="eastAsia" w:asciiTheme="minorEastAsia" w:hAnsiTheme="minorEastAsia" w:eastAsiaTheme="minorEastAsia"/>
                <w:b w:val="0"/>
                <w:bCs w:val="0"/>
                <w:color w:val="auto"/>
                <w:kern w:val="2"/>
                <w:sz w:val="24"/>
                <w:szCs w:val="24"/>
                <w:highlight w:val="none"/>
                <w:u w:val="none"/>
                <w:lang w:val="en-US" w:eastAsia="zh-CN"/>
              </w:rPr>
              <w:t>应文件制作工具。软件运行需在国际互联网络通畅状态，供应商需注意更新，以免造成响应文件制作错误，如因此导致磋商小组否决其磋商资格，责任自负。如有技术问题请联系0550-3801701，0512-58188516。</w:t>
            </w:r>
          </w:p>
          <w:p w14:paraId="58148428">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（3）如果过程中出现采购文件更改，应以最后发布的招标答疑澄清文件中的模板制作本项目最新响应文件。</w:t>
            </w:r>
          </w:p>
          <w:p w14:paraId="16882B3F">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 xml:space="preserve">（4）供应商应当用本单位CA数字证书制作响应文件，制作成功后进行响应文件上传。 </w:t>
            </w:r>
          </w:p>
          <w:p w14:paraId="6E5A1A5C">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E26489D">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（6）请供应商注意加密响应文件CA数字证书的有效期，不在有效期的CA数字证书无法解密响应文件。</w:t>
            </w:r>
          </w:p>
          <w:p w14:paraId="77FBE6F2">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（7）供应商投标MAC地址一致，由磋商小组否决其磋商资格。</w:t>
            </w:r>
          </w:p>
          <w:p w14:paraId="3F0073C2">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（8）供应商单方面出现其他供应商材料的，由磋商小组否决其磋商资格。</w:t>
            </w:r>
          </w:p>
          <w:p w14:paraId="72CEBB67">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9）评标时查询响应文件制作机器码、文件创建标识码及造价软件加密锁号。若存在响应文件制作机器码或创建标识码或造价软件加密锁号信息与其他供应商雷同的，由磋商小组否决其磋商资格，保证金不予退还，依法依规予以处理。</w:t>
            </w:r>
          </w:p>
          <w:p w14:paraId="57BF80A7">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（10）供应商联系人或联系电话相同的，由磋商小组否决其响应资格，并报告监管部门作不良行为处理和进一步调查。</w:t>
            </w:r>
          </w:p>
          <w:p w14:paraId="4EDAFB79">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11）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6955329F">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6.评审过程中的澄清、说明或补正：</w:t>
            </w:r>
          </w:p>
          <w:p w14:paraId="29B514E3">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（1）磋商小组通过网上招投标系统将需要澄清、说明或补正的内容以询标函的形式发送给供应商，供应商应安排专人登录网上招投标系统并保持在线状态，以便及时接收磋商小组可能发出的询标函。</w:t>
            </w:r>
          </w:p>
          <w:p w14:paraId="7B179231">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44F1F0C3">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7.同义词语：</w:t>
            </w:r>
          </w:p>
          <w:p w14:paraId="2351A126">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磋商文件第六章  响应文件格式、附件1“关于联合惩戒失信行为 加强信用查询管理的通知”等章节中 “招标人”、“投标人”，等同于“采购人”、“供应商”。</w:t>
            </w:r>
          </w:p>
          <w:p w14:paraId="7EEB172E">
            <w:pPr>
              <w:spacing w:line="360" w:lineRule="auto"/>
              <w:rPr>
                <w:rFonts w:hint="eastAsia" w:asciiTheme="minorEastAsia" w:hAnsiTheme="minorEastAsia" w:eastAsiaTheme="minorEastAsia"/>
                <w:b w:val="0"/>
                <w:bCs w:val="0"/>
                <w:color w:val="auto"/>
                <w:kern w:val="2"/>
                <w:sz w:val="24"/>
                <w:szCs w:val="24"/>
                <w:highlight w:val="none"/>
                <w:u w:val="none"/>
                <w:lang w:val="en-US" w:eastAsia="zh-CN"/>
              </w:rPr>
            </w:pPr>
            <w:r>
              <w:rPr>
                <w:rFonts w:hint="eastAsia" w:asciiTheme="minorEastAsia" w:hAnsiTheme="minorEastAsia" w:eastAsiaTheme="minorEastAsia"/>
                <w:b w:val="0"/>
                <w:bCs w:val="0"/>
                <w:color w:val="auto"/>
                <w:kern w:val="2"/>
                <w:sz w:val="24"/>
                <w:szCs w:val="24"/>
                <w:highlight w:val="none"/>
                <w:u w:val="none"/>
                <w:lang w:val="en-US" w:eastAsia="zh-CN"/>
              </w:rPr>
              <w:t>8.落实政府采购支持节能产品、环境标志产品政策。</w:t>
            </w:r>
          </w:p>
          <w:p w14:paraId="480771D7">
            <w:pPr>
              <w:spacing w:line="360" w:lineRule="auto"/>
              <w:rPr>
                <w:rFonts w:hint="default" w:cs="@仿宋_GB2312" w:asciiTheme="minorEastAsia" w:hAnsiTheme="minorEastAsia" w:eastAsiaTheme="minorEastAsia"/>
                <w:bCs/>
                <w:color w:val="auto"/>
                <w:kern w:val="2"/>
                <w:sz w:val="24"/>
                <w:szCs w:val="24"/>
                <w:highlight w:val="none"/>
                <w:lang w:val="en-US" w:eastAsia="zh-CN" w:bidi="ar-SA"/>
              </w:rPr>
            </w:pPr>
            <w:r>
              <w:rPr>
                <w:rFonts w:hint="eastAsia" w:asciiTheme="minorEastAsia" w:hAnsiTheme="minorEastAsia" w:eastAsiaTheme="minorEastAsia"/>
                <w:b w:val="0"/>
                <w:bCs w:val="0"/>
                <w:color w:val="auto"/>
                <w:kern w:val="2"/>
                <w:sz w:val="24"/>
                <w:szCs w:val="24"/>
                <w:highlight w:val="none"/>
                <w:u w:val="none"/>
                <w:lang w:val="en-US" w:eastAsia="zh-CN"/>
              </w:rPr>
              <w:t>9.系统中提供的表格与采购文件中不一致时，以采购文件中提供的表格格式为准。</w:t>
            </w:r>
          </w:p>
        </w:tc>
      </w:tr>
    </w:tbl>
    <w:p w14:paraId="0B23396A">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3" w:name="_Toc27470"/>
      <w:bookmarkStart w:id="14"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13"/>
      <w:bookmarkEnd w:id="14"/>
    </w:p>
    <w:p w14:paraId="008BC1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3F10D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E7326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17411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026383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4E695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0500E3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13466C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58F6A7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44D6F11">
      <w:pPr>
        <w:spacing w:line="360" w:lineRule="auto"/>
        <w:ind w:firstLine="435"/>
        <w:rPr>
          <w:rFonts w:ascii="宋体" w:hAnsi="宋体" w:eastAsia="宋体"/>
          <w:color w:val="auto"/>
          <w:sz w:val="24"/>
          <w:highlight w:val="none"/>
        </w:rPr>
      </w:pPr>
      <w:bookmarkStart w:id="15"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15"/>
    <w:p w14:paraId="667F6A41">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194A9A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2002A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319119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166778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320BAF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A84B3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763EB2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0857359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D996E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0F9028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037EF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2D83F7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29143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BF0BB6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66D4F3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3BDA60B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5089996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8D31E7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F6F11B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D0D384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5E7C9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6B907D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DE6CE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3643E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343A3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795E5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w:t>
      </w:r>
      <w:r>
        <w:rPr>
          <w:rFonts w:hint="eastAsia" w:asciiTheme="minorEastAsia" w:hAnsiTheme="minorEastAsia" w:eastAsiaTheme="minorEastAsia"/>
          <w:color w:val="auto"/>
          <w:sz w:val="24"/>
          <w:highlight w:val="none"/>
          <w:lang w:val="en-US" w:eastAsia="zh-CN"/>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86A3C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16" w:name="_Hlk16458572"/>
      <w:r>
        <w:rPr>
          <w:rFonts w:hint="eastAsia" w:ascii="宋体" w:hAnsi="宋体" w:eastAsia="宋体"/>
          <w:color w:val="auto"/>
          <w:sz w:val="24"/>
          <w:szCs w:val="18"/>
          <w:highlight w:val="none"/>
        </w:rPr>
        <w:t>安徽省政府采购网</w:t>
      </w:r>
      <w:bookmarkEnd w:id="16"/>
      <w:r>
        <w:rPr>
          <w:rFonts w:hint="eastAsia" w:ascii="宋体" w:hAnsi="宋体" w:eastAsia="宋体"/>
          <w:color w:val="auto"/>
          <w:sz w:val="24"/>
          <w:szCs w:val="18"/>
          <w:highlight w:val="none"/>
        </w:rPr>
        <w:t>和滁州市公共资源交易中心网</w:t>
      </w:r>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79FEE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6AB82DD4">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27C641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EEEAD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290F68B1">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ADA4C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628AD6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1BADA5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091B35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38D8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5CD4DDC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5DE6A2F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082102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44A1E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21F3A0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EED7A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D907C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43E188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70DA7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19C05F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26B3A5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F32C6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C9D79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46AD0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2B3BE0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E711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BA34533">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5FB3F2B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3C0774F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2BC63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48997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3F42C0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BE94E0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D2B04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6B611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2062B1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51AB02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692364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5E59AED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D1FBFE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11194B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11E81B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3AE52A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41AE2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DDB2B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1BF7DB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1AFD2F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22A1D8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69945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64C78B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318E46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D6F56A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3A24D5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560842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0DB0E5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44B237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695F71E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6CAD13B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848BEA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8E25A1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752CE918">
      <w:pPr>
        <w:spacing w:line="360" w:lineRule="auto"/>
        <w:ind w:firstLine="435"/>
        <w:rPr>
          <w:rFonts w:hint="eastAsia" w:ascii="宋体" w:hAnsi="宋体" w:eastAsia="宋体"/>
          <w:b/>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77E38277">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本项目采用远程开标，具体操作方法详见服务指南&gt;交易须知&gt;开标大厅远程解密、质疑(异议)及回复以及评标过程中询标流程操作手册。</w:t>
      </w:r>
    </w:p>
    <w:p w14:paraId="5054C3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216F9C39">
      <w:pPr>
        <w:spacing w:line="520" w:lineRule="exact"/>
        <w:ind w:firstLine="435"/>
        <w:rPr>
          <w:rFonts w:hint="eastAsia" w:ascii="宋体" w:hAnsi="宋体" w:eastAsia="宋体" w:cs="宋体"/>
          <w:color w:val="auto"/>
          <w:kern w:val="0"/>
          <w:sz w:val="24"/>
          <w:szCs w:val="20"/>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kern w:val="0"/>
          <w:sz w:val="24"/>
          <w:szCs w:val="20"/>
          <w:highlight w:val="none"/>
        </w:rPr>
        <w:t>（本项目约定为两次报价）</w:t>
      </w:r>
    </w:p>
    <w:p w14:paraId="5F3F32B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b/>
          <w:color w:val="auto"/>
          <w:kern w:val="0"/>
          <w:sz w:val="24"/>
          <w:szCs w:val="20"/>
          <w:highlight w:val="none"/>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须签字盖章），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最高限价，否则取消其磋商资格。望各供应商务必全程在线，及时进行回复，否则，因此给其造成相关后果，自行承担。</w:t>
      </w:r>
    </w:p>
    <w:p w14:paraId="4C693C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3E54B4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2245E87">
      <w:pPr>
        <w:spacing w:line="360" w:lineRule="auto"/>
        <w:ind w:firstLine="435"/>
        <w:rPr>
          <w:rFonts w:asciiTheme="majorEastAsia" w:hAnsiTheme="majorEastAsia" w:eastAsiaTheme="majorEastAsia"/>
          <w:color w:val="auto"/>
          <w:sz w:val="24"/>
          <w:highlight w:val="none"/>
        </w:rPr>
      </w:pPr>
      <w:bookmarkStart w:id="17" w:name="_Hlk60607655"/>
      <w:bookmarkStart w:id="18"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18E02C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FCBA00C">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17"/>
    </w:p>
    <w:bookmarkEnd w:id="18"/>
    <w:p w14:paraId="3A6A90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75B9B4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F8183C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3FDE73B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128F04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0D0DE6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8CA56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3A1C9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55EB7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495CA5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3B437E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采购代理机构将在安徽省政府采购网（www.ccgp-anhui.gov.cn）和滁州市公共资源交易中心网</w:t>
      </w:r>
      <w:r>
        <w:rPr>
          <w:rFonts w:asciiTheme="minorEastAsia" w:hAnsiTheme="minorEastAsia" w:eastAsiaTheme="minorEastAsia"/>
          <w:color w:val="auto"/>
          <w:sz w:val="24"/>
          <w:highlight w:val="none"/>
        </w:rPr>
        <w:t>上发布成交结果公告。</w:t>
      </w:r>
    </w:p>
    <w:p w14:paraId="4A50FB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rPr>
        <w:t>服务范围、服务要求、服务时间、服务标准</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10F1C1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7452F4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r>
        <w:rPr>
          <w:rFonts w:hint="eastAsia" w:ascii="宋体" w:hAnsi="宋体" w:eastAsia="宋体"/>
          <w:color w:val="auto"/>
          <w:sz w:val="24"/>
          <w:highlight w:val="none"/>
        </w:rPr>
        <w:t>。成交通知书须加盖采购人、采购代理机构公章并经公共资源交易中心加盖见证章后，方可发出</w:t>
      </w:r>
      <w:r>
        <w:rPr>
          <w:rFonts w:ascii="宋体" w:hAnsi="宋体" w:eastAsia="宋体"/>
          <w:color w:val="auto"/>
          <w:sz w:val="24"/>
          <w:highlight w:val="none"/>
        </w:rPr>
        <w:t>。</w:t>
      </w:r>
    </w:p>
    <w:p w14:paraId="23F6F1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5F01F7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0D5F69F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412AB1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53E3F12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02EF77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787DC4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0FCFC9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430534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62DC18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58BA30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15DAE7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B4C9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074BD6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002312B1">
      <w:pPr>
        <w:spacing w:line="360" w:lineRule="auto"/>
        <w:ind w:firstLine="470" w:firstLineChars="196"/>
        <w:rPr>
          <w:rFonts w:ascii="宋体" w:hAnsi="宋体" w:eastAsia="宋体"/>
          <w:color w:val="auto"/>
          <w:sz w:val="24"/>
          <w:highlight w:val="none"/>
        </w:rPr>
      </w:pPr>
      <w:bookmarkStart w:id="19"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19"/>
    </w:p>
    <w:p w14:paraId="5866652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6A2F36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1022C9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ADE0EA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24BB8D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EC771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B2CAC56">
      <w:pPr>
        <w:spacing w:line="360" w:lineRule="auto"/>
        <w:ind w:firstLine="435"/>
        <w:rPr>
          <w:rFonts w:hint="eastAsia" w:ascii="宋体" w:hAnsi="宋体" w:eastAsia="宋体"/>
          <w:color w:val="auto"/>
          <w:sz w:val="24"/>
          <w:highlight w:val="none"/>
          <w:u w:val="singl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u w:val="none"/>
        </w:rPr>
        <w:t>。</w:t>
      </w:r>
    </w:p>
    <w:p w14:paraId="13D4310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u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谈判小组协助答复质疑。处理质疑的时间，从实际接受供应商质疑函的时间开始计算</w:t>
      </w:r>
      <w:r>
        <w:rPr>
          <w:rFonts w:hint="eastAsia" w:ascii="宋体" w:hAnsi="宋体" w:eastAsia="宋体"/>
          <w:color w:val="auto"/>
          <w:sz w:val="24"/>
          <w:highlight w:val="none"/>
        </w:rPr>
        <w:t>。</w:t>
      </w:r>
    </w:p>
    <w:p w14:paraId="608642C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3B1C9F4">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w:t>
      </w:r>
      <w:r>
        <w:rPr>
          <w:rFonts w:hint="eastAsia" w:ascii="宋体" w:hAnsi="宋体" w:eastAsia="宋体"/>
          <w:b/>
          <w:color w:val="auto"/>
          <w:sz w:val="24"/>
          <w:highlight w:val="none"/>
        </w:rPr>
        <w:t>投诉</w:t>
      </w:r>
    </w:p>
    <w:p w14:paraId="60F5011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E62023D">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0E2723B">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30.3政府采购监督管理部门在处理投诉事项期间，可以视具体情况书面通知采购人暂停采购活动，但暂停时间最长不得超过30日。</w:t>
      </w:r>
    </w:p>
    <w:p w14:paraId="4A5A3C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27816682">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0031BB0E">
      <w:pPr>
        <w:spacing w:line="360" w:lineRule="auto"/>
        <w:jc w:val="center"/>
        <w:outlineLvl w:val="0"/>
        <w:rPr>
          <w:rFonts w:asciiTheme="minorEastAsia" w:hAnsiTheme="minorEastAsia" w:eastAsiaTheme="minorEastAsia"/>
          <w:b/>
          <w:color w:val="auto"/>
          <w:sz w:val="28"/>
          <w:highlight w:val="none"/>
        </w:rPr>
      </w:pPr>
      <w:bookmarkStart w:id="20" w:name="_Toc28125"/>
      <w:bookmarkStart w:id="21" w:name="_Toc19440"/>
      <w:r>
        <w:rPr>
          <w:rFonts w:hint="eastAsia" w:asciiTheme="minorEastAsia" w:hAnsiTheme="minorEastAsia" w:eastAsiaTheme="minorEastAsia"/>
          <w:b/>
          <w:color w:val="auto"/>
          <w:sz w:val="28"/>
          <w:highlight w:val="none"/>
        </w:rPr>
        <w:t>第三章  采购需求</w:t>
      </w:r>
      <w:bookmarkEnd w:id="20"/>
      <w:bookmarkEnd w:id="21"/>
    </w:p>
    <w:p w14:paraId="3A89F79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0DE19B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13E6F224">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28A055A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在响应文件中提供</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2796F1A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A8852E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6D3A75CF">
      <w:pPr>
        <w:spacing w:line="360" w:lineRule="auto"/>
        <w:ind w:firstLine="437"/>
        <w:outlineLvl w:val="1"/>
        <w:rPr>
          <w:rFonts w:ascii="宋体" w:hAnsi="宋体" w:eastAsia="宋体"/>
          <w:b/>
          <w:color w:val="auto"/>
          <w:sz w:val="24"/>
          <w:szCs w:val="18"/>
          <w:highlight w:val="none"/>
        </w:rPr>
      </w:pPr>
      <w:bookmarkStart w:id="22" w:name="_Toc26349"/>
      <w:bookmarkStart w:id="23" w:name="_Toc7699"/>
      <w:r>
        <w:rPr>
          <w:rFonts w:hint="eastAsia" w:ascii="宋体" w:hAnsi="宋体" w:eastAsia="宋体"/>
          <w:b/>
          <w:color w:val="auto"/>
          <w:sz w:val="24"/>
          <w:szCs w:val="18"/>
          <w:highlight w:val="none"/>
        </w:rPr>
        <w:t>一、采购需求前附表</w:t>
      </w:r>
      <w:bookmarkEnd w:id="22"/>
      <w:bookmarkEnd w:id="23"/>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4"/>
        <w:gridCol w:w="5977"/>
      </w:tblGrid>
      <w:tr w14:paraId="40BE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CB267A2">
            <w:pPr>
              <w:pStyle w:val="4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24" w:name="_Hlk16461016"/>
            <w:r>
              <w:rPr>
                <w:rFonts w:hint="eastAsia" w:ascii="宋体" w:hAnsi="宋体" w:eastAsia="宋体"/>
                <w:b/>
                <w:color w:val="auto"/>
                <w:kern w:val="2"/>
                <w:highlight w:val="none"/>
              </w:rPr>
              <w:t>序号</w:t>
            </w:r>
          </w:p>
        </w:tc>
        <w:tc>
          <w:tcPr>
            <w:tcW w:w="1192" w:type="pct"/>
            <w:vAlign w:val="center"/>
          </w:tcPr>
          <w:p w14:paraId="6A3505F7">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D365F77">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6D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8A1A8D">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1019F99">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86CC20B">
            <w:pPr>
              <w:pStyle w:val="46"/>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val="en-US" w:eastAsia="zh-CN"/>
              </w:rPr>
            </w:pPr>
            <w:r>
              <w:rPr>
                <w:rFonts w:hint="eastAsia" w:ascii="宋体" w:hAnsi="宋体" w:eastAsia="宋体" w:cs="宋体"/>
                <w:b w:val="0"/>
                <w:color w:val="auto"/>
                <w:sz w:val="24"/>
                <w:highlight w:val="none"/>
                <w:u w:val="single"/>
                <w:lang w:val="en-US" w:eastAsia="zh-CN"/>
              </w:rPr>
              <w:t>合同签订后可支付合同价的40%预付款（预付款支付前，中标人须提供同等金额的见索即付保函）</w:t>
            </w:r>
            <w:r>
              <w:rPr>
                <w:rFonts w:hint="eastAsia" w:ascii="宋体" w:hAnsi="宋体" w:eastAsia="宋体"/>
                <w:b w:val="0"/>
                <w:color w:val="auto"/>
                <w:sz w:val="24"/>
                <w:highlight w:val="none"/>
                <w:u w:val="single"/>
                <w:lang w:val="en-US" w:eastAsia="zh-CN"/>
              </w:rPr>
              <w:t>；通过专家评审后支付至合同总金额的60%；取得批复并完成备案后支付至合同价款的100%</w:t>
            </w:r>
            <w:r>
              <w:rPr>
                <w:rFonts w:hint="eastAsia" w:ascii="宋体" w:hAnsi="宋体" w:eastAsia="宋体"/>
                <w:b w:val="0"/>
                <w:color w:val="auto"/>
                <w:sz w:val="24"/>
                <w:highlight w:val="none"/>
                <w:u w:val="single"/>
              </w:rPr>
              <w:t>。</w:t>
            </w:r>
          </w:p>
        </w:tc>
      </w:tr>
      <w:tr w14:paraId="3458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6D2FD4F">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EA04B91">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497EC722">
            <w:pPr>
              <w:pStyle w:val="46"/>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滁州市南谯区</w:t>
            </w:r>
          </w:p>
        </w:tc>
      </w:tr>
      <w:tr w14:paraId="2759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DD354FD">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5CDCA40A">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590658C4">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2026年3月30日完成《滁州市南谯区各镇单元规划编制》初步方案，并广泛征求意见，2026年4月30日进行中期方案汇报，形成评审稿。2026年5月30日完成各镇单元规划编制。</w:t>
            </w:r>
          </w:p>
          <w:p w14:paraId="559C04F9">
            <w:pPr>
              <w:pStyle w:val="46"/>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color w:val="auto"/>
                <w:sz w:val="24"/>
                <w:szCs w:val="18"/>
                <w:highlight w:val="none"/>
                <w:lang w:val="en-US" w:eastAsia="zh-CN"/>
              </w:rPr>
              <w:t>响应时系统中按150日历天填写。</w:t>
            </w:r>
          </w:p>
        </w:tc>
      </w:tr>
      <w:tr w14:paraId="6A7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0" w:type="pct"/>
            <w:vAlign w:val="center"/>
          </w:tcPr>
          <w:p w14:paraId="1F59B19C">
            <w:pPr>
              <w:pStyle w:val="4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75074A5C">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3D1DF6E7">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南谯区各镇单元详细规划编制工作项目</w:t>
            </w:r>
          </w:p>
          <w:p w14:paraId="479E0895">
            <w:pPr>
              <w:rPr>
                <w:rFonts w:hint="default" w:ascii="宋体" w:hAnsi="宋体" w:eastAsiaTheme="minorEastAsia"/>
                <w:b w:val="0"/>
                <w:color w:val="auto"/>
                <w:sz w:val="24"/>
                <w:highlight w:val="none"/>
                <w:u w:val="single"/>
                <w:lang w:val="en-US" w:eastAsia="zh-CN"/>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auto"/>
                <w:sz w:val="24"/>
                <w:highlight w:val="none"/>
                <w:lang w:val="en-US" w:eastAsia="zh-CN"/>
              </w:rPr>
              <w:t>其他未列明行业</w:t>
            </w:r>
          </w:p>
        </w:tc>
      </w:tr>
    </w:tbl>
    <w:p w14:paraId="4B061E3C">
      <w:pPr>
        <w:spacing w:line="360" w:lineRule="auto"/>
        <w:ind w:firstLine="437"/>
        <w:outlineLvl w:val="1"/>
        <w:rPr>
          <w:rFonts w:hint="eastAsia" w:ascii="宋体" w:hAnsi="宋体" w:eastAsia="宋体"/>
          <w:b/>
          <w:color w:val="auto"/>
          <w:sz w:val="24"/>
          <w:szCs w:val="18"/>
          <w:highlight w:val="none"/>
        </w:rPr>
      </w:pPr>
      <w:bookmarkStart w:id="25" w:name="_Toc23116"/>
      <w:bookmarkStart w:id="26" w:name="_Toc25144"/>
      <w:r>
        <w:rPr>
          <w:rFonts w:hint="eastAsia" w:ascii="宋体" w:hAnsi="宋体" w:eastAsia="宋体"/>
          <w:b/>
          <w:color w:val="auto"/>
          <w:sz w:val="24"/>
          <w:szCs w:val="18"/>
          <w:highlight w:val="none"/>
        </w:rPr>
        <w:t>二、项目概况</w:t>
      </w:r>
      <w:bookmarkEnd w:id="25"/>
      <w:bookmarkEnd w:id="26"/>
    </w:p>
    <w:p w14:paraId="3803929B">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bookmarkStart w:id="27" w:name="_Toc27920"/>
      <w:bookmarkStart w:id="28" w:name="_Toc13016"/>
      <w:r>
        <w:rPr>
          <w:rFonts w:hint="eastAsia" w:asciiTheme="minorEastAsia" w:hAnsiTheme="minorEastAsia" w:eastAsiaTheme="minorEastAsia"/>
          <w:color w:val="auto"/>
          <w:sz w:val="24"/>
          <w:highlight w:val="none"/>
          <w:lang w:val="en-US" w:eastAsia="zh-CN"/>
        </w:rPr>
        <w:t>（一）编制背景</w:t>
      </w:r>
    </w:p>
    <w:p w14:paraId="15A0F82E">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根据安徽省自然资源厅印发《关于做好城镇开发边界内详细规划编制管理工作的通知》（皖自然资规划函〔2023〕91 号）及《安徽省国土空间详细规划编制规程（试行）》要求，需组织开展城镇开发边界内详细规划编制工作，实现城镇开发边界内单元详细规划全覆盖，地块详细规划可结合年度实施计划编制。</w:t>
      </w:r>
    </w:p>
    <w:p w14:paraId="558B2AA0">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当前南谯区各镇控规编制实行的是控规通则加控规图则的模式，往往忽视单元层面管控内容，已难以适应建设高品质现代化城市需要。为实现南谯区城镇开发边界内单元规划全覆盖，特开展《滁州市南谯区各镇单元规划》编制工作，落实总体规划目标要求、衔接专项规划空间需求、指导地块详细规划的规划层次，突出规划管控内容的有效传导和整体统筹。</w:t>
      </w:r>
    </w:p>
    <w:p w14:paraId="6F489077">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（二）编制依据</w:t>
      </w:r>
    </w:p>
    <w:p w14:paraId="36235737">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（1）《中华人民共和国城乡规划法》</w:t>
      </w:r>
    </w:p>
    <w:p w14:paraId="7522A1EE">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（2）《安徽省城乡规划条例》</w:t>
      </w:r>
    </w:p>
    <w:p w14:paraId="06852F31">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（3）《安徽省国土空间详细规划编制规程（试行）》</w:t>
      </w:r>
    </w:p>
    <w:p w14:paraId="16B43112">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 《关于做好城镇开发边界内详细规划编制管理工作的通知》</w:t>
      </w:r>
    </w:p>
    <w:p w14:paraId="12CFBE13">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（5）已批准的控规性详细规划</w:t>
      </w:r>
    </w:p>
    <w:p w14:paraId="3389CEDA">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（6）“三区三线”成果</w:t>
      </w:r>
    </w:p>
    <w:p w14:paraId="7C97FF47">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（7）各镇国土空间总体规划的阶段性成果</w:t>
      </w:r>
    </w:p>
    <w:p w14:paraId="59D43123">
      <w:pPr>
        <w:spacing w:line="360" w:lineRule="auto"/>
        <w:ind w:firstLine="480" w:firstLineChars="200"/>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（8）《国土空间调查、规划、用途管制用地用海分类指南》</w:t>
      </w:r>
    </w:p>
    <w:p w14:paraId="7DFE9FB8">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（9）其他相关专项规划</w:t>
      </w:r>
    </w:p>
    <w:p w14:paraId="6826AB2D">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（三）项目规划范围</w:t>
      </w:r>
    </w:p>
    <w:p w14:paraId="7AE09FCC">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滁州市南谯区各镇单元规划》包括：滁州市南谯区乌衣镇、施集镇、沙河镇、大柳镇、珠龙镇、章广镇、黄泥岗镇等7个镇。总体规模（城镇开发边界面积）约为68.63平方公里。并结合城镇开发边界及国土空间总体规划适时调整。</w:t>
      </w:r>
    </w:p>
    <w:bookmarkEnd w:id="24"/>
    <w:bookmarkEnd w:id="27"/>
    <w:bookmarkEnd w:id="28"/>
    <w:p w14:paraId="602B69BE">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、规划主要内容</w:t>
      </w:r>
    </w:p>
    <w:p w14:paraId="1D7046D5">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主要内容包括：“目标定位、空间布局、规模与强度、蓝绿空间、公共服务与住房保障、综合交通、公用设施、公共安全和综合防灾、风貌景观、地下空间”等内容。（详见《安徽省国土空间详细规划编制规程（试行）》）。</w:t>
      </w:r>
    </w:p>
    <w:p w14:paraId="0A0D88D5">
      <w:pPr>
        <w:spacing w:line="360" w:lineRule="auto"/>
        <w:ind w:firstLine="482" w:firstLineChars="200"/>
        <w:jc w:val="left"/>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本项目要求供应商至少派一名团队人员进行驻点办公。</w:t>
      </w:r>
    </w:p>
    <w:p w14:paraId="2E7DCCA7">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四、规划设计深度与成果要求</w:t>
      </w:r>
    </w:p>
    <w:p w14:paraId="5E12DB5C">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单元详细规划法定文件主要为文本、单元图则和数据库，技术文件包括图纸、说明书等附件（详见《安徽省国土空间详细规划编制规程（试行）》）。</w:t>
      </w:r>
    </w:p>
    <w:p w14:paraId="62C3CFAF">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五、时间进度要求</w:t>
      </w:r>
    </w:p>
    <w:p w14:paraId="75F4753A">
      <w:pPr>
        <w:spacing w:line="360" w:lineRule="auto"/>
        <w:ind w:firstLine="480" w:firstLineChars="200"/>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2026年3月30日完成《滁州市南谯区各镇单元规划编制》初步方案，并广泛征求意见，2026年4月30日进行中期方案汇报，形成评审稿。2026年5月30日完成各镇单元规划编制。</w:t>
      </w:r>
    </w:p>
    <w:p w14:paraId="2A1ED5EB">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六、报送与审查规定</w:t>
      </w:r>
    </w:p>
    <w:p w14:paraId="44AD53AC">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1.采购人对方案进行审查，并出具审查书面意见，设计单位负责提供审查所必需的汇报资料和规划方案介绍。</w:t>
      </w:r>
    </w:p>
    <w:p w14:paraId="5CD48A0D">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2.规划评审后，设计单位应根据评审意见修改并制定正式规划成果，并按规定时限报送采购人。 </w:t>
      </w:r>
    </w:p>
    <w:p w14:paraId="06A9C64D">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七、附则</w:t>
      </w:r>
    </w:p>
    <w:p w14:paraId="080CF9CD">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1.采购人负责协助设计单位搜集基础资料，负责设计单位间以及相关规划间的协调工作。</w:t>
      </w:r>
    </w:p>
    <w:p w14:paraId="657BB7F6">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2.规划署名权归设计单位所有，版权归采购人所有。</w:t>
      </w:r>
    </w:p>
    <w:p w14:paraId="6E0CC6AC">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3.规划方案批准实施前，任何单位和个人未经同意都无权以任何形式向社会公开展示设计成果。</w:t>
      </w:r>
    </w:p>
    <w:p w14:paraId="6B881DF2">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4.如对本任务书有疑问，可在接到本任务书后致电或函采购人，采购人将予以答复。</w:t>
      </w:r>
    </w:p>
    <w:p w14:paraId="137240FC">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5.设计单位提交的规划设计成果有下列情形之一的，采购人有权终止合同：</w:t>
      </w:r>
    </w:p>
    <w:p w14:paraId="12348F50">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⑴提交的成果不符合本任务书规定的。</w:t>
      </w:r>
    </w:p>
    <w:p w14:paraId="4956D15C">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⑵提交的成果图纸和文字辨认不清，内容不全或粗制滥造的。</w:t>
      </w:r>
    </w:p>
    <w:p w14:paraId="43D6A96A">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6．本任务书解释权归采购人所有。</w:t>
      </w:r>
    </w:p>
    <w:p w14:paraId="58792781">
      <w:pPr>
        <w:spacing w:line="360" w:lineRule="auto"/>
        <w:ind w:firstLine="437"/>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八</w:t>
      </w:r>
      <w:r>
        <w:rPr>
          <w:rFonts w:hint="default" w:ascii="宋体" w:hAnsi="宋体" w:eastAsia="宋体"/>
          <w:b/>
          <w:color w:val="auto"/>
          <w:sz w:val="24"/>
          <w:szCs w:val="18"/>
          <w:highlight w:val="none"/>
          <w:lang w:val="en-US" w:eastAsia="zh-CN"/>
        </w:rPr>
        <w:t>、报价要求</w:t>
      </w:r>
    </w:p>
    <w:p w14:paraId="4468C46D">
      <w:pPr>
        <w:spacing w:line="360" w:lineRule="auto"/>
        <w:ind w:firstLine="480" w:firstLineChars="200"/>
        <w:jc w:val="left"/>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供应商的报价应含有服务、利润、税金、政策性文件规定及合同包含的所有风险、责任、义务等，即为完成磋商文件要求的服务内容所包含的一切应有费用，其组成包括国家对中标单位征收的各种税费等所有一切费用，成交价格今后将不作任何调整，采购人后期不再追加费用，供应商自行考虑报价风险。</w:t>
      </w:r>
    </w:p>
    <w:p w14:paraId="2D9CD889">
      <w:pPr>
        <w:spacing w:line="360" w:lineRule="auto"/>
        <w:ind w:firstLine="480" w:firstLineChars="200"/>
        <w:jc w:val="left"/>
        <w:rPr>
          <w:rFonts w:hint="default" w:asciiTheme="minorEastAsia" w:hAnsiTheme="minorEastAsia" w:eastAsiaTheme="minorEastAsia"/>
          <w:color w:val="auto"/>
          <w:sz w:val="24"/>
          <w:highlight w:val="none"/>
          <w:lang w:val="en-US" w:eastAsia="zh-CN"/>
        </w:rPr>
      </w:pPr>
    </w:p>
    <w:p w14:paraId="7686852F">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Theme="minorEastAsia" w:hAnsiTheme="minorEastAsia" w:eastAsiaTheme="minorEastAsia"/>
          <w:b/>
          <w:color w:val="auto"/>
          <w:sz w:val="28"/>
          <w:highlight w:val="none"/>
        </w:rPr>
      </w:pPr>
      <w:bookmarkStart w:id="29" w:name="_Toc8668"/>
      <w:bookmarkStart w:id="30" w:name="_Toc17554"/>
      <w:r>
        <w:rPr>
          <w:rFonts w:hint="eastAsia" w:asciiTheme="minorEastAsia" w:hAnsiTheme="minorEastAsia" w:eastAsiaTheme="minorEastAsia"/>
          <w:b/>
          <w:color w:val="auto"/>
          <w:sz w:val="28"/>
          <w:highlight w:val="none"/>
        </w:rPr>
        <w:t>第四章  评审方法和标准</w:t>
      </w:r>
      <w:bookmarkEnd w:id="29"/>
      <w:bookmarkEnd w:id="30"/>
    </w:p>
    <w:p w14:paraId="0230286B">
      <w:pPr>
        <w:spacing w:line="360" w:lineRule="auto"/>
        <w:ind w:firstLine="437"/>
        <w:outlineLvl w:val="1"/>
        <w:rPr>
          <w:rFonts w:asciiTheme="minorEastAsia" w:hAnsiTheme="minorEastAsia" w:eastAsiaTheme="minorEastAsia"/>
          <w:b/>
          <w:color w:val="auto"/>
          <w:sz w:val="24"/>
          <w:highlight w:val="none"/>
        </w:rPr>
      </w:pPr>
      <w:bookmarkStart w:id="31" w:name="_Toc12199"/>
      <w:bookmarkStart w:id="32" w:name="_Toc21211"/>
      <w:r>
        <w:rPr>
          <w:rFonts w:hint="eastAsia" w:asciiTheme="minorEastAsia" w:hAnsiTheme="minorEastAsia" w:eastAsiaTheme="minorEastAsia"/>
          <w:b/>
          <w:color w:val="auto"/>
          <w:sz w:val="24"/>
          <w:highlight w:val="none"/>
        </w:rPr>
        <w:t>一、总则</w:t>
      </w:r>
      <w:bookmarkEnd w:id="31"/>
      <w:bookmarkEnd w:id="32"/>
    </w:p>
    <w:p w14:paraId="03A108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1A8A375">
      <w:pPr>
        <w:spacing w:line="360" w:lineRule="auto"/>
        <w:ind w:firstLine="437"/>
        <w:outlineLvl w:val="1"/>
        <w:rPr>
          <w:rFonts w:asciiTheme="minorEastAsia" w:hAnsiTheme="minorEastAsia" w:eastAsiaTheme="minorEastAsia"/>
          <w:b/>
          <w:color w:val="auto"/>
          <w:sz w:val="24"/>
          <w:highlight w:val="none"/>
        </w:rPr>
      </w:pPr>
      <w:bookmarkStart w:id="33" w:name="_Toc16885"/>
      <w:bookmarkStart w:id="34" w:name="_Toc13039"/>
      <w:r>
        <w:rPr>
          <w:rFonts w:hint="eastAsia" w:asciiTheme="minorEastAsia" w:hAnsiTheme="minorEastAsia" w:eastAsiaTheme="minorEastAsia"/>
          <w:b/>
          <w:color w:val="auto"/>
          <w:sz w:val="24"/>
          <w:highlight w:val="none"/>
        </w:rPr>
        <w:t>二、评审方法</w:t>
      </w:r>
      <w:bookmarkEnd w:id="33"/>
      <w:bookmarkEnd w:id="34"/>
    </w:p>
    <w:p w14:paraId="5A7B5BFF">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BC959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99"/>
        <w:gridCol w:w="4964"/>
        <w:gridCol w:w="2093"/>
      </w:tblGrid>
      <w:tr w14:paraId="7D2E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025ABD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2D55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32FDCDE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BF8148">
            <w:pPr>
              <w:pStyle w:val="47"/>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3967CB8D">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95" w:type="pct"/>
            <w:tcBorders>
              <w:bottom w:val="single" w:color="auto" w:sz="4" w:space="0"/>
            </w:tcBorders>
            <w:vAlign w:val="center"/>
          </w:tcPr>
          <w:p w14:paraId="4D2DD44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F7F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2" w:type="pct"/>
            <w:tcBorders>
              <w:bottom w:val="single" w:color="auto" w:sz="4" w:space="0"/>
            </w:tcBorders>
            <w:vAlign w:val="center"/>
          </w:tcPr>
          <w:p w14:paraId="160D9948">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1D0AD89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74CF4C4F">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D70A796">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7EFC484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69166E77">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1273AD47">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95" w:type="pct"/>
            <w:vAlign w:val="center"/>
          </w:tcPr>
          <w:p w14:paraId="6EE6ED78">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698F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2" w:type="pct"/>
            <w:tcBorders>
              <w:bottom w:val="single" w:color="auto" w:sz="4" w:space="0"/>
            </w:tcBorders>
            <w:vAlign w:val="center"/>
          </w:tcPr>
          <w:p w14:paraId="5894E8A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1003AF34">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600" w:type="pct"/>
            <w:tcBorders>
              <w:bottom w:val="single" w:color="auto" w:sz="4" w:space="0"/>
            </w:tcBorders>
            <w:vAlign w:val="center"/>
          </w:tcPr>
          <w:p w14:paraId="1903538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095" w:type="pct"/>
            <w:vAlign w:val="center"/>
          </w:tcPr>
          <w:p w14:paraId="60D70372">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D6A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56AD5DA6">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4F5B237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600" w:type="pct"/>
            <w:tcBorders>
              <w:bottom w:val="single" w:color="auto" w:sz="4" w:space="0"/>
            </w:tcBorders>
            <w:vAlign w:val="center"/>
          </w:tcPr>
          <w:p w14:paraId="7D491FA0">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eastAsia="zh-CN"/>
              </w:rPr>
              <w:t>邀请》第4条信誉要求和</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95" w:type="pct"/>
            <w:tcBorders>
              <w:bottom w:val="single" w:color="auto" w:sz="4" w:space="0"/>
            </w:tcBorders>
            <w:vAlign w:val="center"/>
          </w:tcPr>
          <w:p w14:paraId="6538DB4E">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7DBB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bottom w:val="single" w:color="auto" w:sz="4" w:space="0"/>
            </w:tcBorders>
            <w:vAlign w:val="center"/>
          </w:tcPr>
          <w:p w14:paraId="6720FE71">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651" w:type="dxa"/>
            <w:tcBorders>
              <w:bottom w:val="single" w:color="auto" w:sz="4" w:space="0"/>
            </w:tcBorders>
            <w:vAlign w:val="center"/>
          </w:tcPr>
          <w:p w14:paraId="32BF1E3D">
            <w:pPr>
              <w:keepNext w:val="0"/>
              <w:keepLines w:val="0"/>
              <w:pageBreakBefore w:val="0"/>
              <w:widowControl w:val="0"/>
              <w:kinsoku/>
              <w:wordWrap/>
              <w:overflowPunct/>
              <w:topLinePunct w:val="0"/>
              <w:autoSpaceDE/>
              <w:autoSpaceDN/>
              <w:bidi w:val="0"/>
              <w:adjustRightInd/>
              <w:spacing w:line="440" w:lineRule="exact"/>
              <w:ind w:right="0" w:rightChars="0"/>
              <w:jc w:val="center"/>
              <w:textAlignment w:val="auto"/>
              <w:rPr>
                <w:rFonts w:hint="eastAsia"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rPr>
              <w:t>中小企业证明文件</w:t>
            </w:r>
          </w:p>
        </w:tc>
        <w:tc>
          <w:tcPr>
            <w:tcW w:w="4556" w:type="dxa"/>
            <w:tcBorders>
              <w:bottom w:val="single" w:color="auto" w:sz="4" w:space="0"/>
            </w:tcBorders>
            <w:vAlign w:val="top"/>
          </w:tcPr>
          <w:p w14:paraId="5865566A">
            <w:pPr>
              <w:keepNext w:val="0"/>
              <w:keepLines w:val="0"/>
              <w:pageBreakBefore w:val="0"/>
              <w:widowControl w:val="0"/>
              <w:kinsoku/>
              <w:wordWrap/>
              <w:overflowPunct/>
              <w:topLinePunct w:val="0"/>
              <w:autoSpaceDE/>
              <w:autoSpaceDN/>
              <w:bidi w:val="0"/>
              <w:adjustRightInd/>
              <w:spacing w:line="440" w:lineRule="exact"/>
              <w:ind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680767B7">
            <w:pPr>
              <w:keepNext w:val="0"/>
              <w:keepLines w:val="0"/>
              <w:pageBreakBefore w:val="0"/>
              <w:widowControl w:val="0"/>
              <w:kinsoku/>
              <w:wordWrap/>
              <w:overflowPunct/>
              <w:topLinePunct w:val="0"/>
              <w:autoSpaceDE/>
              <w:autoSpaceDN/>
              <w:bidi w:val="0"/>
              <w:adjustRightInd/>
              <w:spacing w:line="44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44F21D63">
            <w:pPr>
              <w:keepNext w:val="0"/>
              <w:keepLines w:val="0"/>
              <w:pageBreakBefore w:val="0"/>
              <w:widowControl w:val="0"/>
              <w:kinsoku/>
              <w:wordWrap/>
              <w:overflowPunct/>
              <w:topLinePunct w:val="0"/>
              <w:autoSpaceDE/>
              <w:autoSpaceDN/>
              <w:bidi w:val="0"/>
              <w:adjustRightInd/>
              <w:spacing w:line="440" w:lineRule="exact"/>
              <w:ind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920" w:type="dxa"/>
            <w:tcBorders>
              <w:bottom w:val="single" w:color="auto" w:sz="4" w:space="0"/>
            </w:tcBorders>
            <w:vAlign w:val="center"/>
          </w:tcPr>
          <w:p w14:paraId="7F39D9A3">
            <w:pPr>
              <w:keepNext w:val="0"/>
              <w:keepLines w:val="0"/>
              <w:pageBreakBefore w:val="0"/>
              <w:widowControl w:val="0"/>
              <w:kinsoku/>
              <w:wordWrap/>
              <w:overflowPunct/>
              <w:topLinePunct w:val="0"/>
              <w:autoSpaceDE/>
              <w:autoSpaceDN/>
              <w:bidi w:val="0"/>
              <w:adjustRightInd/>
              <w:spacing w:line="44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B96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167D1918">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shd w:val="clear" w:color="auto" w:fill="auto"/>
            <w:vAlign w:val="center"/>
          </w:tcPr>
          <w:p w14:paraId="74BFA1AA">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pacing w:val="10"/>
                <w:kern w:val="2"/>
                <w:sz w:val="24"/>
                <w:szCs w:val="24"/>
                <w:highlight w:val="none"/>
                <w:lang w:val="en-US" w:eastAsia="zh-CN" w:bidi="ar-SA"/>
              </w:rPr>
              <w:t>诚信响应承诺书</w:t>
            </w:r>
          </w:p>
        </w:tc>
        <w:tc>
          <w:tcPr>
            <w:tcW w:w="2600" w:type="pct"/>
            <w:tcBorders>
              <w:bottom w:val="single" w:color="auto" w:sz="4" w:space="0"/>
            </w:tcBorders>
            <w:shd w:val="clear" w:color="auto" w:fill="auto"/>
            <w:vAlign w:val="center"/>
          </w:tcPr>
          <w:p w14:paraId="49E68B49">
            <w:pPr>
              <w:spacing w:after="50" w:line="360" w:lineRule="auto"/>
              <w:ind w:right="-10" w:rightChars="0"/>
              <w:jc w:val="center"/>
              <w:rPr>
                <w:rFonts w:hint="eastAsia" w:ascii="宋体" w:hAnsi="宋体" w:eastAsia="宋体" w:cs="宋体"/>
                <w:color w:val="auto"/>
                <w:spacing w:val="-2"/>
                <w:kern w:val="2"/>
                <w:sz w:val="24"/>
                <w:szCs w:val="24"/>
                <w:highlight w:val="none"/>
                <w:lang w:val="en-US" w:eastAsia="en-US" w:bidi="ar-SA"/>
              </w:rPr>
            </w:pPr>
            <w:r>
              <w:rPr>
                <w:rFonts w:hint="eastAsia" w:ascii="宋体" w:hAnsi="宋体" w:eastAsia="宋体" w:cs="宋体"/>
                <w:color w:val="auto"/>
                <w:spacing w:val="-2"/>
                <w:kern w:val="2"/>
                <w:sz w:val="24"/>
                <w:szCs w:val="24"/>
                <w:highlight w:val="none"/>
                <w:lang w:val="en-US" w:eastAsia="zh-CN" w:bidi="ar-SA"/>
              </w:rPr>
              <w:t>格式、填写要求符合磋商文件规定并加盖供应商电子签章</w:t>
            </w:r>
          </w:p>
        </w:tc>
        <w:tc>
          <w:tcPr>
            <w:tcW w:w="1095" w:type="pct"/>
            <w:tcBorders>
              <w:bottom w:val="single" w:color="auto" w:sz="4" w:space="0"/>
            </w:tcBorders>
            <w:shd w:val="clear" w:color="auto" w:fill="auto"/>
            <w:vAlign w:val="center"/>
          </w:tcPr>
          <w:p w14:paraId="33F95176">
            <w:pPr>
              <w:spacing w:after="50"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详见第六章响应文件格式。</w:t>
            </w:r>
          </w:p>
        </w:tc>
      </w:tr>
      <w:tr w14:paraId="3A35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5753DFEC">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42" w:type="pct"/>
            <w:tcBorders>
              <w:bottom w:val="single" w:color="auto" w:sz="4" w:space="0"/>
            </w:tcBorders>
            <w:shd w:val="clear" w:color="auto" w:fill="auto"/>
            <w:vAlign w:val="center"/>
          </w:tcPr>
          <w:p w14:paraId="56AF9AC2">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其他特定资格要求</w:t>
            </w:r>
          </w:p>
        </w:tc>
        <w:tc>
          <w:tcPr>
            <w:tcW w:w="2600" w:type="pct"/>
            <w:tcBorders>
              <w:bottom w:val="single" w:color="auto" w:sz="4" w:space="0"/>
            </w:tcBorders>
            <w:shd w:val="clear" w:color="auto" w:fill="auto"/>
            <w:vAlign w:val="center"/>
          </w:tcPr>
          <w:p w14:paraId="27782F34">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095" w:type="pct"/>
            <w:tcBorders>
              <w:bottom w:val="single" w:color="auto" w:sz="4" w:space="0"/>
            </w:tcBorders>
            <w:shd w:val="clear" w:color="auto" w:fill="auto"/>
            <w:vAlign w:val="center"/>
          </w:tcPr>
          <w:p w14:paraId="0D21E6C0">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265D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29BF3BFB">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tcBorders>
              <w:bottom w:val="single" w:color="auto" w:sz="4" w:space="0"/>
            </w:tcBorders>
            <w:shd w:val="clear" w:color="auto" w:fill="auto"/>
            <w:vAlign w:val="center"/>
          </w:tcPr>
          <w:p w14:paraId="1EA89C3D">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磋商响应函</w:t>
            </w:r>
          </w:p>
        </w:tc>
        <w:tc>
          <w:tcPr>
            <w:tcW w:w="2600" w:type="pct"/>
            <w:tcBorders>
              <w:bottom w:val="single" w:color="auto" w:sz="4" w:space="0"/>
            </w:tcBorders>
            <w:shd w:val="clear" w:color="auto" w:fill="auto"/>
            <w:vAlign w:val="center"/>
          </w:tcPr>
          <w:p w14:paraId="13C660EB">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95" w:type="pct"/>
            <w:tcBorders>
              <w:bottom w:val="single" w:color="auto" w:sz="4" w:space="0"/>
            </w:tcBorders>
            <w:shd w:val="clear" w:color="auto" w:fill="auto"/>
            <w:vAlign w:val="center"/>
          </w:tcPr>
          <w:p w14:paraId="301DB32E">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8DE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5A41E252">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w:t>
            </w:r>
          </w:p>
        </w:tc>
        <w:tc>
          <w:tcPr>
            <w:tcW w:w="942" w:type="pct"/>
            <w:tcBorders>
              <w:bottom w:val="single" w:color="auto" w:sz="4" w:space="0"/>
            </w:tcBorders>
            <w:shd w:val="clear" w:color="auto" w:fill="auto"/>
            <w:vAlign w:val="center"/>
          </w:tcPr>
          <w:p w14:paraId="022402AB">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600" w:type="pct"/>
            <w:tcBorders>
              <w:bottom w:val="single" w:color="auto" w:sz="4" w:space="0"/>
            </w:tcBorders>
            <w:shd w:val="clear" w:color="auto" w:fill="auto"/>
            <w:vAlign w:val="center"/>
          </w:tcPr>
          <w:p w14:paraId="33BD4C68">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95" w:type="pct"/>
            <w:tcBorders>
              <w:bottom w:val="single" w:color="auto" w:sz="4" w:space="0"/>
            </w:tcBorders>
            <w:shd w:val="clear" w:color="auto" w:fill="auto"/>
            <w:vAlign w:val="center"/>
          </w:tcPr>
          <w:p w14:paraId="207C02F2">
            <w:pPr>
              <w:adjustRightInd w:val="0"/>
              <w:snapToGrid w:val="0"/>
              <w:spacing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3708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0BFFA57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9</w:t>
            </w:r>
          </w:p>
        </w:tc>
        <w:tc>
          <w:tcPr>
            <w:tcW w:w="942" w:type="pct"/>
            <w:shd w:val="clear" w:color="auto" w:fill="auto"/>
            <w:vAlign w:val="center"/>
          </w:tcPr>
          <w:p w14:paraId="7C5459E6">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600" w:type="pct"/>
            <w:shd w:val="clear" w:color="auto" w:fill="auto"/>
            <w:vAlign w:val="center"/>
          </w:tcPr>
          <w:p w14:paraId="0031EBD4">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95" w:type="pct"/>
            <w:shd w:val="clear" w:color="auto" w:fill="auto"/>
            <w:vAlign w:val="center"/>
          </w:tcPr>
          <w:p w14:paraId="0D2AE422">
            <w:pPr>
              <w:adjustRightInd w:val="0"/>
              <w:snapToGrid w:val="0"/>
              <w:spacing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56CD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122F7642">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942" w:type="pct"/>
            <w:shd w:val="clear" w:color="auto" w:fill="auto"/>
            <w:vAlign w:val="center"/>
          </w:tcPr>
          <w:p w14:paraId="69E28C0D">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商务响应情况</w:t>
            </w:r>
          </w:p>
        </w:tc>
        <w:tc>
          <w:tcPr>
            <w:tcW w:w="2600" w:type="pct"/>
            <w:shd w:val="clear" w:color="auto" w:fill="auto"/>
            <w:vAlign w:val="center"/>
          </w:tcPr>
          <w:p w14:paraId="551E6396">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符合磋商文件采购需求中对付款方式、服务地点、服务期限等实质性要求</w:t>
            </w:r>
          </w:p>
        </w:tc>
        <w:tc>
          <w:tcPr>
            <w:tcW w:w="1095" w:type="pct"/>
            <w:shd w:val="clear" w:color="auto" w:fill="auto"/>
            <w:vAlign w:val="center"/>
          </w:tcPr>
          <w:p w14:paraId="0F372ABF">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详见第六章响应文件格式。</w:t>
            </w:r>
          </w:p>
        </w:tc>
      </w:tr>
      <w:tr w14:paraId="268F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651AD332">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w:t>
            </w:r>
          </w:p>
        </w:tc>
        <w:tc>
          <w:tcPr>
            <w:tcW w:w="942" w:type="pct"/>
            <w:shd w:val="clear" w:color="auto" w:fill="auto"/>
            <w:vAlign w:val="center"/>
          </w:tcPr>
          <w:p w14:paraId="007DB32C">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600" w:type="pct"/>
            <w:shd w:val="clear" w:color="auto" w:fill="auto"/>
            <w:vAlign w:val="center"/>
          </w:tcPr>
          <w:p w14:paraId="0BBED11E">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095" w:type="pct"/>
            <w:vAlign w:val="center"/>
          </w:tcPr>
          <w:p w14:paraId="01017BCD">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p>
        </w:tc>
      </w:tr>
    </w:tbl>
    <w:p w14:paraId="6D2AF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4732968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13B02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0529A605">
      <w:pPr>
        <w:spacing w:line="360" w:lineRule="auto"/>
        <w:ind w:firstLine="435"/>
        <w:rPr>
          <w:rFonts w:hint="eastAsia" w:eastAsiaTheme="minorEastAsia"/>
          <w:color w:val="auto"/>
          <w:highlight w:val="none"/>
          <w:lang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86</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14</w:t>
      </w:r>
      <w:r>
        <w:rPr>
          <w:rFonts w:asciiTheme="minorEastAsia" w:hAnsiTheme="minorEastAsia" w:eastAsiaTheme="minorEastAsia"/>
          <w:color w:val="auto"/>
          <w:sz w:val="24"/>
          <w:highlight w:val="none"/>
        </w:rPr>
        <w:t>%。具体评分细则如下：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注：每包均按以下评分办法进行评分</w:t>
      </w:r>
      <w:r>
        <w:rPr>
          <w:rFonts w:hint="eastAsia" w:asciiTheme="minorEastAsia" w:hAnsiTheme="minorEastAsia" w:eastAsiaTheme="minorEastAsia"/>
          <w:color w:val="auto"/>
          <w:sz w:val="24"/>
          <w:highlight w:val="none"/>
          <w:lang w:eastAsia="zh-CN"/>
        </w:rPr>
        <w:t>）</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362"/>
        <w:gridCol w:w="5033"/>
        <w:gridCol w:w="1287"/>
      </w:tblGrid>
      <w:tr w14:paraId="40D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4" w:type="pct"/>
            <w:tcBorders>
              <w:top w:val="single" w:color="auto" w:sz="4" w:space="0"/>
              <w:left w:val="single" w:color="auto" w:sz="4" w:space="0"/>
              <w:bottom w:val="single" w:color="auto" w:sz="4" w:space="0"/>
              <w:right w:val="single" w:color="auto" w:sz="4" w:space="0"/>
            </w:tcBorders>
            <w:vAlign w:val="center"/>
          </w:tcPr>
          <w:p w14:paraId="5DE26E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33" w:type="pct"/>
            <w:tcBorders>
              <w:top w:val="single" w:color="auto" w:sz="4" w:space="0"/>
              <w:left w:val="single" w:color="auto" w:sz="4" w:space="0"/>
              <w:bottom w:val="single" w:color="auto" w:sz="4" w:space="0"/>
              <w:right w:val="single" w:color="auto" w:sz="4" w:space="0"/>
            </w:tcBorders>
            <w:vAlign w:val="center"/>
          </w:tcPr>
          <w:p w14:paraId="707439E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709" w:type="pct"/>
            <w:tcBorders>
              <w:top w:val="single" w:color="auto" w:sz="4" w:space="0"/>
              <w:left w:val="single" w:color="auto" w:sz="4" w:space="0"/>
              <w:bottom w:val="single" w:color="auto" w:sz="4" w:space="0"/>
              <w:right w:val="single" w:color="auto" w:sz="4" w:space="0"/>
            </w:tcBorders>
            <w:vAlign w:val="center"/>
          </w:tcPr>
          <w:p w14:paraId="3793DE7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92" w:type="pct"/>
            <w:tcBorders>
              <w:top w:val="single" w:color="auto" w:sz="4" w:space="0"/>
              <w:left w:val="single" w:color="auto" w:sz="4" w:space="0"/>
              <w:bottom w:val="single" w:color="auto" w:sz="4" w:space="0"/>
              <w:right w:val="single" w:color="auto" w:sz="4" w:space="0"/>
            </w:tcBorders>
            <w:vAlign w:val="center"/>
          </w:tcPr>
          <w:p w14:paraId="1274877F">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3A6C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restart"/>
            <w:tcBorders>
              <w:top w:val="single" w:color="auto" w:sz="4" w:space="0"/>
              <w:left w:val="single" w:color="auto" w:sz="4" w:space="0"/>
              <w:right w:val="single" w:color="auto" w:sz="4" w:space="0"/>
            </w:tcBorders>
            <w:vAlign w:val="center"/>
          </w:tcPr>
          <w:p w14:paraId="0999CB4A">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2A97556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86</w:t>
            </w:r>
            <w:r>
              <w:rPr>
                <w:rFonts w:hint="eastAsia" w:asciiTheme="minorEastAsia" w:hAnsiTheme="minorEastAsia" w:eastAsiaTheme="minorEastAsia"/>
                <w:color w:val="auto"/>
                <w:sz w:val="24"/>
                <w:highlight w:val="none"/>
              </w:rPr>
              <w:t>分）</w:t>
            </w: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6D81ABD3">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val="0"/>
                <w:color w:val="auto"/>
                <w:sz w:val="24"/>
                <w:highlight w:val="none"/>
                <w:lang w:val="en-US" w:eastAsia="zh-CN"/>
              </w:rPr>
              <w:t>资信部分</w:t>
            </w:r>
          </w:p>
        </w:tc>
      </w:tr>
      <w:tr w14:paraId="4EDD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EC551AC">
            <w:pPr>
              <w:spacing w:line="360" w:lineRule="auto"/>
              <w:jc w:val="center"/>
              <w:rPr>
                <w:rFonts w:hint="eastAsia" w:asciiTheme="minorEastAsia" w:hAnsiTheme="minorEastAsia" w:eastAsiaTheme="minorEastAsia"/>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A799ED5">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供应商业绩</w:t>
            </w:r>
          </w:p>
        </w:tc>
        <w:tc>
          <w:tcPr>
            <w:tcW w:w="2709" w:type="pct"/>
            <w:tcBorders>
              <w:top w:val="single" w:color="auto" w:sz="4" w:space="0"/>
              <w:left w:val="single" w:color="auto" w:sz="4" w:space="0"/>
              <w:bottom w:val="single" w:color="auto" w:sz="4" w:space="0"/>
              <w:right w:val="single" w:color="auto" w:sz="4" w:space="0"/>
            </w:tcBorders>
            <w:vAlign w:val="center"/>
          </w:tcPr>
          <w:p w14:paraId="28529B2E">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供应商自2020年1月1日至今（以合同签订时间为准），承担过单元详细规划业绩的，每提供一个得2分，最高得2分。</w:t>
            </w:r>
          </w:p>
          <w:p w14:paraId="6D2B4BB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注：（1）响应文件中需提供合同扫描件，如证明材料中无法体现项目类型等内容，须另外提供业主单位出具的加盖业主单位公章的证明材料。</w:t>
            </w:r>
          </w:p>
          <w:p w14:paraId="12F3B3D8">
            <w:pPr>
              <w:spacing w:line="360" w:lineRule="auto"/>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供应商投标时只须提供1个评审业绩，若供应商提供业绩个数超过1个，则按照排列顺序从首个业绩开始评审至对应数量（1个），超出部分业绩不进行评审。对应数量（1个）内业绩不符合采购文件要求不得分的，不再补充评审超出部分业绩。</w:t>
            </w:r>
          </w:p>
        </w:tc>
        <w:tc>
          <w:tcPr>
            <w:tcW w:w="692" w:type="pct"/>
            <w:tcBorders>
              <w:top w:val="single" w:color="auto" w:sz="4" w:space="0"/>
              <w:left w:val="single" w:color="auto" w:sz="4" w:space="0"/>
              <w:bottom w:val="single" w:color="auto" w:sz="4" w:space="0"/>
              <w:right w:val="single" w:color="auto" w:sz="4" w:space="0"/>
            </w:tcBorders>
            <w:vAlign w:val="center"/>
          </w:tcPr>
          <w:p w14:paraId="15370AC7">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0-2分</w:t>
            </w:r>
          </w:p>
        </w:tc>
      </w:tr>
      <w:tr w14:paraId="196A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96F8B09">
            <w:pPr>
              <w:spacing w:line="360" w:lineRule="auto"/>
              <w:jc w:val="center"/>
              <w:rPr>
                <w:rFonts w:hint="eastAsia" w:asciiTheme="minorEastAsia" w:hAnsiTheme="minorEastAsia" w:eastAsiaTheme="minorEastAsia"/>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9B86C38">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供应商荣誉</w:t>
            </w:r>
          </w:p>
        </w:tc>
        <w:tc>
          <w:tcPr>
            <w:tcW w:w="2709" w:type="pct"/>
            <w:tcBorders>
              <w:top w:val="single" w:color="auto" w:sz="4" w:space="0"/>
              <w:left w:val="single" w:color="auto" w:sz="4" w:space="0"/>
              <w:bottom w:val="single" w:color="auto" w:sz="4" w:space="0"/>
              <w:right w:val="single" w:color="auto" w:sz="4" w:space="0"/>
            </w:tcBorders>
            <w:vAlign w:val="center"/>
          </w:tcPr>
          <w:p w14:paraId="6E8DA0F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供应商自2020年1月1日至今，承担的规划编制项目业绩</w:t>
            </w:r>
            <w:r>
              <w:rPr>
                <w:rFonts w:hint="eastAsia" w:asciiTheme="minorEastAsia" w:hAnsiTheme="minorEastAsia" w:eastAsiaTheme="minorEastAsia"/>
                <w:bCs/>
                <w:sz w:val="24"/>
                <w:highlight w:val="none"/>
              </w:rPr>
              <w:t>获得过</w:t>
            </w:r>
            <w:r>
              <w:rPr>
                <w:rFonts w:hint="eastAsia" w:asciiTheme="minorEastAsia" w:hAnsiTheme="minorEastAsia" w:eastAsiaTheme="minorEastAsia"/>
                <w:bCs/>
                <w:sz w:val="24"/>
                <w:highlight w:val="none"/>
                <w:lang w:val="en-US" w:eastAsia="zh-CN"/>
              </w:rPr>
              <w:t>市级（或以上）</w:t>
            </w:r>
            <w:r>
              <w:rPr>
                <w:rFonts w:hint="eastAsia" w:asciiTheme="minorEastAsia" w:hAnsiTheme="minorEastAsia" w:eastAsiaTheme="minorEastAsia"/>
                <w:bCs/>
                <w:sz w:val="24"/>
                <w:highlight w:val="none"/>
              </w:rPr>
              <w:t>奖项的</w:t>
            </w:r>
            <w:r>
              <w:rPr>
                <w:rFonts w:hint="eastAsia" w:asciiTheme="minorEastAsia" w:hAnsiTheme="minorEastAsia" w:eastAsiaTheme="minorEastAsia"/>
                <w:bCs/>
                <w:color w:val="auto"/>
                <w:sz w:val="24"/>
                <w:highlight w:val="none"/>
                <w:lang w:val="en-US" w:eastAsia="zh-CN"/>
              </w:rPr>
              <w:t>，每提供1个得2分，本项最高得2分。</w:t>
            </w:r>
          </w:p>
          <w:p w14:paraId="3A14AD8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注：（1）响应文件中须提供获奖证明材料扫描件，获奖时间以证书颁发时间为准，未提供不得分。</w:t>
            </w:r>
          </w:p>
          <w:p w14:paraId="6ED163DD">
            <w:pPr>
              <w:spacing w:line="360" w:lineRule="auto"/>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供应商投标时只须提供1个评审荣誉，若供应商提供荣誉个数超过1个，则按照排列顺序从首个荣誉开始评审至对应数量（1个），超出部分荣誉不进行评审。对应数量（1个）内荣誉不符合采购文件要求不得分的，不再补充评审超出部分荣誉。</w:t>
            </w:r>
          </w:p>
        </w:tc>
        <w:tc>
          <w:tcPr>
            <w:tcW w:w="692" w:type="pct"/>
            <w:tcBorders>
              <w:top w:val="single" w:color="auto" w:sz="4" w:space="0"/>
              <w:left w:val="single" w:color="auto" w:sz="4" w:space="0"/>
              <w:bottom w:val="single" w:color="auto" w:sz="4" w:space="0"/>
              <w:right w:val="single" w:color="auto" w:sz="4" w:space="0"/>
            </w:tcBorders>
            <w:vAlign w:val="center"/>
          </w:tcPr>
          <w:p w14:paraId="3D6AF555">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0-2分</w:t>
            </w:r>
          </w:p>
        </w:tc>
      </w:tr>
      <w:tr w14:paraId="37FF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7B6B37CA">
            <w:pPr>
              <w:spacing w:line="360" w:lineRule="auto"/>
              <w:jc w:val="center"/>
              <w:rPr>
                <w:rFonts w:hint="eastAsia" w:asciiTheme="minorEastAsia" w:hAnsiTheme="minorEastAsia" w:eastAsiaTheme="minorEastAsia"/>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4A72061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供应商实力</w:t>
            </w:r>
          </w:p>
        </w:tc>
        <w:tc>
          <w:tcPr>
            <w:tcW w:w="2709" w:type="pct"/>
            <w:tcBorders>
              <w:top w:val="single" w:color="auto" w:sz="4" w:space="0"/>
              <w:left w:val="single" w:color="auto" w:sz="4" w:space="0"/>
              <w:bottom w:val="single" w:color="auto" w:sz="4" w:space="0"/>
              <w:right w:val="single" w:color="auto" w:sz="4" w:space="0"/>
            </w:tcBorders>
            <w:vAlign w:val="center"/>
          </w:tcPr>
          <w:p w14:paraId="41DD4E5E">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具有下列与国土空间规划相关的软件著作权证书的，具有“多规合一叠加分析类”、“国土空间规划管理类”、“国土空间大数据分析类”、“国土空间基础信息平台类”、“现场调研类”、“三线检测预警评估类”，每提供1个得2分，本项满分10分。</w:t>
            </w:r>
          </w:p>
          <w:p w14:paraId="7C512F7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注：响应文件中须提供相关软件著作权证书扫描件或著作权人提供的相关使用证明。</w:t>
            </w:r>
          </w:p>
        </w:tc>
        <w:tc>
          <w:tcPr>
            <w:tcW w:w="692" w:type="pct"/>
            <w:tcBorders>
              <w:top w:val="single" w:color="auto" w:sz="4" w:space="0"/>
              <w:left w:val="single" w:color="auto" w:sz="4" w:space="0"/>
              <w:bottom w:val="single" w:color="auto" w:sz="4" w:space="0"/>
              <w:right w:val="single" w:color="auto" w:sz="4" w:space="0"/>
            </w:tcBorders>
            <w:vAlign w:val="center"/>
          </w:tcPr>
          <w:p w14:paraId="1497F491">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0-10分</w:t>
            </w:r>
          </w:p>
        </w:tc>
      </w:tr>
      <w:tr w14:paraId="4523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1AE1B8E1">
            <w:pPr>
              <w:spacing w:line="360" w:lineRule="auto"/>
              <w:jc w:val="center"/>
              <w:rPr>
                <w:rFonts w:hint="eastAsia" w:asciiTheme="minorEastAsia" w:hAnsiTheme="minorEastAsia" w:eastAsiaTheme="minorEastAsia"/>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01DAE1AB">
            <w:pPr>
              <w:spacing w:line="360" w:lineRule="auto"/>
              <w:jc w:val="center"/>
              <w:rPr>
                <w:rFonts w:hint="default" w:cs="@仿宋_GB2312" w:asciiTheme="minorEastAsia" w:hAnsiTheme="minorEastAsia" w:eastAsiaTheme="minorEastAsia"/>
                <w:bCs/>
                <w:color w:val="auto"/>
                <w:kern w:val="2"/>
                <w:sz w:val="24"/>
                <w:highlight w:val="none"/>
                <w:lang w:val="en-US" w:eastAsia="zh-CN" w:bidi="ar-SA"/>
              </w:rPr>
            </w:pPr>
            <w:r>
              <w:rPr>
                <w:rFonts w:hint="eastAsia" w:asciiTheme="minorEastAsia" w:hAnsiTheme="minorEastAsia" w:eastAsiaTheme="minorEastAsia"/>
                <w:bCs/>
                <w:color w:val="auto"/>
                <w:sz w:val="24"/>
                <w:highlight w:val="none"/>
                <w:lang w:val="en-US" w:eastAsia="zh-CN"/>
              </w:rPr>
              <w:t>项目组实力</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center"/>
          </w:tcPr>
          <w:p w14:paraId="3625B72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（1）拟派项目负责人具有城市（乡）规划类专业高级及以上职称的得2分，同时具备土地规划类专业高级及以上职称的再加2分；本项满分4分。</w:t>
            </w:r>
          </w:p>
          <w:p w14:paraId="25C31F1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拟为本项目配备的其他人员（不含项目负责人），每提供一个具有城市(乡)规划、咨询、土木工程（道路工程）、给排水工程、建筑设计、电气工程、环保工程、造价工程、设备工程（暖通类）、测绘工程专业国家注册执业资格证书的得2分，最高得18分。</w:t>
            </w:r>
          </w:p>
          <w:p w14:paraId="735ACF16">
            <w:pPr>
              <w:spacing w:line="360" w:lineRule="auto"/>
              <w:jc w:val="left"/>
              <w:rPr>
                <w:rFonts w:hint="eastAsia" w:cs="@仿宋_GB2312" w:asciiTheme="minorEastAsia" w:hAnsiTheme="minorEastAsia" w:eastAsiaTheme="minorEastAsia"/>
                <w:bCs/>
                <w:color w:val="auto"/>
                <w:kern w:val="2"/>
                <w:sz w:val="24"/>
                <w:highlight w:val="none"/>
                <w:lang w:val="en-US" w:eastAsia="zh-CN" w:bidi="ar-SA"/>
              </w:rPr>
            </w:pPr>
            <w:r>
              <w:rPr>
                <w:rFonts w:hint="eastAsia" w:asciiTheme="minorEastAsia" w:hAnsiTheme="minorEastAsia" w:eastAsiaTheme="minorEastAsia"/>
                <w:bCs/>
                <w:color w:val="auto"/>
                <w:sz w:val="24"/>
                <w:highlight w:val="none"/>
                <w:lang w:val="en-US" w:eastAsia="zh-CN"/>
              </w:rPr>
              <w:t>注：响应文件中提供证书扫描件。</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26FA06CC">
            <w:pPr>
              <w:spacing w:line="360" w:lineRule="auto"/>
              <w:jc w:val="center"/>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b/>
                <w:bCs/>
                <w:color w:val="auto"/>
                <w:sz w:val="24"/>
                <w:highlight w:val="none"/>
                <w:lang w:val="en-US" w:eastAsia="zh-CN"/>
              </w:rPr>
              <w:t>0-22分</w:t>
            </w:r>
          </w:p>
        </w:tc>
      </w:tr>
      <w:tr w14:paraId="71E8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14DD7066">
            <w:pPr>
              <w:spacing w:line="360" w:lineRule="auto"/>
              <w:ind w:firstLine="435"/>
              <w:jc w:val="center"/>
              <w:rPr>
                <w:rFonts w:asciiTheme="minorEastAsia" w:hAnsiTheme="minorEastAsia" w:eastAsiaTheme="minorEastAsia"/>
                <w:b/>
                <w:bCs/>
                <w:color w:val="auto"/>
                <w:sz w:val="24"/>
                <w:highlight w:val="none"/>
              </w:rPr>
            </w:pP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7015D09C">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技术部分</w:t>
            </w:r>
          </w:p>
        </w:tc>
      </w:tr>
      <w:tr w14:paraId="4F31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5E7788A">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48077A4">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项目背景认识</w:t>
            </w:r>
          </w:p>
        </w:tc>
        <w:tc>
          <w:tcPr>
            <w:tcW w:w="2709" w:type="pct"/>
            <w:tcBorders>
              <w:top w:val="single" w:color="auto" w:sz="4" w:space="0"/>
              <w:left w:val="single" w:color="auto" w:sz="4" w:space="0"/>
              <w:bottom w:val="single" w:color="auto" w:sz="4" w:space="0"/>
              <w:right w:val="single" w:color="auto" w:sz="4" w:space="0"/>
            </w:tcBorders>
            <w:vAlign w:val="center"/>
          </w:tcPr>
          <w:p w14:paraId="51559985">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根据投标人提供的分析本项目的编制背景情况，包括但不限于政策顶层设计、发展需求分析、案例经验借鉴等，综合评分。</w:t>
            </w:r>
          </w:p>
          <w:p w14:paraId="0A0EC497">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1、对项目背景情况理解清晰明确，内容全面透彻，得5分；</w:t>
            </w:r>
          </w:p>
          <w:p w14:paraId="38A5BFA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2、对项目背景情况理解准确，内容简单，得4分；</w:t>
            </w:r>
          </w:p>
          <w:p w14:paraId="7122463A">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3、对项目背景情况理解不透彻，需进一步完善，得3分；</w:t>
            </w:r>
          </w:p>
          <w:p w14:paraId="44636046">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vAlign w:val="center"/>
          </w:tcPr>
          <w:p w14:paraId="3095E76A">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1872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29208B0A">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CB879D0">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现状分析</w:t>
            </w:r>
          </w:p>
        </w:tc>
        <w:tc>
          <w:tcPr>
            <w:tcW w:w="2709" w:type="pct"/>
            <w:tcBorders>
              <w:top w:val="single" w:color="auto" w:sz="4" w:space="0"/>
              <w:left w:val="single" w:color="auto" w:sz="4" w:space="0"/>
              <w:bottom w:val="single" w:color="auto" w:sz="4" w:space="0"/>
              <w:right w:val="single" w:color="auto" w:sz="4" w:space="0"/>
            </w:tcBorders>
            <w:vAlign w:val="center"/>
          </w:tcPr>
          <w:p w14:paraId="02094C40">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对南谯区各镇发展现状进行分析，包括但不限于城市现状及特征、土地利用现状、城镇开发边界、用地报批、土地征收等内容，综合评分。</w:t>
            </w:r>
          </w:p>
          <w:p w14:paraId="57F95A9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1、对本项目特点和难点理解准确，现状分析准确，城镇开发边界、用地报批、土地征收及城市体检内容分析全面的，完整详细的，得5分；</w:t>
            </w:r>
          </w:p>
          <w:p w14:paraId="362C159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2、对本项目特点和难点理解基本准确，现状分析方案适合本项目城镇开发边界、用地报批、土地征收分析粗浅的，得4分；</w:t>
            </w:r>
          </w:p>
          <w:p w14:paraId="6423E8C7">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3、对本项目特点和难点理解有待提升，现状分析摸排不到位，现状情况不清晰的，得 3 分；</w:t>
            </w:r>
          </w:p>
          <w:p w14:paraId="1BFB687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vAlign w:val="center"/>
          </w:tcPr>
          <w:p w14:paraId="1533B1B0">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4C0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5150349">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73D909E2">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控制性详细规划初步评估</w:t>
            </w:r>
          </w:p>
        </w:tc>
        <w:tc>
          <w:tcPr>
            <w:tcW w:w="2709" w:type="pct"/>
            <w:tcBorders>
              <w:top w:val="single" w:color="auto" w:sz="4" w:space="0"/>
              <w:left w:val="single" w:color="auto" w:sz="4" w:space="0"/>
              <w:bottom w:val="single" w:color="auto" w:sz="4" w:space="0"/>
              <w:right w:val="single" w:color="auto" w:sz="4" w:space="0"/>
            </w:tcBorders>
            <w:vAlign w:val="center"/>
          </w:tcPr>
          <w:p w14:paraId="061D176E">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对各镇区已编制控制性详细规划进行初步评估，综合评分。</w:t>
            </w:r>
          </w:p>
          <w:p w14:paraId="686C0FC3">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1、对各镇已编控制性详细规划梳理全面，建立初步评估技术路线，初步评估方案规划分析理解透彻，方案覆盖全面、要点突出，规划衔接到位，有益于项目实施的，得5分；</w:t>
            </w:r>
          </w:p>
          <w:p w14:paraId="6170180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2、对各镇已编控制性详细规划梳理全面，评估方案齐全，内容详细的，规划分析理解准确，规划衔接内容简单，符合采购需求的，得4分；</w:t>
            </w:r>
          </w:p>
          <w:p w14:paraId="0B9A4E8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3、对各镇已编控制性详细规划分析理解不够，规划衔接不到位，有待改善的3分。</w:t>
            </w:r>
          </w:p>
          <w:p w14:paraId="7F84F329">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vAlign w:val="center"/>
          </w:tcPr>
          <w:p w14:paraId="7571E05E">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C82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6936538">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3EEAB0CA">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总体规划分析解读</w:t>
            </w:r>
          </w:p>
        </w:tc>
        <w:tc>
          <w:tcPr>
            <w:tcW w:w="2709" w:type="pct"/>
            <w:tcBorders>
              <w:top w:val="single" w:color="auto" w:sz="4" w:space="0"/>
              <w:left w:val="single" w:color="auto" w:sz="4" w:space="0"/>
              <w:bottom w:val="single" w:color="auto" w:sz="4" w:space="0"/>
              <w:right w:val="single" w:color="auto" w:sz="4" w:space="0"/>
            </w:tcBorders>
            <w:vAlign w:val="center"/>
          </w:tcPr>
          <w:p w14:paraId="479A7DF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对涉及到城镇开发边界内国土空间详细规划（单元规划）的总体规划进行分析解读，包括各镇国土空间总体规划，综合评分。</w:t>
            </w:r>
          </w:p>
          <w:p w14:paraId="2044D87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1、对本项目总体规划解读齐全，文本图集解读详细、准确的，方案优于本项目采购需求的，得5分；</w:t>
            </w:r>
          </w:p>
          <w:p w14:paraId="1CAAE48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2、对本项目总体规划解读齐全，解读内容具有一定深度的，方案适合本项目采购需求的，得4分；</w:t>
            </w:r>
          </w:p>
          <w:p w14:paraId="25BE3C77">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3、对本项目总体规划解读不齐全，缺失内容少，解读基本准确的，得3分；</w:t>
            </w:r>
          </w:p>
          <w:p w14:paraId="05EFB53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vAlign w:val="center"/>
          </w:tcPr>
          <w:p w14:paraId="19E66DC9">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5DB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40B795EE">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1B2340D2">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专项规划分析解读</w:t>
            </w:r>
          </w:p>
        </w:tc>
        <w:tc>
          <w:tcPr>
            <w:tcW w:w="2709" w:type="pct"/>
            <w:tcBorders>
              <w:top w:val="single" w:color="auto" w:sz="4" w:space="0"/>
              <w:left w:val="single" w:color="auto" w:sz="4" w:space="0"/>
              <w:bottom w:val="single" w:color="auto" w:sz="4" w:space="0"/>
              <w:right w:val="single" w:color="auto" w:sz="4" w:space="0"/>
            </w:tcBorders>
            <w:vAlign w:val="center"/>
          </w:tcPr>
          <w:p w14:paraId="2A458F3A">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对涉及到城镇开发边界内国土空间详细规划（单元规划）的相关专项规划进行解读，包括但不限于城市综合交通体系、公共服务设施、燃气、城市防洪、雨水、污水、消防、电力、生态修复等专项规划，综合评分。</w:t>
            </w:r>
          </w:p>
          <w:p w14:paraId="507F4BF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1、对专项规划支撑分析方案优于本项目采购需求，专项规划解读齐全，规划核心内容解读详细、准确的，得 5 分；</w:t>
            </w:r>
          </w:p>
          <w:p w14:paraId="7FAEB4F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2、对专项规划支撑分析方案适合本项目采购需求，专项规划解读具有一定深度的，方案适合本项目采购需求的，得4分；</w:t>
            </w:r>
          </w:p>
          <w:p w14:paraId="6F5DB116">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3、对专项规划支撑分析方案基本适合本项目采购需求，专项规划解读不齐全，缺失内容少，解读基本准确的，得3分；</w:t>
            </w:r>
          </w:p>
          <w:p w14:paraId="1C42AF0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vAlign w:val="center"/>
          </w:tcPr>
          <w:p w14:paraId="20957272">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32B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4" w:type="pct"/>
            <w:vMerge w:val="continue"/>
            <w:tcBorders>
              <w:left w:val="single" w:color="auto" w:sz="4" w:space="0"/>
              <w:right w:val="single" w:color="auto" w:sz="4" w:space="0"/>
            </w:tcBorders>
            <w:vAlign w:val="center"/>
          </w:tcPr>
          <w:p w14:paraId="7D2D5B18">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3A1F2983">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详细规划编制体系理解</w:t>
            </w:r>
          </w:p>
        </w:tc>
        <w:tc>
          <w:tcPr>
            <w:tcW w:w="2709" w:type="pct"/>
            <w:tcBorders>
              <w:top w:val="single" w:color="auto" w:sz="4" w:space="0"/>
              <w:left w:val="single" w:color="auto" w:sz="4" w:space="0"/>
              <w:bottom w:val="single" w:color="auto" w:sz="4" w:space="0"/>
              <w:right w:val="single" w:color="auto" w:sz="4" w:space="0"/>
            </w:tcBorders>
            <w:vAlign w:val="center"/>
          </w:tcPr>
          <w:p w14:paraId="4A64E42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落实上位规划传导要求，对采购文件及投标人提供的南谯区各镇单元详细规划编制体系（包括规划层级、单元分类、单元面积及主导功能、实施传导、城市更新单元指引等），综合评分。</w:t>
            </w:r>
          </w:p>
          <w:p w14:paraId="03966DD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1、对详细规划的目标、任务和内容的理解清晰明确，内容全面透彻，得5分；</w:t>
            </w:r>
          </w:p>
          <w:p w14:paraId="0C7EF8E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2、对详细规划的目标、任务和内容的理解准确，内容简单，得4分；</w:t>
            </w:r>
          </w:p>
          <w:p w14:paraId="58BDA2E5">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3、对详细规划的目标、任务和内容的理解不透彻，需要进一步完善，得3分；</w:t>
            </w:r>
          </w:p>
          <w:p w14:paraId="61B51176">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vAlign w:val="center"/>
          </w:tcPr>
          <w:p w14:paraId="22ED1647">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7567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092D7305">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0C0A31B4">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技术路线与技术方法</w:t>
            </w:r>
          </w:p>
        </w:tc>
        <w:tc>
          <w:tcPr>
            <w:tcW w:w="2709" w:type="pct"/>
            <w:tcBorders>
              <w:top w:val="single" w:color="auto" w:sz="4" w:space="0"/>
              <w:left w:val="single" w:color="auto" w:sz="4" w:space="0"/>
              <w:bottom w:val="single" w:color="auto" w:sz="4" w:space="0"/>
              <w:right w:val="single" w:color="auto" w:sz="4" w:space="0"/>
            </w:tcBorders>
            <w:vAlign w:val="center"/>
          </w:tcPr>
          <w:p w14:paraId="262F37A8">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根据采购文件及投标人提供的分析本项目的技术路线情况，综合评分。</w:t>
            </w:r>
          </w:p>
          <w:p w14:paraId="1C2EC69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1、对本项目技术路线与技术方法理解准确，方案完整详细的，得5分；</w:t>
            </w:r>
          </w:p>
          <w:p w14:paraId="353E11F8">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2、对本项目技术路线与技术方法理解基本准确，方案适合本项目采购需求的，得4分；</w:t>
            </w:r>
          </w:p>
          <w:p w14:paraId="0D5E6BE0">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3、对本项目技术路线与技术方法理解有待提升，方案基本适合本项目采购需求的，得3分；</w:t>
            </w:r>
          </w:p>
          <w:p w14:paraId="05BB54E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vAlign w:val="center"/>
          </w:tcPr>
          <w:p w14:paraId="1DD275D4">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2CDC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9883E6E">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54CD9800">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国土空间详细规划单元划定初步方案</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center"/>
          </w:tcPr>
          <w:p w14:paraId="18CC2C50">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根据采购文件及投标人提供的各镇城镇开发边界内国土空间详细规划单元划定方案（包括划分依据、国土空间总体规划传导、单元数量及面积、单元类型等），综合评分。</w:t>
            </w:r>
          </w:p>
          <w:p w14:paraId="7C53310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1、上位规划传导内容落实准确，单元划定合理，划定方案内容完整的，得5分；</w:t>
            </w:r>
          </w:p>
          <w:p w14:paraId="53577BBA">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2、上位规划传导内容落实准确，单元划定基本合理，划定方案内容基本无缺项的，得4分；</w:t>
            </w:r>
          </w:p>
          <w:p w14:paraId="0CD0ABA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3、有上位规划传导内容，划定方案内容缺项少，初步方案无明显错误的，得3分；</w:t>
            </w:r>
          </w:p>
          <w:p w14:paraId="0B9D5DE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13251EFB">
            <w:pPr>
              <w:spacing w:line="360" w:lineRule="auto"/>
              <w:jc w:val="center"/>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b/>
                <w:bCs/>
                <w:color w:val="auto"/>
                <w:sz w:val="24"/>
                <w:highlight w:val="none"/>
              </w:rPr>
              <w:t>0-5分</w:t>
            </w:r>
          </w:p>
        </w:tc>
      </w:tr>
      <w:tr w14:paraId="0CD8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0B41A6E0">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2EE59244">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国土空间详细规划（单元规划）初步方案</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center"/>
          </w:tcPr>
          <w:p w14:paraId="37156A1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采购文件及投标人提供的各镇城镇开发边界内国土空间详细规划（单元规划）初步方案情况（包括目标定位、空间布局、强度规模、蓝绿空间、公共服务、公用设施、综合交通、安全防灾、景观风貌等方面），综合评分。</w:t>
            </w:r>
          </w:p>
          <w:p w14:paraId="5AF997D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1、单元规划方案框架覆盖全面、要点突出，规划内容完整详实，表述清晰，表达能正确导向最终成果的得5 分；</w:t>
            </w:r>
          </w:p>
          <w:p w14:paraId="23FD1520">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2、单元规划方案框架完整，具有针对性，规划内容表达逻辑关系清楚，符合项目实施要求的得4分；</w:t>
            </w:r>
          </w:p>
          <w:p w14:paraId="5DF218F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3、单元规划方案框架不完整，规划内容表达逻辑关系存在偏差，有待改善的得3分；</w:t>
            </w:r>
          </w:p>
          <w:p w14:paraId="217E989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234073F4">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0-5分</w:t>
            </w:r>
          </w:p>
        </w:tc>
      </w:tr>
      <w:tr w14:paraId="3479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7F31218F">
            <w:pPr>
              <w:spacing w:line="360" w:lineRule="auto"/>
              <w:ind w:firstLine="435"/>
              <w:jc w:val="center"/>
              <w:rPr>
                <w:rFonts w:asciiTheme="minorEastAsia" w:hAnsiTheme="minorEastAsia" w:eastAsiaTheme="minorEastAsia"/>
                <w:b/>
                <w:bCs/>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7FE29815">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工作计划及保障措施</w:t>
            </w:r>
          </w:p>
        </w:tc>
        <w:tc>
          <w:tcPr>
            <w:tcW w:w="2709" w:type="pct"/>
            <w:tcBorders>
              <w:top w:val="single" w:color="auto" w:sz="4" w:space="0"/>
              <w:left w:val="single" w:color="auto" w:sz="4" w:space="0"/>
              <w:bottom w:val="single" w:color="auto" w:sz="4" w:space="0"/>
              <w:right w:val="single" w:color="auto" w:sz="4" w:space="0"/>
            </w:tcBorders>
            <w:shd w:val="clear" w:color="auto" w:fill="auto"/>
            <w:vAlign w:val="center"/>
          </w:tcPr>
          <w:p w14:paraId="0A68FC9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根据采购文件及投标人提供的工作进度计划及保障措施情况，综合评分。</w:t>
            </w:r>
          </w:p>
          <w:p w14:paraId="165ED73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1、内容完整详实，表述清晰，具有针对性，有利于项目实施的，得5分；</w:t>
            </w:r>
          </w:p>
          <w:p w14:paraId="49A36F0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2、内容覆盖全面，内容完整详实，表述适当，符合项目实施要求的，得4分；</w:t>
            </w:r>
          </w:p>
          <w:p w14:paraId="586A4A15">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3、内容有待完善，要点突出不够明显，针对性不够，具体细节有待完善的，得3分；</w:t>
            </w:r>
          </w:p>
          <w:p w14:paraId="0D62BED3">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4、方案不可行或者未提供不得分。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59F0872F">
            <w:pPr>
              <w:spacing w:line="360" w:lineRule="auto"/>
              <w:jc w:val="center"/>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b/>
                <w:bCs/>
                <w:color w:val="auto"/>
                <w:sz w:val="24"/>
                <w:highlight w:val="none"/>
              </w:rPr>
              <w:t>0-5分</w:t>
            </w:r>
          </w:p>
        </w:tc>
      </w:tr>
      <w:tr w14:paraId="34BE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tcBorders>
              <w:left w:val="single" w:color="auto" w:sz="4" w:space="0"/>
              <w:right w:val="single" w:color="auto" w:sz="4" w:space="0"/>
            </w:tcBorders>
            <w:vAlign w:val="center"/>
          </w:tcPr>
          <w:p w14:paraId="387F18A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A98008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14</w:t>
            </w:r>
            <w:r>
              <w:rPr>
                <w:rFonts w:hint="eastAsia" w:asciiTheme="minorEastAsia" w:hAnsiTheme="minorEastAsia" w:eastAsiaTheme="minorEastAsia"/>
                <w:color w:val="auto"/>
                <w:sz w:val="24"/>
                <w:highlight w:val="none"/>
              </w:rPr>
              <w:t>分）</w:t>
            </w: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6C8B3D7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14</w:t>
            </w:r>
            <w:r>
              <w:rPr>
                <w:rFonts w:hint="eastAsia" w:asciiTheme="minorEastAsia" w:hAnsiTheme="minorEastAsia" w:eastAsiaTheme="minorEastAsia"/>
                <w:color w:val="auto"/>
                <w:sz w:val="24"/>
                <w:highlight w:val="none"/>
              </w:rPr>
              <w:t>分。其他供应商的价格分统一按照下列公式计算：</w:t>
            </w:r>
          </w:p>
          <w:p w14:paraId="73611942">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14</w:t>
            </w:r>
            <w:r>
              <w:rPr>
                <w:rFonts w:hint="eastAsia" w:asciiTheme="minorEastAsia" w:hAnsiTheme="minorEastAsia" w:eastAsiaTheme="minorEastAsia"/>
                <w:color w:val="auto"/>
                <w:sz w:val="24"/>
                <w:highlight w:val="none"/>
              </w:rPr>
              <w:t>％×100</w:t>
            </w:r>
          </w:p>
        </w:tc>
      </w:tr>
    </w:tbl>
    <w:p w14:paraId="066FCE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CB7E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63A3A7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r>
        <w:rPr>
          <w:rFonts w:hint="eastAsia" w:asciiTheme="minorEastAsia" w:hAnsiTheme="minorEastAsia" w:eastAsiaTheme="minorEastAsia"/>
          <w:color w:val="auto"/>
          <w:sz w:val="24"/>
          <w:highlight w:val="none"/>
          <w:lang w:eastAsia="zh-CN"/>
        </w:rPr>
        <w:t>。</w:t>
      </w:r>
    </w:p>
    <w:p w14:paraId="371A9EDF">
      <w:pPr>
        <w:spacing w:line="360" w:lineRule="auto"/>
        <w:ind w:firstLine="435"/>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三、无效条款</w:t>
      </w:r>
    </w:p>
    <w:p w14:paraId="61C92D6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3.1响应文件有下列情形之一的,其响应文件拒收:</w:t>
      </w:r>
    </w:p>
    <w:p w14:paraId="0AC107F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（1）未在提交首次响应文件截止时间前通过网上招标投标系统递交有效电子响应文件的，网上开标系统不予接收。出现上述情况的，响应将被拒绝。</w:t>
      </w:r>
    </w:p>
    <w:p w14:paraId="49336D6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供应商接到远程解密指令后，须在规定时间内解密。因供应商自身原因导致响应文件在规定时间内未能解密、解密失败或解密超时，响应文件无效；解密时间：从本项目响应文件提交截止时间开始计时，至完成响应文件解密时间，不得超过60分钟，否则响应文件将被拒绝。</w:t>
      </w:r>
    </w:p>
    <w:p w14:paraId="30FA842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8.2供应商有下列情形之一的,资格审查后其投标作无效响应处理：</w:t>
      </w:r>
    </w:p>
    <w:p w14:paraId="106FFDE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（1）为本项目提供采购代理服务的；</w:t>
      </w:r>
    </w:p>
    <w:p w14:paraId="491B177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（2）供应商与在本项目代理机构存在相互任职或工作的；</w:t>
      </w:r>
    </w:p>
    <w:p w14:paraId="2690992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（3）磋商公告写明专门面向中小企业采购，供应商提供的服务非中小企业承接的；</w:t>
      </w:r>
    </w:p>
    <w:p w14:paraId="3C81247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（4）要求供应商以联合体形式参加采购活动，供应商非联合体或者联合协议中中小企业合同金额未达到应当达到的比例；</w:t>
      </w:r>
    </w:p>
    <w:p w14:paraId="0EAB636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(5)要求获得采购合同的供应商向中小企业分包，供应商未提供分包意向协议或者分包意向协议中中小企业合同金额未达到应当达到的比例；</w:t>
      </w:r>
    </w:p>
    <w:p w14:paraId="2B14ED1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(6)评标专家无法查看并检验电子响应文件中相关资料的；</w:t>
      </w:r>
    </w:p>
    <w:p w14:paraId="3B08CFA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(7)联合体投标未提交联合体协议的；</w:t>
      </w:r>
    </w:p>
    <w:p w14:paraId="31D48C0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(8)被责令停产停业的；</w:t>
      </w:r>
    </w:p>
    <w:p w14:paraId="058C568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(9)被暂停或取消参与政府采购项目资格的；</w:t>
      </w:r>
    </w:p>
    <w:p w14:paraId="7E83423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(10)供应商单位负责人为同一人或者存在直接控股、管理关系的不同单位的；</w:t>
      </w:r>
    </w:p>
    <w:p w14:paraId="40EB4BE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(11)供应商基本资格条件和特定资格条件中有一项及以上不符合要求的；</w:t>
      </w:r>
    </w:p>
    <w:p w14:paraId="5FCB098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(12)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 </w:t>
      </w:r>
    </w:p>
    <w:p w14:paraId="0127843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(13)供应商投标MAC地址或供应商联系人或联系电话相同的，由磋商小组否决其响应，并报告监管部门作不良行为处理和进一步调查； </w:t>
      </w:r>
    </w:p>
    <w:p w14:paraId="5DE7E0E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(14)供应商单方面出现其他供应商材料的； </w:t>
      </w:r>
    </w:p>
    <w:p w14:paraId="773D2D9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(15)其它情形，经磋商小组提出按无效响应处理，并经公共资源交易监督部门核准的；</w:t>
      </w:r>
    </w:p>
    <w:p w14:paraId="0516436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(16)磋商文件规定的其它无效响应情形。</w:t>
      </w:r>
    </w:p>
    <w:p w14:paraId="38B8E0A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 供应商有下列情形之一的,符合性审查后其投标按无效响应处理：</w:t>
      </w:r>
    </w:p>
    <w:p w14:paraId="6E14AF6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（1）响应文件签章不全，经磋商小组一致认定对开评标内容有实质性影响并经公共资源交易监督部门核准的；</w:t>
      </w:r>
    </w:p>
    <w:p w14:paraId="3C4A53C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（2）未按规定的格式填写导致实质性内容不全以及实质上不响应，或者关键字迹模糊、无法辨认； 经公共资源交易监督部门核准的；</w:t>
      </w:r>
    </w:p>
    <w:p w14:paraId="0E423A1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（3）同一供应商提交两个以上不同的响应文件或者响应报价，但磋商文件规定提交备选方案的除外；</w:t>
      </w:r>
    </w:p>
    <w:p w14:paraId="140D969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（4）响应文件没有对磋商文件的实质性要求和条件作出响应；</w:t>
      </w:r>
    </w:p>
    <w:p w14:paraId="0C7B208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（5）报价超出规定的最高限价或公布的采购预算的或供应商的报价各项单价高于磋商文件给定的单价最高限价；</w:t>
      </w:r>
    </w:p>
    <w:p w14:paraId="5DC6482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（6）不按磋商小组要求澄清、说明或补正的，或者措施小组根据磋商文件的规定对响应文件的计算错误进行修正后，供应商不接受修正的报价的。</w:t>
      </w:r>
    </w:p>
    <w:p w14:paraId="0173B42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（7）其它情形，经磋商小组委提出按无效响应处理，并经公共资源交易监督部门核准的；</w:t>
      </w:r>
    </w:p>
    <w:p w14:paraId="58FABF6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（8）响应文件含有采购人不能接受的附加条件的；</w:t>
      </w:r>
    </w:p>
    <w:p w14:paraId="2548A9C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（9）磋商文件规定的其它无效响应情形。</w:t>
      </w:r>
    </w:p>
    <w:p w14:paraId="455E41A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8.4 供应商有下列情形之一的, 详细评审后其投标按无效响应处理：</w:t>
      </w:r>
    </w:p>
    <w:p w14:paraId="229ABA9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（1）产品不符合必须强制执行的国家标准的；</w:t>
      </w:r>
    </w:p>
    <w:p w14:paraId="5C4BE0B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（2）供应商有串通投标、弄虚作假、行贿等违法行为；</w:t>
      </w:r>
    </w:p>
    <w:p w14:paraId="2E03426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（3）响应文件含有违反国家法律、法规的内容，或附有采购人不能接受的条件的；</w:t>
      </w:r>
    </w:p>
    <w:p w14:paraId="4042717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（4）报价明显低于其他供应商，且不能证明报价合理性的响应无效；</w:t>
      </w:r>
    </w:p>
    <w:p w14:paraId="7F525D6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（5）拒不确认磋商小组评审修正的投标无效；</w:t>
      </w:r>
    </w:p>
    <w:p w14:paraId="41036C7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（6）其它情形，经磋商小组提出按无效响应处理，并经公共资源交易监督部门核准的；</w:t>
      </w:r>
    </w:p>
    <w:p w14:paraId="1744F652">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（7）磋商文件规定的其它无效响应情形。</w:t>
      </w:r>
    </w:p>
    <w:p w14:paraId="0E856D9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08250DA">
      <w:pPr>
        <w:spacing w:line="360" w:lineRule="auto"/>
        <w:jc w:val="center"/>
        <w:outlineLvl w:val="0"/>
        <w:rPr>
          <w:rFonts w:asciiTheme="minorEastAsia" w:hAnsiTheme="minorEastAsia" w:eastAsiaTheme="minorEastAsia"/>
          <w:b/>
          <w:color w:val="auto"/>
          <w:sz w:val="28"/>
          <w:highlight w:val="none"/>
        </w:rPr>
      </w:pPr>
      <w:bookmarkStart w:id="35" w:name="_Toc6037"/>
      <w:bookmarkStart w:id="36" w:name="_Toc63440929"/>
      <w:bookmarkStart w:id="37" w:name="_Toc1716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5"/>
      <w:bookmarkEnd w:id="36"/>
      <w:bookmarkEnd w:id="37"/>
    </w:p>
    <w:p w14:paraId="60E697BC">
      <w:pPr>
        <w:spacing w:line="480" w:lineRule="auto"/>
        <w:jc w:val="center"/>
        <w:rPr>
          <w:rFonts w:asciiTheme="minorEastAsia" w:hAnsiTheme="minorEastAsia" w:eastAsiaTheme="minorEastAsia"/>
          <w:b/>
          <w:color w:val="auto"/>
          <w:sz w:val="24"/>
          <w:highlight w:val="none"/>
        </w:rPr>
      </w:pPr>
    </w:p>
    <w:p w14:paraId="4F31B161">
      <w:pPr>
        <w:spacing w:line="480" w:lineRule="auto"/>
        <w:jc w:val="center"/>
        <w:rPr>
          <w:rFonts w:asciiTheme="minorEastAsia" w:hAnsiTheme="minorEastAsia" w:eastAsiaTheme="minorEastAsia"/>
          <w:b/>
          <w:color w:val="auto"/>
          <w:sz w:val="24"/>
          <w:highlight w:val="none"/>
        </w:rPr>
      </w:pPr>
    </w:p>
    <w:p w14:paraId="7516B2BB">
      <w:pPr>
        <w:spacing w:line="480" w:lineRule="auto"/>
        <w:jc w:val="center"/>
        <w:rPr>
          <w:rFonts w:asciiTheme="minorEastAsia" w:hAnsiTheme="minorEastAsia" w:eastAsiaTheme="minorEastAsia"/>
          <w:b/>
          <w:color w:val="auto"/>
          <w:sz w:val="24"/>
          <w:highlight w:val="none"/>
        </w:rPr>
      </w:pPr>
    </w:p>
    <w:p w14:paraId="13B7B920">
      <w:pPr>
        <w:spacing w:line="480" w:lineRule="auto"/>
        <w:jc w:val="center"/>
        <w:outlineLvl w:val="1"/>
        <w:rPr>
          <w:rFonts w:asciiTheme="minorEastAsia" w:hAnsiTheme="minorEastAsia" w:eastAsiaTheme="minorEastAsia"/>
          <w:b/>
          <w:color w:val="auto"/>
          <w:sz w:val="32"/>
          <w:szCs w:val="32"/>
          <w:highlight w:val="none"/>
        </w:rPr>
      </w:pPr>
      <w:bookmarkStart w:id="38" w:name="_Toc9456"/>
      <w:r>
        <w:rPr>
          <w:rFonts w:asciiTheme="minorEastAsia" w:hAnsiTheme="minorEastAsia" w:eastAsiaTheme="minorEastAsia"/>
          <w:b/>
          <w:color w:val="auto"/>
          <w:sz w:val="32"/>
          <w:szCs w:val="32"/>
          <w:highlight w:val="none"/>
        </w:rPr>
        <w:t>政府采购合同</w:t>
      </w:r>
      <w:r>
        <w:rPr>
          <w:rFonts w:hint="eastAsia" w:asciiTheme="minorEastAsia" w:hAnsiTheme="minorEastAsia" w:eastAsiaTheme="minorEastAsia"/>
          <w:b/>
          <w:color w:val="auto"/>
          <w:sz w:val="32"/>
          <w:szCs w:val="32"/>
          <w:highlight w:val="none"/>
        </w:rPr>
        <w:t>参考范本</w:t>
      </w:r>
      <w:bookmarkEnd w:id="38"/>
    </w:p>
    <w:p w14:paraId="5FDAA566">
      <w:pPr>
        <w:spacing w:line="480" w:lineRule="auto"/>
        <w:jc w:val="center"/>
        <w:outlineLvl w:val="1"/>
        <w:rPr>
          <w:rFonts w:asciiTheme="minorEastAsia" w:hAnsiTheme="minorEastAsia" w:eastAsiaTheme="minorEastAsia"/>
          <w:b/>
          <w:color w:val="auto"/>
          <w:sz w:val="32"/>
          <w:szCs w:val="32"/>
          <w:highlight w:val="none"/>
        </w:rPr>
      </w:pPr>
      <w:bookmarkStart w:id="39" w:name="_Toc26618"/>
      <w:r>
        <w:rPr>
          <w:rFonts w:hint="eastAsia" w:asciiTheme="minorEastAsia" w:hAnsiTheme="minorEastAsia" w:eastAsiaTheme="minorEastAsia"/>
          <w:b/>
          <w:color w:val="auto"/>
          <w:sz w:val="32"/>
          <w:szCs w:val="32"/>
          <w:highlight w:val="none"/>
        </w:rPr>
        <w:t>（服务类）</w:t>
      </w:r>
      <w:bookmarkEnd w:id="39"/>
    </w:p>
    <w:p w14:paraId="0FC55E50">
      <w:pPr>
        <w:spacing w:line="480" w:lineRule="auto"/>
        <w:jc w:val="center"/>
        <w:rPr>
          <w:rFonts w:asciiTheme="minorEastAsia" w:hAnsiTheme="minorEastAsia" w:eastAsiaTheme="minorEastAsia"/>
          <w:b/>
          <w:color w:val="auto"/>
          <w:sz w:val="24"/>
          <w:highlight w:val="none"/>
        </w:rPr>
      </w:pPr>
    </w:p>
    <w:p w14:paraId="1F20BF1C">
      <w:pPr>
        <w:spacing w:line="480" w:lineRule="auto"/>
        <w:jc w:val="center"/>
        <w:rPr>
          <w:rFonts w:asciiTheme="minorEastAsia" w:hAnsiTheme="minorEastAsia" w:eastAsiaTheme="minorEastAsia"/>
          <w:b/>
          <w:color w:val="auto"/>
          <w:sz w:val="24"/>
          <w:highlight w:val="none"/>
        </w:rPr>
      </w:pPr>
    </w:p>
    <w:p w14:paraId="1839D3CB">
      <w:pPr>
        <w:spacing w:line="480" w:lineRule="auto"/>
        <w:jc w:val="center"/>
        <w:rPr>
          <w:rFonts w:asciiTheme="minorEastAsia" w:hAnsiTheme="minorEastAsia" w:eastAsiaTheme="minorEastAsia"/>
          <w:b/>
          <w:color w:val="auto"/>
          <w:sz w:val="24"/>
          <w:highlight w:val="none"/>
        </w:rPr>
      </w:pPr>
    </w:p>
    <w:p w14:paraId="4F595FDE">
      <w:pPr>
        <w:spacing w:line="360" w:lineRule="auto"/>
        <w:jc w:val="center"/>
        <w:outlineLvl w:val="1"/>
        <w:rPr>
          <w:rFonts w:asciiTheme="minorEastAsia" w:hAnsiTheme="minorEastAsia" w:eastAsiaTheme="minorEastAsia"/>
          <w:b/>
          <w:color w:val="auto"/>
          <w:sz w:val="24"/>
          <w:highlight w:val="none"/>
        </w:rPr>
      </w:pPr>
      <w:bookmarkStart w:id="40" w:name="_Toc18055"/>
      <w:r>
        <w:rPr>
          <w:rFonts w:hint="eastAsia" w:asciiTheme="minorEastAsia" w:hAnsiTheme="minorEastAsia" w:eastAsiaTheme="minorEastAsia"/>
          <w:b/>
          <w:color w:val="auto"/>
          <w:sz w:val="24"/>
          <w:highlight w:val="none"/>
        </w:rPr>
        <w:t>第一部分 合同书</w:t>
      </w:r>
      <w:bookmarkEnd w:id="40"/>
    </w:p>
    <w:p w14:paraId="068DCCEC">
      <w:pPr>
        <w:spacing w:line="480" w:lineRule="auto"/>
        <w:jc w:val="center"/>
        <w:rPr>
          <w:rFonts w:asciiTheme="minorEastAsia" w:hAnsiTheme="minorEastAsia" w:eastAsiaTheme="minorEastAsia"/>
          <w:b/>
          <w:color w:val="auto"/>
          <w:sz w:val="24"/>
          <w:highlight w:val="none"/>
        </w:rPr>
      </w:pPr>
    </w:p>
    <w:p w14:paraId="56EE9B30">
      <w:pPr>
        <w:spacing w:line="480" w:lineRule="auto"/>
        <w:jc w:val="center"/>
        <w:rPr>
          <w:rFonts w:asciiTheme="minorEastAsia" w:hAnsiTheme="minorEastAsia" w:eastAsiaTheme="minorEastAsia"/>
          <w:b/>
          <w:color w:val="auto"/>
          <w:sz w:val="24"/>
          <w:highlight w:val="none"/>
        </w:rPr>
      </w:pPr>
    </w:p>
    <w:p w14:paraId="59EDF169">
      <w:pPr>
        <w:spacing w:line="480" w:lineRule="auto"/>
        <w:jc w:val="center"/>
        <w:rPr>
          <w:rFonts w:asciiTheme="minorEastAsia" w:hAnsiTheme="minorEastAsia" w:eastAsiaTheme="minorEastAsia"/>
          <w:b/>
          <w:color w:val="auto"/>
          <w:sz w:val="24"/>
          <w:highlight w:val="none"/>
        </w:rPr>
      </w:pPr>
    </w:p>
    <w:p w14:paraId="31F3C10D">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34DB6B2E">
      <w:pPr>
        <w:spacing w:before="120" w:line="480" w:lineRule="auto"/>
        <w:ind w:left="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u w:val="single"/>
          <w:lang w:val="en-US" w:eastAsia="zh-CN"/>
        </w:rPr>
        <w:t xml:space="preserve">                                    </w:t>
      </w:r>
    </w:p>
    <w:p w14:paraId="79961AD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p>
    <w:p w14:paraId="0901FC87">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乙方（成交供应商）：</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842A06C">
      <w:pPr>
        <w:spacing w:before="120" w:line="48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66B79D0">
      <w:pPr>
        <w:spacing w:before="120" w:line="480" w:lineRule="auto"/>
        <w:ind w:firstLine="960" w:firstLine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009317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EA57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none"/>
        </w:rPr>
        <w:t>竞争性磋商</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none"/>
        </w:rPr>
        <w:t>磋商小组</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以下简称：乙方</w:t>
      </w:r>
      <w:r>
        <w:rPr>
          <w:rFonts w:hint="eastAsia" w:asciiTheme="minorEastAsia" w:hAnsiTheme="minorEastAsia" w:eastAsiaTheme="minorEastAsia"/>
          <w:color w:val="auto"/>
          <w:sz w:val="24"/>
          <w:highlight w:val="none"/>
        </w:rPr>
        <w:t>）为本项目成交供应商，现按照采购文件确定的事项签订本合同。</w:t>
      </w:r>
    </w:p>
    <w:p w14:paraId="38C2BC1E">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4140E9E6">
      <w:pPr>
        <w:spacing w:line="360" w:lineRule="auto"/>
        <w:ind w:firstLine="437"/>
        <w:outlineLvl w:val="2"/>
        <w:rPr>
          <w:rFonts w:asciiTheme="minorEastAsia" w:hAnsiTheme="minorEastAsia" w:eastAsiaTheme="minorEastAsia"/>
          <w:b/>
          <w:bCs/>
          <w:color w:val="auto"/>
          <w:sz w:val="24"/>
          <w:highlight w:val="none"/>
          <w:lang w:val="zh-CN"/>
        </w:rPr>
      </w:pPr>
      <w:bookmarkStart w:id="41" w:name="_Toc2232"/>
      <w:bookmarkStart w:id="42" w:name="_Toc3029"/>
      <w:bookmarkStart w:id="43" w:name="_Toc24059"/>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41"/>
      <w:bookmarkEnd w:id="42"/>
      <w:bookmarkEnd w:id="43"/>
    </w:p>
    <w:p w14:paraId="649DDF8C">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F32C4BB">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4FA214F5">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1A819D3A">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4F07CB53">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1.1.4磋商文件（含澄清或者修改文件）；</w:t>
      </w:r>
    </w:p>
    <w:p w14:paraId="483456C0">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2F50926D">
      <w:pPr>
        <w:spacing w:line="360" w:lineRule="auto"/>
        <w:ind w:firstLine="437"/>
        <w:outlineLvl w:val="2"/>
        <w:rPr>
          <w:rFonts w:asciiTheme="minorEastAsia" w:hAnsiTheme="minorEastAsia" w:eastAsiaTheme="minorEastAsia"/>
          <w:b/>
          <w:bCs/>
          <w:color w:val="auto"/>
          <w:sz w:val="24"/>
          <w:highlight w:val="none"/>
          <w:lang w:val="zh-CN"/>
        </w:rPr>
      </w:pPr>
      <w:bookmarkStart w:id="44" w:name="_Toc21295"/>
      <w:bookmarkStart w:id="45" w:name="_Toc27126"/>
      <w:bookmarkStart w:id="46" w:name="_Toc24300"/>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44"/>
      <w:bookmarkEnd w:id="45"/>
      <w:bookmarkEnd w:id="46"/>
      <w:r>
        <w:rPr>
          <w:rFonts w:hint="eastAsia" w:asciiTheme="minorEastAsia" w:hAnsiTheme="minorEastAsia" w:eastAsiaTheme="minorEastAsia"/>
          <w:b/>
          <w:bCs/>
          <w:color w:val="auto"/>
          <w:sz w:val="24"/>
          <w:highlight w:val="none"/>
          <w:lang w:val="zh-CN"/>
        </w:rPr>
        <w:t>服务</w:t>
      </w:r>
    </w:p>
    <w:p w14:paraId="1A7BB0E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bookmarkStart w:id="47" w:name="_Toc21551"/>
      <w:bookmarkStart w:id="48" w:name="_Toc23292"/>
      <w:bookmarkStart w:id="49" w:name="_Toc21631"/>
      <w:r>
        <w:rPr>
          <w:rFonts w:hint="eastAsia" w:ascii="宋体" w:hAnsi="宋体" w:eastAsia="宋体" w:cs="宋体"/>
          <w:color w:val="auto"/>
          <w:kern w:val="2"/>
          <w:sz w:val="24"/>
          <w:szCs w:val="24"/>
          <w:highlight w:val="none"/>
          <w:lang w:val="en-US" w:eastAsia="zh-CN" w:bidi="ar"/>
        </w:rPr>
        <w:t>1.2.1服务名称：</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31BAFFA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1.2.2服务内容：</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26A29B5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1.2.3服务质量：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56119B76">
      <w:pPr>
        <w:spacing w:line="360" w:lineRule="auto"/>
        <w:ind w:firstLine="437"/>
        <w:outlineLvl w:val="2"/>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47"/>
      <w:bookmarkEnd w:id="48"/>
      <w:bookmarkEnd w:id="49"/>
    </w:p>
    <w:p w14:paraId="4C88A80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618CFFE9">
      <w:pPr>
        <w:spacing w:line="360" w:lineRule="auto"/>
        <w:ind w:firstLine="435"/>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3"/>
        <w:gridCol w:w="13"/>
        <w:gridCol w:w="3514"/>
        <w:gridCol w:w="13"/>
      </w:tblGrid>
      <w:tr w14:paraId="24D0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2EA238A">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序号</w:t>
            </w:r>
          </w:p>
        </w:tc>
        <w:tc>
          <w:tcPr>
            <w:tcW w:w="2532" w:type="pct"/>
            <w:vAlign w:val="center"/>
          </w:tcPr>
          <w:p w14:paraId="446B9DF3">
            <w:pPr>
              <w:pStyle w:val="59"/>
              <w:ind w:firstLine="20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分项名称</w:t>
            </w:r>
          </w:p>
        </w:tc>
        <w:tc>
          <w:tcPr>
            <w:tcW w:w="1899" w:type="pct"/>
            <w:gridSpan w:val="2"/>
            <w:vAlign w:val="center"/>
          </w:tcPr>
          <w:p w14:paraId="2C344945">
            <w:pPr>
              <w:pStyle w:val="59"/>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分项价格</w:t>
            </w:r>
          </w:p>
        </w:tc>
      </w:tr>
      <w:tr w14:paraId="70A2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58678E3">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2532" w:type="pct"/>
            <w:vAlign w:val="center"/>
          </w:tcPr>
          <w:p w14:paraId="3D7C162E">
            <w:pPr>
              <w:pStyle w:val="59"/>
              <w:ind w:firstLine="200"/>
              <w:jc w:val="center"/>
              <w:rPr>
                <w:rFonts w:asciiTheme="minorEastAsia" w:hAnsiTheme="minorEastAsia" w:eastAsiaTheme="minorEastAsia"/>
                <w:color w:val="auto"/>
                <w:sz w:val="24"/>
                <w:szCs w:val="24"/>
                <w:highlight w:val="none"/>
              </w:rPr>
            </w:pPr>
          </w:p>
        </w:tc>
        <w:tc>
          <w:tcPr>
            <w:tcW w:w="1899" w:type="pct"/>
            <w:gridSpan w:val="2"/>
            <w:vAlign w:val="center"/>
          </w:tcPr>
          <w:p w14:paraId="66E984E7">
            <w:pPr>
              <w:pStyle w:val="59"/>
              <w:ind w:firstLine="200"/>
              <w:jc w:val="center"/>
              <w:rPr>
                <w:rFonts w:asciiTheme="minorEastAsia" w:hAnsiTheme="minorEastAsia" w:eastAsiaTheme="minorEastAsia"/>
                <w:color w:val="auto"/>
                <w:sz w:val="24"/>
                <w:szCs w:val="24"/>
                <w:highlight w:val="none"/>
              </w:rPr>
            </w:pPr>
          </w:p>
        </w:tc>
      </w:tr>
      <w:tr w14:paraId="37E9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E0583F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2532" w:type="pct"/>
            <w:vAlign w:val="center"/>
          </w:tcPr>
          <w:p w14:paraId="015E6EB2">
            <w:pPr>
              <w:pStyle w:val="59"/>
              <w:ind w:firstLine="200"/>
              <w:jc w:val="center"/>
              <w:rPr>
                <w:rFonts w:asciiTheme="minorEastAsia" w:hAnsiTheme="minorEastAsia" w:eastAsiaTheme="minorEastAsia"/>
                <w:color w:val="auto"/>
                <w:sz w:val="24"/>
                <w:szCs w:val="24"/>
                <w:highlight w:val="none"/>
              </w:rPr>
            </w:pPr>
          </w:p>
        </w:tc>
        <w:tc>
          <w:tcPr>
            <w:tcW w:w="1899" w:type="pct"/>
            <w:gridSpan w:val="2"/>
            <w:vAlign w:val="center"/>
          </w:tcPr>
          <w:p w14:paraId="2CB60C66">
            <w:pPr>
              <w:pStyle w:val="59"/>
              <w:ind w:firstLine="200"/>
              <w:jc w:val="center"/>
              <w:rPr>
                <w:rFonts w:asciiTheme="minorEastAsia" w:hAnsiTheme="minorEastAsia" w:eastAsiaTheme="minorEastAsia"/>
                <w:color w:val="auto"/>
                <w:sz w:val="24"/>
                <w:szCs w:val="24"/>
                <w:highlight w:val="none"/>
              </w:rPr>
            </w:pPr>
          </w:p>
        </w:tc>
      </w:tr>
      <w:tr w14:paraId="2920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2A484E6">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2532" w:type="pct"/>
            <w:vAlign w:val="center"/>
          </w:tcPr>
          <w:p w14:paraId="14C9644B">
            <w:pPr>
              <w:pStyle w:val="59"/>
              <w:ind w:firstLine="200"/>
              <w:jc w:val="center"/>
              <w:rPr>
                <w:rFonts w:asciiTheme="minorEastAsia" w:hAnsiTheme="minorEastAsia" w:eastAsiaTheme="minorEastAsia"/>
                <w:color w:val="auto"/>
                <w:sz w:val="24"/>
                <w:szCs w:val="24"/>
                <w:highlight w:val="none"/>
              </w:rPr>
            </w:pPr>
          </w:p>
        </w:tc>
        <w:tc>
          <w:tcPr>
            <w:tcW w:w="1899" w:type="pct"/>
            <w:gridSpan w:val="2"/>
            <w:vAlign w:val="center"/>
          </w:tcPr>
          <w:p w14:paraId="030FF8C4">
            <w:pPr>
              <w:pStyle w:val="59"/>
              <w:ind w:firstLine="200"/>
              <w:jc w:val="center"/>
              <w:rPr>
                <w:rFonts w:asciiTheme="minorEastAsia" w:hAnsiTheme="minorEastAsia" w:eastAsiaTheme="minorEastAsia"/>
                <w:color w:val="auto"/>
                <w:sz w:val="24"/>
                <w:szCs w:val="24"/>
                <w:highlight w:val="none"/>
              </w:rPr>
            </w:pPr>
          </w:p>
        </w:tc>
      </w:tr>
      <w:tr w14:paraId="0785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D45C20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2532" w:type="pct"/>
            <w:vAlign w:val="center"/>
          </w:tcPr>
          <w:p w14:paraId="3488DC23">
            <w:pPr>
              <w:pStyle w:val="59"/>
              <w:ind w:firstLine="200"/>
              <w:jc w:val="center"/>
              <w:rPr>
                <w:rFonts w:asciiTheme="minorEastAsia" w:hAnsiTheme="minorEastAsia" w:eastAsiaTheme="minorEastAsia"/>
                <w:color w:val="auto"/>
                <w:sz w:val="24"/>
                <w:szCs w:val="24"/>
                <w:highlight w:val="none"/>
              </w:rPr>
            </w:pPr>
          </w:p>
        </w:tc>
        <w:tc>
          <w:tcPr>
            <w:tcW w:w="1899" w:type="pct"/>
            <w:gridSpan w:val="2"/>
            <w:vAlign w:val="center"/>
          </w:tcPr>
          <w:p w14:paraId="3C58983F">
            <w:pPr>
              <w:pStyle w:val="59"/>
              <w:ind w:firstLine="200"/>
              <w:jc w:val="center"/>
              <w:rPr>
                <w:rFonts w:asciiTheme="minorEastAsia" w:hAnsiTheme="minorEastAsia" w:eastAsiaTheme="minorEastAsia"/>
                <w:color w:val="auto"/>
                <w:sz w:val="24"/>
                <w:szCs w:val="24"/>
                <w:highlight w:val="none"/>
              </w:rPr>
            </w:pPr>
          </w:p>
        </w:tc>
      </w:tr>
      <w:tr w14:paraId="466E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BA80887">
            <w:pPr>
              <w:pStyle w:val="59"/>
              <w:ind w:firstLine="20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总价</w:t>
            </w:r>
          </w:p>
        </w:tc>
        <w:tc>
          <w:tcPr>
            <w:tcW w:w="1899" w:type="pct"/>
            <w:gridSpan w:val="2"/>
            <w:vAlign w:val="center"/>
          </w:tcPr>
          <w:p w14:paraId="35C63AB7">
            <w:pPr>
              <w:pStyle w:val="59"/>
              <w:ind w:firstLine="200"/>
              <w:jc w:val="center"/>
              <w:rPr>
                <w:rFonts w:asciiTheme="minorEastAsia" w:hAnsiTheme="minorEastAsia" w:eastAsiaTheme="minorEastAsia"/>
                <w:color w:val="auto"/>
                <w:sz w:val="24"/>
                <w:szCs w:val="24"/>
                <w:highlight w:val="none"/>
              </w:rPr>
            </w:pPr>
          </w:p>
        </w:tc>
      </w:tr>
    </w:tbl>
    <w:p w14:paraId="46AF2327">
      <w:pPr>
        <w:spacing w:line="360" w:lineRule="auto"/>
        <w:ind w:firstLine="437"/>
        <w:outlineLvl w:val="2"/>
        <w:rPr>
          <w:rFonts w:asciiTheme="minorEastAsia" w:hAnsiTheme="minorEastAsia" w:eastAsiaTheme="minorEastAsia"/>
          <w:b/>
          <w:bCs/>
          <w:color w:val="auto"/>
          <w:sz w:val="24"/>
          <w:highlight w:val="none"/>
          <w:lang w:val="zh-CN"/>
        </w:rPr>
      </w:pPr>
      <w:bookmarkStart w:id="50" w:name="_Toc10340"/>
      <w:bookmarkStart w:id="51" w:name="_Toc22618"/>
      <w:bookmarkStart w:id="52"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50"/>
      <w:bookmarkEnd w:id="51"/>
      <w:bookmarkEnd w:id="52"/>
    </w:p>
    <w:p w14:paraId="7AF5D6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宋体" w:hAnsi="宋体" w:eastAsia="宋体"/>
          <w:b w:val="0"/>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p>
    <w:p w14:paraId="73B00E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cs="Times New Roman" w:asciiTheme="minorEastAsia" w:hAnsiTheme="minorEastAsia" w:eastAsiaTheme="minorEastAsia"/>
          <w:color w:val="auto"/>
          <w:sz w:val="24"/>
          <w:szCs w:val="24"/>
          <w:highlight w:val="none"/>
          <w:u w:val="single"/>
          <w:lang w:val="en-US" w:eastAsia="zh-CN"/>
        </w:rPr>
        <w:t>开具符合要求的发票</w:t>
      </w:r>
      <w:r>
        <w:rPr>
          <w:rFonts w:hint="eastAsia" w:asciiTheme="minorEastAsia" w:hAnsiTheme="minorEastAsia" w:eastAsiaTheme="minorEastAsia"/>
          <w:color w:val="auto"/>
          <w:sz w:val="24"/>
          <w:highlight w:val="none"/>
        </w:rPr>
        <w:t>。</w:t>
      </w:r>
    </w:p>
    <w:p w14:paraId="28E91D9B">
      <w:pPr>
        <w:spacing w:line="360" w:lineRule="auto"/>
        <w:ind w:firstLine="437"/>
        <w:outlineLvl w:val="2"/>
        <w:rPr>
          <w:rFonts w:asciiTheme="minorEastAsia" w:hAnsiTheme="minorEastAsia" w:eastAsiaTheme="minorEastAsia"/>
          <w:b/>
          <w:bCs/>
          <w:color w:val="auto"/>
          <w:sz w:val="24"/>
          <w:highlight w:val="none"/>
          <w:lang w:val="zh-CN"/>
        </w:rPr>
      </w:pPr>
      <w:bookmarkStart w:id="53" w:name="_Toc19304"/>
      <w:bookmarkStart w:id="54" w:name="_Toc32071"/>
      <w:bookmarkStart w:id="55" w:name="_Toc2846"/>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bookmarkEnd w:id="53"/>
      <w:bookmarkEnd w:id="54"/>
      <w:bookmarkEnd w:id="55"/>
      <w:r>
        <w:rPr>
          <w:rFonts w:hint="eastAsia" w:asciiTheme="minorEastAsia" w:hAnsiTheme="minorEastAsia" w:eastAsiaTheme="minorEastAsia"/>
          <w:b/>
          <w:bCs/>
          <w:color w:val="auto"/>
          <w:sz w:val="24"/>
          <w:highlight w:val="none"/>
          <w:lang w:val="zh-CN"/>
        </w:rPr>
        <w:t>服务期限、地点和方式</w:t>
      </w:r>
    </w:p>
    <w:p w14:paraId="5CF08B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1.5.1服务期限：</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286D2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1.5.2服务地点：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37D87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1.5.3服务方式：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945239F">
      <w:pPr>
        <w:spacing w:line="360" w:lineRule="auto"/>
        <w:ind w:firstLine="437"/>
        <w:outlineLvl w:val="2"/>
        <w:rPr>
          <w:rFonts w:asciiTheme="minorEastAsia" w:hAnsiTheme="minorEastAsia" w:eastAsiaTheme="minorEastAsia"/>
          <w:b/>
          <w:bCs/>
          <w:color w:val="auto"/>
          <w:sz w:val="24"/>
          <w:highlight w:val="none"/>
          <w:lang w:val="zh-CN"/>
        </w:rPr>
      </w:pPr>
      <w:bookmarkStart w:id="56" w:name="_Toc21423"/>
      <w:bookmarkStart w:id="57" w:name="_Toc19554"/>
      <w:bookmarkStart w:id="58" w:name="_Toc27250"/>
      <w:r>
        <w:rPr>
          <w:rFonts w:hint="eastAsia" w:asciiTheme="minorEastAsia" w:hAnsiTheme="minorEastAsia" w:eastAsiaTheme="minorEastAsia"/>
          <w:b/>
          <w:bCs/>
          <w:color w:val="auto"/>
          <w:sz w:val="24"/>
          <w:highlight w:val="none"/>
          <w:lang w:val="zh-CN"/>
        </w:rPr>
        <w:t>1.6 违约责任</w:t>
      </w:r>
      <w:bookmarkEnd w:id="56"/>
      <w:bookmarkEnd w:id="57"/>
      <w:bookmarkEnd w:id="58"/>
    </w:p>
    <w:p w14:paraId="24CDF9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1.6.1除不可抗力外，如果乙方没有按照本合同约定的期限、地点和方式履行，那么甲方可要求乙方支付违约金，</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1</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；迟延履行的违约金计算数额达到前述最高限额之日起，甲方有权在要求乙方支付违约金的同时，书面通知乙方解除本合同；</w:t>
      </w:r>
    </w:p>
    <w:p w14:paraId="7951CA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1.6.2除不可抗力外，如果甲方没有按照本合同约定的付款方式付款，那么乙方可要求甲方支付违约金，违约金按每迟延付款一日的应付而未付款</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u w:val="single"/>
          <w:lang w:val="en-US" w:eastAsia="zh-CN"/>
        </w:rPr>
        <w:t>0.1</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lang w:val="en-US" w:eastAsia="zh-CN"/>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；迟延付款的违约金计算数额达到前述最高限额之日起，乙方有权在要求甲方支付违约金的同时，书面通知甲方解除本合同；</w:t>
      </w:r>
    </w:p>
    <w:p w14:paraId="218A984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C7F1C9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0C87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090C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E8AB6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r>
        <w:rPr>
          <w:rFonts w:hint="eastAsia" w:cs="Times New Roman" w:asciiTheme="minorEastAsia" w:hAnsiTheme="minorEastAsia" w:eastAsiaTheme="minorEastAsia"/>
          <w:color w:val="auto"/>
          <w:sz w:val="24"/>
          <w:szCs w:val="24"/>
          <w:highlight w:val="none"/>
        </w:rPr>
        <w:t>。</w:t>
      </w:r>
    </w:p>
    <w:p w14:paraId="75625C9E">
      <w:pPr>
        <w:spacing w:line="360" w:lineRule="auto"/>
        <w:ind w:firstLine="437"/>
        <w:outlineLvl w:val="2"/>
        <w:rPr>
          <w:rFonts w:asciiTheme="minorEastAsia" w:hAnsiTheme="minorEastAsia" w:eastAsiaTheme="minorEastAsia"/>
          <w:b/>
          <w:bCs/>
          <w:color w:val="auto"/>
          <w:sz w:val="24"/>
          <w:highlight w:val="none"/>
          <w:lang w:val="zh-CN"/>
        </w:rPr>
      </w:pPr>
      <w:bookmarkStart w:id="59" w:name="_Toc28375"/>
      <w:bookmarkStart w:id="60" w:name="_Toc15583"/>
      <w:bookmarkStart w:id="61" w:name="_Toc16021"/>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59"/>
      <w:bookmarkEnd w:id="60"/>
      <w:bookmarkEnd w:id="61"/>
    </w:p>
    <w:p w14:paraId="0254AF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w:t>
      </w:r>
      <w:r>
        <w:rPr>
          <w:rFonts w:asciiTheme="minorEastAsia" w:hAnsiTheme="minorEastAsia" w:eastAsiaTheme="minorEastAsia"/>
          <w:color w:val="auto"/>
          <w:sz w:val="24"/>
          <w:highlight w:val="none"/>
        </w:rPr>
        <w:t>同履行过程中发生的任何争议，双方当事人均可</w:t>
      </w:r>
      <w:r>
        <w:rPr>
          <w:rFonts w:hint="eastAsia" w:asciiTheme="minorEastAsia" w:hAnsiTheme="minorEastAsia" w:eastAsiaTheme="minorEastAsia"/>
          <w:color w:val="auto"/>
          <w:sz w:val="24"/>
          <w:highlight w:val="none"/>
        </w:rPr>
        <w:t>通过和解或者调解解决；不愿和解、调解或者和解、调解不成的，可以选择下列第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1.7.2</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种方式解决：</w:t>
      </w:r>
    </w:p>
    <w:p w14:paraId="1CCBD3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1.7.1将争议提交</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滁州</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仲裁委员会依申请仲裁时其现行有效的仲裁规则裁决；</w:t>
      </w:r>
    </w:p>
    <w:p w14:paraId="0155FD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1.7.2向</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甲方（采购人）</w:t>
      </w:r>
      <w:r>
        <w:rPr>
          <w:rFonts w:hint="eastAsia" w:asciiTheme="minorEastAsia" w:hAnsiTheme="minorEastAsia" w:eastAsiaTheme="minorEastAsia"/>
          <w:color w:val="auto"/>
          <w:sz w:val="24"/>
          <w:highlight w:val="none"/>
          <w:u w:val="single"/>
          <w:lang w:val="en-US" w:eastAsia="zh-CN"/>
        </w:rPr>
        <w:t>所在地</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人民法院起诉。</w:t>
      </w:r>
    </w:p>
    <w:p w14:paraId="391684A3">
      <w:pPr>
        <w:spacing w:line="360" w:lineRule="auto"/>
        <w:ind w:firstLine="437"/>
        <w:outlineLvl w:val="2"/>
        <w:rPr>
          <w:rFonts w:asciiTheme="minorEastAsia" w:hAnsiTheme="minorEastAsia" w:eastAsiaTheme="minorEastAsia"/>
          <w:b/>
          <w:bCs/>
          <w:color w:val="auto"/>
          <w:sz w:val="24"/>
          <w:highlight w:val="none"/>
          <w:lang w:val="zh-CN"/>
        </w:rPr>
      </w:pPr>
      <w:bookmarkStart w:id="62" w:name="_Toc11173"/>
      <w:bookmarkStart w:id="63" w:name="_Toc15322"/>
      <w:bookmarkStart w:id="64"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62"/>
      <w:bookmarkEnd w:id="63"/>
      <w:bookmarkEnd w:id="64"/>
    </w:p>
    <w:p w14:paraId="71C18EB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0846F488">
      <w:pPr>
        <w:autoSpaceDE w:val="0"/>
        <w:autoSpaceDN w:val="0"/>
        <w:adjustRightInd w:val="0"/>
        <w:spacing w:line="560" w:lineRule="exact"/>
        <w:rPr>
          <w:rFonts w:asciiTheme="minorEastAsia" w:hAnsiTheme="minorEastAsia" w:eastAsiaTheme="minorEastAsia"/>
          <w:color w:val="auto"/>
          <w:sz w:val="24"/>
          <w:highlight w:val="none"/>
          <w:lang w:val="zh-CN"/>
        </w:rPr>
      </w:pPr>
    </w:p>
    <w:p w14:paraId="6665B733">
      <w:pPr>
        <w:autoSpaceDE w:val="0"/>
        <w:autoSpaceDN w:val="0"/>
        <w:adjustRightInd w:val="0"/>
        <w:spacing w:line="560" w:lineRule="exact"/>
        <w:rPr>
          <w:rFonts w:asciiTheme="minorEastAsia" w:hAnsiTheme="minorEastAsia" w:eastAsiaTheme="minorEastAsia"/>
          <w:color w:val="auto"/>
          <w:sz w:val="24"/>
          <w:highlight w:val="none"/>
          <w:lang w:val="zh-CN"/>
        </w:rPr>
      </w:pPr>
    </w:p>
    <w:p w14:paraId="6D3DDFF1">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bookmarkStart w:id="65"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7167CFE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25D5523A">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2AD222D7">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4672F82B">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乙方账户信息</w:t>
      </w:r>
    </w:p>
    <w:p w14:paraId="16653EE0">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户名：</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lang w:val="en-US" w:eastAsia="zh-CN"/>
        </w:rPr>
        <w:t xml:space="preserve">        </w:t>
      </w:r>
      <w:r>
        <w:rPr>
          <w:rFonts w:hint="eastAsia" w:cs="Times New Roman" w:asciiTheme="minorEastAsia" w:hAnsiTheme="minorEastAsia" w:eastAsiaTheme="minorEastAsia"/>
          <w:bCs/>
          <w:color w:val="auto"/>
          <w:sz w:val="24"/>
          <w:szCs w:val="24"/>
          <w:highlight w:val="none"/>
          <w:u w:val="single"/>
        </w:rPr>
        <w:t xml:space="preserve">   </w:t>
      </w:r>
    </w:p>
    <w:p w14:paraId="4A00207F">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lang w:val="en-US" w:eastAsia="zh-CN"/>
        </w:rPr>
        <w:t xml:space="preserve">        </w:t>
      </w:r>
      <w:r>
        <w:rPr>
          <w:rFonts w:hint="eastAsia" w:cs="Times New Roman" w:asciiTheme="minorEastAsia" w:hAnsiTheme="minorEastAsia" w:eastAsiaTheme="minorEastAsia"/>
          <w:bCs/>
          <w:color w:val="auto"/>
          <w:sz w:val="24"/>
          <w:szCs w:val="24"/>
          <w:highlight w:val="none"/>
          <w:u w:val="single"/>
        </w:rPr>
        <w:t xml:space="preserve">   </w:t>
      </w:r>
    </w:p>
    <w:p w14:paraId="4DE002B5">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lang w:val="en-US" w:eastAsia="zh-CN"/>
        </w:rPr>
        <w:t xml:space="preserve">        </w:t>
      </w:r>
      <w:r>
        <w:rPr>
          <w:rFonts w:hint="eastAsia" w:cs="Times New Roman" w:asciiTheme="minorEastAsia" w:hAnsiTheme="minorEastAsia" w:eastAsiaTheme="minorEastAsia"/>
          <w:bCs/>
          <w:color w:val="auto"/>
          <w:sz w:val="24"/>
          <w:szCs w:val="24"/>
          <w:highlight w:val="none"/>
          <w:u w:val="single"/>
        </w:rPr>
        <w:t xml:space="preserve">     </w:t>
      </w:r>
    </w:p>
    <w:p w14:paraId="4E636B7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EE2E149">
      <w:pPr>
        <w:spacing w:line="360" w:lineRule="auto"/>
        <w:jc w:val="center"/>
        <w:outlineLvl w:val="1"/>
        <w:rPr>
          <w:rFonts w:asciiTheme="minorEastAsia" w:hAnsiTheme="minorEastAsia" w:eastAsiaTheme="minorEastAsia"/>
          <w:b/>
          <w:color w:val="auto"/>
          <w:sz w:val="24"/>
          <w:highlight w:val="none"/>
        </w:rPr>
      </w:pPr>
      <w:bookmarkStart w:id="66" w:name="_Toc20177"/>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65"/>
      <w:bookmarkEnd w:id="66"/>
    </w:p>
    <w:p w14:paraId="73140396">
      <w:pPr>
        <w:spacing w:line="360" w:lineRule="auto"/>
        <w:ind w:firstLine="437"/>
        <w:outlineLvl w:val="2"/>
        <w:rPr>
          <w:rFonts w:asciiTheme="minorEastAsia" w:hAnsiTheme="minorEastAsia" w:eastAsiaTheme="minorEastAsia"/>
          <w:b/>
          <w:bCs/>
          <w:color w:val="auto"/>
          <w:sz w:val="24"/>
          <w:highlight w:val="none"/>
          <w:lang w:val="zh-CN"/>
        </w:rPr>
      </w:pPr>
      <w:bookmarkStart w:id="67" w:name="_Ref467379225"/>
      <w:bookmarkStart w:id="68" w:name="_Ref467379205"/>
      <w:bookmarkStart w:id="69" w:name="_Ref467378404"/>
      <w:bookmarkStart w:id="70" w:name="_Ref467379195"/>
      <w:bookmarkStart w:id="71" w:name="_Toc279701240"/>
      <w:bookmarkStart w:id="72" w:name="_Toc259093669"/>
      <w:bookmarkStart w:id="73" w:name="_Ref467379101"/>
      <w:bookmarkStart w:id="74" w:name="_Toc487900349"/>
      <w:bookmarkStart w:id="75" w:name="_Ref467378463"/>
      <w:bookmarkStart w:id="76" w:name="_Ref467379109"/>
      <w:bookmarkStart w:id="77" w:name="_Ref467378499"/>
      <w:bookmarkStart w:id="78" w:name="_Ref467379214"/>
      <w:bookmarkStart w:id="79" w:name="_Toc19614"/>
      <w:bookmarkStart w:id="80" w:name="_Toc16917"/>
      <w:bookmarkStart w:id="81" w:name="_Ref467379094"/>
      <w:bookmarkStart w:id="82" w:name="_Toc28763"/>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 xml:space="preserve"> 定义</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2EA4BCC">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w:t>
      </w:r>
      <w:bookmarkStart w:id="83" w:name="_Ref467379436"/>
      <w:r>
        <w:rPr>
          <w:rFonts w:hint="eastAsia" w:asciiTheme="minorEastAsia" w:hAnsiTheme="minorEastAsia" w:eastAsiaTheme="minorEastAsia"/>
          <w:color w:val="auto"/>
          <w:sz w:val="24"/>
          <w:highlight w:val="none"/>
        </w:rPr>
        <w:t>合同中的下列词语应按以下内容进行解释：</w:t>
      </w:r>
    </w:p>
    <w:p w14:paraId="2FE422E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2.1.1“合同”系指采购人和中标人签订的载明双方当事人所达成的协议，并包括所有的附件、附录和构成合同的其他文件。</w:t>
      </w:r>
    </w:p>
    <w:p w14:paraId="791809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2.1.2“合同价”系指根据合同约定，中标人在完全履行合同义务后，采购人应支付给中标人的价格。</w:t>
      </w:r>
    </w:p>
    <w:p w14:paraId="1B8784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2.1.3“服务”系指中标人根据合同约定应向采购人履行的除货物和工程以外的其他政府采购对象，包括采购人自身需要的服务和向社会公众提供的公共服务。</w:t>
      </w:r>
    </w:p>
    <w:p w14:paraId="524837A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2.1.4“甲方”系指与中标人签署合同的采购人；采购人委托采购代理机构代表其与乙方签订合同的，采购人的授权委托书作为合同附件。</w:t>
      </w:r>
    </w:p>
    <w:p w14:paraId="24E50E0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乙方”系指根据合同约定提供服务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EA623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2.1.6“现场”系指合同约定提供服务的地点</w:t>
      </w:r>
      <w:r>
        <w:rPr>
          <w:rFonts w:asciiTheme="minorEastAsia" w:hAnsiTheme="minorEastAsia" w:eastAsiaTheme="minorEastAsia"/>
          <w:color w:val="auto"/>
          <w:sz w:val="24"/>
          <w:highlight w:val="none"/>
        </w:rPr>
        <w:t>。</w:t>
      </w:r>
      <w:bookmarkEnd w:id="83"/>
    </w:p>
    <w:p w14:paraId="13C99305">
      <w:pPr>
        <w:spacing w:line="360" w:lineRule="auto"/>
        <w:ind w:firstLine="437"/>
        <w:outlineLvl w:val="2"/>
        <w:rPr>
          <w:rFonts w:asciiTheme="minorEastAsia" w:hAnsiTheme="minorEastAsia" w:eastAsiaTheme="minorEastAsia"/>
          <w:b/>
          <w:bCs/>
          <w:color w:val="auto"/>
          <w:sz w:val="24"/>
          <w:highlight w:val="none"/>
          <w:lang w:val="zh-CN"/>
        </w:rPr>
      </w:pPr>
      <w:bookmarkStart w:id="84" w:name="_Toc487900350"/>
      <w:bookmarkStart w:id="85" w:name="_Toc27635"/>
      <w:bookmarkStart w:id="86" w:name="_Toc32504"/>
      <w:bookmarkStart w:id="87" w:name="_Toc259093670"/>
      <w:bookmarkStart w:id="88" w:name="_Toc279701241"/>
      <w:bookmarkStart w:id="89" w:name="_Toc13336"/>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2 技术规范</w:t>
      </w:r>
      <w:bookmarkEnd w:id="84"/>
      <w:bookmarkEnd w:id="85"/>
      <w:bookmarkEnd w:id="86"/>
      <w:bookmarkEnd w:id="87"/>
      <w:bookmarkEnd w:id="88"/>
      <w:bookmarkEnd w:id="89"/>
    </w:p>
    <w:p w14:paraId="2771123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w:t>
      </w:r>
      <w:r>
        <w:rPr>
          <w:rFonts w:hint="eastAsia" w:asciiTheme="minorEastAsia" w:hAnsiTheme="minorEastAsia" w:eastAsiaTheme="minorEastAsia"/>
          <w:color w:val="auto"/>
          <w:sz w:val="24"/>
          <w:highlight w:val="none"/>
        </w:rPr>
        <w:t>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r>
        <w:rPr>
          <w:rFonts w:asciiTheme="minorEastAsia" w:hAnsiTheme="minorEastAsia" w:eastAsiaTheme="minorEastAsia"/>
          <w:color w:val="auto"/>
          <w:sz w:val="24"/>
          <w:highlight w:val="none"/>
        </w:rPr>
        <w:t>。</w:t>
      </w:r>
    </w:p>
    <w:p w14:paraId="28C48795">
      <w:pPr>
        <w:spacing w:line="360" w:lineRule="auto"/>
        <w:ind w:firstLine="437"/>
        <w:outlineLvl w:val="2"/>
        <w:rPr>
          <w:rFonts w:asciiTheme="minorEastAsia" w:hAnsiTheme="minorEastAsia" w:eastAsiaTheme="minorEastAsia"/>
          <w:b/>
          <w:bCs/>
          <w:color w:val="auto"/>
          <w:sz w:val="24"/>
          <w:highlight w:val="none"/>
          <w:lang w:val="zh-CN"/>
        </w:rPr>
      </w:pPr>
      <w:bookmarkStart w:id="90" w:name="_Toc259093671"/>
      <w:bookmarkStart w:id="91" w:name="_Toc31634"/>
      <w:bookmarkStart w:id="92" w:name="_Toc9829"/>
      <w:bookmarkStart w:id="93" w:name="_Toc27853"/>
      <w:bookmarkStart w:id="94" w:name="_Toc487900351"/>
      <w:bookmarkStart w:id="95" w:name="_Toc279701242"/>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3 知识产权</w:t>
      </w:r>
      <w:bookmarkEnd w:id="90"/>
      <w:bookmarkEnd w:id="91"/>
      <w:bookmarkEnd w:id="92"/>
      <w:bookmarkEnd w:id="93"/>
      <w:bookmarkEnd w:id="94"/>
      <w:bookmarkEnd w:id="95"/>
    </w:p>
    <w:p w14:paraId="45FBB5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1A007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2.3.2具有知识产权的计算机软件等货物的知识产权归属，详</w:t>
      </w:r>
      <w:r>
        <w:rPr>
          <w:rFonts w:asciiTheme="minorEastAsia" w:hAnsiTheme="minorEastAsia" w:eastAsiaTheme="minorEastAsia"/>
          <w:color w:val="auto"/>
          <w:sz w:val="24"/>
          <w:highlight w:val="none"/>
        </w:rPr>
        <w:t>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3FC1CEB0">
      <w:pPr>
        <w:spacing w:line="360" w:lineRule="auto"/>
        <w:ind w:firstLine="437"/>
        <w:outlineLvl w:val="2"/>
        <w:rPr>
          <w:rFonts w:asciiTheme="minorEastAsia" w:hAnsiTheme="minorEastAsia" w:eastAsiaTheme="minorEastAsia"/>
          <w:b/>
          <w:color w:val="auto"/>
          <w:sz w:val="24"/>
          <w:highlight w:val="none"/>
        </w:rPr>
      </w:pPr>
      <w:bookmarkStart w:id="96" w:name="_Toc29149"/>
      <w:bookmarkStart w:id="97" w:name="_Toc11932"/>
      <w:bookmarkStart w:id="98" w:name="_Toc4194"/>
      <w:r>
        <w:rPr>
          <w:rFonts w:hint="eastAsia" w:asciiTheme="minorEastAsia" w:hAnsiTheme="minorEastAsia" w:eastAsiaTheme="minorEastAsia"/>
          <w:b/>
          <w:bCs/>
          <w:color w:val="auto"/>
          <w:sz w:val="24"/>
          <w:highlight w:val="none"/>
          <w:lang w:val="zh-CN"/>
        </w:rPr>
        <w:t>2.4</w:t>
      </w:r>
      <w:r>
        <w:rPr>
          <w:rFonts w:asciiTheme="minorEastAsia" w:hAnsiTheme="minorEastAsia" w:eastAsiaTheme="minorEastAsia"/>
          <w:b/>
          <w:bCs/>
          <w:color w:val="auto"/>
          <w:sz w:val="24"/>
          <w:highlight w:val="none"/>
          <w:lang w:val="zh-CN"/>
        </w:rPr>
        <w:t xml:space="preserve"> </w:t>
      </w:r>
      <w:bookmarkEnd w:id="96"/>
      <w:bookmarkEnd w:id="97"/>
      <w:bookmarkEnd w:id="98"/>
      <w:r>
        <w:rPr>
          <w:rFonts w:hint="eastAsia" w:asciiTheme="minorEastAsia" w:hAnsiTheme="minorEastAsia" w:eastAsiaTheme="minorEastAsia"/>
          <w:b/>
          <w:bCs/>
          <w:color w:val="auto"/>
          <w:sz w:val="24"/>
          <w:highlight w:val="none"/>
          <w:lang w:val="zh-CN"/>
        </w:rPr>
        <w:t>履约检查和问题反馈</w:t>
      </w:r>
    </w:p>
    <w:p w14:paraId="788676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3B88D6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2.4.2合同履行期间，甲方有权将履行过程中出现的问题反馈给乙方，双方当事人应以书面形式约定需要完善和改进的内容。</w:t>
      </w:r>
    </w:p>
    <w:p w14:paraId="037502B8">
      <w:pPr>
        <w:spacing w:line="360" w:lineRule="auto"/>
        <w:ind w:firstLine="437"/>
        <w:outlineLvl w:val="2"/>
        <w:rPr>
          <w:rFonts w:asciiTheme="minorEastAsia" w:hAnsiTheme="minorEastAsia" w:eastAsiaTheme="minorEastAsia"/>
          <w:b/>
          <w:bCs/>
          <w:color w:val="auto"/>
          <w:sz w:val="24"/>
          <w:highlight w:val="none"/>
          <w:lang w:val="zh-CN"/>
        </w:rPr>
      </w:pPr>
      <w:bookmarkStart w:id="99" w:name="_Ref467379536"/>
      <w:bookmarkStart w:id="100" w:name="_Ref467378591"/>
      <w:bookmarkStart w:id="101" w:name="_Toc259093674"/>
      <w:bookmarkStart w:id="102" w:name="_Ref467379542"/>
      <w:bookmarkStart w:id="103" w:name="_Toc279701245"/>
      <w:bookmarkStart w:id="104" w:name="_Toc487900354"/>
      <w:bookmarkStart w:id="105" w:name="_Ref467378541"/>
      <w:bookmarkStart w:id="106" w:name="_Ref467379527"/>
      <w:bookmarkStart w:id="107" w:name="_Toc26182"/>
      <w:bookmarkStart w:id="108" w:name="_Toc30272"/>
      <w:bookmarkStart w:id="109" w:name="_Toc19074"/>
      <w:r>
        <w:rPr>
          <w:rFonts w:hint="eastAsia" w:asciiTheme="minorEastAsia" w:hAnsiTheme="minorEastAsia" w:eastAsiaTheme="minorEastAsia"/>
          <w:b/>
          <w:bCs/>
          <w:color w:val="auto"/>
          <w:sz w:val="24"/>
          <w:highlight w:val="none"/>
          <w:lang w:val="zh-CN"/>
        </w:rPr>
        <w:t>2.</w:t>
      </w:r>
      <w:bookmarkEnd w:id="99"/>
      <w:bookmarkEnd w:id="100"/>
      <w:bookmarkEnd w:id="101"/>
      <w:bookmarkEnd w:id="102"/>
      <w:bookmarkEnd w:id="103"/>
      <w:bookmarkEnd w:id="104"/>
      <w:bookmarkEnd w:id="105"/>
      <w:bookmarkEnd w:id="106"/>
      <w:r>
        <w:rPr>
          <w:rFonts w:hint="eastAsia" w:asciiTheme="minorEastAsia" w:hAnsiTheme="minorEastAsia" w:eastAsiaTheme="minorEastAsia"/>
          <w:b/>
          <w:bCs/>
          <w:color w:val="auto"/>
          <w:sz w:val="24"/>
          <w:highlight w:val="none"/>
          <w:lang w:val="zh-CN"/>
        </w:rPr>
        <w:t>5</w:t>
      </w:r>
      <w:r>
        <w:rPr>
          <w:rFonts w:asciiTheme="minorEastAsia" w:hAnsiTheme="minorEastAsia" w:eastAsiaTheme="minorEastAsia"/>
          <w:b/>
          <w:bCs/>
          <w:color w:val="auto"/>
          <w:sz w:val="24"/>
          <w:highlight w:val="none"/>
          <w:lang w:val="zh-CN"/>
        </w:rPr>
        <w:t xml:space="preserve"> </w:t>
      </w:r>
      <w:bookmarkEnd w:id="107"/>
      <w:bookmarkEnd w:id="108"/>
      <w:bookmarkEnd w:id="109"/>
      <w:bookmarkStart w:id="110" w:name="_Ref467379807"/>
      <w:bookmarkStart w:id="111" w:name="_Toc487900357"/>
      <w:bookmarkStart w:id="112" w:name="_Toc19219"/>
      <w:bookmarkStart w:id="113" w:name="_Ref467379793"/>
      <w:bookmarkStart w:id="114" w:name="_Toc259093676"/>
      <w:bookmarkStart w:id="115" w:name="_Toc28451"/>
      <w:bookmarkStart w:id="116" w:name="_Toc7836"/>
      <w:bookmarkStart w:id="117" w:name="_Toc279701247"/>
      <w:r>
        <w:rPr>
          <w:rFonts w:asciiTheme="minorEastAsia" w:hAnsiTheme="minorEastAsia" w:eastAsiaTheme="minorEastAsia"/>
          <w:b/>
          <w:bCs/>
          <w:color w:val="auto"/>
          <w:sz w:val="24"/>
          <w:highlight w:val="none"/>
          <w:lang w:val="zh-CN"/>
        </w:rPr>
        <w:t>结算方式和付款条件</w:t>
      </w:r>
      <w:bookmarkEnd w:id="110"/>
      <w:bookmarkEnd w:id="111"/>
      <w:bookmarkEnd w:id="112"/>
      <w:bookmarkEnd w:id="113"/>
      <w:bookmarkEnd w:id="114"/>
      <w:bookmarkEnd w:id="115"/>
      <w:bookmarkEnd w:id="116"/>
      <w:bookmarkEnd w:id="117"/>
    </w:p>
    <w:p w14:paraId="500C943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645197C8">
      <w:pPr>
        <w:spacing w:line="360" w:lineRule="auto"/>
        <w:ind w:firstLine="437"/>
        <w:outlineLvl w:val="2"/>
        <w:rPr>
          <w:rFonts w:asciiTheme="minorEastAsia" w:hAnsiTheme="minorEastAsia" w:eastAsiaTheme="minorEastAsia"/>
          <w:b/>
          <w:bCs/>
          <w:color w:val="auto"/>
          <w:sz w:val="24"/>
          <w:highlight w:val="none"/>
          <w:lang w:val="zh-CN"/>
        </w:rPr>
      </w:pPr>
      <w:bookmarkStart w:id="118" w:name="_Ref467379852"/>
      <w:bookmarkStart w:id="119" w:name="_Toc259093677"/>
      <w:bookmarkStart w:id="120" w:name="_Ref467379923"/>
      <w:bookmarkStart w:id="121" w:name="_Ref467379863"/>
      <w:bookmarkStart w:id="122" w:name="_Toc487900358"/>
      <w:bookmarkStart w:id="123" w:name="_Toc279701248"/>
      <w:bookmarkStart w:id="124" w:name="_Toc774"/>
      <w:bookmarkStart w:id="125" w:name="_Toc3225"/>
      <w:bookmarkStart w:id="126" w:name="_Toc16110"/>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6</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技术资料</w:t>
      </w:r>
      <w:bookmarkEnd w:id="118"/>
      <w:bookmarkEnd w:id="119"/>
      <w:bookmarkEnd w:id="120"/>
      <w:bookmarkEnd w:id="121"/>
      <w:bookmarkEnd w:id="122"/>
      <w:bookmarkEnd w:id="123"/>
      <w:r>
        <w:rPr>
          <w:rFonts w:asciiTheme="minorEastAsia" w:hAnsiTheme="minorEastAsia" w:eastAsiaTheme="minorEastAsia"/>
          <w:b/>
          <w:bCs/>
          <w:color w:val="auto"/>
          <w:sz w:val="24"/>
          <w:highlight w:val="none"/>
          <w:lang w:val="zh-CN"/>
        </w:rPr>
        <w:t>和保密义务</w:t>
      </w:r>
      <w:bookmarkEnd w:id="124"/>
      <w:bookmarkEnd w:id="125"/>
      <w:bookmarkEnd w:id="126"/>
    </w:p>
    <w:p w14:paraId="1BB1A5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2.6.1乙方有权依据合同约定和项目需要，向甲方了解有关情况，调阅有关资料等，甲方应予积极配合；</w:t>
      </w:r>
    </w:p>
    <w:p w14:paraId="1828534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2.6.2乙方有义务妥善保管和保护由甲方提供的前款信息和资料等；</w:t>
      </w:r>
    </w:p>
    <w:p w14:paraId="2F1B14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0B95ACF">
      <w:pPr>
        <w:spacing w:line="360" w:lineRule="auto"/>
        <w:ind w:firstLine="437"/>
        <w:outlineLvl w:val="2"/>
        <w:rPr>
          <w:rFonts w:asciiTheme="minorEastAsia" w:hAnsiTheme="minorEastAsia" w:eastAsiaTheme="minorEastAsia"/>
          <w:b/>
          <w:bCs/>
          <w:color w:val="auto"/>
          <w:sz w:val="24"/>
          <w:highlight w:val="none"/>
          <w:lang w:val="zh-CN"/>
        </w:rPr>
      </w:pPr>
      <w:bookmarkStart w:id="127" w:name="_Toc7860"/>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7</w:t>
      </w:r>
      <w:r>
        <w:rPr>
          <w:rFonts w:asciiTheme="minorEastAsia" w:hAnsiTheme="minorEastAsia" w:eastAsiaTheme="minorEastAsia"/>
          <w:b/>
          <w:bCs/>
          <w:color w:val="auto"/>
          <w:sz w:val="24"/>
          <w:highlight w:val="none"/>
          <w:lang w:val="zh-CN"/>
        </w:rPr>
        <w:t xml:space="preserve"> 质量保证</w:t>
      </w:r>
      <w:bookmarkEnd w:id="127"/>
    </w:p>
    <w:p w14:paraId="754ADB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2.7.1乙方应建立和完善履行合同的内部质量保证体系，并提供相关内部规章制度给甲方，以便甲方进行监督检查；</w:t>
      </w:r>
    </w:p>
    <w:p w14:paraId="511911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2.7.2乙方应保证履行合同的人员数量和素质、软件和硬件设备的配置、场地、环境和设施等满足全面履行合同的要求，并应接受甲方的监督检查。</w:t>
      </w:r>
    </w:p>
    <w:p w14:paraId="47A03D1D">
      <w:pPr>
        <w:spacing w:line="360" w:lineRule="auto"/>
        <w:ind w:firstLine="437"/>
        <w:outlineLvl w:val="2"/>
        <w:rPr>
          <w:rFonts w:asciiTheme="minorEastAsia" w:hAnsiTheme="minorEastAsia" w:eastAsiaTheme="minorEastAsia"/>
          <w:b/>
          <w:bCs/>
          <w:color w:val="auto"/>
          <w:sz w:val="24"/>
          <w:highlight w:val="none"/>
          <w:lang w:val="zh-CN"/>
        </w:rPr>
      </w:pPr>
      <w:bookmarkStart w:id="128" w:name="_Toc487900362"/>
      <w:bookmarkStart w:id="129" w:name="_Toc259093681"/>
      <w:bookmarkStart w:id="130" w:name="_Toc17244"/>
      <w:bookmarkStart w:id="131" w:name="_Toc279701252"/>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8</w:t>
      </w:r>
      <w:r>
        <w:rPr>
          <w:rFonts w:asciiTheme="minorEastAsia" w:hAnsiTheme="minorEastAsia" w:eastAsiaTheme="minorEastAsia"/>
          <w:b/>
          <w:bCs/>
          <w:color w:val="auto"/>
          <w:sz w:val="24"/>
          <w:highlight w:val="none"/>
          <w:lang w:val="zh-CN"/>
        </w:rPr>
        <w:t xml:space="preserve"> </w:t>
      </w:r>
      <w:bookmarkEnd w:id="128"/>
      <w:bookmarkEnd w:id="129"/>
      <w:bookmarkEnd w:id="130"/>
      <w:bookmarkEnd w:id="131"/>
      <w:r>
        <w:rPr>
          <w:rFonts w:hint="eastAsia" w:asciiTheme="minorEastAsia" w:hAnsiTheme="minorEastAsia" w:eastAsiaTheme="minorEastAsia"/>
          <w:b/>
          <w:bCs/>
          <w:color w:val="auto"/>
          <w:sz w:val="24"/>
          <w:highlight w:val="none"/>
          <w:lang w:val="zh-CN"/>
        </w:rPr>
        <w:t>延迟履行</w:t>
      </w:r>
    </w:p>
    <w:p w14:paraId="057889D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rPr>
        <w:t>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r>
        <w:rPr>
          <w:rFonts w:asciiTheme="minorEastAsia" w:hAnsiTheme="minorEastAsia" w:eastAsiaTheme="minorEastAsia"/>
          <w:color w:val="auto"/>
          <w:sz w:val="24"/>
          <w:highlight w:val="none"/>
        </w:rPr>
        <w:t>。</w:t>
      </w:r>
    </w:p>
    <w:p w14:paraId="2856E589">
      <w:pPr>
        <w:spacing w:line="360" w:lineRule="auto"/>
        <w:ind w:firstLine="437"/>
        <w:outlineLvl w:val="2"/>
        <w:rPr>
          <w:rFonts w:asciiTheme="minorEastAsia" w:hAnsiTheme="minorEastAsia" w:eastAsiaTheme="minorEastAsia"/>
          <w:b/>
          <w:bCs/>
          <w:color w:val="auto"/>
          <w:sz w:val="24"/>
          <w:highlight w:val="none"/>
          <w:lang w:val="zh-CN"/>
        </w:rPr>
      </w:pPr>
      <w:bookmarkStart w:id="132" w:name="_Toc7502"/>
      <w:bookmarkStart w:id="133" w:name="_Ref467378121"/>
      <w:bookmarkStart w:id="134" w:name="_Toc279701254"/>
      <w:bookmarkStart w:id="135" w:name="_Toc487900364"/>
      <w:bookmarkStart w:id="136" w:name="_Toc259093683"/>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9</w:t>
      </w:r>
      <w:r>
        <w:rPr>
          <w:rFonts w:asciiTheme="minorEastAsia" w:hAnsiTheme="minorEastAsia" w:eastAsiaTheme="minorEastAsia"/>
          <w:b/>
          <w:bCs/>
          <w:color w:val="auto"/>
          <w:sz w:val="24"/>
          <w:highlight w:val="none"/>
          <w:lang w:val="zh-CN"/>
        </w:rPr>
        <w:t xml:space="preserve"> 合同变更</w:t>
      </w:r>
      <w:bookmarkEnd w:id="132"/>
    </w:p>
    <w:p w14:paraId="61FC5B9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2.9.1双方当事人协商一致，可以签订书面补充合同的形式变更合同，但不得违背采购文件确定的事项；</w:t>
      </w:r>
    </w:p>
    <w:p w14:paraId="151F42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37" w:name="_Toc279701259"/>
      <w:bookmarkStart w:id="138" w:name="_Toc487900369"/>
      <w:bookmarkStart w:id="139" w:name="_Toc259093688"/>
    </w:p>
    <w:p w14:paraId="044F346E">
      <w:pPr>
        <w:spacing w:line="360" w:lineRule="auto"/>
        <w:ind w:firstLine="437"/>
        <w:outlineLvl w:val="2"/>
        <w:rPr>
          <w:rFonts w:asciiTheme="minorEastAsia" w:hAnsiTheme="minorEastAsia" w:eastAsiaTheme="minorEastAsia"/>
          <w:b/>
          <w:bCs/>
          <w:color w:val="auto"/>
          <w:sz w:val="24"/>
          <w:highlight w:val="none"/>
          <w:lang w:val="zh-CN"/>
        </w:rPr>
      </w:pPr>
      <w:bookmarkStart w:id="140" w:name="_Toc22955"/>
      <w:bookmarkStart w:id="141" w:name="_Toc15237"/>
      <w:bookmarkStart w:id="142" w:name="_Toc10366"/>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合同转让</w:t>
      </w:r>
      <w:bookmarkEnd w:id="137"/>
      <w:bookmarkEnd w:id="138"/>
      <w:bookmarkEnd w:id="139"/>
      <w:r>
        <w:rPr>
          <w:rFonts w:asciiTheme="minorEastAsia" w:hAnsiTheme="minorEastAsia" w:eastAsiaTheme="minorEastAsia"/>
          <w:b/>
          <w:bCs/>
          <w:color w:val="auto"/>
          <w:sz w:val="24"/>
          <w:highlight w:val="none"/>
          <w:lang w:val="zh-CN"/>
        </w:rPr>
        <w:t>和分包</w:t>
      </w:r>
      <w:bookmarkEnd w:id="140"/>
      <w:bookmarkEnd w:id="141"/>
      <w:bookmarkEnd w:id="142"/>
    </w:p>
    <w:p w14:paraId="28AE5D4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w:t>
      </w:r>
      <w:r>
        <w:rPr>
          <w:rFonts w:hint="eastAsia" w:asciiTheme="minorEastAsia" w:hAnsiTheme="minorEastAsia" w:eastAsiaTheme="minorEastAsia"/>
          <w:color w:val="auto"/>
          <w:sz w:val="24"/>
          <w:highlight w:val="none"/>
        </w:rPr>
        <w:t>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C880F42">
      <w:pPr>
        <w:spacing w:line="360" w:lineRule="auto"/>
        <w:ind w:firstLine="437"/>
        <w:outlineLvl w:val="2"/>
        <w:rPr>
          <w:rFonts w:asciiTheme="minorEastAsia" w:hAnsiTheme="minorEastAsia" w:eastAsiaTheme="minorEastAsia"/>
          <w:b/>
          <w:bCs/>
          <w:color w:val="auto"/>
          <w:sz w:val="24"/>
          <w:highlight w:val="none"/>
          <w:lang w:val="zh-CN"/>
        </w:rPr>
      </w:pPr>
      <w:bookmarkStart w:id="143" w:name="_Toc13566"/>
      <w:bookmarkStart w:id="144" w:name="_Toc14066"/>
      <w:bookmarkStart w:id="145" w:name="_Toc16508"/>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1</w:t>
      </w:r>
      <w:r>
        <w:rPr>
          <w:rFonts w:asciiTheme="minorEastAsia" w:hAnsiTheme="minorEastAsia" w:eastAsiaTheme="minorEastAsia"/>
          <w:b/>
          <w:bCs/>
          <w:color w:val="auto"/>
          <w:sz w:val="24"/>
          <w:highlight w:val="none"/>
          <w:lang w:val="zh-CN"/>
        </w:rPr>
        <w:t xml:space="preserve"> 不可抗力</w:t>
      </w:r>
      <w:bookmarkEnd w:id="143"/>
      <w:bookmarkEnd w:id="144"/>
      <w:bookmarkEnd w:id="145"/>
    </w:p>
    <w:p w14:paraId="1D7BCB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2.11.1如果任何一方遭遇法律规定的不可抗力，致使合同履行受阻时，履行合同的期限应予延长，延长的期限应相当于不可抗力所影响的时间；</w:t>
      </w:r>
    </w:p>
    <w:p w14:paraId="6A4D75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2.11.2因不可抗力致使不能实现合同目的的，当事人可以解除合同；</w:t>
      </w:r>
    </w:p>
    <w:p w14:paraId="0CA243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.3因</w:t>
      </w:r>
      <w:r>
        <w:rPr>
          <w:rFonts w:asciiTheme="minorEastAsia" w:hAnsiTheme="minorEastAsia" w:eastAsiaTheme="minorEastAsia"/>
          <w:color w:val="auto"/>
          <w:sz w:val="24"/>
          <w:highlight w:val="none"/>
        </w:rPr>
        <w:t>不可抗力致使合同有变更必要的，双方当事人应在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约定时间内以书面形式变更合同</w:t>
      </w:r>
      <w:r>
        <w:rPr>
          <w:rFonts w:hint="eastAsia" w:asciiTheme="minorEastAsia" w:hAnsiTheme="minorEastAsia" w:eastAsiaTheme="minorEastAsia"/>
          <w:color w:val="auto"/>
          <w:sz w:val="24"/>
          <w:highlight w:val="none"/>
        </w:rPr>
        <w:t>；</w:t>
      </w:r>
    </w:p>
    <w:p w14:paraId="33829E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不可抗力</w:t>
      </w:r>
      <w:r>
        <w:rPr>
          <w:rFonts w:asciiTheme="minorEastAsia" w:hAnsiTheme="minorEastAsia" w:eastAsiaTheme="minorEastAsia"/>
          <w:color w:val="auto"/>
          <w:sz w:val="24"/>
          <w:highlight w:val="none"/>
        </w:rPr>
        <w:t>影响的一方在不可抗力发生后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约定时间内以书面形式通知</w:t>
      </w:r>
      <w:r>
        <w:rPr>
          <w:rFonts w:hint="eastAsia" w:asciiTheme="minorEastAsia" w:hAnsiTheme="minorEastAsia" w:eastAsiaTheme="minorEastAsia"/>
          <w:color w:val="auto"/>
          <w:sz w:val="24"/>
          <w:highlight w:val="none"/>
        </w:rPr>
        <w:t>对</w:t>
      </w:r>
      <w:r>
        <w:rPr>
          <w:rFonts w:asciiTheme="minorEastAsia" w:hAnsiTheme="minorEastAsia" w:eastAsiaTheme="minorEastAsia"/>
          <w:color w:val="auto"/>
          <w:sz w:val="24"/>
          <w:highlight w:val="none"/>
        </w:rPr>
        <w:t>方当事人，并在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约定时间内，将有关部门出具的证明文件送达</w:t>
      </w:r>
      <w:r>
        <w:rPr>
          <w:rFonts w:hint="eastAsia" w:asciiTheme="minorEastAsia" w:hAnsiTheme="minorEastAsia" w:eastAsiaTheme="minorEastAsia"/>
          <w:color w:val="auto"/>
          <w:sz w:val="24"/>
          <w:highlight w:val="none"/>
        </w:rPr>
        <w:t>对方当事人</w:t>
      </w:r>
      <w:r>
        <w:rPr>
          <w:rFonts w:asciiTheme="minorEastAsia" w:hAnsiTheme="minorEastAsia" w:eastAsiaTheme="minorEastAsia"/>
          <w:color w:val="auto"/>
          <w:sz w:val="24"/>
          <w:highlight w:val="none"/>
        </w:rPr>
        <w:t>。</w:t>
      </w:r>
    </w:p>
    <w:p w14:paraId="13D5FA0D">
      <w:pPr>
        <w:spacing w:line="360" w:lineRule="auto"/>
        <w:ind w:firstLine="437"/>
        <w:outlineLvl w:val="2"/>
        <w:rPr>
          <w:rFonts w:asciiTheme="minorEastAsia" w:hAnsiTheme="minorEastAsia" w:eastAsiaTheme="minorEastAsia"/>
          <w:b/>
          <w:bCs/>
          <w:color w:val="auto"/>
          <w:sz w:val="24"/>
          <w:highlight w:val="none"/>
          <w:lang w:val="zh-CN"/>
        </w:rPr>
      </w:pPr>
      <w:bookmarkStart w:id="146" w:name="_Toc259093684"/>
      <w:bookmarkStart w:id="147" w:name="_Toc689"/>
      <w:bookmarkStart w:id="148" w:name="_Toc279701255"/>
      <w:bookmarkStart w:id="149" w:name="_Toc6969"/>
      <w:bookmarkStart w:id="150" w:name="_Toc487900365"/>
      <w:bookmarkStart w:id="151" w:name="_Toc30676"/>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税费</w:t>
      </w:r>
      <w:bookmarkEnd w:id="146"/>
      <w:bookmarkEnd w:id="147"/>
      <w:bookmarkEnd w:id="148"/>
      <w:bookmarkEnd w:id="149"/>
      <w:bookmarkEnd w:id="150"/>
      <w:bookmarkEnd w:id="151"/>
    </w:p>
    <w:p w14:paraId="44DB79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rPr>
        <w:t>合同有关的一切税费，均按照中华人民共和国法律的相关规定缴纳</w:t>
      </w:r>
      <w:r>
        <w:rPr>
          <w:rFonts w:asciiTheme="minorEastAsia" w:hAnsiTheme="minorEastAsia" w:eastAsiaTheme="minorEastAsia"/>
          <w:color w:val="auto"/>
          <w:sz w:val="24"/>
          <w:highlight w:val="none"/>
        </w:rPr>
        <w:t>。</w:t>
      </w:r>
    </w:p>
    <w:p w14:paraId="39A3B788">
      <w:pPr>
        <w:spacing w:line="360" w:lineRule="auto"/>
        <w:ind w:firstLine="437"/>
        <w:outlineLvl w:val="2"/>
        <w:rPr>
          <w:rFonts w:asciiTheme="minorEastAsia" w:hAnsiTheme="minorEastAsia" w:eastAsiaTheme="minorEastAsia"/>
          <w:b/>
          <w:bCs/>
          <w:color w:val="auto"/>
          <w:sz w:val="24"/>
          <w:highlight w:val="none"/>
          <w:lang w:val="zh-CN"/>
        </w:rPr>
      </w:pPr>
      <w:bookmarkStart w:id="152" w:name="_Toc16959"/>
      <w:bookmarkStart w:id="153" w:name="_Toc259093687"/>
      <w:bookmarkStart w:id="154" w:name="_Toc279701258"/>
      <w:bookmarkStart w:id="155" w:name="_Toc8298"/>
      <w:bookmarkStart w:id="156" w:name="_Toc7102"/>
      <w:bookmarkStart w:id="157" w:name="_Toc487900368"/>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乙方破产</w:t>
      </w:r>
      <w:bookmarkEnd w:id="152"/>
      <w:bookmarkEnd w:id="153"/>
      <w:bookmarkEnd w:id="154"/>
      <w:bookmarkEnd w:id="155"/>
      <w:bookmarkEnd w:id="156"/>
      <w:bookmarkEnd w:id="157"/>
    </w:p>
    <w:p w14:paraId="0066A1C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rPr>
        <w:t>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EAE786B">
      <w:pPr>
        <w:spacing w:line="360" w:lineRule="auto"/>
        <w:ind w:firstLine="437"/>
        <w:outlineLvl w:val="2"/>
        <w:rPr>
          <w:rFonts w:asciiTheme="minorEastAsia" w:hAnsiTheme="minorEastAsia" w:eastAsiaTheme="minorEastAsia"/>
          <w:b/>
          <w:color w:val="auto"/>
          <w:sz w:val="24"/>
          <w:highlight w:val="none"/>
        </w:rPr>
      </w:pPr>
      <w:bookmarkStart w:id="158" w:name="_Toc15387"/>
      <w:bookmarkStart w:id="159" w:name="_Toc29333"/>
      <w:bookmarkStart w:id="160" w:name="_Toc6134"/>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lang w:val="zh-CN"/>
        </w:rPr>
        <w:t xml:space="preserve"> 合同中止、终止</w:t>
      </w:r>
      <w:bookmarkEnd w:id="158"/>
      <w:bookmarkEnd w:id="159"/>
      <w:bookmarkEnd w:id="160"/>
    </w:p>
    <w:p w14:paraId="15DA4A2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2.14.1双方当事人不得擅自中止或者终止合同；</w:t>
      </w:r>
    </w:p>
    <w:p w14:paraId="02DE74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D79ED66">
      <w:pPr>
        <w:spacing w:line="360" w:lineRule="auto"/>
        <w:ind w:firstLine="437"/>
        <w:outlineLvl w:val="2"/>
        <w:rPr>
          <w:rFonts w:asciiTheme="minorEastAsia" w:hAnsiTheme="minorEastAsia" w:eastAsiaTheme="minorEastAsia"/>
          <w:b/>
          <w:bCs/>
          <w:color w:val="auto"/>
          <w:sz w:val="24"/>
          <w:highlight w:val="none"/>
          <w:lang w:val="zh-CN"/>
        </w:rPr>
      </w:pPr>
      <w:bookmarkStart w:id="161" w:name="_Toc14563"/>
      <w:bookmarkStart w:id="162" w:name="_Toc6596"/>
      <w:bookmarkStart w:id="163" w:name="_Toc1125"/>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5</w:t>
      </w:r>
      <w:r>
        <w:rPr>
          <w:rFonts w:hint="eastAsia" w:asciiTheme="minorEastAsia" w:hAnsiTheme="minorEastAsia" w:eastAsiaTheme="minorEastAsia"/>
          <w:b/>
          <w:bCs/>
          <w:color w:val="auto"/>
          <w:sz w:val="24"/>
          <w:highlight w:val="none"/>
          <w:lang w:val="zh-CN"/>
        </w:rPr>
        <w:t xml:space="preserve"> 检验和验收</w:t>
      </w:r>
      <w:bookmarkEnd w:id="161"/>
      <w:bookmarkEnd w:id="162"/>
      <w:bookmarkEnd w:id="163"/>
      <w:bookmarkStart w:id="260" w:name="_GoBack"/>
      <w:bookmarkEnd w:id="260"/>
    </w:p>
    <w:p w14:paraId="6BAE397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1乙方</w:t>
      </w:r>
      <w:r>
        <w:rPr>
          <w:rFonts w:hint="eastAsia" w:asciiTheme="minorEastAsia" w:hAnsiTheme="minorEastAsia" w:eastAsiaTheme="minorEastAsia"/>
          <w:color w:val="auto"/>
          <w:sz w:val="24"/>
          <w:highlight w:val="none"/>
          <w:lang w:val="en-US" w:eastAsia="zh-CN"/>
        </w:rPr>
        <w:t>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rPr>
        <w:t>约定，定期提交服务报告，甲方按照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的约定进行定期验收；</w:t>
      </w:r>
    </w:p>
    <w:p w14:paraId="1B89FC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B3241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2.15.3检验和验收标准、程序等具体内容以及前述验收书的效力详见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i/>
          <w:color w:val="auto"/>
          <w:sz w:val="24"/>
          <w:highlight w:val="none"/>
        </w:rPr>
        <w:t>。</w:t>
      </w:r>
    </w:p>
    <w:bookmarkEnd w:id="133"/>
    <w:bookmarkEnd w:id="134"/>
    <w:bookmarkEnd w:id="135"/>
    <w:bookmarkEnd w:id="136"/>
    <w:p w14:paraId="2D02E0F2">
      <w:pPr>
        <w:spacing w:line="360" w:lineRule="auto"/>
        <w:ind w:firstLine="437"/>
        <w:outlineLvl w:val="2"/>
        <w:rPr>
          <w:rFonts w:asciiTheme="minorEastAsia" w:hAnsiTheme="minorEastAsia" w:eastAsiaTheme="minorEastAsia"/>
          <w:b/>
          <w:bCs/>
          <w:color w:val="auto"/>
          <w:sz w:val="24"/>
          <w:highlight w:val="none"/>
        </w:rPr>
      </w:pPr>
      <w:bookmarkStart w:id="164" w:name="_Toc279701262"/>
      <w:bookmarkStart w:id="165" w:name="_Toc487900372"/>
      <w:bookmarkStart w:id="166" w:name="_Toc30599"/>
      <w:bookmarkStart w:id="167" w:name="_Toc259093691"/>
      <w:bookmarkStart w:id="168" w:name="_Toc4355"/>
      <w:bookmarkStart w:id="169" w:name="_Toc18540"/>
      <w:r>
        <w:rPr>
          <w:rFonts w:hint="eastAsia" w:asciiTheme="minorEastAsia" w:hAnsiTheme="minorEastAsia" w:eastAsiaTheme="minorEastAsia"/>
          <w:b/>
          <w:bCs/>
          <w:color w:val="auto"/>
          <w:sz w:val="24"/>
          <w:highlight w:val="none"/>
          <w:lang w:val="zh-CN"/>
        </w:rPr>
        <w:t>2.1</w:t>
      </w:r>
      <w:bookmarkEnd w:id="164"/>
      <w:bookmarkEnd w:id="165"/>
      <w:bookmarkEnd w:id="166"/>
      <w:bookmarkEnd w:id="167"/>
      <w:bookmarkEnd w:id="168"/>
      <w:bookmarkEnd w:id="169"/>
      <w:bookmarkStart w:id="170" w:name="_Toc18567"/>
      <w:bookmarkStart w:id="171" w:name="_Toc279701263"/>
      <w:bookmarkStart w:id="172" w:name="_Toc12773"/>
      <w:bookmarkStart w:id="173" w:name="_Toc10330"/>
      <w:bookmarkStart w:id="174" w:name="_Toc487900373"/>
      <w:bookmarkStart w:id="175" w:name="_Toc259093692"/>
      <w:r>
        <w:rPr>
          <w:rFonts w:hint="eastAsia" w:asciiTheme="minorEastAsia" w:hAnsiTheme="minorEastAsia" w:eastAsiaTheme="minorEastAsia"/>
          <w:b/>
          <w:bCs/>
          <w:color w:val="auto"/>
          <w:sz w:val="24"/>
          <w:highlight w:val="none"/>
          <w:lang w:val="en-US" w:eastAsia="zh-CN"/>
        </w:rPr>
        <w:t>6</w:t>
      </w:r>
      <w:r>
        <w:rPr>
          <w:rFonts w:hint="eastAsia" w:asciiTheme="minorEastAsia" w:hAnsiTheme="minorEastAsia" w:eastAsiaTheme="minorEastAsia"/>
          <w:b/>
          <w:bCs/>
          <w:color w:val="auto"/>
          <w:sz w:val="24"/>
          <w:highlight w:val="none"/>
        </w:rPr>
        <w:t xml:space="preserve"> </w:t>
      </w:r>
      <w:r>
        <w:rPr>
          <w:rFonts w:hint="eastAsia" w:asciiTheme="minorEastAsia" w:hAnsiTheme="minorEastAsia" w:eastAsiaTheme="minorEastAsia"/>
          <w:b/>
          <w:bCs/>
          <w:color w:val="auto"/>
          <w:sz w:val="24"/>
          <w:highlight w:val="none"/>
          <w:lang w:val="zh-CN"/>
        </w:rPr>
        <w:t>合同使用的文字和</w:t>
      </w:r>
      <w:r>
        <w:rPr>
          <w:rFonts w:asciiTheme="minorEastAsia" w:hAnsiTheme="minorEastAsia" w:eastAsiaTheme="minorEastAsia"/>
          <w:b/>
          <w:bCs/>
          <w:color w:val="auto"/>
          <w:sz w:val="24"/>
          <w:highlight w:val="none"/>
          <w:lang w:val="zh-CN"/>
        </w:rPr>
        <w:t>适用的法律</w:t>
      </w:r>
      <w:bookmarkEnd w:id="170"/>
      <w:bookmarkEnd w:id="171"/>
      <w:bookmarkEnd w:id="172"/>
      <w:bookmarkEnd w:id="173"/>
      <w:bookmarkEnd w:id="174"/>
      <w:bookmarkEnd w:id="175"/>
    </w:p>
    <w:p w14:paraId="174DA5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2.16.1合同使用汉语书就、变更和解释；</w:t>
      </w:r>
    </w:p>
    <w:p w14:paraId="5FE86B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2.16.2合同适用中华人民共和国法律</w:t>
      </w:r>
      <w:r>
        <w:rPr>
          <w:rFonts w:asciiTheme="minorEastAsia" w:hAnsiTheme="minorEastAsia" w:eastAsiaTheme="minorEastAsia"/>
          <w:color w:val="auto"/>
          <w:sz w:val="24"/>
          <w:highlight w:val="none"/>
        </w:rPr>
        <w:t>。</w:t>
      </w:r>
    </w:p>
    <w:p w14:paraId="372165C2">
      <w:pPr>
        <w:spacing w:line="360" w:lineRule="auto"/>
        <w:ind w:firstLine="437"/>
        <w:outlineLvl w:val="2"/>
        <w:rPr>
          <w:rFonts w:asciiTheme="minorEastAsia" w:hAnsiTheme="minorEastAsia" w:eastAsiaTheme="minorEastAsia"/>
          <w:b/>
          <w:color w:val="auto"/>
          <w:sz w:val="24"/>
          <w:highlight w:val="none"/>
        </w:rPr>
      </w:pPr>
      <w:bookmarkStart w:id="176" w:name="_Toc279701264"/>
      <w:bookmarkStart w:id="177" w:name="_Toc3148"/>
      <w:bookmarkStart w:id="178" w:name="_Toc16673"/>
      <w:bookmarkStart w:id="179" w:name="_Toc12004"/>
      <w:bookmarkStart w:id="180" w:name="_Toc259093693"/>
      <w:bookmarkStart w:id="181" w:name="_Toc487900374"/>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17</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履约保证金</w:t>
      </w:r>
      <w:bookmarkEnd w:id="176"/>
      <w:bookmarkEnd w:id="177"/>
      <w:bookmarkEnd w:id="178"/>
      <w:bookmarkEnd w:id="179"/>
      <w:bookmarkEnd w:id="180"/>
    </w:p>
    <w:p w14:paraId="0CA390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.1采购文件要求乙方提交履约保证金的，乙方</w:t>
      </w:r>
      <w:r>
        <w:rPr>
          <w:rFonts w:asciiTheme="minorEastAsia" w:hAnsiTheme="minorEastAsia" w:eastAsiaTheme="minorEastAsia"/>
          <w:color w:val="auto"/>
          <w:sz w:val="24"/>
          <w:highlight w:val="none"/>
        </w:rPr>
        <w:t>应按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约定的方式</w:t>
      </w:r>
      <w:r>
        <w:rPr>
          <w:rFonts w:hint="eastAsia" w:asciiTheme="minorEastAsia" w:hAnsiTheme="minorEastAsia" w:eastAsiaTheme="minorEastAsia"/>
          <w:color w:val="auto"/>
          <w:sz w:val="24"/>
          <w:highlight w:val="none"/>
        </w:rPr>
        <w:t>，以支票、汇票、本票或者金融机构、担保机构出具的保函等非现金形式提交；</w:t>
      </w:r>
    </w:p>
    <w:p w14:paraId="334EB5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.2</w:t>
      </w:r>
      <w:r>
        <w:rPr>
          <w:rFonts w:cs="Times New Roman" w:asciiTheme="minorEastAsia" w:hAnsiTheme="minorEastAsia" w:eastAsiaTheme="minorEastAsia"/>
          <w:color w:val="auto"/>
          <w:sz w:val="24"/>
          <w:szCs w:val="24"/>
          <w:highlight w:val="none"/>
        </w:rPr>
        <w:t>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5FEB68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1"/>
    <w:p w14:paraId="2A1377AD">
      <w:pPr>
        <w:spacing w:line="360" w:lineRule="auto"/>
        <w:ind w:firstLine="437"/>
        <w:outlineLvl w:val="2"/>
        <w:rPr>
          <w:rFonts w:asciiTheme="minorEastAsia" w:hAnsiTheme="minorEastAsia" w:eastAsiaTheme="minorEastAsia"/>
          <w:b/>
          <w:color w:val="auto"/>
          <w:sz w:val="24"/>
          <w:highlight w:val="none"/>
        </w:rPr>
      </w:pPr>
      <w:bookmarkStart w:id="182" w:name="_Toc14001"/>
      <w:bookmarkStart w:id="183" w:name="_Toc6885"/>
      <w:bookmarkStart w:id="184" w:name="_Toc19890"/>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18</w:t>
      </w:r>
      <w:r>
        <w:rPr>
          <w:rFonts w:hint="eastAsia" w:asciiTheme="minorEastAsia" w:hAnsiTheme="minorEastAsia" w:eastAsiaTheme="minorEastAsia"/>
          <w:b/>
          <w:bCs/>
          <w:color w:val="auto"/>
          <w:sz w:val="24"/>
          <w:highlight w:val="none"/>
          <w:lang w:val="zh-CN"/>
        </w:rPr>
        <w:t xml:space="preserve"> 合同份数</w:t>
      </w:r>
      <w:bookmarkEnd w:id="182"/>
      <w:bookmarkEnd w:id="183"/>
      <w:bookmarkEnd w:id="184"/>
    </w:p>
    <w:p w14:paraId="41DFEAA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合同份数按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每份均具有同等法律效力</w:t>
      </w:r>
      <w:r>
        <w:rPr>
          <w:rFonts w:hint="eastAsia" w:asciiTheme="minorEastAsia" w:hAnsiTheme="minorEastAsia" w:eastAsiaTheme="minorEastAsia"/>
          <w:color w:val="auto"/>
          <w:sz w:val="24"/>
          <w:highlight w:val="none"/>
        </w:rPr>
        <w:t>。</w:t>
      </w:r>
    </w:p>
    <w:p w14:paraId="21735C2A">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185" w:name="_Toc14669"/>
      <w:bookmarkStart w:id="186"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85"/>
      <w:bookmarkEnd w:id="186"/>
    </w:p>
    <w:p w14:paraId="465113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本部分</w:t>
      </w:r>
      <w:r>
        <w:rPr>
          <w:rFonts w:asciiTheme="minorEastAsia" w:hAnsiTheme="minorEastAsia" w:eastAsiaTheme="minorEastAsia"/>
          <w:color w:val="auto"/>
          <w:sz w:val="24"/>
          <w:highlight w:val="none"/>
        </w:rPr>
        <w:t>是对</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部分的补充和修改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部分和本部分的约定不一致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应以本部分的约定为准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本部分的条款号应与</w:t>
      </w:r>
      <w:r>
        <w:rPr>
          <w:rFonts w:hint="eastAsia" w:asciiTheme="minorEastAsia" w:hAnsiTheme="minorEastAsia" w:eastAsiaTheme="minorEastAsia"/>
          <w:color w:val="auto"/>
          <w:sz w:val="24"/>
          <w:highlight w:val="none"/>
        </w:rPr>
        <w:t>前两部分</w:t>
      </w:r>
      <w:r>
        <w:rPr>
          <w:rFonts w:asciiTheme="minorEastAsia" w:hAnsiTheme="minorEastAsia" w:eastAsiaTheme="minorEastAsia"/>
          <w:color w:val="auto"/>
          <w:sz w:val="24"/>
          <w:highlight w:val="none"/>
        </w:rPr>
        <w:t>的条款号保持对应</w:t>
      </w:r>
      <w:r>
        <w:rPr>
          <w:rFonts w:hint="eastAsia" w:asciiTheme="minorEastAsia" w:hAnsiTheme="minorEastAsia" w:eastAsiaTheme="minorEastAsia"/>
          <w:color w:val="auto"/>
          <w:sz w:val="24"/>
          <w:highlight w:val="none"/>
        </w:rPr>
        <w:t>；与前两部分</w:t>
      </w:r>
      <w:r>
        <w:rPr>
          <w:rFonts w:asciiTheme="minorEastAsia" w:hAnsiTheme="minorEastAsia" w:eastAsiaTheme="minorEastAsia"/>
          <w:color w:val="auto"/>
          <w:sz w:val="24"/>
          <w:highlight w:val="none"/>
        </w:rPr>
        <w:t>无对应关系的内容可另行编制条款号</w:t>
      </w:r>
      <w:r>
        <w:rPr>
          <w:rFonts w:hint="eastAsia" w:asciiTheme="minorEastAsia" w:hAnsiTheme="minorEastAsia" w:eastAsiaTheme="minorEastAsia"/>
          <w:color w:val="auto"/>
          <w:sz w:val="24"/>
          <w:highlight w:val="none"/>
        </w:rPr>
        <w:t>。</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67"/>
        <w:gridCol w:w="8260"/>
      </w:tblGrid>
      <w:tr w14:paraId="1FF9B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5D2D553E">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条款号</w:t>
            </w:r>
          </w:p>
        </w:tc>
        <w:tc>
          <w:tcPr>
            <w:tcW w:w="4524" w:type="pct"/>
            <w:vAlign w:val="center"/>
          </w:tcPr>
          <w:p w14:paraId="0BA79DFE">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约定内容</w:t>
            </w:r>
          </w:p>
        </w:tc>
      </w:tr>
      <w:tr w14:paraId="4F3C1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74E9C8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2.5</w:t>
            </w:r>
          </w:p>
        </w:tc>
        <w:tc>
          <w:tcPr>
            <w:tcW w:w="4524" w:type="pct"/>
            <w:vAlign w:val="center"/>
          </w:tcPr>
          <w:p w14:paraId="18D0C3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lang w:val="en-US" w:eastAsia="zh-CN"/>
              </w:rPr>
              <w:t>乙方每次申请付款时，应向甲方开具合法有效符合甲方要求的税务发票，依法应开具增值税专用发票的，乙方应开具对应金额增值税专用发票。乙方未依约提供发票的，甲方可拒绝支付对应价款。</w:t>
            </w:r>
          </w:p>
        </w:tc>
      </w:tr>
      <w:tr w14:paraId="4528F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F49A0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2.11.3</w:t>
            </w:r>
          </w:p>
        </w:tc>
        <w:tc>
          <w:tcPr>
            <w:tcW w:w="4524" w:type="pct"/>
            <w:vAlign w:val="center"/>
          </w:tcPr>
          <w:p w14:paraId="7A7ACA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因不可抗力致使合同有变更必要的，双方当事人应在</w:t>
            </w:r>
            <w:r>
              <w:rPr>
                <w:rFonts w:hint="eastAsia" w:cs="Times New Roman" w:asciiTheme="minorEastAsia" w:hAnsiTheme="minorEastAsia" w:eastAsiaTheme="minorEastAsia"/>
                <w:color w:val="auto"/>
                <w:sz w:val="24"/>
                <w:szCs w:val="24"/>
                <w:highlight w:val="none"/>
                <w:lang w:val="en-US" w:eastAsia="zh-CN"/>
              </w:rPr>
              <w:t>不可抗力发生的3个工作日内</w:t>
            </w:r>
            <w:r>
              <w:rPr>
                <w:rFonts w:hint="eastAsia" w:cs="Times New Roman" w:asciiTheme="minorEastAsia" w:hAnsiTheme="minorEastAsia" w:eastAsiaTheme="minorEastAsia"/>
                <w:color w:val="auto"/>
                <w:sz w:val="24"/>
                <w:szCs w:val="24"/>
                <w:highlight w:val="none"/>
              </w:rPr>
              <w:t>以书面形式变更合同</w:t>
            </w:r>
          </w:p>
        </w:tc>
      </w:tr>
      <w:tr w14:paraId="57E11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D5618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2.11.4</w:t>
            </w:r>
          </w:p>
        </w:tc>
        <w:tc>
          <w:tcPr>
            <w:tcW w:w="4524" w:type="pct"/>
            <w:vAlign w:val="center"/>
          </w:tcPr>
          <w:p w14:paraId="78B88B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受不可抗力影响的一方在不可抗力发生后，应在</w:t>
            </w:r>
            <w:r>
              <w:rPr>
                <w:rFonts w:hint="eastAsia" w:cs="Times New Roman" w:asciiTheme="minorEastAsia" w:hAnsiTheme="minorEastAsia" w:eastAsiaTheme="minorEastAsia"/>
                <w:color w:val="auto"/>
                <w:sz w:val="24"/>
                <w:szCs w:val="24"/>
                <w:highlight w:val="none"/>
                <w:lang w:val="en-US" w:eastAsia="zh-CN"/>
              </w:rPr>
              <w:t>不可抗力发生的1个工作日内</w:t>
            </w:r>
            <w:r>
              <w:rPr>
                <w:rFonts w:hint="eastAsia" w:cs="Times New Roman" w:asciiTheme="minorEastAsia" w:hAnsiTheme="minorEastAsia" w:eastAsiaTheme="minorEastAsia"/>
                <w:color w:val="auto"/>
                <w:sz w:val="24"/>
                <w:szCs w:val="24"/>
                <w:highlight w:val="none"/>
              </w:rPr>
              <w:t>以书面形式通知对方当事人，并在</w:t>
            </w:r>
            <w:r>
              <w:rPr>
                <w:rFonts w:hint="eastAsia" w:cs="Times New Roman" w:asciiTheme="minorEastAsia" w:hAnsiTheme="minorEastAsia" w:eastAsiaTheme="minorEastAsia"/>
                <w:color w:val="auto"/>
                <w:sz w:val="24"/>
                <w:szCs w:val="24"/>
                <w:highlight w:val="none"/>
                <w:lang w:val="en-US" w:eastAsia="zh-CN"/>
              </w:rPr>
              <w:t>1个工作日内</w:t>
            </w:r>
            <w:r>
              <w:rPr>
                <w:rFonts w:hint="eastAsia" w:cs="Times New Roman" w:asciiTheme="minorEastAsia" w:hAnsiTheme="minorEastAsia" w:eastAsiaTheme="minorEastAsia"/>
                <w:color w:val="auto"/>
                <w:sz w:val="24"/>
                <w:szCs w:val="24"/>
                <w:highlight w:val="none"/>
              </w:rPr>
              <w:t>，将有关部门出具的证明文件送达对方当事人</w:t>
            </w:r>
          </w:p>
        </w:tc>
      </w:tr>
      <w:tr w14:paraId="13843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325CF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2.15</w:t>
            </w:r>
          </w:p>
        </w:tc>
        <w:tc>
          <w:tcPr>
            <w:tcW w:w="4524" w:type="pct"/>
            <w:vAlign w:val="center"/>
          </w:tcPr>
          <w:p w14:paraId="16C1D794">
            <w:pPr>
              <w:spacing w:line="440" w:lineRule="exact"/>
              <w:rPr>
                <w:rFonts w:hint="eastAsia"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乙方须接受甲方对项目执行情况、服务质量等的监督、检查和验收，甲方有权查看与项目直接相关的凭证和资料，乙方应予以配合。</w:t>
            </w:r>
          </w:p>
        </w:tc>
      </w:tr>
      <w:tr w14:paraId="1E758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22420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2.17</w:t>
            </w:r>
          </w:p>
        </w:tc>
        <w:tc>
          <w:tcPr>
            <w:tcW w:w="4524" w:type="pct"/>
            <w:vAlign w:val="center"/>
          </w:tcPr>
          <w:p w14:paraId="1D0D6B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本项目免收</w:t>
            </w:r>
            <w:r>
              <w:rPr>
                <w:rFonts w:hint="eastAsia" w:cs="Times New Roman" w:asciiTheme="minorEastAsia" w:hAnsiTheme="minorEastAsia" w:eastAsiaTheme="minorEastAsia"/>
                <w:color w:val="auto"/>
                <w:sz w:val="24"/>
                <w:szCs w:val="24"/>
                <w:highlight w:val="none"/>
                <w:lang w:val="zh-CN" w:eastAsia="zh-CN"/>
              </w:rPr>
              <w:t>履约保证金。</w:t>
            </w:r>
          </w:p>
        </w:tc>
      </w:tr>
      <w:tr w14:paraId="561C6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64A3F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2.18</w:t>
            </w:r>
          </w:p>
        </w:tc>
        <w:tc>
          <w:tcPr>
            <w:tcW w:w="4524" w:type="pct"/>
            <w:vAlign w:val="center"/>
          </w:tcPr>
          <w:p w14:paraId="0C73D2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合同一式陆份，甲乙双方各执叁份。</w:t>
            </w:r>
          </w:p>
        </w:tc>
      </w:tr>
      <w:tr w14:paraId="5C99B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7A84C47">
            <w:pPr>
              <w:spacing w:line="560" w:lineRule="exact"/>
              <w:jc w:val="center"/>
              <w:rPr>
                <w:rFonts w:asciiTheme="minorEastAsia" w:hAnsiTheme="minorEastAsia" w:eastAsiaTheme="minorEastAsia"/>
                <w:color w:val="auto"/>
                <w:sz w:val="24"/>
                <w:highlight w:val="none"/>
              </w:rPr>
            </w:pPr>
          </w:p>
        </w:tc>
        <w:tc>
          <w:tcPr>
            <w:tcW w:w="4524" w:type="pct"/>
            <w:vAlign w:val="center"/>
          </w:tcPr>
          <w:p w14:paraId="3F7BF534">
            <w:pPr>
              <w:spacing w:line="560" w:lineRule="exact"/>
              <w:rPr>
                <w:rFonts w:hint="default" w:asciiTheme="minorEastAsia" w:hAnsiTheme="minorEastAsia" w:eastAsiaTheme="minorEastAsia"/>
                <w:color w:val="auto"/>
                <w:sz w:val="24"/>
                <w:highlight w:val="none"/>
                <w:u w:val="single"/>
                <w:lang w:val="en-US" w:eastAsia="zh-CN"/>
              </w:rPr>
            </w:pPr>
          </w:p>
        </w:tc>
      </w:tr>
      <w:tr w14:paraId="035D3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8704E9E">
            <w:pPr>
              <w:spacing w:line="560" w:lineRule="exact"/>
              <w:jc w:val="center"/>
              <w:rPr>
                <w:rFonts w:asciiTheme="minorEastAsia" w:hAnsiTheme="minorEastAsia" w:eastAsiaTheme="minorEastAsia"/>
                <w:color w:val="auto"/>
                <w:sz w:val="24"/>
                <w:highlight w:val="none"/>
              </w:rPr>
            </w:pPr>
          </w:p>
        </w:tc>
        <w:tc>
          <w:tcPr>
            <w:tcW w:w="4524" w:type="pct"/>
            <w:vAlign w:val="center"/>
          </w:tcPr>
          <w:p w14:paraId="47A855AF">
            <w:pPr>
              <w:spacing w:line="560" w:lineRule="exact"/>
              <w:rPr>
                <w:rFonts w:asciiTheme="minorEastAsia" w:hAnsiTheme="minorEastAsia" w:eastAsiaTheme="minorEastAsia"/>
                <w:color w:val="auto"/>
                <w:sz w:val="24"/>
                <w:highlight w:val="none"/>
              </w:rPr>
            </w:pPr>
          </w:p>
        </w:tc>
      </w:tr>
      <w:tr w14:paraId="10960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0F98E6A">
            <w:pPr>
              <w:spacing w:line="560" w:lineRule="exact"/>
              <w:jc w:val="center"/>
              <w:rPr>
                <w:rFonts w:asciiTheme="minorEastAsia" w:hAnsiTheme="minorEastAsia" w:eastAsiaTheme="minorEastAsia"/>
                <w:color w:val="auto"/>
                <w:sz w:val="24"/>
                <w:highlight w:val="none"/>
              </w:rPr>
            </w:pPr>
          </w:p>
        </w:tc>
        <w:tc>
          <w:tcPr>
            <w:tcW w:w="4524" w:type="pct"/>
            <w:vAlign w:val="center"/>
          </w:tcPr>
          <w:p w14:paraId="5C23A960">
            <w:pPr>
              <w:spacing w:line="560" w:lineRule="exact"/>
              <w:rPr>
                <w:rFonts w:asciiTheme="minorEastAsia" w:hAnsiTheme="minorEastAsia" w:eastAsiaTheme="minorEastAsia"/>
                <w:color w:val="auto"/>
                <w:sz w:val="24"/>
                <w:highlight w:val="none"/>
              </w:rPr>
            </w:pPr>
          </w:p>
        </w:tc>
      </w:tr>
      <w:tr w14:paraId="6F685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469B05E">
            <w:pPr>
              <w:spacing w:line="560" w:lineRule="exact"/>
              <w:rPr>
                <w:rFonts w:asciiTheme="minorEastAsia" w:hAnsiTheme="minorEastAsia" w:eastAsiaTheme="minorEastAsia"/>
                <w:color w:val="auto"/>
                <w:sz w:val="24"/>
                <w:highlight w:val="none"/>
              </w:rPr>
            </w:pPr>
          </w:p>
        </w:tc>
        <w:tc>
          <w:tcPr>
            <w:tcW w:w="4524" w:type="pct"/>
            <w:vAlign w:val="center"/>
          </w:tcPr>
          <w:p w14:paraId="5C6D2DA2">
            <w:pPr>
              <w:spacing w:line="560" w:lineRule="exact"/>
              <w:rPr>
                <w:rFonts w:asciiTheme="minorEastAsia" w:hAnsiTheme="minorEastAsia" w:eastAsiaTheme="minorEastAsia"/>
                <w:color w:val="auto"/>
                <w:sz w:val="24"/>
                <w:highlight w:val="none"/>
              </w:rPr>
            </w:pPr>
          </w:p>
        </w:tc>
      </w:tr>
      <w:tr w14:paraId="2366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54CF5CE8">
            <w:pPr>
              <w:spacing w:line="560" w:lineRule="exact"/>
              <w:rPr>
                <w:rFonts w:asciiTheme="minorEastAsia" w:hAnsiTheme="minorEastAsia" w:eastAsiaTheme="minorEastAsia"/>
                <w:color w:val="auto"/>
                <w:sz w:val="24"/>
                <w:highlight w:val="none"/>
              </w:rPr>
            </w:pPr>
          </w:p>
        </w:tc>
        <w:tc>
          <w:tcPr>
            <w:tcW w:w="4524" w:type="pct"/>
            <w:tcBorders>
              <w:top w:val="single" w:color="auto" w:sz="6" w:space="0"/>
              <w:left w:val="single" w:color="auto" w:sz="6" w:space="0"/>
              <w:bottom w:val="single" w:color="auto" w:sz="6" w:space="0"/>
              <w:right w:val="single" w:color="auto" w:sz="6" w:space="0"/>
            </w:tcBorders>
            <w:vAlign w:val="center"/>
          </w:tcPr>
          <w:p w14:paraId="129CB286">
            <w:pPr>
              <w:spacing w:line="560" w:lineRule="exact"/>
              <w:rPr>
                <w:rFonts w:asciiTheme="minorEastAsia" w:hAnsiTheme="minorEastAsia" w:eastAsiaTheme="minorEastAsia"/>
                <w:color w:val="auto"/>
                <w:sz w:val="24"/>
                <w:highlight w:val="none"/>
              </w:rPr>
            </w:pPr>
          </w:p>
        </w:tc>
      </w:tr>
      <w:tr w14:paraId="3543E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0E86579">
            <w:pPr>
              <w:spacing w:line="560" w:lineRule="exact"/>
              <w:rPr>
                <w:rFonts w:asciiTheme="minorEastAsia" w:hAnsiTheme="minorEastAsia" w:eastAsiaTheme="minorEastAsia"/>
                <w:color w:val="auto"/>
                <w:sz w:val="24"/>
                <w:highlight w:val="none"/>
              </w:rPr>
            </w:pPr>
          </w:p>
        </w:tc>
        <w:tc>
          <w:tcPr>
            <w:tcW w:w="4524" w:type="pct"/>
            <w:tcBorders>
              <w:top w:val="single" w:color="auto" w:sz="6" w:space="0"/>
              <w:left w:val="single" w:color="auto" w:sz="6" w:space="0"/>
              <w:bottom w:val="single" w:color="auto" w:sz="6" w:space="0"/>
              <w:right w:val="single" w:color="auto" w:sz="6" w:space="0"/>
            </w:tcBorders>
            <w:vAlign w:val="center"/>
          </w:tcPr>
          <w:p w14:paraId="1963B8A4">
            <w:pPr>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（签订合同时可补充）</w:t>
            </w:r>
          </w:p>
        </w:tc>
      </w:tr>
    </w:tbl>
    <w:p w14:paraId="192C0ED1">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Theme="minorEastAsia" w:hAnsiTheme="minorEastAsia" w:eastAsiaTheme="minorEastAsia"/>
          <w:b/>
          <w:color w:val="auto"/>
          <w:sz w:val="28"/>
          <w:highlight w:val="none"/>
        </w:rPr>
      </w:pPr>
      <w:bookmarkStart w:id="187" w:name="_Toc2430"/>
      <w:bookmarkStart w:id="188" w:name="_Toc16475"/>
      <w:bookmarkStart w:id="189" w:name="_Toc25148"/>
      <w:r>
        <w:rPr>
          <w:rFonts w:hint="eastAsia" w:asciiTheme="minorEastAsia" w:hAnsiTheme="minorEastAsia" w:eastAsiaTheme="minorEastAsia"/>
          <w:b/>
          <w:color w:val="auto"/>
          <w:sz w:val="28"/>
          <w:highlight w:val="none"/>
        </w:rPr>
        <w:t>第六章  响应文件格式</w:t>
      </w:r>
      <w:bookmarkEnd w:id="187"/>
      <w:bookmarkEnd w:id="188"/>
      <w:bookmarkEnd w:id="189"/>
    </w:p>
    <w:p w14:paraId="22B512D6">
      <w:pPr>
        <w:spacing w:line="900" w:lineRule="exact"/>
        <w:jc w:val="center"/>
        <w:rPr>
          <w:rFonts w:asciiTheme="minorEastAsia" w:hAnsiTheme="minorEastAsia" w:eastAsiaTheme="minorEastAsia"/>
          <w:b/>
          <w:color w:val="auto"/>
          <w:sz w:val="72"/>
          <w:highlight w:val="none"/>
        </w:rPr>
      </w:pPr>
    </w:p>
    <w:p w14:paraId="2A760AD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1C70137">
      <w:pPr>
        <w:spacing w:line="900" w:lineRule="exact"/>
        <w:jc w:val="center"/>
        <w:rPr>
          <w:rFonts w:asciiTheme="minorEastAsia" w:hAnsiTheme="minorEastAsia" w:eastAsiaTheme="minorEastAsia"/>
          <w:b/>
          <w:color w:val="auto"/>
          <w:sz w:val="72"/>
          <w:highlight w:val="none"/>
        </w:rPr>
      </w:pPr>
    </w:p>
    <w:p w14:paraId="1A61D115">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6588355">
      <w:pPr>
        <w:spacing w:line="900" w:lineRule="exact"/>
        <w:jc w:val="center"/>
        <w:rPr>
          <w:rFonts w:asciiTheme="minorEastAsia" w:hAnsiTheme="minorEastAsia" w:eastAsiaTheme="minorEastAsia"/>
          <w:b/>
          <w:color w:val="auto"/>
          <w:sz w:val="72"/>
          <w:highlight w:val="none"/>
        </w:rPr>
      </w:pPr>
    </w:p>
    <w:p w14:paraId="1C2D6683">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A2E9D33">
      <w:pPr>
        <w:spacing w:line="900" w:lineRule="exact"/>
        <w:jc w:val="center"/>
        <w:rPr>
          <w:rFonts w:asciiTheme="minorEastAsia" w:hAnsiTheme="minorEastAsia" w:eastAsiaTheme="minorEastAsia"/>
          <w:b/>
          <w:color w:val="auto"/>
          <w:sz w:val="72"/>
          <w:highlight w:val="none"/>
        </w:rPr>
      </w:pPr>
    </w:p>
    <w:p w14:paraId="5AFDC7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5B85C17E">
      <w:pPr>
        <w:spacing w:after="156" w:afterLines="50"/>
        <w:jc w:val="center"/>
        <w:rPr>
          <w:rFonts w:asciiTheme="minorEastAsia" w:hAnsiTheme="minorEastAsia" w:eastAsiaTheme="minorEastAsia"/>
          <w:b/>
          <w:color w:val="auto"/>
          <w:sz w:val="72"/>
          <w:highlight w:val="none"/>
        </w:rPr>
      </w:pPr>
    </w:p>
    <w:p w14:paraId="7AD1396E">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outlineLvl w:val="9"/>
        <w:rPr>
          <w:rFonts w:hint="default" w:ascii="宋体" w:hAnsi="宋体" w:eastAsia="宋体"/>
          <w:color w:val="auto"/>
          <w:sz w:val="24"/>
          <w:szCs w:val="18"/>
          <w:highlight w:val="none"/>
          <w:lang w:val="en-US" w:eastAsia="zh-CN"/>
        </w:rPr>
      </w:pPr>
    </w:p>
    <w:p w14:paraId="40EE5A73">
      <w:pPr>
        <w:spacing w:after="156" w:afterLines="50" w:line="500" w:lineRule="exact"/>
        <w:jc w:val="both"/>
        <w:rPr>
          <w:rFonts w:asciiTheme="minorEastAsia" w:hAnsiTheme="minorEastAsia" w:eastAsiaTheme="minorEastAsia"/>
          <w:b/>
          <w:color w:val="auto"/>
          <w:sz w:val="72"/>
          <w:highlight w:val="none"/>
        </w:rPr>
      </w:pPr>
    </w:p>
    <w:p w14:paraId="70D9474D">
      <w:pPr>
        <w:spacing w:after="156" w:afterLines="50" w:line="500" w:lineRule="exact"/>
        <w:jc w:val="center"/>
        <w:rPr>
          <w:rFonts w:asciiTheme="minorEastAsia" w:hAnsiTheme="minorEastAsia" w:eastAsiaTheme="minorEastAsia"/>
          <w:b/>
          <w:color w:val="auto"/>
          <w:sz w:val="28"/>
          <w:szCs w:val="28"/>
          <w:highlight w:val="none"/>
        </w:rPr>
      </w:pPr>
    </w:p>
    <w:p w14:paraId="323DE5E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B01918D">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D3C640E">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3D63126">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0"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0"/>
    </w:p>
    <w:p w14:paraId="339AAE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16186D4">
      <w:pPr>
        <w:spacing w:line="360" w:lineRule="auto"/>
        <w:jc w:val="center"/>
        <w:outlineLvl w:val="1"/>
        <w:rPr>
          <w:rFonts w:asciiTheme="minorEastAsia" w:hAnsiTheme="minorEastAsia" w:eastAsiaTheme="minorEastAsia"/>
          <w:b/>
          <w:color w:val="auto"/>
          <w:sz w:val="24"/>
          <w:highlight w:val="none"/>
        </w:rPr>
      </w:pPr>
      <w:bookmarkStart w:id="191" w:name="_Toc461053086"/>
      <w:bookmarkStart w:id="192" w:name="_Toc461056631"/>
      <w:bookmarkStart w:id="193" w:name="_Toc26791"/>
      <w:bookmarkStart w:id="194" w:name="_Toc5881"/>
      <w:bookmarkStart w:id="195" w:name="_Toc520983587"/>
      <w:r>
        <w:rPr>
          <w:rFonts w:hint="eastAsia" w:asciiTheme="minorEastAsia" w:hAnsiTheme="minorEastAsia" w:eastAsiaTheme="minorEastAsia"/>
          <w:b/>
          <w:color w:val="auto"/>
          <w:sz w:val="24"/>
          <w:highlight w:val="none"/>
        </w:rPr>
        <w:t>一</w:t>
      </w:r>
      <w:bookmarkEnd w:id="191"/>
      <w:bookmarkEnd w:id="192"/>
      <w:r>
        <w:rPr>
          <w:rFonts w:hint="eastAsia" w:asciiTheme="minorEastAsia" w:hAnsiTheme="minorEastAsia" w:eastAsiaTheme="minorEastAsia"/>
          <w:b/>
          <w:color w:val="auto"/>
          <w:sz w:val="24"/>
          <w:highlight w:val="none"/>
        </w:rPr>
        <w:t>、报价表格式</w:t>
      </w:r>
      <w:bookmarkEnd w:id="193"/>
      <w:bookmarkEnd w:id="194"/>
      <w:bookmarkEnd w:id="195"/>
    </w:p>
    <w:p w14:paraId="1F222176">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7C47F77">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5D0CA5FB">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7"/>
      </w:tblGrid>
      <w:tr w14:paraId="2D06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111D9C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037AEEDB">
            <w:pPr>
              <w:spacing w:line="360" w:lineRule="auto"/>
              <w:rPr>
                <w:rFonts w:ascii="宋体" w:hAnsi="宋体" w:eastAsia="宋体"/>
                <w:b/>
                <w:color w:val="auto"/>
                <w:sz w:val="24"/>
                <w:highlight w:val="none"/>
              </w:rPr>
            </w:pPr>
          </w:p>
        </w:tc>
      </w:tr>
      <w:tr w14:paraId="17FF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C343762">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6AF23C5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20B0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F68DE9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79BD1F4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B8204D9">
            <w:pPr>
              <w:snapToGrid w:val="0"/>
              <w:spacing w:line="360" w:lineRule="auto"/>
              <w:rPr>
                <w:rFonts w:ascii="宋体" w:hAnsi="宋体" w:eastAsia="宋体"/>
                <w:color w:val="auto"/>
                <w:sz w:val="24"/>
                <w:szCs w:val="28"/>
                <w:highlight w:val="none"/>
              </w:rPr>
            </w:pPr>
          </w:p>
          <w:p w14:paraId="178047D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4AA1EEE">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1F0689D0">
            <w:pPr>
              <w:snapToGrid w:val="0"/>
              <w:spacing w:line="360" w:lineRule="auto"/>
              <w:rPr>
                <w:rFonts w:ascii="宋体" w:hAnsi="宋体" w:eastAsia="宋体"/>
                <w:b/>
                <w:color w:val="auto"/>
                <w:sz w:val="24"/>
                <w:highlight w:val="none"/>
              </w:rPr>
            </w:pPr>
          </w:p>
        </w:tc>
      </w:tr>
      <w:tr w14:paraId="5F5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6682C0E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4F75DD58">
            <w:pPr>
              <w:spacing w:line="360" w:lineRule="auto"/>
              <w:rPr>
                <w:rFonts w:ascii="宋体" w:hAnsi="宋体" w:eastAsia="宋体"/>
                <w:b/>
                <w:color w:val="auto"/>
                <w:sz w:val="24"/>
                <w:highlight w:val="none"/>
              </w:rPr>
            </w:pPr>
          </w:p>
        </w:tc>
      </w:tr>
    </w:tbl>
    <w:p w14:paraId="519B2B1C">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5D339F0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12DB8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C94478A">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1.本表内容根据磋商文件要求包括了服务及其配套的采购、运输、保险、税费以及质保期内的售后服务保障等所有费用。</w:t>
      </w:r>
    </w:p>
    <w:p w14:paraId="0EFBE9EE">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06C83B4A">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70DE454">
      <w:pPr>
        <w:spacing w:before="156" w:beforeLines="50" w:after="156" w:afterLines="50" w:line="360" w:lineRule="auto"/>
        <w:jc w:val="left"/>
        <w:outlineLvl w:val="2"/>
        <w:rPr>
          <w:rFonts w:hint="eastAsia" w:ascii="宋体" w:hAnsi="宋体" w:eastAsia="宋体"/>
          <w:b/>
          <w:sz w:val="24"/>
          <w:szCs w:val="28"/>
          <w:highlight w:val="none"/>
        </w:rPr>
      </w:pPr>
      <w:r>
        <w:rPr>
          <w:rFonts w:ascii="宋体" w:hAnsi="宋体" w:eastAsia="宋体"/>
          <w:b/>
          <w:bCs/>
          <w:color w:val="auto"/>
          <w:sz w:val="24"/>
          <w:szCs w:val="28"/>
          <w:highlight w:val="none"/>
        </w:rPr>
        <w:br w:type="page"/>
      </w:r>
      <w:r>
        <w:rPr>
          <w:rFonts w:hint="eastAsia" w:ascii="宋体" w:hAnsi="宋体" w:eastAsia="宋体"/>
          <w:b/>
          <w:sz w:val="24"/>
          <w:szCs w:val="28"/>
          <w:highlight w:val="none"/>
        </w:rPr>
        <w:t>1-2 分项报价明细表</w:t>
      </w:r>
    </w:p>
    <w:p w14:paraId="6AFD5968">
      <w:pPr>
        <w:spacing w:line="360" w:lineRule="auto"/>
        <w:ind w:firstLine="435"/>
        <w:jc w:val="center"/>
        <w:rPr>
          <w:rFonts w:hint="eastAsia" w:asciiTheme="minorEastAsia" w:hAnsiTheme="minorEastAsia" w:eastAsiaTheme="minorEastAsia"/>
          <w:b/>
          <w:sz w:val="24"/>
          <w:highlight w:val="none"/>
        </w:rPr>
      </w:pPr>
      <w:r>
        <w:rPr>
          <w:rFonts w:hint="eastAsia" w:asciiTheme="minorEastAsia" w:hAnsiTheme="minorEastAsia" w:eastAsiaTheme="minorEastAsia"/>
          <w:i/>
          <w:sz w:val="24"/>
          <w:highlight w:val="none"/>
        </w:rPr>
        <w:t>（仅供参考，供应商可自行制作格式）</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388"/>
        <w:gridCol w:w="1478"/>
        <w:gridCol w:w="1850"/>
        <w:gridCol w:w="1709"/>
      </w:tblGrid>
      <w:tr w14:paraId="0DC7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145BE465">
            <w:pPr>
              <w:jc w:val="center"/>
              <w:rPr>
                <w:rFonts w:hint="eastAsia" w:ascii="宋体" w:hAnsi="宋体" w:eastAsia="宋体"/>
                <w:b/>
                <w:sz w:val="24"/>
                <w:highlight w:val="none"/>
              </w:rPr>
            </w:pPr>
            <w:r>
              <w:rPr>
                <w:rFonts w:hint="eastAsia" w:ascii="宋体" w:hAnsi="宋体" w:eastAsia="宋体"/>
                <w:b/>
                <w:sz w:val="24"/>
                <w:highlight w:val="none"/>
              </w:rPr>
              <w:t>序号</w:t>
            </w:r>
          </w:p>
        </w:tc>
        <w:tc>
          <w:tcPr>
            <w:tcW w:w="1824" w:type="pct"/>
            <w:vAlign w:val="center"/>
          </w:tcPr>
          <w:p w14:paraId="2455A2AD">
            <w:pPr>
              <w:jc w:val="center"/>
              <w:rPr>
                <w:rFonts w:hint="eastAsia" w:ascii="宋体" w:hAnsi="宋体" w:eastAsia="宋体"/>
                <w:b/>
                <w:sz w:val="24"/>
                <w:highlight w:val="none"/>
              </w:rPr>
            </w:pPr>
            <w:r>
              <w:rPr>
                <w:rFonts w:hint="eastAsia" w:ascii="宋体" w:hAnsi="宋体" w:eastAsia="宋体"/>
                <w:b/>
                <w:sz w:val="24"/>
                <w:highlight w:val="none"/>
              </w:rPr>
              <w:t>服务内容</w:t>
            </w:r>
          </w:p>
        </w:tc>
        <w:tc>
          <w:tcPr>
            <w:tcW w:w="796" w:type="pct"/>
            <w:vAlign w:val="center"/>
          </w:tcPr>
          <w:p w14:paraId="044E923B">
            <w:pPr>
              <w:jc w:val="center"/>
              <w:rPr>
                <w:rFonts w:hint="eastAsia" w:ascii="宋体" w:hAnsi="宋体" w:eastAsia="宋体"/>
                <w:b/>
                <w:sz w:val="24"/>
                <w:highlight w:val="none"/>
              </w:rPr>
            </w:pPr>
            <w:r>
              <w:rPr>
                <w:rFonts w:hint="eastAsia" w:ascii="宋体" w:hAnsi="宋体" w:eastAsia="宋体"/>
                <w:b/>
                <w:sz w:val="24"/>
                <w:highlight w:val="none"/>
              </w:rPr>
              <w:t>项</w:t>
            </w:r>
          </w:p>
        </w:tc>
        <w:tc>
          <w:tcPr>
            <w:tcW w:w="996" w:type="pct"/>
            <w:vAlign w:val="center"/>
          </w:tcPr>
          <w:p w14:paraId="554C8A91">
            <w:pPr>
              <w:jc w:val="center"/>
              <w:rPr>
                <w:rFonts w:hint="eastAsia" w:ascii="宋体" w:hAnsi="宋体" w:eastAsia="宋体"/>
                <w:b/>
                <w:sz w:val="24"/>
                <w:highlight w:val="none"/>
              </w:rPr>
            </w:pPr>
            <w:r>
              <w:rPr>
                <w:rFonts w:hint="eastAsia" w:ascii="宋体" w:hAnsi="宋体" w:eastAsia="宋体"/>
                <w:b/>
                <w:sz w:val="24"/>
                <w:highlight w:val="none"/>
              </w:rPr>
              <w:t>单价</w:t>
            </w:r>
          </w:p>
        </w:tc>
        <w:tc>
          <w:tcPr>
            <w:tcW w:w="920" w:type="pct"/>
            <w:vAlign w:val="center"/>
          </w:tcPr>
          <w:p w14:paraId="746CD229">
            <w:pPr>
              <w:jc w:val="center"/>
              <w:rPr>
                <w:rFonts w:hint="eastAsia" w:ascii="宋体" w:hAnsi="宋体" w:eastAsia="宋体"/>
                <w:b/>
                <w:sz w:val="24"/>
                <w:highlight w:val="none"/>
              </w:rPr>
            </w:pPr>
            <w:r>
              <w:rPr>
                <w:rFonts w:hint="eastAsia" w:ascii="宋体" w:hAnsi="宋体" w:eastAsia="宋体"/>
                <w:b/>
                <w:sz w:val="24"/>
                <w:highlight w:val="none"/>
              </w:rPr>
              <w:t>小计金额（元）</w:t>
            </w:r>
          </w:p>
        </w:tc>
      </w:tr>
      <w:tr w14:paraId="532C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35E9F03F">
            <w:pPr>
              <w:jc w:val="center"/>
              <w:rPr>
                <w:rFonts w:hint="eastAsia" w:ascii="宋体" w:hAnsi="宋体" w:eastAsia="宋体"/>
                <w:sz w:val="24"/>
                <w:highlight w:val="none"/>
              </w:rPr>
            </w:pPr>
            <w:r>
              <w:rPr>
                <w:rFonts w:hint="eastAsia" w:ascii="宋体" w:hAnsi="宋体" w:eastAsia="宋体"/>
                <w:sz w:val="24"/>
                <w:highlight w:val="none"/>
              </w:rPr>
              <w:t>1</w:t>
            </w:r>
          </w:p>
        </w:tc>
        <w:tc>
          <w:tcPr>
            <w:tcW w:w="1824" w:type="pct"/>
            <w:vAlign w:val="center"/>
          </w:tcPr>
          <w:p w14:paraId="6AB266DE">
            <w:pPr>
              <w:jc w:val="center"/>
              <w:rPr>
                <w:rFonts w:hint="eastAsia" w:ascii="宋体" w:hAnsi="宋体" w:eastAsia="宋体"/>
                <w:sz w:val="24"/>
                <w:highlight w:val="none"/>
              </w:rPr>
            </w:pPr>
          </w:p>
        </w:tc>
        <w:tc>
          <w:tcPr>
            <w:tcW w:w="796" w:type="pct"/>
            <w:vAlign w:val="center"/>
          </w:tcPr>
          <w:p w14:paraId="59214583">
            <w:pPr>
              <w:jc w:val="center"/>
              <w:rPr>
                <w:rFonts w:hint="eastAsia" w:ascii="宋体" w:hAnsi="宋体" w:eastAsia="宋体"/>
                <w:sz w:val="24"/>
                <w:highlight w:val="none"/>
              </w:rPr>
            </w:pPr>
          </w:p>
        </w:tc>
        <w:tc>
          <w:tcPr>
            <w:tcW w:w="996" w:type="pct"/>
            <w:vAlign w:val="center"/>
          </w:tcPr>
          <w:p w14:paraId="6C749DE3">
            <w:pPr>
              <w:jc w:val="center"/>
              <w:rPr>
                <w:rFonts w:hint="eastAsia" w:ascii="宋体" w:hAnsi="宋体" w:eastAsia="宋体"/>
                <w:sz w:val="24"/>
                <w:highlight w:val="none"/>
              </w:rPr>
            </w:pPr>
          </w:p>
        </w:tc>
        <w:tc>
          <w:tcPr>
            <w:tcW w:w="920" w:type="pct"/>
            <w:vAlign w:val="center"/>
          </w:tcPr>
          <w:p w14:paraId="50D9EB80">
            <w:pPr>
              <w:jc w:val="center"/>
              <w:rPr>
                <w:rFonts w:hint="eastAsia" w:ascii="宋体" w:hAnsi="宋体" w:eastAsia="宋体"/>
                <w:sz w:val="24"/>
                <w:highlight w:val="none"/>
              </w:rPr>
            </w:pPr>
          </w:p>
        </w:tc>
      </w:tr>
      <w:tr w14:paraId="45B3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94BC8DD">
            <w:pPr>
              <w:jc w:val="center"/>
              <w:rPr>
                <w:rFonts w:hint="eastAsia" w:ascii="宋体" w:hAnsi="宋体" w:eastAsia="宋体"/>
                <w:sz w:val="24"/>
                <w:highlight w:val="none"/>
              </w:rPr>
            </w:pPr>
            <w:r>
              <w:rPr>
                <w:rFonts w:hint="eastAsia" w:ascii="宋体" w:hAnsi="宋体" w:eastAsia="宋体"/>
                <w:sz w:val="24"/>
                <w:highlight w:val="none"/>
              </w:rPr>
              <w:t>2</w:t>
            </w:r>
          </w:p>
        </w:tc>
        <w:tc>
          <w:tcPr>
            <w:tcW w:w="1824" w:type="pct"/>
            <w:vAlign w:val="center"/>
          </w:tcPr>
          <w:p w14:paraId="1B65A55F">
            <w:pPr>
              <w:jc w:val="center"/>
              <w:rPr>
                <w:rFonts w:hint="eastAsia" w:ascii="宋体" w:hAnsi="宋体" w:eastAsia="宋体"/>
                <w:sz w:val="24"/>
                <w:highlight w:val="none"/>
              </w:rPr>
            </w:pPr>
          </w:p>
        </w:tc>
        <w:tc>
          <w:tcPr>
            <w:tcW w:w="796" w:type="pct"/>
            <w:vAlign w:val="center"/>
          </w:tcPr>
          <w:p w14:paraId="2585F43F">
            <w:pPr>
              <w:jc w:val="center"/>
              <w:rPr>
                <w:rFonts w:hint="eastAsia" w:ascii="宋体" w:hAnsi="宋体" w:eastAsia="宋体"/>
                <w:sz w:val="24"/>
                <w:highlight w:val="none"/>
              </w:rPr>
            </w:pPr>
          </w:p>
        </w:tc>
        <w:tc>
          <w:tcPr>
            <w:tcW w:w="996" w:type="pct"/>
            <w:vAlign w:val="center"/>
          </w:tcPr>
          <w:p w14:paraId="1EF7DA59">
            <w:pPr>
              <w:jc w:val="center"/>
              <w:rPr>
                <w:rFonts w:hint="eastAsia" w:ascii="宋体" w:hAnsi="宋体" w:eastAsia="宋体"/>
                <w:sz w:val="24"/>
                <w:highlight w:val="none"/>
              </w:rPr>
            </w:pPr>
          </w:p>
        </w:tc>
        <w:tc>
          <w:tcPr>
            <w:tcW w:w="920" w:type="pct"/>
            <w:vAlign w:val="center"/>
          </w:tcPr>
          <w:p w14:paraId="25804A6C">
            <w:pPr>
              <w:jc w:val="center"/>
              <w:rPr>
                <w:rFonts w:hint="eastAsia" w:ascii="宋体" w:hAnsi="宋体" w:eastAsia="宋体"/>
                <w:sz w:val="24"/>
                <w:highlight w:val="none"/>
              </w:rPr>
            </w:pPr>
          </w:p>
        </w:tc>
      </w:tr>
      <w:tr w14:paraId="3B5A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DBEFE15">
            <w:pPr>
              <w:jc w:val="center"/>
              <w:rPr>
                <w:rFonts w:hint="eastAsia" w:ascii="宋体" w:hAnsi="宋体" w:eastAsia="宋体"/>
                <w:sz w:val="24"/>
                <w:highlight w:val="none"/>
              </w:rPr>
            </w:pPr>
            <w:r>
              <w:rPr>
                <w:rFonts w:hint="eastAsia" w:ascii="宋体" w:hAnsi="宋体" w:eastAsia="宋体"/>
                <w:sz w:val="24"/>
                <w:highlight w:val="none"/>
              </w:rPr>
              <w:t>3</w:t>
            </w:r>
          </w:p>
        </w:tc>
        <w:tc>
          <w:tcPr>
            <w:tcW w:w="1824" w:type="pct"/>
            <w:vAlign w:val="center"/>
          </w:tcPr>
          <w:p w14:paraId="4326362F">
            <w:pPr>
              <w:jc w:val="center"/>
              <w:rPr>
                <w:rFonts w:hint="eastAsia" w:ascii="宋体" w:hAnsi="宋体" w:eastAsia="宋体"/>
                <w:sz w:val="24"/>
                <w:highlight w:val="none"/>
              </w:rPr>
            </w:pPr>
          </w:p>
        </w:tc>
        <w:tc>
          <w:tcPr>
            <w:tcW w:w="796" w:type="pct"/>
            <w:vAlign w:val="center"/>
          </w:tcPr>
          <w:p w14:paraId="2BF978A6">
            <w:pPr>
              <w:jc w:val="center"/>
              <w:rPr>
                <w:rFonts w:hint="eastAsia" w:ascii="宋体" w:hAnsi="宋体" w:eastAsia="宋体"/>
                <w:sz w:val="24"/>
                <w:highlight w:val="none"/>
              </w:rPr>
            </w:pPr>
          </w:p>
        </w:tc>
        <w:tc>
          <w:tcPr>
            <w:tcW w:w="996" w:type="pct"/>
            <w:vAlign w:val="center"/>
          </w:tcPr>
          <w:p w14:paraId="1C964E66">
            <w:pPr>
              <w:jc w:val="center"/>
              <w:rPr>
                <w:rFonts w:hint="eastAsia" w:ascii="宋体" w:hAnsi="宋体" w:eastAsia="宋体"/>
                <w:sz w:val="24"/>
                <w:highlight w:val="none"/>
              </w:rPr>
            </w:pPr>
          </w:p>
        </w:tc>
        <w:tc>
          <w:tcPr>
            <w:tcW w:w="920" w:type="pct"/>
            <w:vAlign w:val="center"/>
          </w:tcPr>
          <w:p w14:paraId="4D4A6D94">
            <w:pPr>
              <w:jc w:val="center"/>
              <w:rPr>
                <w:rFonts w:hint="eastAsia" w:ascii="宋体" w:hAnsi="宋体" w:eastAsia="宋体"/>
                <w:sz w:val="24"/>
                <w:highlight w:val="none"/>
              </w:rPr>
            </w:pPr>
          </w:p>
        </w:tc>
      </w:tr>
      <w:tr w14:paraId="059B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0E11430">
            <w:pPr>
              <w:jc w:val="center"/>
              <w:rPr>
                <w:rFonts w:hint="eastAsia" w:ascii="宋体" w:hAnsi="宋体" w:eastAsia="宋体"/>
                <w:sz w:val="24"/>
                <w:highlight w:val="none"/>
              </w:rPr>
            </w:pPr>
            <w:r>
              <w:rPr>
                <w:rFonts w:ascii="宋体" w:hAnsi="宋体" w:eastAsia="宋体"/>
                <w:sz w:val="24"/>
                <w:highlight w:val="none"/>
              </w:rPr>
              <w:t>…</w:t>
            </w:r>
          </w:p>
        </w:tc>
        <w:tc>
          <w:tcPr>
            <w:tcW w:w="1824" w:type="pct"/>
            <w:vAlign w:val="center"/>
          </w:tcPr>
          <w:p w14:paraId="75D03174">
            <w:pPr>
              <w:jc w:val="center"/>
              <w:rPr>
                <w:rFonts w:hint="eastAsia" w:ascii="宋体" w:hAnsi="宋体" w:eastAsia="宋体"/>
                <w:sz w:val="24"/>
                <w:highlight w:val="none"/>
              </w:rPr>
            </w:pPr>
          </w:p>
        </w:tc>
        <w:tc>
          <w:tcPr>
            <w:tcW w:w="796" w:type="pct"/>
            <w:vAlign w:val="center"/>
          </w:tcPr>
          <w:p w14:paraId="4F061BF0">
            <w:pPr>
              <w:jc w:val="center"/>
              <w:rPr>
                <w:rFonts w:hint="eastAsia" w:ascii="宋体" w:hAnsi="宋体" w:eastAsia="宋体"/>
                <w:sz w:val="24"/>
                <w:highlight w:val="none"/>
              </w:rPr>
            </w:pPr>
          </w:p>
        </w:tc>
        <w:tc>
          <w:tcPr>
            <w:tcW w:w="996" w:type="pct"/>
            <w:vAlign w:val="center"/>
          </w:tcPr>
          <w:p w14:paraId="386A9623">
            <w:pPr>
              <w:jc w:val="center"/>
              <w:rPr>
                <w:rFonts w:hint="eastAsia" w:ascii="宋体" w:hAnsi="宋体" w:eastAsia="宋体"/>
                <w:sz w:val="24"/>
                <w:highlight w:val="none"/>
              </w:rPr>
            </w:pPr>
          </w:p>
        </w:tc>
        <w:tc>
          <w:tcPr>
            <w:tcW w:w="920" w:type="pct"/>
            <w:vAlign w:val="center"/>
          </w:tcPr>
          <w:p w14:paraId="6C0E8F49">
            <w:pPr>
              <w:jc w:val="center"/>
              <w:rPr>
                <w:rFonts w:hint="eastAsia" w:ascii="宋体" w:hAnsi="宋体" w:eastAsia="宋体"/>
                <w:sz w:val="24"/>
                <w:highlight w:val="none"/>
              </w:rPr>
            </w:pPr>
          </w:p>
        </w:tc>
      </w:tr>
      <w:tr w14:paraId="140E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3B3790C">
            <w:pPr>
              <w:jc w:val="center"/>
              <w:rPr>
                <w:rFonts w:hint="eastAsia" w:ascii="宋体" w:hAnsi="宋体" w:eastAsia="宋体"/>
                <w:sz w:val="24"/>
                <w:highlight w:val="none"/>
              </w:rPr>
            </w:pPr>
          </w:p>
        </w:tc>
        <w:tc>
          <w:tcPr>
            <w:tcW w:w="1824" w:type="pct"/>
            <w:vAlign w:val="center"/>
          </w:tcPr>
          <w:p w14:paraId="57379893">
            <w:pPr>
              <w:pStyle w:val="54"/>
              <w:ind w:left="-108"/>
              <w:jc w:val="center"/>
              <w:rPr>
                <w:rFonts w:hint="eastAsia" w:ascii="宋体" w:hAnsi="宋体"/>
                <w:highlight w:val="none"/>
              </w:rPr>
            </w:pPr>
            <w:r>
              <w:rPr>
                <w:rFonts w:hint="eastAsia" w:ascii="宋体" w:hAnsi="宋体"/>
                <w:highlight w:val="none"/>
              </w:rPr>
              <w:t>其他费用</w:t>
            </w:r>
          </w:p>
        </w:tc>
        <w:tc>
          <w:tcPr>
            <w:tcW w:w="796" w:type="pct"/>
            <w:vAlign w:val="center"/>
          </w:tcPr>
          <w:p w14:paraId="0AE529BB">
            <w:pPr>
              <w:jc w:val="center"/>
              <w:rPr>
                <w:rFonts w:hint="eastAsia" w:ascii="宋体" w:hAnsi="宋体" w:eastAsia="宋体"/>
                <w:sz w:val="24"/>
                <w:highlight w:val="none"/>
              </w:rPr>
            </w:pPr>
          </w:p>
        </w:tc>
        <w:tc>
          <w:tcPr>
            <w:tcW w:w="996" w:type="pct"/>
            <w:vAlign w:val="center"/>
          </w:tcPr>
          <w:p w14:paraId="147E94BF">
            <w:pPr>
              <w:jc w:val="center"/>
              <w:rPr>
                <w:rFonts w:hint="eastAsia" w:ascii="宋体" w:hAnsi="宋体" w:eastAsia="宋体"/>
                <w:sz w:val="24"/>
                <w:highlight w:val="none"/>
              </w:rPr>
            </w:pPr>
          </w:p>
        </w:tc>
        <w:tc>
          <w:tcPr>
            <w:tcW w:w="920" w:type="pct"/>
            <w:vAlign w:val="center"/>
          </w:tcPr>
          <w:p w14:paraId="571D2480">
            <w:pPr>
              <w:jc w:val="center"/>
              <w:rPr>
                <w:rFonts w:hint="eastAsia" w:ascii="宋体" w:hAnsi="宋体" w:eastAsia="宋体"/>
                <w:sz w:val="24"/>
                <w:highlight w:val="none"/>
              </w:rPr>
            </w:pPr>
          </w:p>
        </w:tc>
      </w:tr>
      <w:tr w14:paraId="309E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B7EF17E">
            <w:pPr>
              <w:jc w:val="center"/>
              <w:rPr>
                <w:rFonts w:hint="eastAsia" w:ascii="宋体" w:hAnsi="宋体" w:eastAsia="宋体"/>
                <w:sz w:val="24"/>
                <w:highlight w:val="none"/>
              </w:rPr>
            </w:pPr>
          </w:p>
        </w:tc>
        <w:tc>
          <w:tcPr>
            <w:tcW w:w="1824" w:type="pct"/>
            <w:vAlign w:val="center"/>
          </w:tcPr>
          <w:p w14:paraId="50035AD2">
            <w:pPr>
              <w:jc w:val="center"/>
              <w:rPr>
                <w:rFonts w:hint="eastAsia" w:ascii="宋体" w:hAnsi="宋体" w:eastAsia="宋体"/>
                <w:sz w:val="24"/>
                <w:highlight w:val="none"/>
              </w:rPr>
            </w:pPr>
            <w:r>
              <w:rPr>
                <w:rFonts w:ascii="宋体" w:hAnsi="宋体" w:eastAsia="宋体"/>
                <w:sz w:val="24"/>
                <w:highlight w:val="none"/>
              </w:rPr>
              <w:t>……</w:t>
            </w:r>
          </w:p>
        </w:tc>
        <w:tc>
          <w:tcPr>
            <w:tcW w:w="796" w:type="pct"/>
            <w:vAlign w:val="center"/>
          </w:tcPr>
          <w:p w14:paraId="2BC0016F">
            <w:pPr>
              <w:jc w:val="center"/>
              <w:rPr>
                <w:rFonts w:hint="eastAsia" w:ascii="宋体" w:hAnsi="宋体" w:eastAsia="宋体"/>
                <w:sz w:val="24"/>
                <w:highlight w:val="none"/>
              </w:rPr>
            </w:pPr>
          </w:p>
        </w:tc>
        <w:tc>
          <w:tcPr>
            <w:tcW w:w="996" w:type="pct"/>
            <w:vAlign w:val="center"/>
          </w:tcPr>
          <w:p w14:paraId="0003BC52">
            <w:pPr>
              <w:jc w:val="center"/>
              <w:rPr>
                <w:rFonts w:hint="eastAsia" w:ascii="宋体" w:hAnsi="宋体" w:eastAsia="宋体"/>
                <w:sz w:val="24"/>
                <w:highlight w:val="none"/>
              </w:rPr>
            </w:pPr>
          </w:p>
        </w:tc>
        <w:tc>
          <w:tcPr>
            <w:tcW w:w="920" w:type="pct"/>
            <w:vAlign w:val="center"/>
          </w:tcPr>
          <w:p w14:paraId="2A5C43B9">
            <w:pPr>
              <w:jc w:val="center"/>
              <w:rPr>
                <w:rFonts w:hint="eastAsia" w:ascii="宋体" w:hAnsi="宋体" w:eastAsia="宋体"/>
                <w:sz w:val="24"/>
                <w:highlight w:val="none"/>
              </w:rPr>
            </w:pPr>
          </w:p>
        </w:tc>
      </w:tr>
      <w:tr w14:paraId="10E7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57C2B92E">
            <w:pPr>
              <w:jc w:val="center"/>
              <w:rPr>
                <w:rFonts w:hint="eastAsia" w:ascii="宋体" w:hAnsi="宋体" w:eastAsia="宋体"/>
                <w:sz w:val="24"/>
                <w:highlight w:val="none"/>
              </w:rPr>
            </w:pPr>
            <w:r>
              <w:rPr>
                <w:rFonts w:hint="eastAsia" w:ascii="宋体" w:hAnsi="宋体" w:eastAsia="宋体"/>
                <w:b/>
                <w:sz w:val="24"/>
                <w:highlight w:val="none"/>
              </w:rPr>
              <w:t>合计金额（元）</w:t>
            </w:r>
          </w:p>
        </w:tc>
        <w:tc>
          <w:tcPr>
            <w:tcW w:w="920" w:type="pct"/>
            <w:vAlign w:val="center"/>
          </w:tcPr>
          <w:p w14:paraId="6446F310">
            <w:pPr>
              <w:jc w:val="center"/>
              <w:rPr>
                <w:rFonts w:hint="eastAsia" w:ascii="宋体" w:hAnsi="宋体" w:eastAsia="宋体"/>
                <w:sz w:val="24"/>
                <w:highlight w:val="none"/>
              </w:rPr>
            </w:pPr>
          </w:p>
        </w:tc>
      </w:tr>
    </w:tbl>
    <w:p w14:paraId="1DC39F3B">
      <w:pPr>
        <w:spacing w:line="360" w:lineRule="auto"/>
        <w:ind w:firstLine="4800" w:firstLineChars="2000"/>
        <w:rPr>
          <w:rFonts w:hint="eastAsia" w:ascii="宋体" w:hAnsi="宋体" w:eastAsia="宋体"/>
          <w:sz w:val="24"/>
          <w:highlight w:val="none"/>
        </w:rPr>
      </w:pPr>
      <w:r>
        <w:rPr>
          <w:rFonts w:hint="eastAsia" w:ascii="宋体" w:hAnsi="宋体" w:eastAsia="宋体"/>
          <w:sz w:val="24"/>
          <w:highlight w:val="none"/>
        </w:rPr>
        <w:t>供应商电子签章：</w:t>
      </w:r>
      <w:r>
        <w:rPr>
          <w:rFonts w:hint="eastAsia" w:ascii="宋体" w:hAnsi="宋体" w:eastAsia="宋体"/>
          <w:sz w:val="24"/>
          <w:highlight w:val="none"/>
          <w:u w:val="single"/>
        </w:rPr>
        <w:t xml:space="preserve">             </w:t>
      </w:r>
    </w:p>
    <w:p w14:paraId="74C050FA">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10EF9004">
      <w:pPr>
        <w:adjustRightInd w:val="0"/>
        <w:snapToGrid w:val="0"/>
        <w:spacing w:line="360" w:lineRule="auto"/>
        <w:rPr>
          <w:rFonts w:hint="eastAsia" w:ascii="宋体" w:hAnsi="宋体" w:eastAsia="宋体"/>
          <w:b/>
          <w:bCs/>
          <w:sz w:val="24"/>
          <w:szCs w:val="28"/>
          <w:highlight w:val="none"/>
        </w:rPr>
      </w:pPr>
      <w:r>
        <w:rPr>
          <w:rFonts w:hint="eastAsia" w:ascii="宋体" w:hAnsi="宋体" w:eastAsia="宋体"/>
          <w:b/>
          <w:bCs/>
          <w:sz w:val="24"/>
          <w:szCs w:val="28"/>
          <w:highlight w:val="none"/>
        </w:rPr>
        <w:t>注：</w:t>
      </w:r>
    </w:p>
    <w:p w14:paraId="5174B368">
      <w:pPr>
        <w:adjustRightInd w:val="0"/>
        <w:snapToGrid w:val="0"/>
        <w:spacing w:line="360" w:lineRule="auto"/>
        <w:ind w:firstLine="482" w:firstLineChars="200"/>
        <w:rPr>
          <w:rFonts w:hint="eastAsia" w:ascii="宋体" w:hAnsi="宋体" w:eastAsia="宋体"/>
          <w:b/>
          <w:bCs/>
          <w:sz w:val="24"/>
          <w:szCs w:val="28"/>
          <w:highlight w:val="none"/>
        </w:rPr>
      </w:pPr>
      <w:r>
        <w:rPr>
          <w:rFonts w:hint="eastAsia" w:ascii="宋体" w:hAnsi="宋体" w:eastAsia="宋体"/>
          <w:b/>
          <w:bCs/>
          <w:sz w:val="24"/>
          <w:szCs w:val="28"/>
          <w:highlight w:val="none"/>
        </w:rPr>
        <w:t>表中所列服务为对应本项目需求的全部服务内容。如有漏项或缺项，供应商承担全部责任。</w:t>
      </w:r>
    </w:p>
    <w:p w14:paraId="05138157">
      <w:pPr>
        <w:widowControl/>
        <w:jc w:val="left"/>
        <w:rPr>
          <w:rFonts w:hint="eastAsia" w:ascii="宋体" w:hAnsi="宋体" w:eastAsia="宋体"/>
          <w:b/>
          <w:bCs/>
          <w:sz w:val="24"/>
          <w:szCs w:val="28"/>
          <w:highlight w:val="none"/>
        </w:rPr>
      </w:pPr>
      <w:r>
        <w:rPr>
          <w:rFonts w:ascii="宋体" w:hAnsi="宋体" w:eastAsia="宋体"/>
          <w:b/>
          <w:bCs/>
          <w:sz w:val="24"/>
          <w:szCs w:val="28"/>
          <w:highlight w:val="none"/>
        </w:rPr>
        <w:br w:type="page"/>
      </w:r>
    </w:p>
    <w:p w14:paraId="1FE83015">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color w:val="auto"/>
          <w:sz w:val="24"/>
          <w:highlight w:val="none"/>
        </w:rPr>
      </w:pPr>
      <w:bookmarkStart w:id="196" w:name="_Toc461056632"/>
      <w:bookmarkStart w:id="197" w:name="_Toc461053087"/>
      <w:bookmarkStart w:id="198" w:name="_Toc520983588"/>
      <w:bookmarkStart w:id="199" w:name="_Toc32436"/>
      <w:bookmarkStart w:id="200" w:name="_Toc28695"/>
      <w:r>
        <w:rPr>
          <w:rFonts w:hint="eastAsia" w:asciiTheme="minorEastAsia" w:hAnsiTheme="minorEastAsia" w:eastAsiaTheme="minorEastAsia"/>
          <w:b/>
          <w:color w:val="auto"/>
          <w:sz w:val="24"/>
          <w:highlight w:val="none"/>
        </w:rPr>
        <w:t>二</w:t>
      </w:r>
      <w:bookmarkEnd w:id="196"/>
      <w:bookmarkEnd w:id="197"/>
      <w:r>
        <w:rPr>
          <w:rFonts w:hint="eastAsia" w:asciiTheme="minorEastAsia" w:hAnsiTheme="minorEastAsia" w:eastAsiaTheme="minorEastAsia"/>
          <w:b/>
          <w:color w:val="auto"/>
          <w:sz w:val="24"/>
          <w:highlight w:val="none"/>
        </w:rPr>
        <w:t>、最后承诺报价表</w:t>
      </w:r>
      <w:bookmarkEnd w:id="198"/>
      <w:bookmarkEnd w:id="199"/>
      <w:bookmarkEnd w:id="200"/>
    </w:p>
    <w:p w14:paraId="6406E3F9">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54F89C98">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53EBF9E8">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7"/>
      </w:tblGrid>
      <w:tr w14:paraId="5F4C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FB746A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04C5D0D0">
            <w:pPr>
              <w:spacing w:line="360" w:lineRule="auto"/>
              <w:rPr>
                <w:rFonts w:ascii="宋体" w:hAnsi="宋体" w:eastAsia="宋体"/>
                <w:b/>
                <w:color w:val="auto"/>
                <w:sz w:val="24"/>
                <w:highlight w:val="none"/>
              </w:rPr>
            </w:pPr>
          </w:p>
        </w:tc>
      </w:tr>
      <w:tr w14:paraId="75BC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5481CEC">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02D63E9B">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6E4F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00FFA4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63B13AC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72DAAF97">
            <w:pPr>
              <w:snapToGrid w:val="0"/>
              <w:spacing w:line="360" w:lineRule="auto"/>
              <w:rPr>
                <w:rFonts w:ascii="宋体" w:hAnsi="宋体" w:eastAsia="宋体"/>
                <w:color w:val="auto"/>
                <w:sz w:val="24"/>
                <w:szCs w:val="28"/>
                <w:highlight w:val="none"/>
              </w:rPr>
            </w:pPr>
          </w:p>
          <w:p w14:paraId="5E859A77">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067EAD8">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7671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4E0E8E7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04CB9E59">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1D99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3B5EE217">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4E1052C1">
            <w:pPr>
              <w:spacing w:line="360" w:lineRule="auto"/>
              <w:rPr>
                <w:rFonts w:ascii="宋体" w:hAnsi="宋体" w:eastAsia="宋体"/>
                <w:b/>
                <w:color w:val="auto"/>
                <w:sz w:val="24"/>
                <w:highlight w:val="none"/>
              </w:rPr>
            </w:pPr>
          </w:p>
        </w:tc>
      </w:tr>
    </w:tbl>
    <w:p w14:paraId="5C9D49C4">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1C22B33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4AB2CBC">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3365380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val="0"/>
          <w:bCs w:val="0"/>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w:t>
      </w:r>
      <w:r>
        <w:rPr>
          <w:rFonts w:hint="eastAsia" w:ascii="宋体" w:hAnsi="宋体" w:eastAsia="宋体"/>
          <w:b w:val="0"/>
          <w:bCs w:val="0"/>
          <w:color w:val="auto"/>
          <w:sz w:val="24"/>
          <w:highlight w:val="none"/>
        </w:rPr>
        <w:t>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0DDED8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2</w:t>
      </w:r>
      <w:r>
        <w:rPr>
          <w:rFonts w:hint="eastAsia" w:ascii="宋体" w:hAnsi="宋体" w:eastAsia="宋体"/>
          <w:b/>
          <w:bCs/>
          <w:color w:val="auto"/>
          <w:sz w:val="24"/>
          <w:highlight w:val="none"/>
        </w:rPr>
        <w:t>.表中大写金额与小写金额不一致的，以大写金额为准。</w:t>
      </w:r>
    </w:p>
    <w:p w14:paraId="4CDBBD08">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587176E5">
      <w:pPr>
        <w:spacing w:line="360" w:lineRule="auto"/>
        <w:jc w:val="center"/>
        <w:outlineLvl w:val="1"/>
        <w:rPr>
          <w:rFonts w:asciiTheme="minorEastAsia" w:hAnsiTheme="minorEastAsia" w:eastAsiaTheme="minorEastAsia"/>
          <w:b/>
          <w:color w:val="auto"/>
          <w:sz w:val="24"/>
          <w:highlight w:val="none"/>
        </w:rPr>
      </w:pPr>
      <w:bookmarkStart w:id="201" w:name="_Toc11500"/>
      <w:bookmarkStart w:id="202" w:name="_Toc520983591"/>
      <w:bookmarkStart w:id="203" w:name="_Toc32385"/>
      <w:r>
        <w:rPr>
          <w:rFonts w:hint="eastAsia" w:asciiTheme="minorEastAsia" w:hAnsiTheme="minorEastAsia" w:eastAsiaTheme="minorEastAsia"/>
          <w:b/>
          <w:color w:val="auto"/>
          <w:sz w:val="24"/>
          <w:highlight w:val="none"/>
        </w:rPr>
        <w:t>三、磋商响应函</w:t>
      </w:r>
      <w:bookmarkEnd w:id="201"/>
      <w:bookmarkEnd w:id="202"/>
      <w:bookmarkEnd w:id="203"/>
    </w:p>
    <w:p w14:paraId="21019DAB">
      <w:pPr>
        <w:pStyle w:val="17"/>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675A8BD8">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204" w:name="_Hlk44287543"/>
      <w:r>
        <w:rPr>
          <w:rFonts w:hint="eastAsia" w:ascii="宋体" w:hAnsi="宋体" w:eastAsia="宋体"/>
          <w:color w:val="auto"/>
          <w:sz w:val="24"/>
          <w:highlight w:val="none"/>
        </w:rPr>
        <w:t>竞争性磋商公告和磋商邀请</w:t>
      </w:r>
      <w:bookmarkEnd w:id="204"/>
      <w:r>
        <w:rPr>
          <w:rFonts w:hint="eastAsia" w:ascii="宋体" w:hAnsi="宋体" w:eastAsia="宋体"/>
          <w:color w:val="auto"/>
          <w:sz w:val="24"/>
          <w:highlight w:val="none"/>
        </w:rPr>
        <w:t>，我方兹宣布同意如下：</w:t>
      </w:r>
    </w:p>
    <w:p w14:paraId="1EE21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228036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1F7CFD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040D90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55E74E08">
      <w:pPr>
        <w:spacing w:line="360" w:lineRule="auto"/>
        <w:ind w:firstLine="480" w:firstLineChars="200"/>
        <w:rPr>
          <w:rFonts w:ascii="宋体" w:hAnsi="宋体" w:eastAsia="宋体"/>
          <w:color w:val="auto"/>
          <w:sz w:val="24"/>
          <w:highlight w:val="none"/>
        </w:rPr>
      </w:pPr>
    </w:p>
    <w:p w14:paraId="22DAFD13">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6088C4D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2CA3F0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C789A8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05" w:name="_Toc21328"/>
      <w:r>
        <w:rPr>
          <w:rFonts w:hint="eastAsia" w:asciiTheme="minorEastAsia" w:hAnsiTheme="minorEastAsia" w:eastAsiaTheme="minorEastAsia"/>
          <w:b/>
          <w:color w:val="auto"/>
          <w:sz w:val="24"/>
          <w:highlight w:val="none"/>
          <w:lang w:val="en-US" w:eastAsia="zh-CN"/>
        </w:rPr>
        <w:t>四、供应商资格声明书</w:t>
      </w:r>
      <w:bookmarkEnd w:id="205"/>
    </w:p>
    <w:p w14:paraId="722D3C7E">
      <w:pPr>
        <w:pStyle w:val="17"/>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采购人</w:t>
      </w:r>
    </w:p>
    <w:p w14:paraId="7C7D2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4EF002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68E6B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44A44C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01A425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8764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CCEE8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24F9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23A5E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4501" w:type="dxa"/>
          </w:tcPr>
          <w:p w14:paraId="0A023C34">
            <w:pPr>
              <w:pStyle w:val="14"/>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681" w:type="dxa"/>
          </w:tcPr>
          <w:p w14:paraId="09BBB59B">
            <w:pPr>
              <w:pStyle w:val="14"/>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5348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32A9266">
            <w:pPr>
              <w:pStyle w:val="14"/>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4501" w:type="dxa"/>
          </w:tcPr>
          <w:p w14:paraId="124BDD44">
            <w:pPr>
              <w:pStyle w:val="14"/>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6B8DE227">
            <w:pPr>
              <w:pStyle w:val="14"/>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067F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40427E3">
            <w:pPr>
              <w:pStyle w:val="14"/>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4501" w:type="dxa"/>
          </w:tcPr>
          <w:p w14:paraId="0900AE6D">
            <w:pPr>
              <w:pStyle w:val="14"/>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63A38F41">
            <w:pPr>
              <w:pStyle w:val="14"/>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40E51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7A6BBE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7784C0E">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ECD5AD6">
      <w:pPr>
        <w:spacing w:line="440" w:lineRule="exact"/>
        <w:ind w:firstLine="4800" w:firstLineChars="2000"/>
        <w:rPr>
          <w:rFonts w:ascii="宋体" w:hAnsi="宋体" w:eastAsia="宋体"/>
          <w:color w:val="auto"/>
          <w:sz w:val="24"/>
          <w:szCs w:val="24"/>
          <w:highlight w:val="none"/>
          <w:u w:val="single"/>
        </w:rPr>
      </w:pPr>
    </w:p>
    <w:p w14:paraId="1E8743C5">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3F2AC9F7">
      <w:pPr>
        <w:spacing w:line="360" w:lineRule="auto"/>
        <w:jc w:val="center"/>
        <w:outlineLvl w:val="1"/>
        <w:rPr>
          <w:rFonts w:asciiTheme="minorEastAsia" w:hAnsiTheme="minorEastAsia" w:eastAsiaTheme="minorEastAsia"/>
          <w:b/>
          <w:color w:val="auto"/>
          <w:sz w:val="24"/>
          <w:highlight w:val="none"/>
        </w:rPr>
      </w:pPr>
      <w:bookmarkStart w:id="206" w:name="_Toc26922"/>
      <w:bookmarkStart w:id="207" w:name="_Toc31518"/>
      <w:bookmarkStart w:id="208" w:name="_Toc121626298"/>
      <w:bookmarkStart w:id="209" w:name="_Toc516969106"/>
      <w:bookmarkStart w:id="210" w:name="_Toc204594911"/>
      <w:bookmarkStart w:id="211" w:name="_Toc520983594"/>
      <w:r>
        <w:rPr>
          <w:rFonts w:hint="eastAsia" w:asciiTheme="minorEastAsia" w:hAnsiTheme="minorEastAsia" w:eastAsiaTheme="minorEastAsia"/>
          <w:b/>
          <w:color w:val="auto"/>
          <w:sz w:val="24"/>
          <w:highlight w:val="none"/>
        </w:rPr>
        <w:t>五、授权书</w:t>
      </w:r>
      <w:bookmarkEnd w:id="206"/>
      <w:bookmarkEnd w:id="207"/>
      <w:bookmarkEnd w:id="208"/>
      <w:bookmarkEnd w:id="209"/>
      <w:bookmarkEnd w:id="210"/>
      <w:bookmarkEnd w:id="211"/>
    </w:p>
    <w:p w14:paraId="43210C10">
      <w:pPr>
        <w:spacing w:line="360" w:lineRule="auto"/>
        <w:jc w:val="center"/>
        <w:rPr>
          <w:rFonts w:asciiTheme="minorEastAsia" w:hAnsiTheme="minorEastAsia" w:eastAsiaTheme="minorEastAsia"/>
          <w:b/>
          <w:color w:val="auto"/>
          <w:sz w:val="24"/>
          <w:highlight w:val="none"/>
        </w:rPr>
      </w:pPr>
    </w:p>
    <w:p w14:paraId="5874F629">
      <w:pPr>
        <w:pStyle w:val="16"/>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DCD3194">
      <w:pPr>
        <w:pStyle w:val="16"/>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280F87C6">
      <w:pPr>
        <w:pStyle w:val="16"/>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1025310E">
      <w:pPr>
        <w:pStyle w:val="16"/>
        <w:snapToGrid w:val="0"/>
        <w:spacing w:line="360" w:lineRule="auto"/>
        <w:ind w:firstLine="480" w:firstLineChars="200"/>
        <w:jc w:val="left"/>
        <w:rPr>
          <w:rFonts w:hAnsi="宋体" w:eastAsia="宋体"/>
          <w:color w:val="auto"/>
          <w:sz w:val="24"/>
          <w:highlight w:val="none"/>
        </w:rPr>
      </w:pPr>
    </w:p>
    <w:p w14:paraId="54BB87F8">
      <w:pPr>
        <w:pStyle w:val="16"/>
        <w:snapToGrid w:val="0"/>
        <w:spacing w:line="360" w:lineRule="auto"/>
        <w:ind w:firstLine="480" w:firstLineChars="200"/>
        <w:jc w:val="left"/>
        <w:rPr>
          <w:rFonts w:hAnsi="宋体" w:eastAsia="宋体"/>
          <w:color w:val="auto"/>
          <w:sz w:val="24"/>
          <w:highlight w:val="none"/>
        </w:rPr>
      </w:pPr>
    </w:p>
    <w:p w14:paraId="5146BC03">
      <w:pPr>
        <w:pStyle w:val="16"/>
        <w:snapToGrid w:val="0"/>
        <w:spacing w:line="360" w:lineRule="auto"/>
        <w:ind w:firstLine="480" w:firstLineChars="200"/>
        <w:jc w:val="left"/>
        <w:rPr>
          <w:rFonts w:hAnsi="宋体" w:eastAsia="宋体"/>
          <w:color w:val="auto"/>
          <w:sz w:val="24"/>
          <w:highlight w:val="none"/>
        </w:rPr>
      </w:pPr>
    </w:p>
    <w:p w14:paraId="3B1E74AA">
      <w:pPr>
        <w:pStyle w:val="16"/>
        <w:snapToGrid w:val="0"/>
        <w:spacing w:line="360" w:lineRule="auto"/>
        <w:ind w:firstLine="480" w:firstLineChars="200"/>
        <w:jc w:val="left"/>
        <w:rPr>
          <w:rFonts w:hAnsi="宋体" w:eastAsia="宋体"/>
          <w:color w:val="auto"/>
          <w:sz w:val="24"/>
          <w:highlight w:val="none"/>
        </w:rPr>
      </w:pPr>
    </w:p>
    <w:p w14:paraId="0F14A851">
      <w:pPr>
        <w:pStyle w:val="16"/>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DC9B3BB">
      <w:pPr>
        <w:pStyle w:val="16"/>
        <w:snapToGrid w:val="0"/>
        <w:spacing w:line="360" w:lineRule="auto"/>
        <w:ind w:firstLine="480" w:firstLineChars="200"/>
        <w:jc w:val="left"/>
        <w:rPr>
          <w:rFonts w:hAnsi="宋体" w:eastAsia="宋体"/>
          <w:color w:val="auto"/>
          <w:sz w:val="24"/>
          <w:szCs w:val="28"/>
          <w:highlight w:val="none"/>
        </w:rPr>
      </w:pPr>
    </w:p>
    <w:p w14:paraId="7884E3EC">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0C8DFC4F">
      <w:pPr>
        <w:spacing w:line="360" w:lineRule="auto"/>
        <w:rPr>
          <w:rFonts w:ascii="宋体" w:hAnsi="宋体" w:eastAsia="宋体"/>
          <w:color w:val="auto"/>
          <w:sz w:val="24"/>
          <w:szCs w:val="28"/>
          <w:highlight w:val="none"/>
        </w:rPr>
      </w:pPr>
    </w:p>
    <w:p w14:paraId="0EA3F5A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21160F5">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AEDF0A3">
      <w:pPr>
        <w:spacing w:line="360" w:lineRule="auto"/>
        <w:rPr>
          <w:rFonts w:ascii="宋体" w:hAnsi="宋体" w:eastAsia="宋体"/>
          <w:color w:val="auto"/>
          <w:sz w:val="24"/>
          <w:szCs w:val="28"/>
          <w:highlight w:val="none"/>
        </w:rPr>
      </w:pPr>
    </w:p>
    <w:p w14:paraId="6F272CFC">
      <w:pPr>
        <w:spacing w:line="360" w:lineRule="auto"/>
        <w:rPr>
          <w:rFonts w:ascii="宋体" w:hAnsi="宋体" w:eastAsia="宋体"/>
          <w:color w:val="auto"/>
          <w:sz w:val="24"/>
          <w:szCs w:val="28"/>
          <w:highlight w:val="none"/>
        </w:rPr>
      </w:pPr>
    </w:p>
    <w:p w14:paraId="0FD96122">
      <w:pPr>
        <w:pStyle w:val="1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37F1B3B">
      <w:pPr>
        <w:pStyle w:val="1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7763861F">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78BAA07">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0302A4B">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212" w:name="_Toc22233"/>
      <w:bookmarkStart w:id="213" w:name="_Toc28033"/>
      <w:r>
        <w:rPr>
          <w:rFonts w:hint="eastAsia" w:asciiTheme="minorEastAsia" w:hAnsiTheme="minorEastAsia" w:eastAsiaTheme="minorEastAsia"/>
          <w:b/>
          <w:color w:val="auto"/>
          <w:sz w:val="24"/>
          <w:highlight w:val="none"/>
        </w:rPr>
        <w:t>六、</w:t>
      </w:r>
      <w:r>
        <w:rPr>
          <w:rFonts w:hint="eastAsia" w:ascii="宋体" w:hAnsi="宋体" w:eastAsia="宋体" w:cs="宋体"/>
          <w:b/>
          <w:bCs w:val="0"/>
          <w:color w:val="auto"/>
          <w:kern w:val="2"/>
          <w:sz w:val="24"/>
          <w:szCs w:val="24"/>
          <w:highlight w:val="none"/>
          <w:lang w:val="en-US" w:eastAsia="zh-CN" w:bidi="ar"/>
        </w:rPr>
        <w:t>诚信响应承诺书</w:t>
      </w:r>
    </w:p>
    <w:p w14:paraId="702EA1CB">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2975AA4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项目的磋商响应，所提供的一切材料都是真实、有效、合法的；</w:t>
      </w:r>
    </w:p>
    <w:p w14:paraId="124BED8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7ACB8C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三、不出借、转让资质证书，不让他人挂靠投标，不以他人名义投标或者以其他方式弄虚作假，骗取成交；</w:t>
      </w:r>
    </w:p>
    <w:p w14:paraId="57720F70">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60D6729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760D3958">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供应商所属分公司、办事处等分支机构有上述1-7项信誉要求，在此一并承诺我公司所属分公司、办事处等分支机构没有上述1-7项情形）</w:t>
      </w:r>
    </w:p>
    <w:p w14:paraId="4DB2F6AD">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3D50524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197566B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522A7A6C">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19804EB2">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81BC3F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投标或者中标（成交）资格、中标（成交）无效、记入不良行为记录等有关处理，愿意承担法律责任，给采购人人造成损失的，依法承担赔偿责任。</w:t>
      </w:r>
    </w:p>
    <w:p w14:paraId="76B16BA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3D7EF8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C5555D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基本账户：</w:t>
      </w:r>
    </w:p>
    <w:p w14:paraId="50F7F3DC">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供应商（签章）：                 法定代表人（签章）：</w:t>
      </w:r>
    </w:p>
    <w:p w14:paraId="558C14D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F8C4E1D">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4155451B">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67A98BF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p>
    <w:p w14:paraId="55FC2B0F">
      <w:pPr>
        <w:spacing w:line="360" w:lineRule="auto"/>
        <w:jc w:val="center"/>
        <w:outlineLvl w:val="1"/>
        <w:rPr>
          <w:rFonts w:hint="eastAsia" w:asciiTheme="minorEastAsia" w:hAnsiTheme="minorEastAsia" w:eastAsiaTheme="minorEastAsia"/>
          <w:b/>
          <w:color w:val="auto"/>
          <w:sz w:val="24"/>
          <w:highlight w:val="none"/>
        </w:rPr>
      </w:pPr>
    </w:p>
    <w:p w14:paraId="2200FB4F">
      <w:pPr>
        <w:spacing w:line="360" w:lineRule="auto"/>
        <w:jc w:val="center"/>
        <w:outlineLvl w:val="1"/>
        <w:rPr>
          <w:rFonts w:hint="eastAsia" w:asciiTheme="minorEastAsia" w:hAnsiTheme="minorEastAsia" w:eastAsiaTheme="minorEastAsia"/>
          <w:b/>
          <w:color w:val="auto"/>
          <w:sz w:val="24"/>
          <w:highlight w:val="none"/>
        </w:rPr>
      </w:pPr>
    </w:p>
    <w:p w14:paraId="3C612A6E">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AB8E0F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七、磋商</w:t>
      </w:r>
      <w:r>
        <w:rPr>
          <w:rFonts w:hint="eastAsia" w:asciiTheme="minorEastAsia" w:hAnsiTheme="minorEastAsia" w:eastAsiaTheme="minorEastAsia"/>
          <w:b/>
          <w:color w:val="auto"/>
          <w:sz w:val="24"/>
          <w:highlight w:val="none"/>
        </w:rPr>
        <w:t>响应表</w:t>
      </w:r>
      <w:bookmarkEnd w:id="212"/>
      <w:bookmarkEnd w:id="213"/>
    </w:p>
    <w:p w14:paraId="3041E91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7763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7156D61">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5BBBFC6">
            <w:pPr>
              <w:pStyle w:val="16"/>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E459604">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510" w:type="pct"/>
            <w:vAlign w:val="center"/>
          </w:tcPr>
          <w:p w14:paraId="40887B3C">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7CB02072">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784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5BA6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66E0861">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6B8F7">
            <w:pPr>
              <w:jc w:val="center"/>
              <w:rPr>
                <w:rFonts w:asciiTheme="minorEastAsia" w:hAnsiTheme="minorEastAsia" w:eastAsiaTheme="minorEastAsia"/>
                <w:color w:val="auto"/>
                <w:sz w:val="24"/>
                <w:highlight w:val="none"/>
              </w:rPr>
            </w:pPr>
          </w:p>
        </w:tc>
        <w:tc>
          <w:tcPr>
            <w:tcW w:w="1510" w:type="pct"/>
            <w:vAlign w:val="center"/>
          </w:tcPr>
          <w:p w14:paraId="14256C1B">
            <w:pPr>
              <w:jc w:val="center"/>
              <w:rPr>
                <w:rFonts w:asciiTheme="minorEastAsia" w:hAnsiTheme="minorEastAsia" w:eastAsiaTheme="minorEastAsia"/>
                <w:color w:val="auto"/>
                <w:sz w:val="24"/>
                <w:highlight w:val="none"/>
              </w:rPr>
            </w:pPr>
          </w:p>
        </w:tc>
        <w:tc>
          <w:tcPr>
            <w:tcW w:w="475" w:type="pct"/>
            <w:vAlign w:val="center"/>
          </w:tcPr>
          <w:p w14:paraId="0BE24828">
            <w:pPr>
              <w:jc w:val="center"/>
              <w:rPr>
                <w:rFonts w:asciiTheme="minorEastAsia" w:hAnsiTheme="minorEastAsia" w:eastAsiaTheme="minorEastAsia"/>
                <w:color w:val="auto"/>
                <w:sz w:val="24"/>
                <w:highlight w:val="none"/>
              </w:rPr>
            </w:pPr>
          </w:p>
        </w:tc>
      </w:tr>
      <w:tr w14:paraId="7B1C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46BAD7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76C60A02">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4D0A1964">
            <w:pPr>
              <w:jc w:val="center"/>
              <w:rPr>
                <w:rFonts w:asciiTheme="minorEastAsia" w:hAnsiTheme="minorEastAsia" w:eastAsiaTheme="minorEastAsia"/>
                <w:color w:val="auto"/>
                <w:sz w:val="24"/>
                <w:highlight w:val="none"/>
              </w:rPr>
            </w:pPr>
          </w:p>
        </w:tc>
        <w:tc>
          <w:tcPr>
            <w:tcW w:w="1510" w:type="pct"/>
            <w:vAlign w:val="center"/>
          </w:tcPr>
          <w:p w14:paraId="70D88132">
            <w:pPr>
              <w:jc w:val="center"/>
              <w:rPr>
                <w:rFonts w:asciiTheme="minorEastAsia" w:hAnsiTheme="minorEastAsia" w:eastAsiaTheme="minorEastAsia"/>
                <w:color w:val="auto"/>
                <w:sz w:val="24"/>
                <w:highlight w:val="none"/>
              </w:rPr>
            </w:pPr>
          </w:p>
        </w:tc>
        <w:tc>
          <w:tcPr>
            <w:tcW w:w="475" w:type="pct"/>
            <w:vAlign w:val="center"/>
          </w:tcPr>
          <w:p w14:paraId="2F433C00">
            <w:pPr>
              <w:jc w:val="center"/>
              <w:rPr>
                <w:rFonts w:asciiTheme="minorEastAsia" w:hAnsiTheme="minorEastAsia" w:eastAsiaTheme="minorEastAsia"/>
                <w:color w:val="auto"/>
                <w:sz w:val="24"/>
                <w:highlight w:val="none"/>
              </w:rPr>
            </w:pPr>
          </w:p>
        </w:tc>
      </w:tr>
      <w:tr w14:paraId="7D92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49CB3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C381868">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3B853C4B">
            <w:pPr>
              <w:jc w:val="center"/>
              <w:rPr>
                <w:rFonts w:asciiTheme="minorEastAsia" w:hAnsiTheme="minorEastAsia" w:eastAsiaTheme="minorEastAsia"/>
                <w:color w:val="auto"/>
                <w:sz w:val="24"/>
                <w:highlight w:val="none"/>
              </w:rPr>
            </w:pPr>
          </w:p>
        </w:tc>
        <w:tc>
          <w:tcPr>
            <w:tcW w:w="1510" w:type="pct"/>
            <w:vAlign w:val="center"/>
          </w:tcPr>
          <w:p w14:paraId="3F404322">
            <w:pPr>
              <w:pStyle w:val="54"/>
              <w:jc w:val="center"/>
              <w:rPr>
                <w:rFonts w:asciiTheme="minorEastAsia" w:hAnsiTheme="minorEastAsia" w:eastAsiaTheme="minorEastAsia"/>
                <w:color w:val="auto"/>
                <w:highlight w:val="none"/>
              </w:rPr>
            </w:pPr>
          </w:p>
        </w:tc>
        <w:tc>
          <w:tcPr>
            <w:tcW w:w="475" w:type="pct"/>
            <w:vAlign w:val="center"/>
          </w:tcPr>
          <w:p w14:paraId="713F1D69">
            <w:pPr>
              <w:jc w:val="center"/>
              <w:rPr>
                <w:rFonts w:asciiTheme="minorEastAsia" w:hAnsiTheme="minorEastAsia" w:eastAsiaTheme="minorEastAsia"/>
                <w:color w:val="auto"/>
                <w:sz w:val="24"/>
                <w:highlight w:val="none"/>
              </w:rPr>
            </w:pPr>
          </w:p>
        </w:tc>
      </w:tr>
      <w:tr w14:paraId="2275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D35FD05">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w:t>
            </w:r>
          </w:p>
        </w:tc>
        <w:tc>
          <w:tcPr>
            <w:tcW w:w="1124" w:type="pct"/>
            <w:vAlign w:val="center"/>
          </w:tcPr>
          <w:p w14:paraId="6AABE9D4">
            <w:pPr>
              <w:jc w:val="center"/>
              <w:rPr>
                <w:rFonts w:ascii="宋体" w:hAnsi="宋体" w:eastAsia="宋体"/>
                <w:color w:val="auto"/>
                <w:sz w:val="24"/>
                <w:highlight w:val="none"/>
              </w:rPr>
            </w:pPr>
          </w:p>
        </w:tc>
        <w:tc>
          <w:tcPr>
            <w:tcW w:w="1465" w:type="pct"/>
            <w:vAlign w:val="center"/>
          </w:tcPr>
          <w:p w14:paraId="4E0A9136">
            <w:pPr>
              <w:jc w:val="center"/>
              <w:rPr>
                <w:rFonts w:asciiTheme="minorEastAsia" w:hAnsiTheme="minorEastAsia" w:eastAsiaTheme="minorEastAsia"/>
                <w:color w:val="auto"/>
                <w:sz w:val="24"/>
                <w:highlight w:val="none"/>
              </w:rPr>
            </w:pPr>
          </w:p>
        </w:tc>
        <w:tc>
          <w:tcPr>
            <w:tcW w:w="1510" w:type="pct"/>
            <w:vAlign w:val="center"/>
          </w:tcPr>
          <w:p w14:paraId="0F3BC6C2">
            <w:pPr>
              <w:jc w:val="center"/>
              <w:rPr>
                <w:rFonts w:asciiTheme="minorEastAsia" w:hAnsiTheme="minorEastAsia" w:eastAsiaTheme="minorEastAsia"/>
                <w:color w:val="auto"/>
                <w:sz w:val="24"/>
                <w:highlight w:val="none"/>
              </w:rPr>
            </w:pPr>
          </w:p>
        </w:tc>
        <w:tc>
          <w:tcPr>
            <w:tcW w:w="475" w:type="pct"/>
            <w:vAlign w:val="center"/>
          </w:tcPr>
          <w:p w14:paraId="3ADD7683">
            <w:pPr>
              <w:jc w:val="center"/>
              <w:rPr>
                <w:rFonts w:asciiTheme="minorEastAsia" w:hAnsiTheme="minorEastAsia" w:eastAsiaTheme="minorEastAsia"/>
                <w:color w:val="auto"/>
                <w:sz w:val="24"/>
                <w:highlight w:val="none"/>
              </w:rPr>
            </w:pPr>
          </w:p>
        </w:tc>
      </w:tr>
    </w:tbl>
    <w:p w14:paraId="4B933A44">
      <w:pPr>
        <w:spacing w:line="360" w:lineRule="auto"/>
        <w:ind w:firstLine="4800" w:firstLineChars="2000"/>
        <w:rPr>
          <w:rFonts w:hint="eastAsia" w:ascii="宋体" w:hAnsi="宋体" w:eastAsia="宋体"/>
          <w:color w:val="auto"/>
          <w:sz w:val="24"/>
          <w:highlight w:val="none"/>
          <w:lang w:val="en-US" w:eastAsia="zh-CN"/>
        </w:rPr>
      </w:pPr>
    </w:p>
    <w:p w14:paraId="736E655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CA6EC5B">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25E8E4E">
      <w:pPr>
        <w:pStyle w:val="17"/>
        <w:spacing w:line="360" w:lineRule="auto"/>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p>
    <w:p w14:paraId="101450E1">
      <w:pPr>
        <w:spacing w:line="360" w:lineRule="auto"/>
        <w:jc w:val="center"/>
        <w:outlineLvl w:val="1"/>
        <w:rPr>
          <w:rFonts w:asciiTheme="minorEastAsia" w:hAnsiTheme="minorEastAsia" w:eastAsiaTheme="minorEastAsia"/>
          <w:b/>
          <w:color w:val="auto"/>
          <w:sz w:val="24"/>
          <w:highlight w:val="none"/>
        </w:rPr>
      </w:pPr>
      <w:bookmarkStart w:id="214" w:name="_Toc29455"/>
      <w:bookmarkStart w:id="215" w:name="_Toc11260"/>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214"/>
      <w:bookmarkEnd w:id="215"/>
      <w:bookmarkStart w:id="216" w:name="_Toc6445"/>
      <w:bookmarkStart w:id="217" w:name="_Toc17888"/>
      <w:bookmarkStart w:id="218" w:name="_Hlk60608597"/>
      <w:r>
        <w:rPr>
          <w:rFonts w:hint="eastAsia" w:asciiTheme="minorEastAsia" w:hAnsiTheme="minorEastAsia" w:eastAsiaTheme="minorEastAsia"/>
          <w:b/>
          <w:color w:val="auto"/>
          <w:sz w:val="24"/>
          <w:highlight w:val="none"/>
        </w:rPr>
        <w:t>中小企业声明函</w:t>
      </w:r>
      <w:bookmarkEnd w:id="216"/>
      <w:bookmarkEnd w:id="217"/>
    </w:p>
    <w:p w14:paraId="5FE5B7D3">
      <w:pPr>
        <w:pStyle w:val="14"/>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69899D7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3390C2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CE53F3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BD2568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751EA9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F4F8C1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8A98570">
      <w:pPr>
        <w:spacing w:line="360" w:lineRule="auto"/>
        <w:ind w:firstLine="435"/>
        <w:rPr>
          <w:rFonts w:asciiTheme="minorEastAsia" w:hAnsiTheme="minorEastAsia" w:eastAsiaTheme="minorEastAsia"/>
          <w:color w:val="auto"/>
          <w:sz w:val="24"/>
          <w:szCs w:val="24"/>
          <w:highlight w:val="none"/>
        </w:rPr>
      </w:pPr>
    </w:p>
    <w:p w14:paraId="1B3C8971">
      <w:pPr>
        <w:spacing w:line="360" w:lineRule="auto"/>
        <w:ind w:firstLine="435"/>
        <w:rPr>
          <w:rFonts w:asciiTheme="minorEastAsia" w:hAnsiTheme="minorEastAsia" w:eastAsiaTheme="minorEastAsia"/>
          <w:color w:val="auto"/>
          <w:sz w:val="24"/>
          <w:szCs w:val="24"/>
          <w:highlight w:val="none"/>
        </w:rPr>
      </w:pPr>
    </w:p>
    <w:p w14:paraId="401ED8C3">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AADDA5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AD8BFAA">
      <w:pPr>
        <w:tabs>
          <w:tab w:val="left" w:pos="4620"/>
        </w:tabs>
        <w:spacing w:line="360" w:lineRule="auto"/>
        <w:jc w:val="left"/>
        <w:rPr>
          <w:rFonts w:asciiTheme="minorEastAsia" w:hAnsiTheme="minorEastAsia" w:eastAsiaTheme="minorEastAsia"/>
          <w:color w:val="auto"/>
          <w:sz w:val="24"/>
          <w:szCs w:val="24"/>
          <w:highlight w:val="none"/>
        </w:rPr>
      </w:pPr>
    </w:p>
    <w:p w14:paraId="08E563D6">
      <w:pPr>
        <w:tabs>
          <w:tab w:val="left" w:pos="4620"/>
        </w:tabs>
        <w:spacing w:line="360" w:lineRule="auto"/>
        <w:jc w:val="left"/>
        <w:rPr>
          <w:rFonts w:asciiTheme="minorEastAsia" w:hAnsiTheme="minorEastAsia" w:eastAsiaTheme="minorEastAsia"/>
          <w:color w:val="auto"/>
          <w:sz w:val="24"/>
          <w:szCs w:val="24"/>
          <w:highlight w:val="none"/>
        </w:rPr>
      </w:pPr>
    </w:p>
    <w:p w14:paraId="389BBA50">
      <w:pPr>
        <w:tabs>
          <w:tab w:val="left" w:pos="4620"/>
        </w:tabs>
        <w:spacing w:line="360" w:lineRule="auto"/>
        <w:jc w:val="left"/>
        <w:rPr>
          <w:rFonts w:asciiTheme="minorEastAsia" w:hAnsiTheme="minorEastAsia" w:eastAsiaTheme="minorEastAsia"/>
          <w:color w:val="auto"/>
          <w:sz w:val="24"/>
          <w:szCs w:val="24"/>
          <w:highlight w:val="none"/>
        </w:rPr>
      </w:pPr>
    </w:p>
    <w:p w14:paraId="1CF28849">
      <w:pPr>
        <w:tabs>
          <w:tab w:val="left" w:pos="4620"/>
        </w:tabs>
        <w:spacing w:line="360" w:lineRule="auto"/>
        <w:jc w:val="left"/>
        <w:rPr>
          <w:rFonts w:asciiTheme="minorEastAsia" w:hAnsiTheme="minorEastAsia" w:eastAsiaTheme="minorEastAsia"/>
          <w:color w:val="auto"/>
          <w:sz w:val="24"/>
          <w:szCs w:val="24"/>
          <w:highlight w:val="none"/>
        </w:rPr>
      </w:pPr>
    </w:p>
    <w:bookmarkEnd w:id="218"/>
    <w:p w14:paraId="4A6467D2">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311D51F">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76F350D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094B4CD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74B8E68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2B0BF87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74DC5C9">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1410A09">
      <w:pPr>
        <w:spacing w:line="360" w:lineRule="auto"/>
        <w:jc w:val="center"/>
        <w:outlineLvl w:val="1"/>
        <w:rPr>
          <w:rFonts w:asciiTheme="minorEastAsia" w:hAnsiTheme="minorEastAsia" w:eastAsiaTheme="minorEastAsia"/>
          <w:b/>
          <w:color w:val="auto"/>
          <w:sz w:val="24"/>
          <w:highlight w:val="none"/>
        </w:rPr>
      </w:pPr>
      <w:bookmarkStart w:id="219" w:name="_Toc5908"/>
      <w:bookmarkStart w:id="220" w:name="_Toc17713"/>
      <w:bookmarkStart w:id="221" w:name="_Hlk60608725"/>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、残疾人福利性单位声明函</w:t>
      </w:r>
      <w:bookmarkEnd w:id="219"/>
      <w:bookmarkEnd w:id="220"/>
    </w:p>
    <w:p w14:paraId="7B42FE5D">
      <w:pPr>
        <w:pStyle w:val="14"/>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5FE4CD1C">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E1D68E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42880A1">
      <w:pPr>
        <w:spacing w:line="360" w:lineRule="auto"/>
        <w:ind w:firstLine="4228" w:firstLineChars="1762"/>
        <w:rPr>
          <w:rFonts w:asciiTheme="minorEastAsia" w:hAnsiTheme="minorEastAsia" w:eastAsiaTheme="minorEastAsia"/>
          <w:color w:val="auto"/>
          <w:sz w:val="24"/>
          <w:szCs w:val="24"/>
          <w:highlight w:val="none"/>
        </w:rPr>
      </w:pPr>
    </w:p>
    <w:p w14:paraId="03D6C101">
      <w:pPr>
        <w:spacing w:line="360" w:lineRule="auto"/>
        <w:ind w:firstLine="4228" w:firstLineChars="1762"/>
        <w:rPr>
          <w:rFonts w:asciiTheme="minorEastAsia" w:hAnsiTheme="minorEastAsia" w:eastAsiaTheme="minorEastAsia"/>
          <w:color w:val="auto"/>
          <w:sz w:val="24"/>
          <w:szCs w:val="24"/>
          <w:highlight w:val="none"/>
        </w:rPr>
      </w:pPr>
    </w:p>
    <w:p w14:paraId="5D5F68B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CAC802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21"/>
    <w:p w14:paraId="5C01525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48945A3">
      <w:pPr>
        <w:spacing w:line="360" w:lineRule="auto"/>
        <w:jc w:val="center"/>
        <w:outlineLvl w:val="1"/>
        <w:rPr>
          <w:rFonts w:asciiTheme="minorEastAsia" w:hAnsiTheme="minorEastAsia" w:eastAsiaTheme="minorEastAsia"/>
          <w:b/>
          <w:color w:val="auto"/>
          <w:sz w:val="24"/>
          <w:highlight w:val="none"/>
        </w:rPr>
      </w:pPr>
      <w:bookmarkStart w:id="222" w:name="_Toc20592"/>
      <w:bookmarkStart w:id="223" w:name="_Toc2278"/>
      <w:bookmarkStart w:id="224" w:name="_Hlk44283088"/>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、诚信履约承诺函</w:t>
      </w:r>
      <w:bookmarkEnd w:id="222"/>
      <w:bookmarkEnd w:id="223"/>
    </w:p>
    <w:p w14:paraId="1B67A09E">
      <w:pPr>
        <w:spacing w:line="360" w:lineRule="auto"/>
        <w:rPr>
          <w:rFonts w:asciiTheme="minorEastAsia" w:hAnsiTheme="minorEastAsia" w:eastAsiaTheme="minorEastAsia"/>
          <w:b/>
          <w:bCs/>
          <w:color w:val="auto"/>
          <w:sz w:val="24"/>
          <w:highlight w:val="none"/>
        </w:rPr>
      </w:pPr>
    </w:p>
    <w:p w14:paraId="7380133A">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采购人</w:t>
      </w:r>
    </w:p>
    <w:p w14:paraId="1C5CA96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6A10041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4BB654E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CF920F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12A480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29B429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0976D1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1189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本承诺声明：</w:t>
      </w:r>
      <w:r>
        <w:rPr>
          <w:rFonts w:hint="eastAsia" w:asciiTheme="minorEastAsia" w:hAnsiTheme="minorEastAsia" w:eastAsiaTheme="minorEastAsia"/>
          <w:bCs/>
          <w:color w:val="auto"/>
          <w:sz w:val="24"/>
          <w:highlight w:val="none"/>
          <w:u w:val="single"/>
        </w:rPr>
        <w:t xml:space="preserve">                   （供应商名称）</w:t>
      </w:r>
      <w:r>
        <w:rPr>
          <w:rFonts w:hint="eastAsia" w:asciiTheme="minorEastAsia" w:hAnsiTheme="minorEastAsia" w:eastAsiaTheme="minorEastAsia"/>
          <w:bCs/>
          <w:color w:val="auto"/>
          <w:sz w:val="24"/>
          <w:highlight w:val="none"/>
        </w:rPr>
        <w:t>对本</w:t>
      </w:r>
      <w:r>
        <w:rPr>
          <w:rFonts w:hint="eastAsia" w:asciiTheme="minorEastAsia" w:hAnsiTheme="minorEastAsia" w:eastAsiaTheme="minorEastAsia"/>
          <w:bCs/>
          <w:color w:val="auto"/>
          <w:sz w:val="24"/>
          <w:highlight w:val="none"/>
          <w:lang w:eastAsia="zh-CN"/>
        </w:rPr>
        <w:t>竞争性磋商文件</w:t>
      </w:r>
      <w:r>
        <w:rPr>
          <w:rFonts w:hint="eastAsia" w:asciiTheme="minorEastAsia" w:hAnsiTheme="minorEastAsia" w:eastAsiaTheme="minorEastAsia"/>
          <w:bCs/>
          <w:color w:val="auto"/>
          <w:sz w:val="24"/>
          <w:highlight w:val="none"/>
        </w:rPr>
        <w:t>的相关要求完全响应。若有幸成交将严格按照以上承诺进行服务。</w:t>
      </w:r>
    </w:p>
    <w:p w14:paraId="7CDF1A96">
      <w:pPr>
        <w:spacing w:line="360" w:lineRule="auto"/>
        <w:rPr>
          <w:rFonts w:asciiTheme="minorEastAsia" w:hAnsiTheme="minorEastAsia" w:eastAsiaTheme="minorEastAsia"/>
          <w:bCs/>
          <w:color w:val="auto"/>
          <w:sz w:val="24"/>
          <w:highlight w:val="none"/>
        </w:rPr>
      </w:pPr>
    </w:p>
    <w:p w14:paraId="4AFB228D">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D89AE8">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78923899">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224"/>
    <w:p w14:paraId="08042607">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5" w:name="_Toc7807"/>
      <w:bookmarkStart w:id="226" w:name="_Toc3826"/>
      <w:r>
        <w:rPr>
          <w:rFonts w:hint="eastAsia" w:asciiTheme="minorEastAsia" w:hAnsiTheme="minorEastAsia" w:eastAsiaTheme="minorEastAsia"/>
          <w:b/>
          <w:color w:val="auto"/>
          <w:sz w:val="24"/>
          <w:highlight w:val="none"/>
          <w:lang w:val="en-US" w:eastAsia="zh-CN"/>
        </w:rPr>
        <w:t>十一、联合体协议</w:t>
      </w:r>
    </w:p>
    <w:p w14:paraId="3E3D9BA3">
      <w:pPr>
        <w:pStyle w:val="25"/>
        <w:spacing w:line="360" w:lineRule="auto"/>
        <w:rPr>
          <w:rFonts w:ascii="宋体" w:hAnsi="宋体" w:eastAsia="宋体"/>
          <w:b w:val="0"/>
          <w:i/>
          <w:sz w:val="24"/>
        </w:rPr>
      </w:pPr>
      <w:r>
        <w:rPr>
          <w:rFonts w:hint="eastAsia" w:ascii="宋体" w:hAnsi="宋体" w:eastAsia="宋体"/>
          <w:b w:val="0"/>
          <w:i/>
          <w:sz w:val="24"/>
        </w:rPr>
        <w:t>（不允许联合体投标或未组成联合体投标，不需此件；允许联合体投标且投标人为联合体投标的，请将此件加盖公章后制成扫描件上传）</w:t>
      </w:r>
    </w:p>
    <w:p w14:paraId="1D29F53C">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F833953">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837AB96">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70C09E12">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上述各成员单位经过友好协商，自愿组成联合体，共同参加本项目的投标，现就联合体投标事宜订立如下协议：</w:t>
      </w:r>
    </w:p>
    <w:p w14:paraId="075A4F10">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（某成员单位名称）为联合体牵头人。</w:t>
      </w:r>
    </w:p>
    <w:p w14:paraId="6618AF4D">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184314A6">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3.联合体各成员单位内部的职责分工及各方负责内容的合同金额占总合同金额的百分比如下：</w:t>
      </w:r>
    </w:p>
    <w:p w14:paraId="3A89F8A4">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，为</w:t>
      </w:r>
      <w:r>
        <w:rPr>
          <w:rFonts w:hint="eastAsia" w:ascii="宋体" w:hAnsi="宋体" w:eastAsia="宋体" w:cs="宋体"/>
          <w:sz w:val="21"/>
          <w:szCs w:val="21"/>
        </w:rPr>
        <w:sym w:font="Wingdings 2" w:char="00A3"/>
      </w:r>
      <w:r>
        <w:rPr>
          <w:rFonts w:hint="eastAsia" w:ascii="宋体" w:hAnsi="宋体" w:eastAsia="宋体" w:cs="宋体"/>
          <w:color w:val="000000"/>
          <w:sz w:val="21"/>
          <w:szCs w:val="21"/>
        </w:rPr>
        <w:t>大型企业、□中型企业、□小微企业（包含监狱企业、残疾人福利性单位）、□其他</w:t>
      </w:r>
      <w:r>
        <w:rPr>
          <w:rFonts w:hint="eastAsia" w:ascii="宋体" w:hAnsi="宋体" w:eastAsia="宋体" w:cs="宋体"/>
          <w:sz w:val="21"/>
          <w:szCs w:val="21"/>
        </w:rPr>
        <w:t>，承担</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839BB11">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，为</w:t>
      </w:r>
      <w:r>
        <w:rPr>
          <w:rFonts w:hint="eastAsia" w:ascii="宋体" w:hAnsi="宋体" w:eastAsia="宋体" w:cs="宋体"/>
          <w:color w:val="000000"/>
          <w:sz w:val="21"/>
          <w:szCs w:val="21"/>
        </w:rPr>
        <w:t>□大型企业、□中型企业、□小微企业（包含监狱企业、残疾人福利性单位）、□其他</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205FB20">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742E48FB">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4．投标工作和联合体在中标后项目实施过程中的有关费用按各自承担的工作量分摊。</w:t>
      </w:r>
    </w:p>
    <w:p w14:paraId="0A4F16B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5．联合体中标后，本联合协议是合同的附件，对联合体各成员单位有合同约束力。</w:t>
      </w:r>
    </w:p>
    <w:p w14:paraId="48EB791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6．本协议书自签署之日起生效，联合体未中标或者合同履行完毕后自动失效。</w:t>
      </w:r>
    </w:p>
    <w:p w14:paraId="3504AF8C">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联合体成员一：</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496223DE">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（签章）</w:t>
      </w:r>
    </w:p>
    <w:p w14:paraId="3586BA3D">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0D07AC8A">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（签章）</w:t>
      </w:r>
    </w:p>
    <w:p w14:paraId="1A1645D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w:t>
      </w:r>
    </w:p>
    <w:p w14:paraId="3D50283F">
      <w:pPr>
        <w:pStyle w:val="25"/>
        <w:spacing w:line="360" w:lineRule="auto"/>
        <w:rPr>
          <w:rFonts w:hint="eastAsia" w:ascii="宋体" w:hAnsi="宋体" w:eastAsia="宋体" w:cs="宋体"/>
          <w:sz w:val="21"/>
          <w:szCs w:val="21"/>
        </w:rPr>
      </w:pPr>
    </w:p>
    <w:p w14:paraId="4D5D5154">
      <w:pPr>
        <w:spacing w:line="360" w:lineRule="auto"/>
        <w:ind w:firstLine="3968" w:firstLineChars="1890"/>
        <w:jc w:val="right"/>
        <w:rPr>
          <w:rFonts w:hint="eastAsia" w:ascii="宋体" w:hAnsi="宋体" w:eastAsia="宋体" w:cs="宋体"/>
          <w:sz w:val="21"/>
          <w:szCs w:val="21"/>
        </w:rPr>
      </w:pPr>
      <w:r>
        <w:rPr>
          <w:rFonts w:hint="eastAsia" w:ascii="宋体" w:hAnsi="宋体" w:eastAsia="宋体" w:cs="宋体"/>
          <w:sz w:val="21"/>
          <w:szCs w:val="21"/>
        </w:rPr>
        <w:t>签订日期: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3F442C2">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、其他相关证明材料</w:t>
      </w:r>
      <w:bookmarkEnd w:id="225"/>
      <w:bookmarkEnd w:id="226"/>
    </w:p>
    <w:p w14:paraId="42275D95">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58EB948E">
      <w:pPr>
        <w:spacing w:line="360" w:lineRule="auto"/>
        <w:rPr>
          <w:rFonts w:asciiTheme="minorEastAsia" w:hAnsiTheme="minorEastAsia" w:eastAsiaTheme="minorEastAsia"/>
          <w:b/>
          <w:color w:val="auto"/>
          <w:sz w:val="24"/>
          <w:highlight w:val="none"/>
        </w:rPr>
      </w:pPr>
      <w:bookmarkStart w:id="227" w:name="_Toc346610497"/>
      <w:bookmarkStart w:id="228" w:name="_Toc488780200"/>
      <w:r>
        <w:rPr>
          <w:rFonts w:hint="eastAsia" w:asciiTheme="minorEastAsia" w:hAnsiTheme="minorEastAsia" w:eastAsiaTheme="minorEastAsia"/>
          <w:b/>
          <w:color w:val="auto"/>
          <w:sz w:val="24"/>
          <w:highlight w:val="none"/>
        </w:rPr>
        <w:t>特别提示：</w:t>
      </w:r>
    </w:p>
    <w:p w14:paraId="2F2FC6F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3F891220">
      <w:pPr>
        <w:tabs>
          <w:tab w:val="left" w:pos="4620"/>
        </w:tabs>
        <w:wordWrap w:val="0"/>
        <w:spacing w:line="360" w:lineRule="auto"/>
        <w:ind w:firstLine="480" w:firstLineChars="200"/>
        <w:jc w:val="right"/>
        <w:rPr>
          <w:rFonts w:hint="default" w:ascii="宋体" w:hAnsi="宋体" w:eastAsia="宋体"/>
          <w:color w:val="auto"/>
          <w:sz w:val="24"/>
          <w:highlight w:val="none"/>
          <w:lang w:val="en-US"/>
        </w:rPr>
        <w:sectPr>
          <w:footerReference r:id="rId5" w:type="default"/>
          <w:pgSz w:w="11907" w:h="16840"/>
          <w:pgMar w:top="1134" w:right="1418" w:bottom="1134" w:left="1418" w:header="680" w:footer="680" w:gutter="0"/>
          <w:pgNumType w:fmt="decimal"/>
          <w:cols w:space="720" w:num="1"/>
          <w:titlePg/>
          <w:docGrid w:type="lines" w:linePitch="312" w:charSpace="0"/>
        </w:sectPr>
      </w:pPr>
    </w:p>
    <w:bookmarkEnd w:id="227"/>
    <w:bookmarkEnd w:id="228"/>
    <w:p w14:paraId="7AD567B4">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color w:val="auto"/>
          <w:kern w:val="2"/>
          <w:sz w:val="28"/>
          <w:szCs w:val="28"/>
          <w:highlight w:val="none"/>
        </w:rPr>
      </w:pPr>
      <w:bookmarkStart w:id="229" w:name="_Toc11016"/>
      <w:bookmarkStart w:id="230" w:name="_Toc63440924"/>
      <w:bookmarkStart w:id="231" w:name="_Toc19418"/>
      <w:r>
        <w:rPr>
          <w:rFonts w:hint="eastAsia" w:ascii="宋体" w:hAnsi="宋体" w:eastAsia="宋体" w:cs="宋体"/>
          <w:b/>
          <w:bCs w:val="0"/>
          <w:color w:val="auto"/>
          <w:kern w:val="2"/>
          <w:sz w:val="28"/>
          <w:szCs w:val="28"/>
          <w:highlight w:val="none"/>
          <w:lang w:val="en-US" w:eastAsia="zh-CN" w:bidi="ar"/>
        </w:rPr>
        <w:t>附件</w:t>
      </w:r>
      <w:r>
        <w:rPr>
          <w:rFonts w:hint="default" w:ascii="Times New Roman" w:hAnsi="Times New Roman" w:eastAsia="宋体" w:cs="Times New Roman"/>
          <w:b/>
          <w:bCs w:val="0"/>
          <w:color w:val="auto"/>
          <w:kern w:val="2"/>
          <w:sz w:val="28"/>
          <w:szCs w:val="28"/>
          <w:highlight w:val="none"/>
          <w:lang w:val="en-US" w:eastAsia="zh-CN" w:bidi="ar"/>
        </w:rPr>
        <w:t>1</w:t>
      </w:r>
      <w:bookmarkEnd w:id="229"/>
    </w:p>
    <w:p w14:paraId="60D83092">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color w:val="auto"/>
          <w:kern w:val="2"/>
          <w:sz w:val="30"/>
          <w:szCs w:val="30"/>
          <w:highlight w:val="none"/>
        </w:rPr>
      </w:pPr>
      <w:r>
        <w:rPr>
          <w:rFonts w:hint="eastAsia" w:ascii="黑体" w:hAnsi="宋体" w:eastAsia="黑体" w:cs="黑体"/>
          <w:b/>
          <w:bCs w:val="0"/>
          <w:color w:val="auto"/>
          <w:kern w:val="2"/>
          <w:sz w:val="30"/>
          <w:szCs w:val="30"/>
          <w:highlight w:val="none"/>
          <w:lang w:val="en-US" w:eastAsia="zh-CN" w:bidi="ar"/>
        </w:rPr>
        <w:t>关于联合惩戒失信行为 加强信用查询管理的通知</w:t>
      </w:r>
    </w:p>
    <w:p w14:paraId="32566E03">
      <w:pPr>
        <w:keepNext w:val="0"/>
        <w:keepLines w:val="0"/>
        <w:widowControl w:val="0"/>
        <w:suppressLineNumbers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70445A19">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在我市公共资源交易活动中对存在下列失信行为的投标人、法定代表人及其项目经理（建造师）实施联合惩戒，禁止参与我市公共资源交易活动。</w:t>
      </w:r>
    </w:p>
    <w:p w14:paraId="62F9B137">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（一）工程建设项目</w:t>
      </w:r>
    </w:p>
    <w:p w14:paraId="19B593A4">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1、“信用中国”网站（www.creditchina.gov.cn）查询投标人、法定代表人及其项目经理(建造师)以下失信行为：</w:t>
      </w:r>
    </w:p>
    <w:p w14:paraId="5D8E60AF">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62ABDED8">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6736877B">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③被列入“拖欠农民工工资失信联合惩戒对象名单”的；</w:t>
      </w:r>
    </w:p>
    <w:p w14:paraId="31AA93DB">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④被列入 “严重失信主体名单”的；</w:t>
      </w:r>
    </w:p>
    <w:p w14:paraId="2E6CE4A3">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⑤在“信用中国”网站上披露的仍在公示期的严重失信行为(具体行为类别及判定依据见附件2)的。</w:t>
      </w:r>
    </w:p>
    <w:p w14:paraId="41279983">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2、国家企业信用信息公示系统网站（www.gsxt.gov.cn）查询投标人以下失信行为：</w:t>
      </w:r>
    </w:p>
    <w:p w14:paraId="12FDD578">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①被列入“经营异常名录”或者“严重违法失信名单”的。</w:t>
      </w:r>
    </w:p>
    <w:p w14:paraId="6D2FA5D4">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3、由投标人、法定代表人及其项目经理(建造师)进行承诺，不进行现场网上信用查询的失信行为：</w:t>
      </w:r>
    </w:p>
    <w:p w14:paraId="50E1750F">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12284B65">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②被滁州市县两级公管部门取消在一定期限内的投标资格且在取消期限内的；</w:t>
      </w:r>
    </w:p>
    <w:p w14:paraId="3104CBC9">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③被滁州市县两级各行业主管部门取消在一定期限内的投标资格且在取消期限内的；</w:t>
      </w:r>
    </w:p>
    <w:p w14:paraId="2EFF30FE">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④因拖欠农民工工资被县级及以上有关行政主管部门限制投标资格且在限制期限内的；</w:t>
      </w:r>
    </w:p>
    <w:p w14:paraId="1C6B068D">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923FAF7">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（二）政府采购项目</w:t>
      </w:r>
    </w:p>
    <w:p w14:paraId="7A3DE018">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1、“信用中国”网站（www.creditchina.gov.cn）查询供应商、法定代表人及其项目负责人以下失信行为：</w:t>
      </w:r>
    </w:p>
    <w:p w14:paraId="7AD1C979">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5662497A">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1C261734">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③被列入 “严重失信主体名单”的；</w:t>
      </w:r>
    </w:p>
    <w:p w14:paraId="5B826A6A">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④在“信用中国”网站上披露的仍在公示期的严重失信行为(具体行为类别及判定依据见附件2)的。</w:t>
      </w:r>
    </w:p>
    <w:p w14:paraId="01FD6886">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t>
      </w:r>
      <w:r>
        <w:rPr>
          <w:rFonts w:hint="eastAsia" w:ascii="宋体" w:hAnsi="宋体" w:eastAsia="宋体" w:cs="宋体"/>
          <w:bCs/>
          <w:color w:val="auto"/>
          <w:kern w:val="0"/>
          <w:sz w:val="24"/>
          <w:szCs w:val="24"/>
          <w:highlight w:val="none"/>
          <w:vertAlign w:val="baseline"/>
          <w:lang w:val="en-US" w:eastAsia="zh-CN" w:bidi="ar"/>
        </w:rPr>
        <w:fldChar w:fldCharType="begin"/>
      </w:r>
      <w:r>
        <w:rPr>
          <w:rFonts w:hint="eastAsia" w:ascii="宋体" w:hAnsi="宋体" w:eastAsia="宋体" w:cs="宋体"/>
          <w:bCs/>
          <w:color w:val="auto"/>
          <w:kern w:val="0"/>
          <w:sz w:val="24"/>
          <w:szCs w:val="24"/>
          <w:highlight w:val="none"/>
          <w:vertAlign w:val="baseline"/>
          <w:lang w:val="en-US" w:eastAsia="zh-CN" w:bidi="ar"/>
        </w:rPr>
        <w:instrText xml:space="preserve"> HYPERLINK "http://www.gsxt.gov.cn）查询" </w:instrText>
      </w:r>
      <w:r>
        <w:rPr>
          <w:rFonts w:hint="eastAsia" w:ascii="宋体" w:hAnsi="宋体" w:eastAsia="宋体" w:cs="宋体"/>
          <w:bCs/>
          <w:color w:val="auto"/>
          <w:kern w:val="0"/>
          <w:sz w:val="24"/>
          <w:szCs w:val="24"/>
          <w:highlight w:val="none"/>
          <w:vertAlign w:val="baseline"/>
          <w:lang w:val="en-US" w:eastAsia="zh-CN" w:bidi="ar"/>
        </w:rPr>
        <w:fldChar w:fldCharType="separate"/>
      </w:r>
      <w:r>
        <w:rPr>
          <w:rFonts w:hint="eastAsia" w:ascii="宋体" w:hAnsi="宋体" w:eastAsia="宋体" w:cs="宋体"/>
          <w:bCs/>
          <w:color w:val="auto"/>
          <w:kern w:val="0"/>
          <w:sz w:val="24"/>
          <w:szCs w:val="24"/>
          <w:highlight w:val="none"/>
          <w:vertAlign w:val="baseline"/>
          <w:lang w:val="en-US" w:eastAsia="zh-CN" w:bidi="ar"/>
        </w:rPr>
        <w:t>www.gsxt.gov.cn）</w:t>
      </w:r>
      <w:r>
        <w:rPr>
          <w:rFonts w:hint="eastAsia" w:ascii="宋体" w:hAnsi="宋体" w:eastAsia="宋体" w:cs="宋体"/>
          <w:bCs/>
          <w:color w:val="auto"/>
          <w:kern w:val="0"/>
          <w:sz w:val="24"/>
          <w:szCs w:val="24"/>
          <w:highlight w:val="none"/>
          <w:vertAlign w:val="baseline"/>
          <w:lang w:val="en-US" w:eastAsia="zh-CN" w:bidi="ar"/>
        </w:rPr>
        <w:fldChar w:fldCharType="end"/>
      </w:r>
      <w:r>
        <w:rPr>
          <w:rFonts w:hint="eastAsia" w:ascii="宋体" w:hAnsi="宋体" w:eastAsia="宋体" w:cs="宋体"/>
          <w:bCs/>
          <w:color w:val="auto"/>
          <w:kern w:val="0"/>
          <w:sz w:val="24"/>
          <w:szCs w:val="24"/>
          <w:highlight w:val="none"/>
          <w:vertAlign w:val="baseline"/>
          <w:lang w:val="en-US" w:eastAsia="zh-CN" w:bidi="ar"/>
        </w:rPr>
        <w:t>查询供应商以下失信行为：</w:t>
      </w:r>
    </w:p>
    <w:p w14:paraId="73FB16D6">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w:t>
      </w:r>
      <w:bookmarkStart w:id="232" w:name="OLE_LINK101"/>
      <w:bookmarkStart w:id="233" w:name="OLE_LINK102"/>
      <w:bookmarkStart w:id="234" w:name="OLE_LINK100"/>
      <w:r>
        <w:rPr>
          <w:rFonts w:hint="eastAsia" w:ascii="宋体" w:hAnsi="宋体" w:eastAsia="宋体" w:cs="宋体"/>
          <w:bCs/>
          <w:color w:val="auto"/>
          <w:kern w:val="0"/>
          <w:sz w:val="24"/>
          <w:szCs w:val="24"/>
          <w:highlight w:val="none"/>
          <w:vertAlign w:val="baseline"/>
          <w:lang w:val="en-US" w:eastAsia="zh-CN" w:bidi="ar"/>
        </w:rPr>
        <w:t>被列入“经营异常名录”或者“严重违法失信名单”的</w:t>
      </w:r>
      <w:bookmarkEnd w:id="232"/>
      <w:bookmarkEnd w:id="233"/>
      <w:bookmarkEnd w:id="234"/>
      <w:r>
        <w:rPr>
          <w:rFonts w:hint="eastAsia" w:ascii="宋体" w:hAnsi="宋体" w:eastAsia="宋体" w:cs="宋体"/>
          <w:bCs/>
          <w:color w:val="auto"/>
          <w:kern w:val="0"/>
          <w:sz w:val="24"/>
          <w:szCs w:val="24"/>
          <w:highlight w:val="none"/>
          <w:vertAlign w:val="baseline"/>
          <w:lang w:val="en-US" w:eastAsia="zh-CN" w:bidi="ar"/>
        </w:rPr>
        <w:t>。</w:t>
      </w:r>
    </w:p>
    <w:p w14:paraId="5762D90D">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3、中国政府采购网站（</w:t>
      </w:r>
      <w:bookmarkStart w:id="235" w:name="OLE_LINK96"/>
      <w:bookmarkStart w:id="236" w:name="OLE_LINK95"/>
      <w:r>
        <w:rPr>
          <w:rFonts w:hint="eastAsia" w:ascii="宋体" w:hAnsi="宋体" w:eastAsia="宋体" w:cs="宋体"/>
          <w:bCs/>
          <w:color w:val="auto"/>
          <w:kern w:val="0"/>
          <w:sz w:val="24"/>
          <w:szCs w:val="24"/>
          <w:highlight w:val="none"/>
          <w:vertAlign w:val="baseline"/>
          <w:lang w:val="en-US" w:eastAsia="zh-CN" w:bidi="ar"/>
        </w:rPr>
        <w:fldChar w:fldCharType="begin"/>
      </w:r>
      <w:r>
        <w:rPr>
          <w:rFonts w:hint="eastAsia" w:ascii="宋体" w:hAnsi="宋体" w:eastAsia="宋体" w:cs="宋体"/>
          <w:bCs/>
          <w:color w:val="auto"/>
          <w:kern w:val="0"/>
          <w:sz w:val="24"/>
          <w:szCs w:val="24"/>
          <w:highlight w:val="none"/>
          <w:vertAlign w:val="baseline"/>
          <w:lang w:val="en-US" w:eastAsia="zh-CN" w:bidi="ar"/>
        </w:rPr>
        <w:instrText xml:space="preserve"> HYPERLINK "http://www.ccgp.gov.cn" </w:instrText>
      </w:r>
      <w:r>
        <w:rPr>
          <w:rFonts w:hint="eastAsia" w:ascii="宋体" w:hAnsi="宋体" w:eastAsia="宋体" w:cs="宋体"/>
          <w:bCs/>
          <w:color w:val="auto"/>
          <w:kern w:val="0"/>
          <w:sz w:val="24"/>
          <w:szCs w:val="24"/>
          <w:highlight w:val="none"/>
          <w:vertAlign w:val="baseline"/>
          <w:lang w:val="en-US" w:eastAsia="zh-CN" w:bidi="ar"/>
        </w:rPr>
        <w:fldChar w:fldCharType="separate"/>
      </w:r>
      <w:r>
        <w:rPr>
          <w:rFonts w:hint="eastAsia" w:ascii="宋体" w:hAnsi="宋体" w:eastAsia="宋体" w:cs="宋体"/>
          <w:bCs/>
          <w:color w:val="auto"/>
          <w:kern w:val="0"/>
          <w:sz w:val="24"/>
          <w:szCs w:val="24"/>
          <w:highlight w:val="none"/>
          <w:vertAlign w:val="baseline"/>
          <w:lang w:val="en-US" w:eastAsia="zh-CN" w:bidi="ar"/>
        </w:rPr>
        <w:t>www.ccgp.gov.cn</w:t>
      </w:r>
      <w:r>
        <w:rPr>
          <w:rFonts w:hint="eastAsia" w:ascii="宋体" w:hAnsi="宋体" w:eastAsia="宋体" w:cs="宋体"/>
          <w:bCs/>
          <w:color w:val="auto"/>
          <w:kern w:val="0"/>
          <w:sz w:val="24"/>
          <w:szCs w:val="24"/>
          <w:highlight w:val="none"/>
          <w:vertAlign w:val="baseline"/>
          <w:lang w:val="en-US" w:eastAsia="zh-CN" w:bidi="ar"/>
        </w:rPr>
        <w:fldChar w:fldCharType="end"/>
      </w:r>
      <w:bookmarkEnd w:id="235"/>
      <w:bookmarkEnd w:id="236"/>
      <w:r>
        <w:rPr>
          <w:rFonts w:hint="eastAsia" w:ascii="宋体" w:hAnsi="宋体" w:eastAsia="宋体" w:cs="宋体"/>
          <w:bCs/>
          <w:color w:val="auto"/>
          <w:kern w:val="0"/>
          <w:sz w:val="24"/>
          <w:szCs w:val="24"/>
          <w:highlight w:val="none"/>
          <w:vertAlign w:val="baseline"/>
          <w:lang w:val="en-US" w:eastAsia="zh-CN" w:bidi="ar"/>
        </w:rPr>
        <w:t>）查询以下失信行为：</w:t>
      </w:r>
    </w:p>
    <w:p w14:paraId="35657655">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①</w:t>
      </w:r>
      <w:bookmarkStart w:id="237" w:name="OLE_LINK106"/>
      <w:bookmarkStart w:id="238" w:name="OLE_LINK105"/>
      <w:bookmarkStart w:id="239" w:name="OLE_LINK104"/>
      <w:r>
        <w:rPr>
          <w:rFonts w:hint="eastAsia" w:ascii="宋体" w:hAnsi="宋体" w:eastAsia="宋体" w:cs="宋体"/>
          <w:bCs/>
          <w:color w:val="auto"/>
          <w:kern w:val="0"/>
          <w:sz w:val="24"/>
          <w:szCs w:val="24"/>
          <w:highlight w:val="none"/>
          <w:vertAlign w:val="baseline"/>
          <w:lang w:val="en-US" w:eastAsia="zh-CN" w:bidi="ar"/>
        </w:rPr>
        <w:t>被列入“政府采购严重违法失信行为信息记录”的</w:t>
      </w:r>
      <w:bookmarkEnd w:id="237"/>
      <w:bookmarkEnd w:id="238"/>
      <w:bookmarkEnd w:id="239"/>
      <w:r>
        <w:rPr>
          <w:rFonts w:hint="eastAsia" w:ascii="宋体" w:hAnsi="宋体" w:eastAsia="宋体" w:cs="宋体"/>
          <w:bCs/>
          <w:color w:val="auto"/>
          <w:kern w:val="0"/>
          <w:sz w:val="24"/>
          <w:szCs w:val="24"/>
          <w:highlight w:val="none"/>
          <w:vertAlign w:val="baseline"/>
          <w:lang w:val="en-US" w:eastAsia="zh-CN" w:bidi="ar"/>
        </w:rPr>
        <w:t>。</w:t>
      </w:r>
    </w:p>
    <w:p w14:paraId="355AE9E0">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4、由竞争主体进行承诺，不进行现场网上信用查询的失信行为：</w:t>
      </w:r>
    </w:p>
    <w:p w14:paraId="3E48D7D0">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22AA7A8B">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二、在开评标活动中的查询程序</w:t>
      </w:r>
    </w:p>
    <w:p w14:paraId="68D6BCFF">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4F08785">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竞争性磋商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EA23AE8">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3、项目单位及其委托的代理机构应当做好信用查询结果截图和记录留存。</w:t>
      </w:r>
    </w:p>
    <w:p w14:paraId="45F2A111">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三、相关要求</w:t>
      </w:r>
    </w:p>
    <w:p w14:paraId="066102A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1、参与公共资源交易活动的竞争主体根据上述范围查询的内容进行自查并承诺，出具《诚信响应承诺书》（诚信响应承诺书包括但不限于上述自查并承诺内容）并注明承诺日期（投标截止时间前5日内）。</w:t>
      </w:r>
    </w:p>
    <w:p w14:paraId="2AFB92E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lang w:val="en-US" w:eastAsia="zh-CN" w:bidi="ar"/>
        </w:rPr>
      </w:pPr>
      <w:r>
        <w:rPr>
          <w:rFonts w:hint="eastAsia" w:ascii="宋体" w:hAnsi="宋体" w:eastAsia="宋体" w:cs="宋体"/>
          <w:bCs/>
          <w:color w:val="auto"/>
          <w:kern w:val="0"/>
          <w:sz w:val="24"/>
          <w:szCs w:val="24"/>
          <w:highlight w:val="none"/>
          <w:vertAlign w:val="baseli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EA033B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响应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6ED5839">
      <w:pPr>
        <w:keepNext w:val="0"/>
        <w:keepLines w:val="0"/>
        <w:widowControl/>
        <w:suppressLineNumbers w:val="0"/>
        <w:autoSpaceDE w:val="0"/>
        <w:autoSpaceDN/>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2、“信用中国”查询的严重失信行为判定依据为各行业主管部门下发的联合惩戒文件中规定的行为（按附件2执行）。</w:t>
      </w:r>
    </w:p>
    <w:p w14:paraId="01F2D47F">
      <w:pPr>
        <w:keepNext w:val="0"/>
        <w:keepLines w:val="0"/>
        <w:widowControl/>
        <w:suppressLineNumbers w:val="0"/>
        <w:autoSpaceDE w:val="0"/>
        <w:autoSpaceDN/>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3、资格预审的项目以递交资格预审申请文件截止时间查询为准；资格后审的项目以递交投标文件截止时间查询为准。</w:t>
      </w:r>
    </w:p>
    <w:p w14:paraId="622EF38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br w:type="page"/>
      </w:r>
      <w:r>
        <w:rPr>
          <w:rFonts w:hint="eastAsia" w:ascii="宋体" w:hAnsi="宋体" w:eastAsia="宋体" w:cs="宋体"/>
          <w:b/>
          <w:bCs w:val="0"/>
          <w:color w:val="auto"/>
          <w:kern w:val="2"/>
          <w:sz w:val="24"/>
          <w:szCs w:val="24"/>
          <w:highlight w:val="none"/>
          <w:lang w:val="en-US" w:eastAsia="zh-CN" w:bidi="ar"/>
        </w:rPr>
        <w:t>附件</w:t>
      </w:r>
      <w:r>
        <w:rPr>
          <w:rFonts w:hint="default" w:ascii="Times New Roman" w:hAnsi="Times New Roman" w:eastAsia="宋体" w:cs="Times New Roman"/>
          <w:b/>
          <w:bCs w:val="0"/>
          <w:color w:val="auto"/>
          <w:kern w:val="2"/>
          <w:sz w:val="24"/>
          <w:szCs w:val="24"/>
          <w:highlight w:val="none"/>
          <w:lang w:val="en-US" w:eastAsia="zh-CN" w:bidi="ar"/>
        </w:rPr>
        <w:t>2</w:t>
      </w:r>
    </w:p>
    <w:p w14:paraId="13C84D27">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2AFB8C56">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2B4B5F7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“信用中国”查询的严重失信行为判定依据为各行业主管部门下发的联合惩戒文件中规定的行为。下面将部分类别的严重失信行为列举如下：</w:t>
      </w:r>
    </w:p>
    <w:p w14:paraId="0D69A1ED">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一、安全生产领域严重失信行为：</w:t>
      </w:r>
    </w:p>
    <w:p w14:paraId="6123C66A">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（一）下列发生生产安全事故的生产经营单位及其有关人员应当列入严重失信主体名单：</w:t>
      </w:r>
    </w:p>
    <w:p w14:paraId="20DDB53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1、发生特别重大、重大生产安全事故的生产经营单位及其主要负责人，以及经调查认定对该事故发生负有责任，应当列入名单的其他单位和人员；</w:t>
      </w:r>
    </w:p>
    <w:p w14:paraId="1085019E">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2、12个月内累计发生2起以上较大生产安全事故的生产经营单位及其主要负责人；</w:t>
      </w:r>
    </w:p>
    <w:p w14:paraId="4D93404E">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57F95552">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4、瞒报、谎报生产安全事故的生产经营单位及其有关责任人员；</w:t>
      </w:r>
    </w:p>
    <w:p w14:paraId="5EB3ACB0">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5、发生生产安全事故后，不立即组织抢救或者在事故调查处理期间擅离职守或者逃匿的生产经营单位主要负责人。</w:t>
      </w:r>
    </w:p>
    <w:p w14:paraId="23B7D869">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（二）下列未发生生产安全事故，但因安全生产违法行为，受到行政处罚的生产经营单位或者机构及其有关人员，应当列入严重失信主体名单：</w:t>
      </w:r>
    </w:p>
    <w:p w14:paraId="59165439">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1、未依法取得安全生产相关许可或者许可被暂扣、吊销期间从事相关生产经营活动的生产经营单位及其主要负责人；</w:t>
      </w:r>
    </w:p>
    <w:p w14:paraId="55FC106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2、承担安全评价、认证、检测、检验职责的机构及其直接责任人员租借资质、挂靠、出具虚假报告或者证书的；</w:t>
      </w:r>
    </w:p>
    <w:p w14:paraId="71020CA9">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3、在应急管理部门作出行政处罚后，有执行能力拒不执行或者逃避执行的生产经营单位及其主要负责人；</w:t>
      </w:r>
    </w:p>
    <w:p w14:paraId="6EFAA957">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4、其他违反安全生产法律法规受到行政处罚，且性质恶劣、情节严重的。</w:t>
      </w:r>
    </w:p>
    <w:p w14:paraId="4429B76F">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依据：《安全生产严重失信主体名单管理办法》（2023年8月8日应急管理部令第11号）</w:t>
      </w:r>
    </w:p>
    <w:p w14:paraId="7C158083">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48958011">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二、环境保护领域严重失信行为：</w:t>
      </w:r>
    </w:p>
    <w:p w14:paraId="56D3DA8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（一）因为环境违法构成环境犯罪的；</w:t>
      </w:r>
    </w:p>
    <w:p w14:paraId="538FB4FD">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（二）建设项目环境影响评价文件未按规定通过审批，擅自开工建设的；</w:t>
      </w:r>
    </w:p>
    <w:p w14:paraId="251566B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（三）建设项目环保设施未建成、环保措施未落实、未通过竣工环保验收或者验收不合格，主体工程正式投入生产或者使用的；</w:t>
      </w:r>
    </w:p>
    <w:p w14:paraId="0E6234D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（四）建设项目性质、规模、地点、采用的生产工艺或者防治污染、防止生态破坏的措施发生重大变动，未重新报批环境影响评价文件，擅自投入生产或者使用的；</w:t>
      </w:r>
    </w:p>
    <w:p w14:paraId="6E1A6BE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（五）主要污染物排放总量超过控制指标的；</w:t>
      </w:r>
    </w:p>
    <w:p w14:paraId="4AC78711">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（六）私设暗管或者利用渗井、渗坑、裂隙、溶洞等排放、倾倒、处置水污染物，或者通过私设旁路排放大气污染物的；</w:t>
      </w:r>
    </w:p>
    <w:p w14:paraId="7AF8AA41">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（七）非法排放、倾倒、处置危险废物，或者向无经营许可证或者超出经营许可范围的单位或个人提供或者委托其收集、贮存、利用、处置危险废物的；</w:t>
      </w:r>
    </w:p>
    <w:p w14:paraId="2D5B2D6C">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（八）环境违法行为造成集中式生活饮用水水源取水中断的；</w:t>
      </w:r>
    </w:p>
    <w:p w14:paraId="19FC6628">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（九）环境违法行为对生活饮用水水源保护区、自然保护区、国家重点生态功能区、风景名胜区、居住功能区、基本农田保护区等环境敏感区造成重大不利影响的；</w:t>
      </w:r>
    </w:p>
    <w:p w14:paraId="6C8225EC">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（十）违法从事自然资源开发、交通基础设施建设，以及其他开发建设活动，造成严重生态破坏的；</w:t>
      </w:r>
    </w:p>
    <w:p w14:paraId="6E84B9D3">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（十一）发生较大及以上突发环境事件的；</w:t>
      </w:r>
    </w:p>
    <w:p w14:paraId="26BD7622">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（十二）被环保部门挂牌督办，整改逾期未完成的；</w:t>
      </w:r>
    </w:p>
    <w:p w14:paraId="6ED0D6E2">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（十三）以暴力、威胁等方式拒绝、阻挠环保部门工作人员现场检查的；</w:t>
      </w:r>
    </w:p>
    <w:p w14:paraId="33D9536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（十四）违反重污染天气应急预案有关规定，对重污染天气响应不力的。</w:t>
      </w:r>
    </w:p>
    <w:p w14:paraId="6F045EED">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依据：《关于对环境保护领域失信生产经营单位及其有关人员开展联合惩戒的合作备忘录》、《企业环境信用评价办法（试行）》（环发〔2013〕150号）</w:t>
      </w:r>
    </w:p>
    <w:p w14:paraId="25EA1BEF">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71A9E2FA">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三、公共资源交易领域严重失信行为</w:t>
      </w:r>
    </w:p>
    <w:p w14:paraId="19F43FBF">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（一）违反法律规定，必须进行招标的项目而不招标的，将必须进行招标的项目化整为零或者以其他任何方式规避招标的； </w:t>
      </w:r>
    </w:p>
    <w:p w14:paraId="1172A5A0">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（二）招标代理机构违反法律规定，泄露应当保密的与招标投标活动有关的情况和资料的，或者与招标人、投标人串通损害 国家利益、社会公共利益或者他人合法权益的；</w:t>
      </w:r>
    </w:p>
    <w:p w14:paraId="2BF1CAB6">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（三）招标人以不合理的条件限制或者排斥潜在投标人的，对潜在投标人实行歧视待遇的，强制要求投标人组成联合体共同 投标的，或者限制投标人之间竞争的；</w:t>
      </w:r>
    </w:p>
    <w:p w14:paraId="4BC16798">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（四）依法必须进行招标的项目的招标人向他人透露已获取竞争性磋商文件的潜在投标人的名称、数量或者可能影响公平竞争的有 关招标投标的其他情况的，或者泄露标底的；</w:t>
      </w:r>
    </w:p>
    <w:p w14:paraId="002201D5">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（五）投标人相互串通投标或者与招标人串通投标的，投标人以向招标人或者评标委员会成员行贿的手段谋取中标的； </w:t>
      </w:r>
    </w:p>
    <w:p w14:paraId="1CB1E551">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（六）投标人以他人名义投标或者以其他方式弄虚作假，骗取中标的；</w:t>
      </w:r>
    </w:p>
    <w:p w14:paraId="4C73FC62">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（七）依法必须进行招标的项目，招标人违反法律规定，与投标人就投标价格、投标方案等实质性内容进行谈判的；</w:t>
      </w:r>
    </w:p>
    <w:p w14:paraId="01DAD9B1">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E645CB6">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（九）招标人在评标委员会依法推荐的中标候选人以外确定中标人的，依法必须进行招标的项目在所有投标被评标委员会否 决后自行确定中标人的； </w:t>
      </w:r>
    </w:p>
    <w:p w14:paraId="5F338613">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57982861">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（十一）招标人与中标人不按照竞争性磋商文件和中标人的投标文件订立合同的，或者招标人、中标人订立背离合同实质性内容的 协议的； </w:t>
      </w:r>
    </w:p>
    <w:p w14:paraId="7F9F67D5">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（十二）中标人不按照与招标人订立的合同履行义务，情节严重的； </w:t>
      </w:r>
    </w:p>
    <w:p w14:paraId="5398A889">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0375502">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29A4F35">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（十五）采购人对应当实行集中采购的政府采购项目，不委托集中采购机构实行集中采购的； </w:t>
      </w:r>
    </w:p>
    <w:p w14:paraId="2DE6C357">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（十六）采购人、采购代理机构违反法律规定隐匿、销毁应当保存的采购文件或者伪造、变造采购文件的； </w:t>
      </w:r>
    </w:p>
    <w:p w14:paraId="61012D9F">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A2FA615">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（十八）疫苗生产企业向县级疾病预防控制机构以外的单位或者个人销售第二类疫苗的； </w:t>
      </w:r>
    </w:p>
    <w:p w14:paraId="0F71A2B9">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Times New Roman"/>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（十九）存在其他违反公共资源交易法律法规行为的。</w:t>
      </w:r>
    </w:p>
    <w:p w14:paraId="2C2BEE01">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依据：《关于对公共资源交易领域严重失信主体开展联合惩戒的备忘录》（发改法规〔2018〕457号）</w:t>
      </w:r>
    </w:p>
    <w:p w14:paraId="47919D78">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63497E43">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四、社会保险领域严重失信行为</w:t>
      </w:r>
    </w:p>
    <w:p w14:paraId="6DEF5A5B">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（一）用人单位未按相关规定参加社会保险且拒不整改的； </w:t>
      </w:r>
    </w:p>
    <w:p w14:paraId="71AA5D80">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（二）用人单位未如实申报社会保险缴费基数且拒不整改的； </w:t>
      </w:r>
    </w:p>
    <w:p w14:paraId="63A2FDCA">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（三）应缴纳社会保险费却拒不缴纳的； </w:t>
      </w:r>
    </w:p>
    <w:p w14:paraId="287D41F3">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（四）隐匿、转移、侵占、挪用社会保险费款、基金或者违规投资运营的；</w:t>
      </w:r>
    </w:p>
    <w:p w14:paraId="49F52FA2">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（五）以欺诈、伪造证明材料或者其他手段参加、申报社会保险和骗取社会保险基金支出或社会保险待遇的； </w:t>
      </w:r>
    </w:p>
    <w:p w14:paraId="11EB6629">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（六）非法获取、出售或变相交易社会保险个人权益数据的； </w:t>
      </w:r>
    </w:p>
    <w:p w14:paraId="10984AC4">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（七）社会保险服务机构违反服务协议或相关规定的； </w:t>
      </w:r>
    </w:p>
    <w:p w14:paraId="07698347">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8EFFC53">
      <w:pPr>
        <w:keepNext w:val="0"/>
        <w:keepLines w:val="0"/>
        <w:widowControl/>
        <w:suppressLineNumbers w:val="0"/>
        <w:autoSpaceDE w:val="0"/>
        <w:autoSpaceDN/>
        <w:spacing w:before="0" w:beforeAutospacing="0" w:after="0" w:afterAutospacing="0" w:line="480" w:lineRule="exact"/>
        <w:ind w:left="0" w:leftChars="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（九）其他违反法律法规规定的。</w:t>
      </w:r>
    </w:p>
    <w:p w14:paraId="29D96382">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依据：《关于对社会保险领域严重失信企业及其有关人员实施联合惩戒的合作备忘录》（发改财金〔2018〕1704号）</w:t>
      </w:r>
    </w:p>
    <w:p w14:paraId="1FD8B352">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0F4A0834">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五、建筑市场领域严重失信行为</w:t>
      </w:r>
    </w:p>
    <w:p w14:paraId="07300770">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（一）利用虚假材料、以欺骗手段取得企业资质的；</w:t>
      </w:r>
    </w:p>
    <w:p w14:paraId="0936A8E5">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（二）发生转包、出借资质，受到行政处罚的；</w:t>
      </w:r>
    </w:p>
    <w:p w14:paraId="2F972BCE">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45D4CFC">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（四）经法院判决或仲裁机构裁决，认定为拖欠工程款,且拒不履行生效法律文书确定的义务的。</w:t>
      </w:r>
    </w:p>
    <w:p w14:paraId="02B4D084">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各级住房城乡建设主管部门应当参照建筑市场主体“黑名单”，对被人力资源社会保障行政部门列入拖欠农民工工资“黑名单”的建筑市场各方主体加强监管。</w:t>
      </w:r>
    </w:p>
    <w:p w14:paraId="09AFFCDE">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依据：《建筑市场信用管理暂行办法》（建市〔2017〕241号）</w:t>
      </w:r>
    </w:p>
    <w:p w14:paraId="05B4A8BB">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3A4E53C8">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六、政府采购严重失信行为</w:t>
      </w:r>
    </w:p>
    <w:p w14:paraId="54F19CF7">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供应商、采购代理机构在三年内受到财政部门作出下列情形之一的行政处罚，列入政府采购严重违法失信行为记录名单。</w:t>
      </w:r>
    </w:p>
    <w:p w14:paraId="7BF0ED98">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（一）三万元以上罚款；</w:t>
      </w:r>
    </w:p>
    <w:p w14:paraId="26227FBB">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（二）在一至三年内禁止参加政府采购活动（处罚期限届满的除外）；</w:t>
      </w:r>
    </w:p>
    <w:p w14:paraId="25BF2721">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（三）在一至三年内禁止代理政府采购业务（处罚期限届满的除外）；</w:t>
      </w:r>
    </w:p>
    <w:p w14:paraId="26D4BDC4">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Times New Roman"/>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（四）撤销政府采购代理机构资格（仅针对《政府采购法》第78条修改前作出的处罚决定）。</w:t>
      </w:r>
    </w:p>
    <w:p w14:paraId="7BE44862">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依据：《关于报送政府采购严重违法失信行为信息记录的通知》（财办库〔2014〕526号）</w:t>
      </w:r>
    </w:p>
    <w:p w14:paraId="4F55D610">
      <w:pPr>
        <w:keepNext w:val="0"/>
        <w:keepLines w:val="0"/>
        <w:widowControl/>
        <w:suppressLineNumbers w:val="0"/>
        <w:autoSpaceDE w:val="0"/>
        <w:autoSpaceDN/>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 </w:t>
      </w:r>
    </w:p>
    <w:p w14:paraId="784B56B1">
      <w:pPr>
        <w:keepNext w:val="0"/>
        <w:keepLines w:val="0"/>
        <w:widowControl/>
        <w:suppressLineNumbers w:val="0"/>
        <w:autoSpaceDE w:val="0"/>
        <w:autoSpaceDN/>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0"/>
          <w:sz w:val="24"/>
          <w:szCs w:val="24"/>
          <w:highlight w:val="none"/>
          <w:vertAlign w:val="baseline"/>
          <w:lang w:val="en-US" w:eastAsia="zh-CN" w:bidi="ar"/>
        </w:rPr>
      </w:pPr>
      <w:r>
        <w:rPr>
          <w:rFonts w:hint="eastAsia" w:ascii="宋体" w:hAnsi="宋体" w:eastAsia="宋体" w:cs="宋体"/>
          <w:b/>
          <w:bCs w:val="0"/>
          <w:color w:val="auto"/>
          <w:kern w:val="0"/>
          <w:sz w:val="24"/>
          <w:szCs w:val="24"/>
          <w:highlight w:val="none"/>
          <w:vertAlign w:val="baseline"/>
          <w:lang w:val="en-US" w:eastAsia="zh-CN" w:bidi="ar"/>
        </w:rPr>
        <w:t>未列出的其他类别严重失信行为，由招标人（代理机构）根据各类别行业主管部门下发的联合惩戒文件进行判断。</w:t>
      </w:r>
    </w:p>
    <w:p w14:paraId="1425390C">
      <w:pPr>
        <w:spacing w:line="360" w:lineRule="auto"/>
        <w:jc w:val="center"/>
        <w:outlineLvl w:val="0"/>
        <w:rPr>
          <w:rFonts w:hint="eastAsia" w:ascii="宋体" w:hAnsi="宋体" w:eastAsia="宋体"/>
          <w:b/>
          <w:bCs/>
          <w:color w:val="auto"/>
          <w:sz w:val="28"/>
          <w:highlight w:val="none"/>
        </w:rPr>
      </w:pPr>
    </w:p>
    <w:p w14:paraId="66919D24">
      <w:pPr>
        <w:spacing w:line="360" w:lineRule="auto"/>
        <w:jc w:val="center"/>
        <w:outlineLvl w:val="0"/>
        <w:rPr>
          <w:rFonts w:hint="eastAsia" w:ascii="宋体" w:hAnsi="宋体" w:eastAsia="宋体"/>
          <w:b/>
          <w:bCs/>
          <w:color w:val="auto"/>
          <w:sz w:val="28"/>
          <w:highlight w:val="none"/>
        </w:rPr>
      </w:pPr>
    </w:p>
    <w:p w14:paraId="7F3D3922">
      <w:pPr>
        <w:rPr>
          <w:rFonts w:hint="eastAsia" w:ascii="宋体" w:hAnsi="宋体" w:eastAsia="宋体"/>
          <w:b/>
          <w:bCs/>
          <w:color w:val="auto"/>
          <w:sz w:val="28"/>
          <w:highlight w:val="none"/>
        </w:rPr>
      </w:pPr>
      <w:r>
        <w:rPr>
          <w:rFonts w:hint="eastAsia" w:ascii="宋体" w:hAnsi="宋体" w:eastAsia="宋体"/>
          <w:b/>
          <w:bCs/>
          <w:color w:val="auto"/>
          <w:sz w:val="28"/>
          <w:highlight w:val="none"/>
        </w:rPr>
        <w:br w:type="page"/>
      </w:r>
    </w:p>
    <w:p w14:paraId="5EC24F74">
      <w:pPr>
        <w:spacing w:line="360" w:lineRule="auto"/>
        <w:jc w:val="center"/>
        <w:outlineLvl w:val="0"/>
        <w:rPr>
          <w:rFonts w:ascii="宋体" w:hAnsi="宋体" w:eastAsia="宋体"/>
          <w:b/>
          <w:bCs/>
          <w:color w:val="auto"/>
          <w:sz w:val="28"/>
          <w:highlight w:val="none"/>
        </w:rPr>
      </w:pPr>
      <w:bookmarkStart w:id="240" w:name="_Toc7345"/>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30"/>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31"/>
      <w:bookmarkEnd w:id="240"/>
    </w:p>
    <w:p w14:paraId="6178FDF3">
      <w:pPr>
        <w:spacing w:line="360" w:lineRule="auto"/>
        <w:jc w:val="center"/>
        <w:outlineLvl w:val="1"/>
        <w:rPr>
          <w:rFonts w:ascii="仿宋" w:hAnsi="仿宋" w:eastAsia="仿宋" w:cs="仿宋"/>
          <w:b/>
          <w:bCs/>
          <w:color w:val="auto"/>
          <w:sz w:val="32"/>
          <w:szCs w:val="44"/>
          <w:highlight w:val="none"/>
        </w:rPr>
      </w:pPr>
      <w:bookmarkStart w:id="241" w:name="_Toc8735"/>
      <w:bookmarkStart w:id="242" w:name="_Toc2142"/>
      <w:r>
        <w:rPr>
          <w:rFonts w:hint="eastAsia" w:ascii="仿宋" w:hAnsi="仿宋" w:eastAsia="仿宋" w:cs="仿宋"/>
          <w:b/>
          <w:bCs/>
          <w:color w:val="auto"/>
          <w:sz w:val="32"/>
          <w:szCs w:val="44"/>
          <w:highlight w:val="none"/>
        </w:rPr>
        <w:t>询问函范本</w:t>
      </w:r>
      <w:bookmarkEnd w:id="241"/>
      <w:bookmarkEnd w:id="242"/>
    </w:p>
    <w:p w14:paraId="47BD5E7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597A4071">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627834C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7412228">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43" w:name="_Toc9092"/>
      <w:bookmarkStart w:id="244" w:name="_Toc26386"/>
      <w:r>
        <w:rPr>
          <w:rFonts w:hint="eastAsia" w:cs="仿宋" w:asciiTheme="minorEastAsia" w:hAnsiTheme="minorEastAsia" w:eastAsiaTheme="minorEastAsia"/>
          <w:color w:val="auto"/>
          <w:sz w:val="24"/>
          <w:szCs w:val="24"/>
          <w:highlight w:val="none"/>
        </w:rPr>
        <w:t>一、(事项一)</w:t>
      </w:r>
      <w:bookmarkEnd w:id="243"/>
      <w:bookmarkEnd w:id="244"/>
    </w:p>
    <w:p w14:paraId="37A802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9ADC85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33C735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AECE0D7">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45" w:name="_Toc9273"/>
      <w:bookmarkStart w:id="246" w:name="_Toc17582"/>
      <w:r>
        <w:rPr>
          <w:rFonts w:hint="eastAsia" w:cs="仿宋" w:asciiTheme="minorEastAsia" w:hAnsiTheme="minorEastAsia" w:eastAsiaTheme="minorEastAsia"/>
          <w:color w:val="auto"/>
          <w:sz w:val="24"/>
          <w:szCs w:val="24"/>
          <w:highlight w:val="none"/>
        </w:rPr>
        <w:t>二、(事项二)</w:t>
      </w:r>
      <w:bookmarkEnd w:id="245"/>
      <w:bookmarkEnd w:id="246"/>
    </w:p>
    <w:p w14:paraId="01F56FF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9CC245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874252C">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8B5C52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3CFAC8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1D1EAA2">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45245215">
      <w:pPr>
        <w:jc w:val="center"/>
        <w:outlineLvl w:val="1"/>
        <w:rPr>
          <w:rFonts w:ascii="仿宋" w:hAnsi="仿宋" w:eastAsia="仿宋" w:cs="仿宋"/>
          <w:b/>
          <w:bCs/>
          <w:color w:val="auto"/>
          <w:sz w:val="32"/>
          <w:szCs w:val="44"/>
          <w:highlight w:val="none"/>
        </w:rPr>
      </w:pPr>
      <w:bookmarkStart w:id="247" w:name="_Toc26673"/>
      <w:bookmarkStart w:id="248" w:name="_Toc6990"/>
      <w:r>
        <w:rPr>
          <w:rFonts w:hint="eastAsia" w:ascii="仿宋" w:hAnsi="仿宋" w:eastAsia="仿宋" w:cs="仿宋"/>
          <w:b/>
          <w:bCs/>
          <w:color w:val="auto"/>
          <w:sz w:val="32"/>
          <w:szCs w:val="44"/>
          <w:highlight w:val="none"/>
        </w:rPr>
        <w:t>质疑函范本</w:t>
      </w:r>
      <w:bookmarkEnd w:id="247"/>
      <w:bookmarkEnd w:id="248"/>
    </w:p>
    <w:p w14:paraId="4F78C1A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49" w:name="_Toc29510"/>
      <w:bookmarkStart w:id="250" w:name="_Toc2994"/>
      <w:r>
        <w:rPr>
          <w:rFonts w:hint="eastAsia" w:cs="仿宋" w:asciiTheme="minorEastAsia" w:hAnsiTheme="minorEastAsia" w:eastAsiaTheme="minorEastAsia"/>
          <w:b/>
          <w:bCs/>
          <w:color w:val="auto"/>
          <w:sz w:val="24"/>
          <w:szCs w:val="24"/>
          <w:highlight w:val="none"/>
        </w:rPr>
        <w:t>一、质疑供应商基本信息</w:t>
      </w:r>
      <w:bookmarkEnd w:id="249"/>
      <w:bookmarkEnd w:id="250"/>
    </w:p>
    <w:p w14:paraId="5E752D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66764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783EB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16BCC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EB32B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A8988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34FFD3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1" w:name="_Toc28130"/>
      <w:bookmarkStart w:id="252" w:name="_Toc31042"/>
      <w:r>
        <w:rPr>
          <w:rFonts w:hint="eastAsia" w:cs="仿宋" w:asciiTheme="minorEastAsia" w:hAnsiTheme="minorEastAsia" w:eastAsiaTheme="minorEastAsia"/>
          <w:b/>
          <w:bCs/>
          <w:color w:val="auto"/>
          <w:sz w:val="24"/>
          <w:szCs w:val="24"/>
          <w:highlight w:val="none"/>
        </w:rPr>
        <w:t>二、质疑项目基本情况</w:t>
      </w:r>
      <w:bookmarkEnd w:id="251"/>
      <w:bookmarkEnd w:id="252"/>
    </w:p>
    <w:p w14:paraId="30C07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0D27EB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09E11E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9ECC80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414F6F9">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3" w:name="_Toc20587"/>
      <w:bookmarkStart w:id="254" w:name="_Toc6486"/>
      <w:r>
        <w:rPr>
          <w:rFonts w:hint="eastAsia" w:cs="仿宋" w:asciiTheme="minorEastAsia" w:hAnsiTheme="minorEastAsia" w:eastAsiaTheme="minorEastAsia"/>
          <w:b/>
          <w:bCs/>
          <w:color w:val="auto"/>
          <w:sz w:val="24"/>
          <w:szCs w:val="24"/>
          <w:highlight w:val="none"/>
        </w:rPr>
        <w:t>三、质疑事项具体内容</w:t>
      </w:r>
      <w:bookmarkEnd w:id="253"/>
      <w:bookmarkEnd w:id="254"/>
    </w:p>
    <w:p w14:paraId="5C9CF4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B5A26C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0D36D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767C38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2CE974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1085CBB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959E1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0CFBC6B">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5" w:name="_Toc32755"/>
      <w:bookmarkStart w:id="256" w:name="_Toc20470"/>
      <w:r>
        <w:rPr>
          <w:rFonts w:hint="eastAsia" w:cs="仿宋" w:asciiTheme="minorEastAsia" w:hAnsiTheme="minorEastAsia" w:eastAsiaTheme="minorEastAsia"/>
          <w:b/>
          <w:bCs/>
          <w:color w:val="auto"/>
          <w:sz w:val="24"/>
          <w:szCs w:val="24"/>
          <w:highlight w:val="none"/>
        </w:rPr>
        <w:t>四、与质疑事项相关的质疑请求</w:t>
      </w:r>
      <w:bookmarkEnd w:id="255"/>
      <w:bookmarkEnd w:id="256"/>
    </w:p>
    <w:p w14:paraId="04694AC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B8BCF4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60B5B9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D97829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7D69619">
      <w:pPr>
        <w:outlineLvl w:val="0"/>
        <w:rPr>
          <w:rFonts w:asciiTheme="minorEastAsia" w:hAnsiTheme="minorEastAsia" w:eastAsiaTheme="minorEastAsia"/>
          <w:b/>
          <w:color w:val="auto"/>
          <w:sz w:val="28"/>
          <w:szCs w:val="32"/>
          <w:highlight w:val="none"/>
        </w:rPr>
      </w:pPr>
      <w:bookmarkStart w:id="257" w:name="_Toc8368"/>
      <w:bookmarkStart w:id="258" w:name="_Toc21667"/>
      <w:bookmarkStart w:id="259" w:name="_Toc20635"/>
      <w:r>
        <w:rPr>
          <w:rFonts w:hint="eastAsia" w:asciiTheme="minorEastAsia" w:hAnsiTheme="minorEastAsia" w:eastAsiaTheme="minorEastAsia"/>
          <w:b/>
          <w:color w:val="auto"/>
          <w:sz w:val="28"/>
          <w:szCs w:val="32"/>
          <w:highlight w:val="none"/>
        </w:rPr>
        <w:t>质疑函制作说明：</w:t>
      </w:r>
      <w:bookmarkEnd w:id="257"/>
      <w:bookmarkEnd w:id="258"/>
      <w:bookmarkEnd w:id="259"/>
    </w:p>
    <w:p w14:paraId="386C97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4AD32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3FB0B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FC20C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519EB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1975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98D5">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FEC1">
    <w:pPr>
      <w:pStyle w:val="19"/>
      <w:rPr>
        <w:rStyle w:val="31"/>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DAC97">
                          <w:pPr>
                            <w:pStyle w:val="1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CDAC97">
                    <w:pPr>
                      <w:pStyle w:val="19"/>
                    </w:pPr>
                    <w:r>
                      <w:fldChar w:fldCharType="begin"/>
                    </w:r>
                    <w:r>
                      <w:instrText xml:space="preserve"> PAGE  \* MERGEFORMAT </w:instrText>
                    </w:r>
                    <w:r>
                      <w:fldChar w:fldCharType="separate"/>
                    </w:r>
                    <w:r>
                      <w:t>2</w:t>
                    </w:r>
                    <w:r>
                      <w:fldChar w:fldCharType="end"/>
                    </w:r>
                  </w:p>
                </w:txbxContent>
              </v:textbox>
            </v:shape>
          </w:pict>
        </mc:Fallback>
      </mc:AlternateContent>
    </w:r>
  </w:p>
  <w:p w14:paraId="12DDD06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F27D">
    <w:pPr>
      <w:pStyle w:val="19"/>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3C173">
                          <w:pPr>
                            <w:pStyle w:val="19"/>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boD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14F3C173">
                    <w:pPr>
                      <w:pStyle w:val="19"/>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BD32">
    <w:pPr>
      <w:pStyle w:val="2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42B7">
    <w:pPr>
      <w:pStyle w:val="2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5"/>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43C"/>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356F"/>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B7314"/>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67F17"/>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057174"/>
    <w:rsid w:val="015873C5"/>
    <w:rsid w:val="015C4E83"/>
    <w:rsid w:val="01722E9F"/>
    <w:rsid w:val="017600E6"/>
    <w:rsid w:val="017F5898"/>
    <w:rsid w:val="0185764C"/>
    <w:rsid w:val="01915CC2"/>
    <w:rsid w:val="019F4757"/>
    <w:rsid w:val="01D50C7E"/>
    <w:rsid w:val="02443CCC"/>
    <w:rsid w:val="02880C6E"/>
    <w:rsid w:val="02B63CEC"/>
    <w:rsid w:val="02EB0203"/>
    <w:rsid w:val="02EF2692"/>
    <w:rsid w:val="034445B5"/>
    <w:rsid w:val="03B629A7"/>
    <w:rsid w:val="03C43552"/>
    <w:rsid w:val="04D35827"/>
    <w:rsid w:val="04DD5D12"/>
    <w:rsid w:val="04F80D9E"/>
    <w:rsid w:val="05D714EA"/>
    <w:rsid w:val="064A0C38"/>
    <w:rsid w:val="067E27BC"/>
    <w:rsid w:val="068F0ACF"/>
    <w:rsid w:val="06954AF6"/>
    <w:rsid w:val="069637C4"/>
    <w:rsid w:val="06AE129F"/>
    <w:rsid w:val="06DE5C58"/>
    <w:rsid w:val="072D20A4"/>
    <w:rsid w:val="073B420D"/>
    <w:rsid w:val="07C12195"/>
    <w:rsid w:val="07D71DC7"/>
    <w:rsid w:val="07EA15DC"/>
    <w:rsid w:val="08397703"/>
    <w:rsid w:val="08BA0E0D"/>
    <w:rsid w:val="091935E4"/>
    <w:rsid w:val="0937357F"/>
    <w:rsid w:val="098D7D07"/>
    <w:rsid w:val="09A909AA"/>
    <w:rsid w:val="0A052B89"/>
    <w:rsid w:val="0A3D35AB"/>
    <w:rsid w:val="0A542106"/>
    <w:rsid w:val="0A6C4667"/>
    <w:rsid w:val="0AC97464"/>
    <w:rsid w:val="0AF049F1"/>
    <w:rsid w:val="0B2360D1"/>
    <w:rsid w:val="0B2C7DE0"/>
    <w:rsid w:val="0B9C06D5"/>
    <w:rsid w:val="0BBE711B"/>
    <w:rsid w:val="0BD47173"/>
    <w:rsid w:val="0C125A2E"/>
    <w:rsid w:val="0C1B47F2"/>
    <w:rsid w:val="0C4264AA"/>
    <w:rsid w:val="0C6157E5"/>
    <w:rsid w:val="0D224C0A"/>
    <w:rsid w:val="0D466B4A"/>
    <w:rsid w:val="0D474670"/>
    <w:rsid w:val="0D8458C4"/>
    <w:rsid w:val="0DB63633"/>
    <w:rsid w:val="0DCB75F9"/>
    <w:rsid w:val="0E812471"/>
    <w:rsid w:val="0E917266"/>
    <w:rsid w:val="0EFE3455"/>
    <w:rsid w:val="0F3B6457"/>
    <w:rsid w:val="0F403A6D"/>
    <w:rsid w:val="0FD85F3D"/>
    <w:rsid w:val="10090F42"/>
    <w:rsid w:val="10607C4F"/>
    <w:rsid w:val="10625C40"/>
    <w:rsid w:val="106E6418"/>
    <w:rsid w:val="10990825"/>
    <w:rsid w:val="10CD30DE"/>
    <w:rsid w:val="10D40911"/>
    <w:rsid w:val="11323C4E"/>
    <w:rsid w:val="11E45716"/>
    <w:rsid w:val="12067AF4"/>
    <w:rsid w:val="1299596E"/>
    <w:rsid w:val="12D71D5F"/>
    <w:rsid w:val="13147343"/>
    <w:rsid w:val="13622204"/>
    <w:rsid w:val="13D717CD"/>
    <w:rsid w:val="151B7FB7"/>
    <w:rsid w:val="15AF54A9"/>
    <w:rsid w:val="15CC7E09"/>
    <w:rsid w:val="16013871"/>
    <w:rsid w:val="16300397"/>
    <w:rsid w:val="167B6427"/>
    <w:rsid w:val="16A938D8"/>
    <w:rsid w:val="16B27D38"/>
    <w:rsid w:val="171B52F9"/>
    <w:rsid w:val="17255C8A"/>
    <w:rsid w:val="17D77080"/>
    <w:rsid w:val="17DE3E23"/>
    <w:rsid w:val="190515AC"/>
    <w:rsid w:val="19263CD4"/>
    <w:rsid w:val="1930691F"/>
    <w:rsid w:val="19C03191"/>
    <w:rsid w:val="19ED66F3"/>
    <w:rsid w:val="1A352420"/>
    <w:rsid w:val="1A510CFD"/>
    <w:rsid w:val="1A54637E"/>
    <w:rsid w:val="1A6528FE"/>
    <w:rsid w:val="1A835004"/>
    <w:rsid w:val="1AD339E7"/>
    <w:rsid w:val="1B4B17D0"/>
    <w:rsid w:val="1B542D7A"/>
    <w:rsid w:val="1BA02D05"/>
    <w:rsid w:val="1BA61F6F"/>
    <w:rsid w:val="1BE94919"/>
    <w:rsid w:val="1C093B64"/>
    <w:rsid w:val="1C63029E"/>
    <w:rsid w:val="1C6B037B"/>
    <w:rsid w:val="1C715A71"/>
    <w:rsid w:val="1CA1494D"/>
    <w:rsid w:val="1CA52637"/>
    <w:rsid w:val="1CC921E7"/>
    <w:rsid w:val="1D0E0D07"/>
    <w:rsid w:val="1D1C4205"/>
    <w:rsid w:val="1D444EB6"/>
    <w:rsid w:val="1DA840EB"/>
    <w:rsid w:val="1DF83E22"/>
    <w:rsid w:val="1E1D46AD"/>
    <w:rsid w:val="1E4531C0"/>
    <w:rsid w:val="1F29350C"/>
    <w:rsid w:val="1F3139B1"/>
    <w:rsid w:val="1F8C2951"/>
    <w:rsid w:val="1FCB2EDF"/>
    <w:rsid w:val="20001E79"/>
    <w:rsid w:val="201A2AFF"/>
    <w:rsid w:val="203A2CE5"/>
    <w:rsid w:val="208539D6"/>
    <w:rsid w:val="20C16461"/>
    <w:rsid w:val="20ED2E58"/>
    <w:rsid w:val="20FF5536"/>
    <w:rsid w:val="21367194"/>
    <w:rsid w:val="21444369"/>
    <w:rsid w:val="21CB366A"/>
    <w:rsid w:val="223905D4"/>
    <w:rsid w:val="226F2197"/>
    <w:rsid w:val="22E91FFA"/>
    <w:rsid w:val="23146520"/>
    <w:rsid w:val="23205778"/>
    <w:rsid w:val="2322550C"/>
    <w:rsid w:val="23585502"/>
    <w:rsid w:val="23596C26"/>
    <w:rsid w:val="239767DA"/>
    <w:rsid w:val="23DB14C5"/>
    <w:rsid w:val="24042E63"/>
    <w:rsid w:val="24456480"/>
    <w:rsid w:val="24577437"/>
    <w:rsid w:val="24584540"/>
    <w:rsid w:val="24635A04"/>
    <w:rsid w:val="246851A0"/>
    <w:rsid w:val="24E0567E"/>
    <w:rsid w:val="25256AF7"/>
    <w:rsid w:val="255D409B"/>
    <w:rsid w:val="2561056D"/>
    <w:rsid w:val="25652EDE"/>
    <w:rsid w:val="25981AB5"/>
    <w:rsid w:val="262D78EB"/>
    <w:rsid w:val="263F3C7D"/>
    <w:rsid w:val="265D18B9"/>
    <w:rsid w:val="26EB3CAB"/>
    <w:rsid w:val="27CA60F4"/>
    <w:rsid w:val="27E234BC"/>
    <w:rsid w:val="27E85AF1"/>
    <w:rsid w:val="281D3C6A"/>
    <w:rsid w:val="28BF1224"/>
    <w:rsid w:val="28C929C1"/>
    <w:rsid w:val="29332221"/>
    <w:rsid w:val="295220BC"/>
    <w:rsid w:val="29934A6D"/>
    <w:rsid w:val="299A1C85"/>
    <w:rsid w:val="29A15E60"/>
    <w:rsid w:val="29DA6B0B"/>
    <w:rsid w:val="2A093B18"/>
    <w:rsid w:val="2A1C2D12"/>
    <w:rsid w:val="2A8D7B4E"/>
    <w:rsid w:val="2ABD245A"/>
    <w:rsid w:val="2AD104E2"/>
    <w:rsid w:val="2B412386"/>
    <w:rsid w:val="2B5B780D"/>
    <w:rsid w:val="2B876854"/>
    <w:rsid w:val="2BB34FD2"/>
    <w:rsid w:val="2BD15D21"/>
    <w:rsid w:val="2BE62A1C"/>
    <w:rsid w:val="2BFD6B16"/>
    <w:rsid w:val="2C251CF5"/>
    <w:rsid w:val="2C3A5674"/>
    <w:rsid w:val="2C6E3570"/>
    <w:rsid w:val="2C8124F8"/>
    <w:rsid w:val="2CE10D2D"/>
    <w:rsid w:val="2CEA687B"/>
    <w:rsid w:val="2D1633EB"/>
    <w:rsid w:val="2D345514"/>
    <w:rsid w:val="2D5819A5"/>
    <w:rsid w:val="2DA57F4B"/>
    <w:rsid w:val="2DCA3B5A"/>
    <w:rsid w:val="2DDE64D3"/>
    <w:rsid w:val="2DE16C1F"/>
    <w:rsid w:val="2E027D31"/>
    <w:rsid w:val="2E096892"/>
    <w:rsid w:val="2E1B2EA1"/>
    <w:rsid w:val="2E395380"/>
    <w:rsid w:val="2E63511A"/>
    <w:rsid w:val="2E636360"/>
    <w:rsid w:val="2EB35320"/>
    <w:rsid w:val="2EE6563F"/>
    <w:rsid w:val="2EF830D5"/>
    <w:rsid w:val="2F111D48"/>
    <w:rsid w:val="2F283EAA"/>
    <w:rsid w:val="2F317872"/>
    <w:rsid w:val="2F3F0C54"/>
    <w:rsid w:val="2F4615DA"/>
    <w:rsid w:val="2F810850"/>
    <w:rsid w:val="2FB40713"/>
    <w:rsid w:val="30444D13"/>
    <w:rsid w:val="30ED2B9B"/>
    <w:rsid w:val="310821E5"/>
    <w:rsid w:val="31197749"/>
    <w:rsid w:val="312608BD"/>
    <w:rsid w:val="323B0398"/>
    <w:rsid w:val="324A2389"/>
    <w:rsid w:val="32691053"/>
    <w:rsid w:val="32A538A5"/>
    <w:rsid w:val="32CF509C"/>
    <w:rsid w:val="330C4FCE"/>
    <w:rsid w:val="330E360D"/>
    <w:rsid w:val="33492641"/>
    <w:rsid w:val="335747AC"/>
    <w:rsid w:val="339A10EE"/>
    <w:rsid w:val="33B37D2E"/>
    <w:rsid w:val="33C06BFF"/>
    <w:rsid w:val="3468501E"/>
    <w:rsid w:val="348F2D94"/>
    <w:rsid w:val="34F051F3"/>
    <w:rsid w:val="352620DC"/>
    <w:rsid w:val="35E054DE"/>
    <w:rsid w:val="35E5310F"/>
    <w:rsid w:val="36097A13"/>
    <w:rsid w:val="36581519"/>
    <w:rsid w:val="3661430F"/>
    <w:rsid w:val="369D587E"/>
    <w:rsid w:val="36CF1D5D"/>
    <w:rsid w:val="36CF7301"/>
    <w:rsid w:val="370F3BF6"/>
    <w:rsid w:val="371D28E3"/>
    <w:rsid w:val="375D1E78"/>
    <w:rsid w:val="37E47653"/>
    <w:rsid w:val="382947EF"/>
    <w:rsid w:val="388D1222"/>
    <w:rsid w:val="38F01E0F"/>
    <w:rsid w:val="39293004"/>
    <w:rsid w:val="393336C0"/>
    <w:rsid w:val="39820C37"/>
    <w:rsid w:val="39882115"/>
    <w:rsid w:val="39D8471E"/>
    <w:rsid w:val="39E10D60"/>
    <w:rsid w:val="3A203377"/>
    <w:rsid w:val="3A3D1A61"/>
    <w:rsid w:val="3A8328DC"/>
    <w:rsid w:val="3A8C79E3"/>
    <w:rsid w:val="3A960861"/>
    <w:rsid w:val="3AB931B1"/>
    <w:rsid w:val="3ADC54E1"/>
    <w:rsid w:val="3B11613A"/>
    <w:rsid w:val="3BFC5E74"/>
    <w:rsid w:val="3C0059BB"/>
    <w:rsid w:val="3C5A58BF"/>
    <w:rsid w:val="3C5F3E33"/>
    <w:rsid w:val="3C706E90"/>
    <w:rsid w:val="3CC64D02"/>
    <w:rsid w:val="3CFC5061"/>
    <w:rsid w:val="3D1B7B1B"/>
    <w:rsid w:val="3D502D9B"/>
    <w:rsid w:val="3D9077EA"/>
    <w:rsid w:val="3DA908AC"/>
    <w:rsid w:val="3DFD7F8F"/>
    <w:rsid w:val="3EB72B54"/>
    <w:rsid w:val="3F5E4365"/>
    <w:rsid w:val="3FBE7F13"/>
    <w:rsid w:val="40012AD8"/>
    <w:rsid w:val="41214BFD"/>
    <w:rsid w:val="415470E2"/>
    <w:rsid w:val="41596343"/>
    <w:rsid w:val="416E38FB"/>
    <w:rsid w:val="41AF5742"/>
    <w:rsid w:val="41BB759E"/>
    <w:rsid w:val="42435353"/>
    <w:rsid w:val="425608D6"/>
    <w:rsid w:val="42664FBD"/>
    <w:rsid w:val="42B740A7"/>
    <w:rsid w:val="42CD2946"/>
    <w:rsid w:val="42FC216C"/>
    <w:rsid w:val="42FF3315"/>
    <w:rsid w:val="434C6F8D"/>
    <w:rsid w:val="4353477A"/>
    <w:rsid w:val="437A5885"/>
    <w:rsid w:val="43C05511"/>
    <w:rsid w:val="446B6021"/>
    <w:rsid w:val="447A6BAC"/>
    <w:rsid w:val="449F0313"/>
    <w:rsid w:val="456804A8"/>
    <w:rsid w:val="4595695A"/>
    <w:rsid w:val="45FC7108"/>
    <w:rsid w:val="46B53E1D"/>
    <w:rsid w:val="46BD7ED2"/>
    <w:rsid w:val="473A7BED"/>
    <w:rsid w:val="4779040E"/>
    <w:rsid w:val="477A5376"/>
    <w:rsid w:val="47863A67"/>
    <w:rsid w:val="478F71C4"/>
    <w:rsid w:val="47D34348"/>
    <w:rsid w:val="47EF335F"/>
    <w:rsid w:val="4821786A"/>
    <w:rsid w:val="4825146D"/>
    <w:rsid w:val="48253225"/>
    <w:rsid w:val="48D04F3E"/>
    <w:rsid w:val="49407CA0"/>
    <w:rsid w:val="498126DD"/>
    <w:rsid w:val="4A6169D0"/>
    <w:rsid w:val="4B014864"/>
    <w:rsid w:val="4B071F90"/>
    <w:rsid w:val="4B125CE2"/>
    <w:rsid w:val="4B2C48CA"/>
    <w:rsid w:val="4B321A3C"/>
    <w:rsid w:val="4B835265"/>
    <w:rsid w:val="4B954E7C"/>
    <w:rsid w:val="4C055307"/>
    <w:rsid w:val="4C2537F3"/>
    <w:rsid w:val="4C312198"/>
    <w:rsid w:val="4D3E64AE"/>
    <w:rsid w:val="4DBD7B27"/>
    <w:rsid w:val="4DC8085E"/>
    <w:rsid w:val="4E6B046C"/>
    <w:rsid w:val="4E6C5709"/>
    <w:rsid w:val="4E707289"/>
    <w:rsid w:val="4E9E4717"/>
    <w:rsid w:val="4EEA3D40"/>
    <w:rsid w:val="4EFD6CDC"/>
    <w:rsid w:val="4F00728A"/>
    <w:rsid w:val="4F3016F5"/>
    <w:rsid w:val="4F3F6AB1"/>
    <w:rsid w:val="4F5D071B"/>
    <w:rsid w:val="4F8151E4"/>
    <w:rsid w:val="4F9B688F"/>
    <w:rsid w:val="500109DB"/>
    <w:rsid w:val="50067073"/>
    <w:rsid w:val="50C36BA5"/>
    <w:rsid w:val="50E95575"/>
    <w:rsid w:val="511D0F3D"/>
    <w:rsid w:val="517D5E7F"/>
    <w:rsid w:val="51DD691E"/>
    <w:rsid w:val="51F64E25"/>
    <w:rsid w:val="52550769"/>
    <w:rsid w:val="52752746"/>
    <w:rsid w:val="527B72D6"/>
    <w:rsid w:val="527D5F08"/>
    <w:rsid w:val="52DD09D8"/>
    <w:rsid w:val="52EC3194"/>
    <w:rsid w:val="536B3351"/>
    <w:rsid w:val="5379560D"/>
    <w:rsid w:val="53C438F2"/>
    <w:rsid w:val="53DF072C"/>
    <w:rsid w:val="54087D99"/>
    <w:rsid w:val="543A3BB4"/>
    <w:rsid w:val="545D5AF4"/>
    <w:rsid w:val="548A4B3B"/>
    <w:rsid w:val="54A72003"/>
    <w:rsid w:val="54B576DE"/>
    <w:rsid w:val="54CE2C62"/>
    <w:rsid w:val="54DF4028"/>
    <w:rsid w:val="55723669"/>
    <w:rsid w:val="558D05EC"/>
    <w:rsid w:val="5593361B"/>
    <w:rsid w:val="55C013D0"/>
    <w:rsid w:val="55C645F4"/>
    <w:rsid w:val="56023921"/>
    <w:rsid w:val="56151261"/>
    <w:rsid w:val="56550D6B"/>
    <w:rsid w:val="5712706A"/>
    <w:rsid w:val="571A0F26"/>
    <w:rsid w:val="571C1C97"/>
    <w:rsid w:val="57305E0A"/>
    <w:rsid w:val="57803BF0"/>
    <w:rsid w:val="579D20FA"/>
    <w:rsid w:val="57BC2B32"/>
    <w:rsid w:val="57D4658D"/>
    <w:rsid w:val="57DA1D5C"/>
    <w:rsid w:val="5809250B"/>
    <w:rsid w:val="580E15DF"/>
    <w:rsid w:val="580F01B2"/>
    <w:rsid w:val="59011BEE"/>
    <w:rsid w:val="59080725"/>
    <w:rsid w:val="59387C36"/>
    <w:rsid w:val="59BE0FF0"/>
    <w:rsid w:val="59C01C6B"/>
    <w:rsid w:val="59C363FA"/>
    <w:rsid w:val="59D16B2C"/>
    <w:rsid w:val="5A2E6B8F"/>
    <w:rsid w:val="5A3617D9"/>
    <w:rsid w:val="5A513A05"/>
    <w:rsid w:val="5A737E20"/>
    <w:rsid w:val="5A7F6B6C"/>
    <w:rsid w:val="5AFB613D"/>
    <w:rsid w:val="5B080567"/>
    <w:rsid w:val="5B391CDC"/>
    <w:rsid w:val="5B884B20"/>
    <w:rsid w:val="5B971658"/>
    <w:rsid w:val="5BC0556E"/>
    <w:rsid w:val="5BC81C40"/>
    <w:rsid w:val="5BF353EE"/>
    <w:rsid w:val="5C0056E3"/>
    <w:rsid w:val="5C15773A"/>
    <w:rsid w:val="5C2A36C8"/>
    <w:rsid w:val="5C3F26AF"/>
    <w:rsid w:val="5C9A78E6"/>
    <w:rsid w:val="5CE609DA"/>
    <w:rsid w:val="5D3309DE"/>
    <w:rsid w:val="5D8B01B4"/>
    <w:rsid w:val="5DA327CA"/>
    <w:rsid w:val="5DE60909"/>
    <w:rsid w:val="5DE762FC"/>
    <w:rsid w:val="5DEB0B1F"/>
    <w:rsid w:val="5DEC23C3"/>
    <w:rsid w:val="5E624DA3"/>
    <w:rsid w:val="5E714AFD"/>
    <w:rsid w:val="5EA10861"/>
    <w:rsid w:val="5EA22A81"/>
    <w:rsid w:val="5ED300C5"/>
    <w:rsid w:val="5FA6034F"/>
    <w:rsid w:val="5FBF7663"/>
    <w:rsid w:val="5FC5111D"/>
    <w:rsid w:val="5FCD244A"/>
    <w:rsid w:val="5FD41360"/>
    <w:rsid w:val="5FD74633"/>
    <w:rsid w:val="607246D5"/>
    <w:rsid w:val="60885CA7"/>
    <w:rsid w:val="60E412C0"/>
    <w:rsid w:val="61AD1DFA"/>
    <w:rsid w:val="61DA1D04"/>
    <w:rsid w:val="61E323AE"/>
    <w:rsid w:val="622639C9"/>
    <w:rsid w:val="623331AC"/>
    <w:rsid w:val="6247406C"/>
    <w:rsid w:val="625772C4"/>
    <w:rsid w:val="633839B4"/>
    <w:rsid w:val="636F3034"/>
    <w:rsid w:val="63A064A2"/>
    <w:rsid w:val="63CD15D5"/>
    <w:rsid w:val="64B1428F"/>
    <w:rsid w:val="64E41ED7"/>
    <w:rsid w:val="64E831B8"/>
    <w:rsid w:val="650516A8"/>
    <w:rsid w:val="65330581"/>
    <w:rsid w:val="65830E72"/>
    <w:rsid w:val="65D44C7D"/>
    <w:rsid w:val="66550C7C"/>
    <w:rsid w:val="669F36BE"/>
    <w:rsid w:val="66D823BF"/>
    <w:rsid w:val="66E81280"/>
    <w:rsid w:val="66F607A6"/>
    <w:rsid w:val="67303132"/>
    <w:rsid w:val="674F5372"/>
    <w:rsid w:val="67BF46A4"/>
    <w:rsid w:val="67E900A7"/>
    <w:rsid w:val="67FD341E"/>
    <w:rsid w:val="68172908"/>
    <w:rsid w:val="689866A0"/>
    <w:rsid w:val="68C36416"/>
    <w:rsid w:val="69043521"/>
    <w:rsid w:val="69110DD3"/>
    <w:rsid w:val="691427CE"/>
    <w:rsid w:val="691D526F"/>
    <w:rsid w:val="695D4175"/>
    <w:rsid w:val="69676D3F"/>
    <w:rsid w:val="6A2E3597"/>
    <w:rsid w:val="6A894DD0"/>
    <w:rsid w:val="6B2D47E7"/>
    <w:rsid w:val="6B3D5CA9"/>
    <w:rsid w:val="6B8E2CAD"/>
    <w:rsid w:val="6BC32289"/>
    <w:rsid w:val="6C2E233F"/>
    <w:rsid w:val="6C705F6D"/>
    <w:rsid w:val="6C8D150C"/>
    <w:rsid w:val="6C964502"/>
    <w:rsid w:val="6CE35249"/>
    <w:rsid w:val="6D3527BF"/>
    <w:rsid w:val="6D3A6E8E"/>
    <w:rsid w:val="6D6C08BF"/>
    <w:rsid w:val="6DA73C10"/>
    <w:rsid w:val="6DC37FC8"/>
    <w:rsid w:val="6DD644F6"/>
    <w:rsid w:val="6DFD5F26"/>
    <w:rsid w:val="6E39711A"/>
    <w:rsid w:val="6E997D6C"/>
    <w:rsid w:val="6ED742C8"/>
    <w:rsid w:val="6EED6E2B"/>
    <w:rsid w:val="6EF616F6"/>
    <w:rsid w:val="6F5D575B"/>
    <w:rsid w:val="6F653D83"/>
    <w:rsid w:val="708811A7"/>
    <w:rsid w:val="70951A45"/>
    <w:rsid w:val="70BB1D85"/>
    <w:rsid w:val="70CD22D0"/>
    <w:rsid w:val="71467526"/>
    <w:rsid w:val="71536A86"/>
    <w:rsid w:val="71902C0D"/>
    <w:rsid w:val="71C02DE5"/>
    <w:rsid w:val="723E4876"/>
    <w:rsid w:val="72630BB1"/>
    <w:rsid w:val="72824C4C"/>
    <w:rsid w:val="72834520"/>
    <w:rsid w:val="72D354A8"/>
    <w:rsid w:val="737722D7"/>
    <w:rsid w:val="73864CD9"/>
    <w:rsid w:val="74785E04"/>
    <w:rsid w:val="74FC2405"/>
    <w:rsid w:val="752C4F4C"/>
    <w:rsid w:val="753019CD"/>
    <w:rsid w:val="754058DD"/>
    <w:rsid w:val="75480DF3"/>
    <w:rsid w:val="7615092E"/>
    <w:rsid w:val="76621D63"/>
    <w:rsid w:val="768D6460"/>
    <w:rsid w:val="76976BFF"/>
    <w:rsid w:val="771A04F8"/>
    <w:rsid w:val="77AC54F3"/>
    <w:rsid w:val="77F30411"/>
    <w:rsid w:val="780F0D30"/>
    <w:rsid w:val="78105AA2"/>
    <w:rsid w:val="782D15D9"/>
    <w:rsid w:val="783C764B"/>
    <w:rsid w:val="784A4B73"/>
    <w:rsid w:val="78544995"/>
    <w:rsid w:val="78617423"/>
    <w:rsid w:val="786924FD"/>
    <w:rsid w:val="7894419D"/>
    <w:rsid w:val="78A3591C"/>
    <w:rsid w:val="78A91184"/>
    <w:rsid w:val="79022643"/>
    <w:rsid w:val="79224A93"/>
    <w:rsid w:val="7950018C"/>
    <w:rsid w:val="79837AAE"/>
    <w:rsid w:val="7995454B"/>
    <w:rsid w:val="799B26EC"/>
    <w:rsid w:val="79B0209F"/>
    <w:rsid w:val="7A5B3FA8"/>
    <w:rsid w:val="7A7632E8"/>
    <w:rsid w:val="7AE863F2"/>
    <w:rsid w:val="7AE91FA6"/>
    <w:rsid w:val="7AF35558"/>
    <w:rsid w:val="7B5200DC"/>
    <w:rsid w:val="7BA174E1"/>
    <w:rsid w:val="7BC04FC3"/>
    <w:rsid w:val="7BE4445E"/>
    <w:rsid w:val="7CA72746"/>
    <w:rsid w:val="7D230DDA"/>
    <w:rsid w:val="7D87580C"/>
    <w:rsid w:val="7D8A2C07"/>
    <w:rsid w:val="7D934720"/>
    <w:rsid w:val="7DC33C3F"/>
    <w:rsid w:val="7DD00A7F"/>
    <w:rsid w:val="7E3752FD"/>
    <w:rsid w:val="7E584AB3"/>
    <w:rsid w:val="7E877EF0"/>
    <w:rsid w:val="7EA0293B"/>
    <w:rsid w:val="7EA81A90"/>
    <w:rsid w:val="7EFC5E66"/>
    <w:rsid w:val="7F2B14FE"/>
    <w:rsid w:val="7F3802B9"/>
    <w:rsid w:val="7F574B38"/>
    <w:rsid w:val="7FCC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62"/>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64"/>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69"/>
    <w:autoRedefine/>
    <w:qFormat/>
    <w:uiPriority w:val="0"/>
    <w:pPr>
      <w:keepNext/>
      <w:keepLines/>
      <w:spacing w:before="280" w:after="290" w:line="376" w:lineRule="auto"/>
      <w:outlineLvl w:val="3"/>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widowControl w:val="0"/>
      <w:spacing w:after="120" w:line="240" w:lineRule="auto"/>
      <w:ind w:left="420" w:leftChars="200"/>
      <w:textAlignment w:val="auto"/>
    </w:pPr>
    <w:rPr>
      <w:rFonts w:ascii="Times New Roman" w:hAnsi="Times New Roman" w:eastAsia="宋体"/>
      <w:color w:val="auto"/>
      <w:kern w:val="2"/>
      <w:szCs w:val="24"/>
    </w:rPr>
  </w:style>
  <w:style w:type="paragraph" w:styleId="4">
    <w:name w:val="envelope return"/>
    <w:basedOn w:val="1"/>
    <w:next w:val="5"/>
    <w:qFormat/>
    <w:uiPriority w:val="0"/>
    <w:pPr>
      <w:snapToGrid w:val="0"/>
    </w:pPr>
    <w:rPr>
      <w:rFonts w:ascii="Arial" w:hAnsi="Arial"/>
    </w:rPr>
  </w:style>
  <w:style w:type="paragraph" w:styleId="5">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10">
    <w:name w:val="toc 7"/>
    <w:basedOn w:val="1"/>
    <w:next w:val="1"/>
    <w:qFormat/>
    <w:uiPriority w:val="39"/>
    <w:pPr>
      <w:ind w:left="1260"/>
      <w:jc w:val="left"/>
    </w:pPr>
    <w:rPr>
      <w:sz w:val="18"/>
      <w:szCs w:val="18"/>
    </w:rPr>
  </w:style>
  <w:style w:type="paragraph" w:styleId="11">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annotation text"/>
    <w:basedOn w:val="1"/>
    <w:link w:val="61"/>
    <w:autoRedefine/>
    <w:qFormat/>
    <w:uiPriority w:val="0"/>
    <w:pPr>
      <w:jc w:val="left"/>
    </w:pPr>
    <w:rPr>
      <w:rFonts w:ascii="Arial" w:hAnsi="Arial" w:eastAsia="黑体" w:cs="Arial"/>
    </w:rPr>
  </w:style>
  <w:style w:type="paragraph" w:styleId="13">
    <w:name w:val="index 6"/>
    <w:basedOn w:val="1"/>
    <w:next w:val="1"/>
    <w:qFormat/>
    <w:uiPriority w:val="0"/>
    <w:pPr>
      <w:tabs>
        <w:tab w:val="left" w:pos="-9"/>
        <w:tab w:val="left" w:pos="3"/>
      </w:tabs>
      <w:ind w:left="0"/>
      <w:jc w:val="left"/>
    </w:pPr>
    <w:rPr>
      <w:b/>
      <w:bCs/>
      <w:color w:val="FF0000"/>
      <w:sz w:val="28"/>
      <w:szCs w:val="28"/>
    </w:rPr>
  </w:style>
  <w:style w:type="paragraph" w:styleId="14">
    <w:name w:val="Body Text"/>
    <w:basedOn w:val="1"/>
    <w:link w:val="70"/>
    <w:autoRedefine/>
    <w:qFormat/>
    <w:uiPriority w:val="0"/>
    <w:pPr>
      <w:spacing w:after="120"/>
    </w:pPr>
    <w:rPr>
      <w:rFonts w:ascii="@微软简标宋" w:hAnsi="@微软简标宋" w:eastAsia="@微软简标宋" w:cs="@微软简标宋"/>
      <w:szCs w:val="24"/>
      <w:lang w:val="zh-CN"/>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50"/>
    <w:autoRedefine/>
    <w:qFormat/>
    <w:uiPriority w:val="99"/>
    <w:rPr>
      <w:rFonts w:ascii="宋体" w:hAnsi="Courier New" w:eastAsiaTheme="minorEastAsia" w:cstheme="minorBidi"/>
      <w:szCs w:val="22"/>
    </w:rPr>
  </w:style>
  <w:style w:type="paragraph" w:styleId="17">
    <w:name w:val="Date"/>
    <w:basedOn w:val="1"/>
    <w:next w:val="1"/>
    <w:link w:val="57"/>
    <w:autoRedefine/>
    <w:qFormat/>
    <w:uiPriority w:val="0"/>
    <w:rPr>
      <w:rFonts w:ascii="Arial" w:hAnsi="Arial" w:eastAsia="宋体" w:cs="Arial"/>
      <w:b/>
      <w:sz w:val="28"/>
    </w:rPr>
  </w:style>
  <w:style w:type="paragraph" w:styleId="18">
    <w:name w:val="Balloon Text"/>
    <w:basedOn w:val="1"/>
    <w:link w:val="44"/>
    <w:autoRedefine/>
    <w:semiHidden/>
    <w:unhideWhenUsed/>
    <w:qFormat/>
    <w:uiPriority w:val="99"/>
    <w:rPr>
      <w:sz w:val="18"/>
      <w:szCs w:val="18"/>
    </w:rPr>
  </w:style>
  <w:style w:type="paragraph" w:styleId="19">
    <w:name w:val="footer"/>
    <w:basedOn w:val="1"/>
    <w:link w:val="49"/>
    <w:autoRedefine/>
    <w:unhideWhenUsed/>
    <w:qFormat/>
    <w:uiPriority w:val="99"/>
    <w:pPr>
      <w:tabs>
        <w:tab w:val="center" w:pos="4153"/>
        <w:tab w:val="right" w:pos="8306"/>
      </w:tabs>
      <w:snapToGrid w:val="0"/>
      <w:jc w:val="left"/>
    </w:pPr>
    <w:rPr>
      <w:sz w:val="18"/>
      <w:szCs w:val="18"/>
    </w:rPr>
  </w:style>
  <w:style w:type="paragraph" w:styleId="20">
    <w:name w:val="header"/>
    <w:basedOn w:val="1"/>
    <w:link w:val="4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List"/>
    <w:basedOn w:val="1"/>
    <w:next w:val="16"/>
    <w:qFormat/>
    <w:uiPriority w:val="0"/>
    <w:pPr>
      <w:ind w:left="420" w:hanging="420"/>
    </w:pPr>
    <w:rPr>
      <w:rFonts w:ascii="Arial" w:hAnsi="Arial"/>
    </w:rPr>
  </w:style>
  <w:style w:type="paragraph" w:styleId="2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Normal (Web)"/>
    <w:basedOn w:val="1"/>
    <w:autoRedefine/>
    <w:qFormat/>
    <w:uiPriority w:val="0"/>
    <w:pPr>
      <w:spacing w:before="100" w:beforeAutospacing="1" w:after="100" w:afterAutospacing="1"/>
      <w:jc w:val="left"/>
    </w:pPr>
    <w:rPr>
      <w:rFonts w:cs="Times New Roman"/>
      <w:kern w:val="0"/>
      <w:sz w:val="24"/>
    </w:rPr>
  </w:style>
  <w:style w:type="paragraph" w:styleId="25">
    <w:name w:val="index 1"/>
    <w:basedOn w:val="1"/>
    <w:next w:val="1"/>
    <w:autoRedefine/>
    <w:qFormat/>
    <w:uiPriority w:val="0"/>
    <w:pPr>
      <w:jc w:val="center"/>
    </w:pPr>
    <w:rPr>
      <w:rFonts w:ascii="Arial" w:hAnsi="Arial" w:eastAsia="Arial" w:cs="Arial"/>
      <w:b/>
      <w:bCs/>
      <w:sz w:val="28"/>
    </w:rPr>
  </w:style>
  <w:style w:type="paragraph" w:styleId="26">
    <w:name w:val="Body Text First Indent"/>
    <w:basedOn w:val="14"/>
    <w:autoRedefine/>
    <w:unhideWhenUsed/>
    <w:qFormat/>
    <w:uiPriority w:val="99"/>
    <w:pPr>
      <w:ind w:firstLine="420" w:firstLineChars="1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b/>
      <w:bCs/>
    </w:rPr>
  </w:style>
  <w:style w:type="character" w:styleId="31">
    <w:name w:val="page number"/>
    <w:basedOn w:val="29"/>
    <w:qFormat/>
    <w:uiPriority w:val="99"/>
    <w:rPr>
      <w:rFonts w:cs="Times New Roman"/>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uiPriority w:val="20"/>
    <w:rPr>
      <w:b/>
      <w:bCs/>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unhideWhenUsed/>
    <w:qFormat/>
    <w:uiPriority w:val="99"/>
    <w:rPr>
      <w:color w:val="0000FF" w:themeColor="hyperlink"/>
      <w:u w:val="single"/>
      <w14:textFill>
        <w14:solidFill>
          <w14:schemeClr w14:val="hlink"/>
        </w14:solidFill>
      </w14:textFill>
    </w:rPr>
  </w:style>
  <w:style w:type="character" w:styleId="39">
    <w:name w:val="HTML Code"/>
    <w:basedOn w:val="29"/>
    <w:autoRedefine/>
    <w:semiHidden/>
    <w:unhideWhenUsed/>
    <w:qFormat/>
    <w:uiPriority w:val="99"/>
    <w:rPr>
      <w:rFonts w:ascii="monospace" w:hAnsi="monospace" w:eastAsia="monospace" w:cs="monospace"/>
      <w:sz w:val="20"/>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hint="default" w:ascii="monospace" w:hAnsi="monospace" w:eastAsia="monospace" w:cs="monospace"/>
      <w:sz w:val="20"/>
    </w:rPr>
  </w:style>
  <w:style w:type="character" w:styleId="42">
    <w:name w:val="HTML Sample"/>
    <w:basedOn w:val="29"/>
    <w:autoRedefine/>
    <w:semiHidden/>
    <w:unhideWhenUsed/>
    <w:qFormat/>
    <w:uiPriority w:val="99"/>
    <w:rPr>
      <w:rFonts w:hint="default" w:ascii="monospace" w:hAnsi="monospace" w:eastAsia="monospace" w:cs="monospace"/>
    </w:rPr>
  </w:style>
  <w:style w:type="paragraph" w:customStyle="1" w:styleId="43">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character" w:customStyle="1" w:styleId="44">
    <w:name w:val="批注框文本 Char"/>
    <w:basedOn w:val="29"/>
    <w:link w:val="18"/>
    <w:autoRedefine/>
    <w:semiHidden/>
    <w:qFormat/>
    <w:uiPriority w:val="99"/>
    <w:rPr>
      <w:rFonts w:ascii="@仿宋_GB2312" w:hAnsi="@仿宋_GB2312" w:eastAsia="@仿宋_GB2312" w:cs="@仿宋_GB2312"/>
      <w:sz w:val="18"/>
      <w:szCs w:val="18"/>
    </w:rPr>
  </w:style>
  <w:style w:type="paragraph" w:customStyle="1" w:styleId="4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7">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Char"/>
    <w:basedOn w:val="29"/>
    <w:link w:val="20"/>
    <w:autoRedefine/>
    <w:qFormat/>
    <w:uiPriority w:val="0"/>
    <w:rPr>
      <w:rFonts w:ascii="@仿宋_GB2312" w:hAnsi="@仿宋_GB2312" w:eastAsia="@仿宋_GB2312" w:cs="@仿宋_GB2312"/>
      <w:sz w:val="18"/>
      <w:szCs w:val="18"/>
    </w:rPr>
  </w:style>
  <w:style w:type="character" w:customStyle="1" w:styleId="49">
    <w:name w:val="页脚 Char"/>
    <w:basedOn w:val="29"/>
    <w:link w:val="19"/>
    <w:autoRedefine/>
    <w:qFormat/>
    <w:uiPriority w:val="99"/>
    <w:rPr>
      <w:rFonts w:ascii="@仿宋_GB2312" w:hAnsi="@仿宋_GB2312" w:eastAsia="@仿宋_GB2312" w:cs="@仿宋_GB2312"/>
      <w:sz w:val="18"/>
      <w:szCs w:val="18"/>
    </w:rPr>
  </w:style>
  <w:style w:type="character" w:customStyle="1" w:styleId="50">
    <w:name w:val="纯文本 Char"/>
    <w:link w:val="16"/>
    <w:autoRedefine/>
    <w:qFormat/>
    <w:uiPriority w:val="0"/>
    <w:rPr>
      <w:rFonts w:ascii="宋体" w:hAnsi="Courier New"/>
    </w:rPr>
  </w:style>
  <w:style w:type="character" w:customStyle="1" w:styleId="51">
    <w:name w:val="纯文本 字符1"/>
    <w:basedOn w:val="29"/>
    <w:autoRedefine/>
    <w:semiHidden/>
    <w:qFormat/>
    <w:uiPriority w:val="99"/>
    <w:rPr>
      <w:rFonts w:hAnsi="Courier New" w:cs="Courier New" w:asciiTheme="minorEastAsia"/>
      <w:szCs w:val="20"/>
    </w:rPr>
  </w:style>
  <w:style w:type="character" w:customStyle="1" w:styleId="52">
    <w:name w:val="未处理的提及1"/>
    <w:basedOn w:val="29"/>
    <w:autoRedefine/>
    <w:semiHidden/>
    <w:unhideWhenUsed/>
    <w:qFormat/>
    <w:uiPriority w:val="99"/>
    <w:rPr>
      <w:color w:val="605E5C"/>
      <w:shd w:val="clear" w:color="auto" w:fill="E1DFDD"/>
    </w:rPr>
  </w:style>
  <w:style w:type="paragraph" w:styleId="53">
    <w:name w:val="List Paragraph"/>
    <w:basedOn w:val="1"/>
    <w:autoRedefine/>
    <w:qFormat/>
    <w:uiPriority w:val="34"/>
    <w:pPr>
      <w:ind w:firstLine="420" w:firstLineChars="200"/>
    </w:pPr>
  </w:style>
  <w:style w:type="paragraph" w:customStyle="1" w:styleId="54">
    <w:name w:val="Char Char Char Char Char Char Char1 Char"/>
    <w:basedOn w:val="1"/>
    <w:autoRedefine/>
    <w:qFormat/>
    <w:uiPriority w:val="0"/>
    <w:rPr>
      <w:rFonts w:ascii="Arial" w:hAnsi="Arial" w:eastAsia="宋体" w:cs="Arial"/>
      <w:sz w:val="24"/>
    </w:rPr>
  </w:style>
  <w:style w:type="table" w:customStyle="1" w:styleId="55">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29"/>
    <w:autoRedefine/>
    <w:semiHidden/>
    <w:qFormat/>
    <w:uiPriority w:val="99"/>
    <w:rPr>
      <w:rFonts w:ascii="@仿宋_GB2312" w:hAnsi="@仿宋_GB2312" w:eastAsia="@仿宋_GB2312" w:cs="@仿宋_GB2312"/>
      <w:szCs w:val="20"/>
    </w:rPr>
  </w:style>
  <w:style w:type="character" w:customStyle="1" w:styleId="57">
    <w:name w:val="日期 Char"/>
    <w:link w:val="17"/>
    <w:autoRedefine/>
    <w:qFormat/>
    <w:uiPriority w:val="0"/>
    <w:rPr>
      <w:rFonts w:ascii="Arial" w:hAnsi="Arial" w:eastAsia="宋体" w:cs="Arial"/>
      <w:b/>
      <w:sz w:val="28"/>
      <w:szCs w:val="20"/>
    </w:rPr>
  </w:style>
  <w:style w:type="character" w:customStyle="1" w:styleId="58">
    <w:name w:val="纯文本 Char1"/>
    <w:link w:val="59"/>
    <w:autoRedefine/>
    <w:qFormat/>
    <w:locked/>
    <w:uiPriority w:val="0"/>
    <w:rPr>
      <w:rFonts w:ascii="Arial" w:hAnsi="Arial" w:eastAsia="Arial"/>
      <w:kern w:val="2"/>
      <w:sz w:val="21"/>
      <w:lang w:val="en-US" w:eastAsia="zh-CN" w:bidi="ar-SA"/>
    </w:rPr>
  </w:style>
  <w:style w:type="paragraph" w:customStyle="1" w:styleId="59">
    <w:name w:val="纯文本1"/>
    <w:basedOn w:val="1"/>
    <w:link w:val="58"/>
    <w:autoRedefine/>
    <w:qFormat/>
    <w:uiPriority w:val="0"/>
    <w:rPr>
      <w:rFonts w:ascii="Arial" w:hAnsi="Arial" w:eastAsia="Arial" w:cstheme="minorBidi"/>
    </w:rPr>
  </w:style>
  <w:style w:type="character" w:customStyle="1" w:styleId="60">
    <w:name w:val="批注文字 Char"/>
    <w:basedOn w:val="29"/>
    <w:autoRedefine/>
    <w:semiHidden/>
    <w:qFormat/>
    <w:uiPriority w:val="99"/>
    <w:rPr>
      <w:rFonts w:ascii="@仿宋_GB2312" w:hAnsi="@仿宋_GB2312" w:eastAsia="@仿宋_GB2312" w:cs="@仿宋_GB2312"/>
      <w:szCs w:val="20"/>
    </w:rPr>
  </w:style>
  <w:style w:type="character" w:customStyle="1" w:styleId="61">
    <w:name w:val="批注文字 Char1"/>
    <w:link w:val="12"/>
    <w:autoRedefine/>
    <w:qFormat/>
    <w:uiPriority w:val="0"/>
    <w:rPr>
      <w:rFonts w:ascii="Arial" w:hAnsi="Arial" w:eastAsia="黑体" w:cs="Arial"/>
      <w:szCs w:val="20"/>
    </w:rPr>
  </w:style>
  <w:style w:type="character" w:customStyle="1" w:styleId="62">
    <w:name w:val="标题 1 Char"/>
    <w:basedOn w:val="29"/>
    <w:link w:val="6"/>
    <w:autoRedefine/>
    <w:qFormat/>
    <w:uiPriority w:val="9"/>
    <w:rPr>
      <w:rFonts w:ascii="@仿宋_GB2312" w:hAnsi="@仿宋_GB2312" w:eastAsia="@仿宋_GB2312" w:cs="@仿宋_GB2312"/>
      <w:b/>
      <w:bCs/>
      <w:kern w:val="44"/>
      <w:sz w:val="44"/>
      <w:szCs w:val="44"/>
    </w:rPr>
  </w:style>
  <w:style w:type="paragraph" w:customStyle="1" w:styleId="63">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标题 3 Char"/>
    <w:basedOn w:val="29"/>
    <w:link w:val="8"/>
    <w:autoRedefine/>
    <w:semiHidden/>
    <w:qFormat/>
    <w:uiPriority w:val="9"/>
    <w:rPr>
      <w:rFonts w:ascii="@仿宋_GB2312" w:hAnsi="@仿宋_GB2312" w:eastAsia="@仿宋_GB2312" w:cs="@仿宋_GB2312"/>
      <w:b/>
      <w:bCs/>
      <w:sz w:val="32"/>
      <w:szCs w:val="32"/>
    </w:rPr>
  </w:style>
  <w:style w:type="character" w:customStyle="1" w:styleId="65">
    <w:name w:val="fontstyle01"/>
    <w:basedOn w:val="29"/>
    <w:autoRedefine/>
    <w:qFormat/>
    <w:uiPriority w:val="0"/>
    <w:rPr>
      <w:rFonts w:hint="eastAsia" w:ascii="宋体" w:hAnsi="宋体" w:eastAsia="宋体"/>
      <w:color w:val="000000"/>
      <w:sz w:val="22"/>
      <w:szCs w:val="22"/>
    </w:rPr>
  </w:style>
  <w:style w:type="character" w:customStyle="1" w:styleId="66">
    <w:name w:val="fontstyle21"/>
    <w:basedOn w:val="29"/>
    <w:autoRedefine/>
    <w:qFormat/>
    <w:uiPriority w:val="0"/>
    <w:rPr>
      <w:rFonts w:hint="default" w:ascii="TimesNewRomanPSMT" w:hAnsi="TimesNewRomanPSMT"/>
      <w:color w:val="000000"/>
      <w:sz w:val="22"/>
      <w:szCs w:val="22"/>
    </w:rPr>
  </w:style>
  <w:style w:type="character" w:customStyle="1" w:styleId="6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9">
    <w:name w:val="标题 4 Char"/>
    <w:link w:val="9"/>
    <w:autoRedefine/>
    <w:qFormat/>
    <w:uiPriority w:val="0"/>
    <w:rPr>
      <w:rFonts w:ascii="@仿宋_GB2312" w:hAnsi="@仿宋_GB2312" w:eastAsia="@仿宋_GB2312" w:cs="@仿宋_GB2312"/>
      <w:b/>
      <w:bCs/>
      <w:sz w:val="28"/>
      <w:szCs w:val="28"/>
    </w:rPr>
  </w:style>
  <w:style w:type="character" w:customStyle="1" w:styleId="70">
    <w:name w:val="正文文本 Char"/>
    <w:basedOn w:val="29"/>
    <w:link w:val="14"/>
    <w:autoRedefine/>
    <w:qFormat/>
    <w:uiPriority w:val="0"/>
    <w:rPr>
      <w:rFonts w:ascii="@微软简标宋" w:hAnsi="@微软简标宋" w:eastAsia="@微软简标宋" w:cs="@微软简标宋"/>
      <w:szCs w:val="24"/>
      <w:lang w:val="zh-CN" w:eastAsia="zh-CN"/>
    </w:rPr>
  </w:style>
  <w:style w:type="table" w:customStyle="1" w:styleId="71">
    <w:name w:val="网格型1"/>
    <w:basedOn w:val="27"/>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paragraph" w:customStyle="1" w:styleId="73">
    <w:name w:val="Table Text"/>
    <w:basedOn w:val="1"/>
    <w:autoRedefine/>
    <w:semiHidden/>
    <w:qFormat/>
    <w:uiPriority w:val="0"/>
    <w:rPr>
      <w:rFonts w:ascii="Arial" w:hAnsi="Arial" w:eastAsia="Arial" w:cs="Arial"/>
      <w:sz w:val="21"/>
      <w:szCs w:val="21"/>
      <w:lang w:val="en-US" w:eastAsia="en-US" w:bidi="ar-SA"/>
    </w:rPr>
  </w:style>
  <w:style w:type="character" w:customStyle="1" w:styleId="74">
    <w:name w:val="hover"/>
    <w:basedOn w:val="29"/>
    <w:qFormat/>
    <w:uiPriority w:val="0"/>
    <w:rPr>
      <w:color w:val="2590EB"/>
      <w:shd w:val="clear" w:fill="E9F4FD"/>
    </w:rPr>
  </w:style>
  <w:style w:type="character" w:customStyle="1" w:styleId="75">
    <w:name w:val="hover1"/>
    <w:basedOn w:val="29"/>
    <w:qFormat/>
    <w:uiPriority w:val="0"/>
  </w:style>
  <w:style w:type="character" w:customStyle="1" w:styleId="76">
    <w:name w:val="hover2"/>
    <w:basedOn w:val="29"/>
    <w:qFormat/>
    <w:uiPriority w:val="0"/>
    <w:rPr>
      <w:color w:val="2590EB"/>
    </w:rPr>
  </w:style>
  <w:style w:type="character" w:customStyle="1" w:styleId="77">
    <w:name w:val="hover3"/>
    <w:basedOn w:val="29"/>
    <w:qFormat/>
    <w:uiPriority w:val="0"/>
    <w:rPr>
      <w:color w:val="2590EB"/>
    </w:rPr>
  </w:style>
  <w:style w:type="character" w:customStyle="1" w:styleId="78">
    <w:name w:val="hover4"/>
    <w:basedOn w:val="29"/>
    <w:qFormat/>
    <w:uiPriority w:val="0"/>
    <w:rPr>
      <w:color w:val="2590EB"/>
      <w:shd w:val="clear" w:fill="E9F4FD"/>
    </w:rPr>
  </w:style>
  <w:style w:type="character" w:customStyle="1" w:styleId="79">
    <w:name w:val="font01"/>
    <w:basedOn w:val="29"/>
    <w:qFormat/>
    <w:uiPriority w:val="0"/>
    <w:rPr>
      <w:rFonts w:hint="eastAsia" w:ascii="宋体" w:hAnsi="宋体" w:eastAsia="宋体" w:cs="宋体"/>
      <w:color w:val="000000"/>
      <w:sz w:val="22"/>
      <w:szCs w:val="22"/>
      <w:u w:val="none"/>
    </w:rPr>
  </w:style>
  <w:style w:type="character" w:customStyle="1" w:styleId="80">
    <w:name w:val="font61"/>
    <w:basedOn w:val="29"/>
    <w:qFormat/>
    <w:uiPriority w:val="0"/>
    <w:rPr>
      <w:rFonts w:ascii="方正兰亭黑_GBK" w:hAnsi="方正兰亭黑_GBK" w:eastAsia="方正兰亭黑_GBK" w:cs="方正兰亭黑_GBK"/>
      <w:color w:val="000000"/>
      <w:sz w:val="22"/>
      <w:szCs w:val="22"/>
      <w:u w:val="none"/>
    </w:rPr>
  </w:style>
  <w:style w:type="paragraph" w:customStyle="1" w:styleId="81">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character" w:customStyle="1" w:styleId="82">
    <w:name w:val="font31"/>
    <w:basedOn w:val="29"/>
    <w:qFormat/>
    <w:uiPriority w:val="0"/>
    <w:rPr>
      <w:rFonts w:hint="eastAsia" w:ascii="宋体" w:hAnsi="宋体" w:eastAsia="宋体" w:cs="宋体"/>
      <w:color w:val="000000"/>
      <w:sz w:val="20"/>
      <w:szCs w:val="20"/>
      <w:u w:val="none"/>
    </w:rPr>
  </w:style>
  <w:style w:type="paragraph" w:customStyle="1" w:styleId="83">
    <w:name w:val="正文文字 8"/>
    <w:basedOn w:val="1"/>
    <w:next w:val="1"/>
    <w:qFormat/>
    <w:uiPriority w:val="0"/>
    <w:pPr>
      <w:ind w:left="240"/>
    </w:pPr>
    <w:rPr>
      <w:sz w:val="16"/>
    </w:rPr>
  </w:style>
  <w:style w:type="paragraph" w:customStyle="1" w:styleId="84">
    <w:name w:val="Blockquote"/>
    <w:basedOn w:val="1"/>
    <w:autoRedefine/>
    <w:qFormat/>
    <w:uiPriority w:val="99"/>
    <w:pPr>
      <w:autoSpaceDE w:val="0"/>
      <w:autoSpaceDN w:val="0"/>
      <w:adjustRightInd w:val="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71</Pages>
  <Words>904</Words>
  <Characters>1016</Characters>
  <Lines>1</Lines>
  <Paragraphs>1</Paragraphs>
  <TotalTime>3</TotalTime>
  <ScaleCrop>false</ScaleCrop>
  <LinksUpToDate>false</LinksUpToDate>
  <CharactersWithSpaces>1047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Pim Pom丶</cp:lastModifiedBy>
  <cp:lastPrinted>2019-12-07T15:20:00Z</cp:lastPrinted>
  <dcterms:modified xsi:type="dcterms:W3CDTF">2025-12-30T02:12:49Z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95329F198431405AA58893F6E72A907E_13</vt:lpwstr>
  </property>
  <property fmtid="{D5CDD505-2E9C-101B-9397-08002B2CF9AE}" pid="4" name="KSOTemplateDocerSaveRecord">
    <vt:lpwstr>eyJoZGlkIjoiY2RkMWEyZWQzMzVlMTIwNmU2NzU0ODgxZjI5MDllYTciLCJ1c2VySWQiOiI0MDkyMjI1MTkifQ==</vt:lpwstr>
  </property>
</Properties>
</file>