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68967">
      <w:pPr>
        <w:pStyle w:val="12"/>
        <w:ind w:left="0" w:leftChars="0" w:firstLineChars="0"/>
        <w:jc w:val="center"/>
        <w:rPr>
          <w:rFonts w:ascii="新宋体" w:hAnsi="新宋体" w:eastAsia="新宋体"/>
          <w:b/>
          <w:color w:val="auto"/>
          <w:sz w:val="44"/>
          <w:szCs w:val="44"/>
        </w:rPr>
      </w:pPr>
      <w:bookmarkStart w:id="0" w:name="OLE_LINK1"/>
    </w:p>
    <w:p w14:paraId="30132475">
      <w:pPr>
        <w:spacing w:beforeLines="100" w:afterLines="100" w:line="840" w:lineRule="exact"/>
        <w:jc w:val="center"/>
        <w:rPr>
          <w:rFonts w:hint="default" w:eastAsia="新宋体"/>
          <w:color w:val="auto"/>
          <w:lang w:val="en-US" w:eastAsia="zh-CN"/>
        </w:rPr>
      </w:pPr>
      <w:r>
        <w:rPr>
          <w:rFonts w:hint="eastAsia" w:ascii="新宋体" w:hAnsi="新宋体" w:eastAsia="新宋体"/>
          <w:b/>
          <w:color w:val="auto"/>
          <w:sz w:val="44"/>
          <w:szCs w:val="44"/>
        </w:rPr>
        <w:t>2025年度机械水表周期更换采购项目</w:t>
      </w:r>
      <w:r>
        <w:rPr>
          <w:rFonts w:hint="eastAsia" w:ascii="新宋体" w:hAnsi="新宋体" w:eastAsia="新宋体"/>
          <w:b/>
          <w:color w:val="auto"/>
          <w:sz w:val="44"/>
          <w:szCs w:val="44"/>
          <w:lang w:eastAsia="zh-CN"/>
        </w:rPr>
        <w:t>（</w:t>
      </w:r>
      <w:r>
        <w:rPr>
          <w:rFonts w:hint="eastAsia" w:ascii="新宋体" w:hAnsi="新宋体" w:eastAsia="新宋体"/>
          <w:b/>
          <w:color w:val="auto"/>
          <w:sz w:val="44"/>
          <w:szCs w:val="44"/>
          <w:lang w:val="en-US" w:eastAsia="zh-CN"/>
        </w:rPr>
        <w:t>二次）</w:t>
      </w:r>
    </w:p>
    <w:p w14:paraId="1B798401">
      <w:pPr>
        <w:spacing w:beforeLines="50" w:afterLines="50"/>
        <w:ind w:left="-850" w:leftChars="-405" w:right="-625"/>
        <w:jc w:val="center"/>
        <w:rPr>
          <w:rFonts w:ascii="宋体" w:hAnsi="宋体"/>
          <w:color w:val="auto"/>
          <w:sz w:val="40"/>
          <w:szCs w:val="36"/>
        </w:rPr>
      </w:pPr>
      <w:r>
        <w:rPr>
          <w:rFonts w:hint="eastAsia" w:ascii="宋体" w:hAnsi="宋体"/>
          <w:color w:val="auto"/>
          <w:sz w:val="40"/>
          <w:szCs w:val="36"/>
        </w:rPr>
        <w:t>（电子招标投标）</w:t>
      </w:r>
    </w:p>
    <w:p w14:paraId="179EFCC0">
      <w:pPr>
        <w:pStyle w:val="12"/>
        <w:ind w:left="0" w:leftChars="0" w:firstLine="2880" w:firstLineChars="1200"/>
        <w:rPr>
          <w:rFonts w:hint="default" w:eastAsia="宋体"/>
          <w:color w:val="auto"/>
          <w:sz w:val="24"/>
          <w:lang w:val="en-US" w:eastAsia="zh-CN"/>
        </w:rPr>
      </w:pPr>
      <w:r>
        <w:rPr>
          <w:rFonts w:hint="eastAsia"/>
          <w:color w:val="auto"/>
          <w:sz w:val="24"/>
        </w:rPr>
        <w:t>项目编号：czsjqt20250</w:t>
      </w:r>
      <w:r>
        <w:rPr>
          <w:rFonts w:hint="eastAsia"/>
          <w:color w:val="auto"/>
          <w:sz w:val="24"/>
          <w:lang w:val="en-US" w:eastAsia="zh-CN"/>
        </w:rPr>
        <w:t>9</w:t>
      </w:r>
      <w:r>
        <w:rPr>
          <w:rFonts w:hint="eastAsia"/>
          <w:color w:val="auto"/>
          <w:sz w:val="24"/>
        </w:rPr>
        <w:t>-</w:t>
      </w:r>
      <w:r>
        <w:rPr>
          <w:rFonts w:hint="eastAsia"/>
          <w:color w:val="auto"/>
          <w:sz w:val="24"/>
          <w:lang w:val="en-US" w:eastAsia="zh-CN"/>
        </w:rPr>
        <w:t>017</w:t>
      </w:r>
    </w:p>
    <w:p w14:paraId="0EB0CBD0">
      <w:pPr>
        <w:pStyle w:val="52"/>
        <w:ind w:firstLine="0" w:firstLineChars="0"/>
        <w:rPr>
          <w:color w:val="auto"/>
        </w:rPr>
      </w:pPr>
    </w:p>
    <w:p w14:paraId="52AA32CA">
      <w:pPr>
        <w:pStyle w:val="52"/>
        <w:ind w:firstLine="480"/>
        <w:rPr>
          <w:color w:val="auto"/>
        </w:rPr>
      </w:pPr>
    </w:p>
    <w:p w14:paraId="68787B14">
      <w:pPr>
        <w:rPr>
          <w:rFonts w:ascii="宋体"/>
          <w:bCs/>
          <w:color w:val="auto"/>
          <w:szCs w:val="21"/>
        </w:rPr>
      </w:pPr>
    </w:p>
    <w:p w14:paraId="70D1C16A">
      <w:pPr>
        <w:spacing w:line="312" w:lineRule="auto"/>
        <w:jc w:val="center"/>
        <w:rPr>
          <w:rFonts w:ascii="宋体" w:hAnsi="宋体"/>
          <w:b/>
          <w:color w:val="auto"/>
          <w:sz w:val="84"/>
          <w:szCs w:val="84"/>
        </w:rPr>
      </w:pPr>
      <w:r>
        <w:rPr>
          <w:rFonts w:hint="eastAsia" w:ascii="宋体" w:hAnsi="宋体"/>
          <w:b/>
          <w:color w:val="auto"/>
          <w:sz w:val="84"/>
          <w:szCs w:val="84"/>
        </w:rPr>
        <w:t>招 标 文 件</w:t>
      </w:r>
    </w:p>
    <w:p w14:paraId="7033419E">
      <w:pPr>
        <w:rPr>
          <w:rFonts w:ascii="宋体"/>
          <w:bCs/>
          <w:color w:val="auto"/>
          <w:szCs w:val="21"/>
        </w:rPr>
      </w:pPr>
    </w:p>
    <w:p w14:paraId="2F28F6ED">
      <w:pPr>
        <w:rPr>
          <w:rFonts w:ascii="宋体" w:hAnsi="宋体"/>
          <w:b/>
          <w:color w:val="auto"/>
          <w:sz w:val="84"/>
          <w:szCs w:val="84"/>
        </w:rPr>
      </w:pPr>
      <w:r>
        <w:rPr>
          <w:rFonts w:hint="eastAsia" w:ascii="宋体" w:hAnsi="宋体"/>
          <w:b/>
          <w:color w:val="auto"/>
          <w:sz w:val="84"/>
          <w:szCs w:val="84"/>
        </w:rPr>
        <w:t xml:space="preserve"> </w:t>
      </w:r>
    </w:p>
    <w:p w14:paraId="29499BEA">
      <w:pPr>
        <w:pStyle w:val="13"/>
        <w:ind w:left="420"/>
        <w:rPr>
          <w:color w:val="auto"/>
        </w:rPr>
      </w:pPr>
    </w:p>
    <w:p w14:paraId="1B13DFE2">
      <w:pPr>
        <w:rPr>
          <w:color w:val="auto"/>
        </w:rPr>
      </w:pPr>
    </w:p>
    <w:p w14:paraId="3AEF5CF4">
      <w:pPr>
        <w:pStyle w:val="12"/>
        <w:ind w:firstLine="400"/>
        <w:rPr>
          <w:color w:val="auto"/>
        </w:rPr>
      </w:pPr>
    </w:p>
    <w:p w14:paraId="58A751C8">
      <w:pPr>
        <w:spacing w:beforeLines="100" w:afterLines="100" w:line="360" w:lineRule="auto"/>
        <w:jc w:val="left"/>
        <w:rPr>
          <w:rFonts w:ascii="宋体"/>
          <w:b/>
          <w:color w:val="auto"/>
          <w:sz w:val="32"/>
          <w:szCs w:val="32"/>
        </w:rPr>
      </w:pPr>
    </w:p>
    <w:p w14:paraId="289CD838">
      <w:pPr>
        <w:pStyle w:val="12"/>
        <w:ind w:firstLine="400"/>
        <w:rPr>
          <w:color w:val="auto"/>
        </w:rPr>
      </w:pPr>
    </w:p>
    <w:p w14:paraId="032BC327">
      <w:pPr>
        <w:spacing w:beforeLines="100" w:afterLines="100" w:line="480" w:lineRule="auto"/>
        <w:ind w:firstLine="964" w:firstLineChars="300"/>
        <w:jc w:val="left"/>
        <w:rPr>
          <w:rFonts w:ascii="宋体"/>
          <w:b/>
          <w:color w:val="auto"/>
          <w:sz w:val="32"/>
          <w:szCs w:val="32"/>
        </w:rPr>
      </w:pPr>
      <w:r>
        <w:rPr>
          <w:rFonts w:hint="eastAsia" w:ascii="宋体"/>
          <w:b/>
          <w:color w:val="auto"/>
          <w:sz w:val="32"/>
          <w:szCs w:val="32"/>
        </w:rPr>
        <w:t>招标人：</w:t>
      </w:r>
      <w:r>
        <w:rPr>
          <w:rFonts w:hint="eastAsia" w:ascii="宋体"/>
          <w:b/>
          <w:color w:val="auto"/>
          <w:sz w:val="32"/>
          <w:szCs w:val="32"/>
          <w:u w:val="single"/>
        </w:rPr>
        <w:t xml:space="preserve">     滁州市自来水有限公司       </w:t>
      </w:r>
      <w:r>
        <w:rPr>
          <w:rFonts w:hint="eastAsia" w:ascii="宋体"/>
          <w:b/>
          <w:color w:val="auto"/>
          <w:sz w:val="32"/>
          <w:szCs w:val="32"/>
        </w:rPr>
        <w:t>（盖单位章）</w:t>
      </w:r>
    </w:p>
    <w:p w14:paraId="44A980C8">
      <w:pPr>
        <w:spacing w:beforeLines="100" w:afterLines="100" w:line="480" w:lineRule="auto"/>
        <w:ind w:firstLine="964" w:firstLineChars="300"/>
        <w:rPr>
          <w:rFonts w:ascii="宋体"/>
          <w:b/>
          <w:color w:val="auto"/>
          <w:sz w:val="32"/>
          <w:szCs w:val="32"/>
          <w:u w:val="single"/>
        </w:rPr>
      </w:pPr>
      <w:r>
        <w:rPr>
          <w:rFonts w:hint="eastAsia" w:ascii="宋体"/>
          <w:b/>
          <w:color w:val="auto"/>
          <w:sz w:val="32"/>
          <w:szCs w:val="32"/>
        </w:rPr>
        <w:t>代理机构：</w:t>
      </w:r>
      <w:r>
        <w:rPr>
          <w:rFonts w:hint="eastAsia" w:ascii="宋体"/>
          <w:b/>
          <w:color w:val="auto"/>
          <w:sz w:val="32"/>
          <w:szCs w:val="32"/>
          <w:u w:val="single"/>
        </w:rPr>
        <w:t>滁州市城投工程咨询管理有限公司</w:t>
      </w:r>
      <w:r>
        <w:rPr>
          <w:rFonts w:hint="eastAsia" w:ascii="宋体"/>
          <w:b/>
          <w:color w:val="auto"/>
          <w:sz w:val="32"/>
          <w:szCs w:val="32"/>
        </w:rPr>
        <w:t>（盖单位章）</w:t>
      </w:r>
    </w:p>
    <w:p w14:paraId="638AFC35">
      <w:pPr>
        <w:spacing w:beforeLines="100" w:afterLines="100" w:line="480" w:lineRule="auto"/>
        <w:jc w:val="center"/>
        <w:rPr>
          <w:rFonts w:ascii="宋体"/>
          <w:b/>
          <w:color w:val="auto"/>
          <w:sz w:val="32"/>
          <w:szCs w:val="32"/>
        </w:rPr>
      </w:pPr>
      <w:r>
        <w:rPr>
          <w:rFonts w:hint="eastAsia" w:ascii="宋体"/>
          <w:b/>
          <w:color w:val="auto"/>
          <w:sz w:val="32"/>
          <w:szCs w:val="32"/>
          <w:u w:val="single"/>
        </w:rPr>
        <w:t>2025</w:t>
      </w:r>
      <w:r>
        <w:rPr>
          <w:rFonts w:hint="eastAsia" w:ascii="宋体"/>
          <w:b/>
          <w:color w:val="auto"/>
          <w:sz w:val="32"/>
          <w:szCs w:val="32"/>
        </w:rPr>
        <w:t>年</w:t>
      </w:r>
      <w:r>
        <w:rPr>
          <w:rFonts w:hint="eastAsia" w:ascii="宋体"/>
          <w:b/>
          <w:color w:val="auto"/>
          <w:sz w:val="32"/>
          <w:szCs w:val="32"/>
          <w:u w:val="single"/>
          <w:lang w:val="en-US" w:eastAsia="zh-CN"/>
        </w:rPr>
        <w:t>9</w:t>
      </w:r>
      <w:r>
        <w:rPr>
          <w:rFonts w:hint="eastAsia" w:ascii="宋体"/>
          <w:b/>
          <w:color w:val="auto"/>
          <w:sz w:val="32"/>
          <w:szCs w:val="32"/>
        </w:rPr>
        <w:t>月</w:t>
      </w:r>
    </w:p>
    <w:p w14:paraId="4CB6D157">
      <w:pPr>
        <w:spacing w:line="360" w:lineRule="exact"/>
        <w:rPr>
          <w:b/>
          <w:color w:val="auto"/>
          <w:sz w:val="36"/>
        </w:rPr>
      </w:pPr>
    </w:p>
    <w:p w14:paraId="3213DC9A">
      <w:pPr>
        <w:pStyle w:val="13"/>
        <w:ind w:left="0" w:leftChars="0"/>
        <w:rPr>
          <w:color w:val="auto"/>
        </w:rPr>
      </w:pPr>
    </w:p>
    <w:p w14:paraId="5E457507">
      <w:pPr>
        <w:pStyle w:val="14"/>
        <w:rPr>
          <w:color w:val="auto"/>
        </w:rPr>
      </w:pPr>
    </w:p>
    <w:p w14:paraId="068DA86A">
      <w:pPr>
        <w:spacing w:line="360" w:lineRule="exact"/>
        <w:jc w:val="center"/>
        <w:rPr>
          <w:b/>
          <w:color w:val="auto"/>
          <w:sz w:val="36"/>
        </w:rPr>
      </w:pPr>
    </w:p>
    <w:p w14:paraId="41AC21CE">
      <w:pPr>
        <w:spacing w:line="360" w:lineRule="auto"/>
        <w:jc w:val="center"/>
        <w:rPr>
          <w:b/>
          <w:color w:val="auto"/>
          <w:sz w:val="44"/>
          <w:szCs w:val="32"/>
        </w:rPr>
      </w:pPr>
      <w:r>
        <w:rPr>
          <w:rFonts w:hint="eastAsia"/>
          <w:b/>
          <w:color w:val="auto"/>
          <w:sz w:val="44"/>
          <w:szCs w:val="32"/>
        </w:rPr>
        <w:t>目  录</w:t>
      </w:r>
    </w:p>
    <w:p w14:paraId="0421470E">
      <w:pPr>
        <w:spacing w:line="720" w:lineRule="auto"/>
        <w:jc w:val="center"/>
        <w:rPr>
          <w:b/>
          <w:color w:val="auto"/>
          <w:sz w:val="36"/>
        </w:rPr>
      </w:pPr>
    </w:p>
    <w:p w14:paraId="2CC8D2ED">
      <w:pPr>
        <w:pStyle w:val="25"/>
        <w:tabs>
          <w:tab w:val="right" w:leader="dot" w:pos="9072"/>
        </w:tabs>
        <w:spacing w:line="700" w:lineRule="exact"/>
        <w:rPr>
          <w:rFonts w:ascii="宋体" w:hAnsi="宋体" w:cs="宋体"/>
          <w:color w:val="auto"/>
          <w:sz w:val="30"/>
          <w:szCs w:val="30"/>
        </w:rPr>
      </w:pPr>
      <w:r>
        <w:rPr>
          <w:rFonts w:hint="eastAsia" w:ascii="宋体" w:hAnsi="宋体" w:cs="宋体"/>
          <w:color w:val="auto"/>
          <w:sz w:val="30"/>
          <w:szCs w:val="30"/>
        </w:rPr>
        <w:fldChar w:fldCharType="begin"/>
      </w:r>
      <w:r>
        <w:rPr>
          <w:rFonts w:hint="eastAsia" w:ascii="宋体" w:hAnsi="宋体" w:cs="宋体"/>
          <w:color w:val="auto"/>
          <w:sz w:val="30"/>
          <w:szCs w:val="30"/>
        </w:rPr>
        <w:instrText xml:space="preserve"> TOC \o "1-3" \h \z \u </w:instrText>
      </w:r>
      <w:r>
        <w:rPr>
          <w:rFonts w:hint="eastAsia" w:ascii="宋体" w:hAnsi="宋体" w:cs="宋体"/>
          <w:color w:val="auto"/>
          <w:sz w:val="30"/>
          <w:szCs w:val="30"/>
        </w:rPr>
        <w:fldChar w:fldCharType="separate"/>
      </w:r>
      <w:r>
        <w:rPr>
          <w:color w:val="auto"/>
        </w:rPr>
        <w:fldChar w:fldCharType="begin"/>
      </w:r>
      <w:r>
        <w:rPr>
          <w:color w:val="auto"/>
        </w:rPr>
        <w:instrText xml:space="preserve"> HYPERLINK \l "_Toc17328" </w:instrText>
      </w:r>
      <w:r>
        <w:rPr>
          <w:color w:val="auto"/>
        </w:rPr>
        <w:fldChar w:fldCharType="separate"/>
      </w:r>
      <w:r>
        <w:rPr>
          <w:rFonts w:hint="eastAsia" w:ascii="宋体" w:hAnsi="宋体" w:cs="宋体"/>
          <w:bCs/>
          <w:color w:val="auto"/>
          <w:sz w:val="30"/>
          <w:szCs w:val="30"/>
        </w:rPr>
        <w:t>第一章 招标公告</w:t>
      </w:r>
      <w:r>
        <w:rPr>
          <w:rFonts w:hint="eastAsia" w:ascii="宋体" w:hAnsi="宋体" w:cs="宋体"/>
          <w:color w:val="auto"/>
          <w:sz w:val="30"/>
          <w:szCs w:val="30"/>
        </w:rPr>
        <w:tab/>
      </w:r>
      <w:r>
        <w:rPr>
          <w:rFonts w:hint="eastAsia" w:ascii="宋体" w:hAnsi="宋体" w:cs="宋体"/>
          <w:color w:val="auto"/>
          <w:sz w:val="30"/>
          <w:szCs w:val="30"/>
        </w:rPr>
        <w:t>1</w:t>
      </w:r>
      <w:r>
        <w:rPr>
          <w:rFonts w:hint="eastAsia" w:ascii="宋体" w:hAnsi="宋体" w:cs="宋体"/>
          <w:color w:val="auto"/>
          <w:sz w:val="30"/>
          <w:szCs w:val="30"/>
        </w:rPr>
        <w:fldChar w:fldCharType="end"/>
      </w:r>
    </w:p>
    <w:p w14:paraId="25E80064">
      <w:pPr>
        <w:pStyle w:val="25"/>
        <w:tabs>
          <w:tab w:val="right" w:leader="dot" w:pos="9072"/>
        </w:tabs>
        <w:spacing w:line="700" w:lineRule="exact"/>
        <w:rPr>
          <w:rFonts w:ascii="宋体" w:hAnsi="宋体" w:cs="宋体"/>
          <w:color w:val="auto"/>
          <w:sz w:val="30"/>
          <w:szCs w:val="30"/>
        </w:rPr>
      </w:pPr>
      <w:r>
        <w:rPr>
          <w:color w:val="auto"/>
        </w:rPr>
        <w:fldChar w:fldCharType="begin"/>
      </w:r>
      <w:r>
        <w:rPr>
          <w:color w:val="auto"/>
        </w:rPr>
        <w:instrText xml:space="preserve"> HYPERLINK \l "_Toc20364" </w:instrText>
      </w:r>
      <w:r>
        <w:rPr>
          <w:color w:val="auto"/>
        </w:rPr>
        <w:fldChar w:fldCharType="separate"/>
      </w:r>
      <w:r>
        <w:rPr>
          <w:rFonts w:hint="eastAsia" w:ascii="宋体" w:hAnsi="宋体" w:cs="宋体"/>
          <w:color w:val="auto"/>
          <w:sz w:val="30"/>
          <w:szCs w:val="30"/>
        </w:rPr>
        <w:t>第二章 投标人须知</w:t>
      </w:r>
      <w:r>
        <w:rPr>
          <w:rFonts w:hint="eastAsia" w:ascii="宋体" w:hAnsi="宋体" w:cs="宋体"/>
          <w:color w:val="auto"/>
          <w:sz w:val="30"/>
          <w:szCs w:val="30"/>
        </w:rPr>
        <w:tab/>
      </w:r>
      <w:r>
        <w:rPr>
          <w:rFonts w:hint="eastAsia" w:ascii="宋体" w:hAnsi="宋体" w:cs="宋体"/>
          <w:color w:val="auto"/>
          <w:sz w:val="30"/>
          <w:szCs w:val="30"/>
          <w:lang w:val="en-US" w:eastAsia="zh-CN"/>
        </w:rPr>
        <w:t>5</w:t>
      </w:r>
      <w:r>
        <w:rPr>
          <w:rFonts w:hint="eastAsia" w:ascii="宋体" w:hAnsi="宋体" w:cs="宋体"/>
          <w:color w:val="auto"/>
          <w:sz w:val="30"/>
          <w:szCs w:val="30"/>
        </w:rPr>
        <w:fldChar w:fldCharType="end"/>
      </w:r>
    </w:p>
    <w:p w14:paraId="01A8707E">
      <w:pPr>
        <w:pStyle w:val="25"/>
        <w:tabs>
          <w:tab w:val="right" w:leader="dot" w:pos="9072"/>
        </w:tabs>
        <w:spacing w:line="700" w:lineRule="exact"/>
        <w:rPr>
          <w:rFonts w:hint="eastAsia" w:ascii="宋体" w:hAnsi="宋体" w:eastAsia="宋体" w:cs="宋体"/>
          <w:color w:val="auto"/>
          <w:sz w:val="30"/>
          <w:szCs w:val="30"/>
          <w:lang w:eastAsia="zh-CN"/>
        </w:rPr>
      </w:pPr>
      <w:r>
        <w:rPr>
          <w:color w:val="auto"/>
        </w:rPr>
        <w:fldChar w:fldCharType="begin"/>
      </w:r>
      <w:r>
        <w:rPr>
          <w:color w:val="auto"/>
        </w:rPr>
        <w:instrText xml:space="preserve"> HYPERLINK \l "_Toc28871" </w:instrText>
      </w:r>
      <w:r>
        <w:rPr>
          <w:color w:val="auto"/>
        </w:rPr>
        <w:fldChar w:fldCharType="separate"/>
      </w:r>
      <w:r>
        <w:rPr>
          <w:rFonts w:hint="eastAsia" w:ascii="宋体" w:hAnsi="宋体" w:cs="宋体"/>
          <w:color w:val="auto"/>
          <w:sz w:val="30"/>
          <w:szCs w:val="30"/>
        </w:rPr>
        <w:t>第三章 评标办法（综合评分法）</w:t>
      </w:r>
      <w:r>
        <w:rPr>
          <w:rFonts w:hint="eastAsia" w:ascii="宋体" w:hAnsi="宋体" w:cs="宋体"/>
          <w:color w:val="auto"/>
          <w:sz w:val="30"/>
          <w:szCs w:val="30"/>
        </w:rPr>
        <w:tab/>
      </w:r>
      <w:r>
        <w:rPr>
          <w:rFonts w:hint="eastAsia" w:ascii="宋体" w:hAnsi="宋体" w:cs="宋体"/>
          <w:color w:val="auto"/>
          <w:sz w:val="30"/>
          <w:szCs w:val="30"/>
        </w:rPr>
        <w:t>2</w:t>
      </w:r>
      <w:r>
        <w:rPr>
          <w:rFonts w:hint="eastAsia" w:ascii="宋体" w:hAnsi="宋体" w:cs="宋体"/>
          <w:color w:val="auto"/>
          <w:sz w:val="30"/>
          <w:szCs w:val="30"/>
        </w:rPr>
        <w:fldChar w:fldCharType="end"/>
      </w:r>
      <w:r>
        <w:rPr>
          <w:rFonts w:hint="eastAsia" w:ascii="宋体" w:hAnsi="宋体" w:cs="宋体"/>
          <w:color w:val="auto"/>
          <w:sz w:val="30"/>
          <w:szCs w:val="30"/>
          <w:lang w:val="en-US" w:eastAsia="zh-CN"/>
        </w:rPr>
        <w:t>4</w:t>
      </w:r>
    </w:p>
    <w:p w14:paraId="7A0DB756">
      <w:pPr>
        <w:pStyle w:val="25"/>
        <w:tabs>
          <w:tab w:val="right" w:leader="dot" w:pos="9072"/>
        </w:tabs>
        <w:spacing w:line="700" w:lineRule="exact"/>
        <w:rPr>
          <w:rFonts w:hint="eastAsia" w:ascii="宋体" w:hAnsi="宋体" w:eastAsia="宋体" w:cs="宋体"/>
          <w:color w:val="auto"/>
          <w:sz w:val="30"/>
          <w:szCs w:val="30"/>
          <w:lang w:eastAsia="zh-CN"/>
        </w:rPr>
      </w:pPr>
      <w:r>
        <w:rPr>
          <w:color w:val="auto"/>
        </w:rPr>
        <w:fldChar w:fldCharType="begin"/>
      </w:r>
      <w:r>
        <w:rPr>
          <w:color w:val="auto"/>
        </w:rPr>
        <w:instrText xml:space="preserve"> HYPERLINK \l "_Toc28444" </w:instrText>
      </w:r>
      <w:r>
        <w:rPr>
          <w:color w:val="auto"/>
        </w:rPr>
        <w:fldChar w:fldCharType="separate"/>
      </w:r>
      <w:r>
        <w:rPr>
          <w:rFonts w:hint="eastAsia" w:ascii="宋体" w:hAnsi="宋体" w:cs="宋体"/>
          <w:color w:val="auto"/>
          <w:sz w:val="30"/>
          <w:szCs w:val="30"/>
        </w:rPr>
        <w:t>第四章 采购内容及技术要求</w:t>
      </w:r>
      <w:r>
        <w:rPr>
          <w:rFonts w:hint="eastAsia" w:ascii="宋体" w:hAnsi="宋体" w:cs="宋体"/>
          <w:color w:val="auto"/>
          <w:sz w:val="30"/>
          <w:szCs w:val="30"/>
        </w:rPr>
        <w:tab/>
      </w:r>
      <w:r>
        <w:rPr>
          <w:rFonts w:hint="eastAsia" w:ascii="宋体" w:hAnsi="宋体" w:cs="宋体"/>
          <w:color w:val="auto"/>
          <w:sz w:val="30"/>
          <w:szCs w:val="30"/>
        </w:rPr>
        <w:t>3</w:t>
      </w:r>
      <w:r>
        <w:rPr>
          <w:rFonts w:hint="eastAsia" w:ascii="宋体" w:hAnsi="宋体" w:cs="宋体"/>
          <w:color w:val="auto"/>
          <w:sz w:val="30"/>
          <w:szCs w:val="30"/>
        </w:rPr>
        <w:fldChar w:fldCharType="end"/>
      </w:r>
      <w:r>
        <w:rPr>
          <w:rFonts w:hint="eastAsia" w:ascii="宋体" w:hAnsi="宋体" w:cs="宋体"/>
          <w:color w:val="auto"/>
          <w:sz w:val="30"/>
          <w:szCs w:val="30"/>
          <w:lang w:val="en-US" w:eastAsia="zh-CN"/>
        </w:rPr>
        <w:t>4</w:t>
      </w:r>
    </w:p>
    <w:p w14:paraId="6817492C">
      <w:pPr>
        <w:pStyle w:val="25"/>
        <w:tabs>
          <w:tab w:val="right" w:leader="dot" w:pos="9072"/>
        </w:tabs>
        <w:spacing w:line="700" w:lineRule="exact"/>
        <w:rPr>
          <w:rFonts w:hint="eastAsia" w:ascii="宋体" w:hAnsi="宋体" w:eastAsia="宋体" w:cs="宋体"/>
          <w:color w:val="auto"/>
          <w:sz w:val="30"/>
          <w:szCs w:val="30"/>
          <w:lang w:eastAsia="zh-CN"/>
        </w:rPr>
      </w:pPr>
      <w:r>
        <w:rPr>
          <w:color w:val="auto"/>
        </w:rPr>
        <w:fldChar w:fldCharType="begin"/>
      </w:r>
      <w:r>
        <w:rPr>
          <w:color w:val="auto"/>
        </w:rPr>
        <w:instrText xml:space="preserve"> HYPERLINK \l "_Toc22340" </w:instrText>
      </w:r>
      <w:r>
        <w:rPr>
          <w:color w:val="auto"/>
        </w:rPr>
        <w:fldChar w:fldCharType="separate"/>
      </w:r>
      <w:r>
        <w:rPr>
          <w:rFonts w:hint="eastAsia" w:ascii="宋体" w:hAnsi="宋体" w:cs="宋体"/>
          <w:color w:val="auto"/>
          <w:sz w:val="30"/>
          <w:szCs w:val="30"/>
        </w:rPr>
        <w:t>第五章 合同条款及格式</w:t>
      </w:r>
      <w:r>
        <w:rPr>
          <w:rFonts w:hint="eastAsia" w:ascii="宋体" w:hAnsi="宋体" w:cs="宋体"/>
          <w:color w:val="auto"/>
          <w:sz w:val="30"/>
          <w:szCs w:val="30"/>
        </w:rPr>
        <w:tab/>
      </w:r>
      <w:r>
        <w:rPr>
          <w:rFonts w:hint="eastAsia" w:ascii="宋体" w:hAnsi="宋体" w:cs="宋体"/>
          <w:color w:val="auto"/>
          <w:sz w:val="30"/>
          <w:szCs w:val="30"/>
        </w:rPr>
        <w:t>4</w:t>
      </w:r>
      <w:r>
        <w:rPr>
          <w:rFonts w:hint="eastAsia" w:ascii="宋体" w:hAnsi="宋体" w:cs="宋体"/>
          <w:color w:val="auto"/>
          <w:sz w:val="30"/>
          <w:szCs w:val="30"/>
        </w:rPr>
        <w:fldChar w:fldCharType="end"/>
      </w:r>
      <w:r>
        <w:rPr>
          <w:rFonts w:hint="eastAsia" w:ascii="宋体" w:hAnsi="宋体" w:cs="宋体"/>
          <w:color w:val="auto"/>
          <w:sz w:val="30"/>
          <w:szCs w:val="30"/>
          <w:lang w:val="en-US" w:eastAsia="zh-CN"/>
        </w:rPr>
        <w:t>0</w:t>
      </w:r>
    </w:p>
    <w:p w14:paraId="7D657701">
      <w:pPr>
        <w:pStyle w:val="25"/>
        <w:tabs>
          <w:tab w:val="right" w:leader="dot" w:pos="9072"/>
        </w:tabs>
        <w:spacing w:line="700" w:lineRule="exact"/>
        <w:rPr>
          <w:rFonts w:hint="default" w:ascii="宋体" w:hAnsi="宋体" w:eastAsia="宋体" w:cs="宋体"/>
          <w:color w:val="auto"/>
          <w:sz w:val="30"/>
          <w:szCs w:val="30"/>
          <w:lang w:val="en-US" w:eastAsia="zh-CN"/>
        </w:rPr>
      </w:pPr>
      <w:r>
        <w:rPr>
          <w:color w:val="auto"/>
        </w:rPr>
        <w:fldChar w:fldCharType="begin"/>
      </w:r>
      <w:r>
        <w:rPr>
          <w:color w:val="auto"/>
        </w:rPr>
        <w:instrText xml:space="preserve"> HYPERLINK \l "_Toc8628" </w:instrText>
      </w:r>
      <w:r>
        <w:rPr>
          <w:color w:val="auto"/>
        </w:rPr>
        <w:fldChar w:fldCharType="separate"/>
      </w:r>
      <w:r>
        <w:rPr>
          <w:rFonts w:hint="eastAsia" w:ascii="宋体" w:hAnsi="宋体" w:cs="宋体"/>
          <w:color w:val="auto"/>
          <w:sz w:val="30"/>
          <w:szCs w:val="30"/>
        </w:rPr>
        <w:t>第六章 投标文件格式</w:t>
      </w:r>
      <w:r>
        <w:rPr>
          <w:rFonts w:hint="eastAsia" w:ascii="宋体" w:hAnsi="宋体" w:cs="宋体"/>
          <w:color w:val="auto"/>
          <w:sz w:val="30"/>
          <w:szCs w:val="30"/>
        </w:rPr>
        <w:tab/>
      </w:r>
      <w:r>
        <w:rPr>
          <w:rFonts w:hint="eastAsia" w:ascii="宋体" w:hAnsi="宋体" w:cs="宋体"/>
          <w:color w:val="auto"/>
          <w:sz w:val="30"/>
          <w:szCs w:val="30"/>
        </w:rPr>
        <w:fldChar w:fldCharType="end"/>
      </w:r>
      <w:r>
        <w:rPr>
          <w:rFonts w:hint="eastAsia" w:ascii="宋体" w:hAnsi="宋体" w:cs="宋体"/>
          <w:color w:val="auto"/>
          <w:sz w:val="30"/>
          <w:szCs w:val="30"/>
          <w:lang w:val="en-US" w:eastAsia="zh-CN"/>
        </w:rPr>
        <w:t>47</w:t>
      </w:r>
    </w:p>
    <w:p w14:paraId="026D94FD">
      <w:pPr>
        <w:pStyle w:val="25"/>
        <w:tabs>
          <w:tab w:val="right" w:leader="dot" w:pos="9072"/>
        </w:tabs>
        <w:spacing w:line="700" w:lineRule="exact"/>
        <w:rPr>
          <w:rFonts w:hint="eastAsia" w:ascii="宋体" w:hAnsi="宋体" w:eastAsia="宋体" w:cs="宋体"/>
          <w:color w:val="auto"/>
          <w:sz w:val="30"/>
          <w:szCs w:val="30"/>
          <w:lang w:eastAsia="zh-CN"/>
        </w:rPr>
      </w:pPr>
      <w:r>
        <w:rPr>
          <w:rFonts w:hint="eastAsia" w:ascii="宋体" w:hAnsi="宋体" w:cs="宋体"/>
          <w:color w:val="auto"/>
          <w:sz w:val="30"/>
          <w:szCs w:val="30"/>
        </w:rPr>
        <w:t xml:space="preserve">第七章 </w:t>
      </w:r>
      <w:r>
        <w:rPr>
          <w:color w:val="auto"/>
        </w:rPr>
        <w:fldChar w:fldCharType="begin"/>
      </w:r>
      <w:r>
        <w:rPr>
          <w:color w:val="auto"/>
        </w:rPr>
        <w:instrText xml:space="preserve"> HYPERLINK \l "_Toc25631" </w:instrText>
      </w:r>
      <w:r>
        <w:rPr>
          <w:color w:val="auto"/>
        </w:rPr>
        <w:fldChar w:fldCharType="separate"/>
      </w:r>
      <w:r>
        <w:rPr>
          <w:rFonts w:hint="eastAsia" w:ascii="宋体" w:hAnsi="宋体" w:cs="宋体"/>
          <w:color w:val="auto"/>
          <w:sz w:val="30"/>
          <w:szCs w:val="30"/>
        </w:rPr>
        <w:t>招标人、招标代理机构对本招标文件的确认</w:t>
      </w:r>
      <w:r>
        <w:rPr>
          <w:rFonts w:hint="eastAsia" w:ascii="宋体" w:hAnsi="宋体" w:cs="宋体"/>
          <w:color w:val="auto"/>
          <w:sz w:val="30"/>
          <w:szCs w:val="30"/>
        </w:rPr>
        <w:tab/>
      </w:r>
      <w:r>
        <w:rPr>
          <w:rFonts w:hint="eastAsia" w:ascii="宋体" w:hAnsi="宋体" w:cs="宋体"/>
          <w:color w:val="auto"/>
          <w:sz w:val="30"/>
          <w:szCs w:val="30"/>
          <w:lang w:val="en-US" w:eastAsia="zh-CN"/>
        </w:rPr>
        <w:t>6</w:t>
      </w:r>
      <w:r>
        <w:rPr>
          <w:rFonts w:hint="eastAsia" w:ascii="宋体" w:hAnsi="宋体" w:cs="宋体"/>
          <w:color w:val="auto"/>
          <w:sz w:val="30"/>
          <w:szCs w:val="30"/>
        </w:rPr>
        <w:fldChar w:fldCharType="end"/>
      </w:r>
      <w:r>
        <w:rPr>
          <w:rFonts w:hint="eastAsia" w:ascii="宋体" w:hAnsi="宋体" w:cs="宋体"/>
          <w:color w:val="auto"/>
          <w:sz w:val="30"/>
          <w:szCs w:val="30"/>
          <w:lang w:val="en-US" w:eastAsia="zh-CN"/>
        </w:rPr>
        <w:t>8</w:t>
      </w:r>
    </w:p>
    <w:p w14:paraId="29FB8797">
      <w:pPr>
        <w:pStyle w:val="25"/>
        <w:tabs>
          <w:tab w:val="right" w:leader="dot" w:pos="8296"/>
        </w:tabs>
        <w:adjustRightInd w:val="0"/>
        <w:snapToGrid w:val="0"/>
        <w:spacing w:line="700" w:lineRule="exact"/>
        <w:ind w:left="150" w:hanging="150" w:hangingChars="50"/>
        <w:jc w:val="center"/>
        <w:rPr>
          <w:rFonts w:ascii="宋体" w:hAnsi="宋体" w:cs="宋体"/>
          <w:b/>
          <w:bCs/>
          <w:color w:val="auto"/>
          <w:sz w:val="30"/>
          <w:szCs w:val="30"/>
        </w:rPr>
        <w:sectPr>
          <w:headerReference r:id="rId3" w:type="default"/>
          <w:footerReference r:id="rId4" w:type="default"/>
          <w:pgSz w:w="11906" w:h="16838"/>
          <w:pgMar w:top="1440" w:right="1417" w:bottom="1417" w:left="1417" w:header="851" w:footer="992" w:gutter="0"/>
          <w:pgNumType w:start="1"/>
          <w:cols w:space="720" w:num="1"/>
          <w:docGrid w:type="lines" w:linePitch="312" w:charSpace="0"/>
        </w:sectPr>
      </w:pPr>
      <w:r>
        <w:rPr>
          <w:rFonts w:hint="eastAsia" w:ascii="宋体" w:hAnsi="宋体" w:cs="宋体"/>
          <w:color w:val="auto"/>
          <w:sz w:val="30"/>
          <w:szCs w:val="30"/>
        </w:rPr>
        <w:fldChar w:fldCharType="end"/>
      </w:r>
    </w:p>
    <w:p w14:paraId="30DB0F1A">
      <w:pPr>
        <w:pStyle w:val="2"/>
        <w:tabs>
          <w:tab w:val="left" w:pos="0"/>
          <w:tab w:val="left" w:pos="3165"/>
          <w:tab w:val="center" w:pos="4153"/>
        </w:tabs>
        <w:autoSpaceDE w:val="0"/>
        <w:autoSpaceDN w:val="0"/>
        <w:adjustRightInd w:val="0"/>
        <w:spacing w:before="0" w:after="0" w:line="240" w:lineRule="auto"/>
        <w:rPr>
          <w:rFonts w:ascii="黑体" w:hAnsi="黑体" w:cs="宋体"/>
          <w:b w:val="0"/>
          <w:color w:val="auto"/>
          <w:sz w:val="28"/>
          <w:szCs w:val="28"/>
        </w:rPr>
      </w:pPr>
      <w:bookmarkStart w:id="1" w:name="_Toc17328"/>
      <w:r>
        <w:rPr>
          <w:rFonts w:hint="eastAsia" w:ascii="华文中宋" w:hAnsi="华文中宋" w:eastAsia="华文中宋"/>
          <w:color w:val="auto"/>
        </w:rPr>
        <w:t xml:space="preserve">第一章 </w:t>
      </w:r>
      <w:bookmarkEnd w:id="1"/>
      <w:r>
        <w:rPr>
          <w:rFonts w:hint="eastAsia" w:ascii="华文中宋" w:hAnsi="华文中宋" w:eastAsia="华文中宋"/>
          <w:color w:val="auto"/>
        </w:rPr>
        <w:t>招标公告</w:t>
      </w:r>
      <w:bookmarkStart w:id="2" w:name="_Toc28359002"/>
      <w:bookmarkStart w:id="3" w:name="_Toc35393621"/>
      <w:bookmarkStart w:id="4" w:name="_Toc28359079"/>
      <w:bookmarkStart w:id="5" w:name="_Toc35393790"/>
      <w:bookmarkStart w:id="6" w:name="_Hlk24379207"/>
    </w:p>
    <w:p w14:paraId="5E63901A">
      <w:pPr>
        <w:keepNext/>
        <w:keepLines/>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项目概况</w:t>
      </w:r>
    </w:p>
    <w:p w14:paraId="243A01A7">
      <w:pPr>
        <w:keepNext/>
        <w:keepLines/>
        <w:ind w:firstLine="560" w:firstLineChars="200"/>
        <w:rPr>
          <w:rFonts w:ascii="黑体" w:hAnsi="黑体" w:cs="宋体"/>
          <w:color w:val="auto"/>
          <w:sz w:val="28"/>
          <w:szCs w:val="28"/>
        </w:rPr>
      </w:pPr>
      <w:r>
        <w:rPr>
          <w:rFonts w:hint="eastAsia" w:ascii="仿宋" w:hAnsi="仿宋" w:eastAsia="仿宋" w:cs="仿宋"/>
          <w:color w:val="auto"/>
          <w:sz w:val="28"/>
          <w:szCs w:val="28"/>
          <w:u w:val="single"/>
        </w:rPr>
        <w:t>2025年度机械水表周期更换采购项目</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二次)</w:t>
      </w:r>
      <w:r>
        <w:rPr>
          <w:rFonts w:hint="eastAsia" w:ascii="仿宋" w:hAnsi="仿宋" w:eastAsia="仿宋" w:cs="仿宋"/>
          <w:color w:val="auto"/>
          <w:sz w:val="28"/>
          <w:szCs w:val="28"/>
        </w:rPr>
        <w:t>招标项目的潜在投标人应在</w:t>
      </w:r>
      <w:r>
        <w:rPr>
          <w:rFonts w:hint="eastAsia" w:ascii="仿宋" w:hAnsi="仿宋" w:eastAsia="仿宋" w:cs="仿宋"/>
          <w:color w:val="auto"/>
          <w:sz w:val="28"/>
          <w:szCs w:val="28"/>
          <w:u w:val="single"/>
        </w:rPr>
        <w:t>滁州市公共资源交易中心网（http：//ggzy.chuzhou.gov.cn/）</w:t>
      </w:r>
      <w:r>
        <w:rPr>
          <w:rFonts w:hint="eastAsia" w:ascii="仿宋" w:hAnsi="仿宋" w:eastAsia="仿宋" w:cs="仿宋"/>
          <w:color w:val="auto"/>
          <w:sz w:val="28"/>
          <w:szCs w:val="28"/>
        </w:rPr>
        <w:t>获取招标文件，并于</w:t>
      </w:r>
      <w:r>
        <w:rPr>
          <w:rFonts w:hint="eastAsia" w:ascii="仿宋" w:hAnsi="仿宋" w:eastAsia="仿宋" w:cs="仿宋"/>
          <w:color w:val="auto"/>
          <w:sz w:val="28"/>
          <w:szCs w:val="28"/>
          <w:u w:val="single"/>
        </w:rPr>
        <w:t>2025年</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13</w:t>
      </w:r>
      <w:r>
        <w:rPr>
          <w:rFonts w:hint="eastAsia" w:ascii="仿宋" w:hAnsi="仿宋" w:eastAsia="仿宋" w:cs="仿宋"/>
          <w:color w:val="auto"/>
          <w:sz w:val="28"/>
          <w:szCs w:val="28"/>
          <w:u w:val="single"/>
        </w:rPr>
        <w:t>日08点00分</w:t>
      </w:r>
      <w:r>
        <w:rPr>
          <w:rFonts w:hint="eastAsia" w:ascii="仿宋" w:hAnsi="仿宋" w:eastAsia="仿宋" w:cs="仿宋"/>
          <w:color w:val="auto"/>
          <w:sz w:val="28"/>
          <w:szCs w:val="28"/>
        </w:rPr>
        <w:t>（北京时间）前递交投标文件。</w:t>
      </w:r>
    </w:p>
    <w:p w14:paraId="66A92A0A">
      <w:pPr>
        <w:keepNext/>
        <w:keepLines/>
        <w:spacing w:before="260" w:after="260"/>
        <w:rPr>
          <w:rFonts w:ascii="黑体" w:hAnsi="黑体" w:eastAsia="黑体" w:cs="黑体"/>
          <w:color w:val="auto"/>
          <w:sz w:val="28"/>
          <w:szCs w:val="28"/>
        </w:rPr>
      </w:pPr>
      <w:r>
        <w:rPr>
          <w:rFonts w:hint="eastAsia" w:ascii="黑体" w:hAnsi="黑体" w:eastAsia="黑体" w:cs="黑体"/>
          <w:color w:val="auto"/>
          <w:sz w:val="28"/>
          <w:szCs w:val="28"/>
        </w:rPr>
        <w:t>一、项目基本情况</w:t>
      </w:r>
      <w:bookmarkEnd w:id="2"/>
      <w:bookmarkEnd w:id="3"/>
      <w:bookmarkEnd w:id="4"/>
      <w:bookmarkEnd w:id="5"/>
    </w:p>
    <w:p w14:paraId="3C953EA8">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项目编号：czsjqt20250</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017</w:t>
      </w:r>
    </w:p>
    <w:p w14:paraId="1C1EFF34">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项目名称：</w:t>
      </w:r>
      <w:bookmarkEnd w:id="6"/>
      <w:r>
        <w:rPr>
          <w:rFonts w:hint="eastAsia" w:ascii="仿宋" w:hAnsi="仿宋" w:eastAsia="仿宋"/>
          <w:color w:val="auto"/>
          <w:sz w:val="28"/>
          <w:szCs w:val="28"/>
        </w:rPr>
        <w:t>2025年度机械水表周期更换采购项目</w:t>
      </w:r>
      <w:r>
        <w:rPr>
          <w:rFonts w:hint="eastAsia" w:ascii="仿宋" w:hAnsi="仿宋" w:eastAsia="仿宋"/>
          <w:color w:val="auto"/>
          <w:sz w:val="28"/>
          <w:szCs w:val="28"/>
          <w:lang w:val="en-US" w:eastAsia="zh-CN"/>
        </w:rPr>
        <w:t>(二次）</w:t>
      </w:r>
    </w:p>
    <w:p w14:paraId="563ACB96">
      <w:pPr>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预算金额：484000.00元   </w:t>
      </w:r>
    </w:p>
    <w:p w14:paraId="2B5F6F52">
      <w:pPr>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最高限价：484000.00元（其中最高综合单价为44元/只）   </w:t>
      </w:r>
    </w:p>
    <w:p w14:paraId="2A7EAB57">
      <w:pPr>
        <w:ind w:firstLine="560" w:firstLineChars="200"/>
        <w:rPr>
          <w:rFonts w:ascii="仿宋" w:hAnsi="仿宋" w:eastAsia="仿宋"/>
          <w:color w:val="auto"/>
          <w:sz w:val="28"/>
          <w:szCs w:val="28"/>
        </w:rPr>
      </w:pPr>
      <w:r>
        <w:rPr>
          <w:rFonts w:hint="eastAsia" w:ascii="仿宋" w:hAnsi="仿宋" w:eastAsia="仿宋"/>
          <w:color w:val="auto"/>
          <w:sz w:val="28"/>
          <w:szCs w:val="28"/>
        </w:rPr>
        <w:t>采购需求：机械水表周期更换采购</w:t>
      </w:r>
    </w:p>
    <w:p w14:paraId="030EF2A5">
      <w:pPr>
        <w:ind w:firstLine="560" w:firstLineChars="200"/>
        <w:rPr>
          <w:rFonts w:ascii="仿宋" w:hAnsi="仿宋" w:eastAsia="仿宋"/>
          <w:color w:val="auto"/>
          <w:sz w:val="28"/>
          <w:szCs w:val="28"/>
          <w:highlight w:val="yellow"/>
        </w:rPr>
      </w:pPr>
      <w:r>
        <w:rPr>
          <w:rFonts w:hint="eastAsia" w:ascii="仿宋" w:hAnsi="仿宋" w:eastAsia="仿宋"/>
          <w:color w:val="auto"/>
          <w:sz w:val="28"/>
          <w:szCs w:val="28"/>
        </w:rPr>
        <w:t>合同履行期限：本项目分批次供货，中标人收到招标人供货通知之日起7个历天内完成供货。</w:t>
      </w:r>
    </w:p>
    <w:p w14:paraId="4947B9AF">
      <w:pPr>
        <w:ind w:firstLine="560" w:firstLineChars="200"/>
        <w:rPr>
          <w:rFonts w:ascii="仿宋" w:hAnsi="仿宋" w:eastAsia="仿宋"/>
          <w:color w:val="auto"/>
          <w:sz w:val="28"/>
          <w:szCs w:val="28"/>
        </w:rPr>
      </w:pPr>
      <w:r>
        <w:rPr>
          <w:rFonts w:hint="eastAsia" w:ascii="仿宋" w:hAnsi="仿宋" w:eastAsia="仿宋"/>
          <w:color w:val="auto"/>
          <w:sz w:val="28"/>
          <w:szCs w:val="28"/>
        </w:rPr>
        <w:t>本项目不接受联合体投标。</w:t>
      </w:r>
    </w:p>
    <w:p w14:paraId="45607310">
      <w:pPr>
        <w:keepNext/>
        <w:keepLines/>
        <w:spacing w:before="260" w:after="260"/>
        <w:rPr>
          <w:rFonts w:ascii="黑体" w:hAnsi="黑体" w:eastAsia="黑体" w:cs="黑体"/>
          <w:color w:val="auto"/>
          <w:sz w:val="28"/>
          <w:szCs w:val="28"/>
        </w:rPr>
      </w:pPr>
      <w:bookmarkStart w:id="7" w:name="_Toc35393791"/>
      <w:bookmarkStart w:id="8" w:name="_Toc28359080"/>
      <w:bookmarkStart w:id="9" w:name="_Toc35393622"/>
      <w:bookmarkStart w:id="10" w:name="_Toc28359003"/>
      <w:r>
        <w:rPr>
          <w:rFonts w:hint="eastAsia" w:ascii="黑体" w:hAnsi="黑体" w:eastAsia="黑体" w:cs="黑体"/>
          <w:color w:val="auto"/>
          <w:sz w:val="28"/>
          <w:szCs w:val="28"/>
        </w:rPr>
        <w:t>二、申请人的资格要求</w:t>
      </w:r>
      <w:bookmarkEnd w:id="7"/>
      <w:bookmarkEnd w:id="8"/>
      <w:bookmarkEnd w:id="9"/>
      <w:bookmarkEnd w:id="10"/>
    </w:p>
    <w:p w14:paraId="25E230B2">
      <w:pPr>
        <w:ind w:firstLine="560" w:firstLineChars="200"/>
        <w:rPr>
          <w:rFonts w:ascii="仿宋" w:hAnsi="仿宋" w:eastAsia="仿宋"/>
          <w:color w:val="auto"/>
          <w:sz w:val="28"/>
          <w:szCs w:val="28"/>
        </w:rPr>
      </w:pPr>
      <w:bookmarkStart w:id="11" w:name="_Toc28359004"/>
      <w:bookmarkStart w:id="12" w:name="_Toc35393623"/>
      <w:bookmarkStart w:id="13" w:name="_Toc28359081"/>
      <w:bookmarkStart w:id="14" w:name="_Toc35393792"/>
      <w:r>
        <w:rPr>
          <w:rFonts w:hint="eastAsia" w:ascii="仿宋" w:hAnsi="仿宋" w:eastAsia="仿宋"/>
          <w:color w:val="auto"/>
          <w:sz w:val="28"/>
          <w:szCs w:val="28"/>
        </w:rPr>
        <w:t>1.企业资格要求：</w:t>
      </w:r>
    </w:p>
    <w:p w14:paraId="5C2911B2">
      <w:pPr>
        <w:ind w:firstLine="560" w:firstLineChars="200"/>
        <w:rPr>
          <w:rFonts w:ascii="仿宋" w:hAnsi="仿宋" w:eastAsia="仿宋"/>
          <w:color w:val="auto"/>
          <w:sz w:val="28"/>
          <w:szCs w:val="28"/>
        </w:rPr>
      </w:pPr>
      <w:r>
        <w:rPr>
          <w:rFonts w:hint="eastAsia" w:ascii="仿宋" w:hAnsi="仿宋" w:eastAsia="仿宋"/>
          <w:color w:val="auto"/>
          <w:sz w:val="28"/>
          <w:szCs w:val="28"/>
        </w:rPr>
        <w:t>1.1具有独立承担民事责任能力及相应供货能力的生产厂家。</w:t>
      </w:r>
    </w:p>
    <w:p w14:paraId="448183B0">
      <w:pPr>
        <w:ind w:firstLine="560" w:firstLineChars="200"/>
        <w:rPr>
          <w:rFonts w:ascii="仿宋" w:hAnsi="仿宋" w:eastAsia="仿宋"/>
          <w:color w:val="auto"/>
          <w:sz w:val="28"/>
          <w:szCs w:val="28"/>
        </w:rPr>
      </w:pPr>
      <w:r>
        <w:rPr>
          <w:rFonts w:hint="eastAsia" w:ascii="仿宋" w:hAnsi="仿宋" w:eastAsia="仿宋"/>
          <w:color w:val="auto"/>
          <w:sz w:val="28"/>
          <w:szCs w:val="28"/>
        </w:rPr>
        <w:t>1.2具有省级及以上卫生主管部门颁发的涉及饮用水卫生安全产品的有效卫生许可批件或省级及以上疾病预防控制中心出具的涉及饮用水卫生安全产品检验报告；</w:t>
      </w:r>
    </w:p>
    <w:p w14:paraId="564C05B5">
      <w:pPr>
        <w:pStyle w:val="17"/>
        <w:spacing w:after="0"/>
        <w:rPr>
          <w:rFonts w:ascii="仿宋" w:hAnsi="仿宋" w:eastAsia="仿宋"/>
          <w:color w:val="auto"/>
          <w:sz w:val="28"/>
          <w:szCs w:val="28"/>
          <w:highlight w:val="yellow"/>
        </w:rPr>
      </w:pPr>
      <w:r>
        <w:rPr>
          <w:rFonts w:hint="eastAsia" w:ascii="仿宋" w:hAnsi="仿宋" w:eastAsia="仿宋"/>
          <w:color w:val="auto"/>
          <w:sz w:val="28"/>
          <w:szCs w:val="28"/>
        </w:rPr>
        <w:t xml:space="preserve">   1.3具有省级或省级以上计量部门出具的产品制造计量器具许可证或有效的计量器具型式批准证书（审批权限造成无法提供上述资料的可提供市级计量部门出具的产品制造计量器具许可证或有效的计量器具型式批准证书同时须附有关人民政府发布的相关政府文件）。</w:t>
      </w:r>
    </w:p>
    <w:p w14:paraId="0F0FCA5D">
      <w:pPr>
        <w:ind w:firstLine="560" w:firstLineChars="200"/>
        <w:rPr>
          <w:rFonts w:ascii="仿宋" w:hAnsi="仿宋" w:eastAsia="仿宋"/>
          <w:color w:val="auto"/>
          <w:sz w:val="28"/>
          <w:szCs w:val="28"/>
        </w:rPr>
      </w:pPr>
      <w:r>
        <w:rPr>
          <w:rFonts w:hint="eastAsia" w:ascii="仿宋" w:hAnsi="仿宋" w:eastAsia="仿宋"/>
          <w:color w:val="auto"/>
          <w:sz w:val="28"/>
          <w:szCs w:val="28"/>
        </w:rPr>
        <w:t>2.信誉要求：投标人不得存在以下情形：</w:t>
      </w:r>
    </w:p>
    <w:p w14:paraId="3CACD58D">
      <w:pPr>
        <w:ind w:firstLine="560" w:firstLineChars="200"/>
        <w:rPr>
          <w:rFonts w:ascii="仿宋" w:hAnsi="仿宋" w:eastAsia="仿宋"/>
          <w:color w:val="auto"/>
          <w:sz w:val="28"/>
          <w:szCs w:val="28"/>
        </w:rPr>
      </w:pPr>
      <w:r>
        <w:rPr>
          <w:rFonts w:hint="eastAsia" w:ascii="仿宋" w:hAnsi="仿宋" w:eastAsia="仿宋"/>
          <w:color w:val="auto"/>
          <w:sz w:val="28"/>
          <w:szCs w:val="28"/>
        </w:rPr>
        <w:t>①被列入“信用中国”网站“失信被执行人”的;</w:t>
      </w:r>
    </w:p>
    <w:p w14:paraId="563DEABD">
      <w:pPr>
        <w:ind w:firstLine="560" w:firstLineChars="200"/>
        <w:rPr>
          <w:rFonts w:ascii="仿宋" w:hAnsi="仿宋" w:eastAsia="仿宋"/>
          <w:color w:val="auto"/>
          <w:sz w:val="28"/>
          <w:szCs w:val="28"/>
        </w:rPr>
      </w:pPr>
      <w:r>
        <w:rPr>
          <w:rFonts w:hint="eastAsia" w:ascii="仿宋" w:hAnsi="仿宋" w:eastAsia="仿宋"/>
          <w:color w:val="auto"/>
          <w:sz w:val="28"/>
          <w:szCs w:val="28"/>
        </w:rPr>
        <w:t>②被列入“信用中国”网站“重大税收违法失信主体”的；</w:t>
      </w:r>
    </w:p>
    <w:p w14:paraId="5F5AD292">
      <w:pPr>
        <w:ind w:firstLine="560" w:firstLineChars="200"/>
        <w:rPr>
          <w:rFonts w:ascii="仿宋" w:hAnsi="仿宋" w:eastAsia="仿宋"/>
          <w:color w:val="auto"/>
          <w:sz w:val="28"/>
          <w:szCs w:val="28"/>
        </w:rPr>
      </w:pPr>
      <w:r>
        <w:rPr>
          <w:rFonts w:hint="eastAsia" w:ascii="仿宋" w:hAnsi="仿宋" w:eastAsia="仿宋"/>
          <w:color w:val="auto"/>
          <w:sz w:val="28"/>
          <w:szCs w:val="28"/>
        </w:rPr>
        <w:t>③被列入“信用中国”网站“拖欠农民工工资失信联合惩戒对象名单”的；</w:t>
      </w:r>
    </w:p>
    <w:p w14:paraId="445452CD">
      <w:pPr>
        <w:ind w:firstLine="560" w:firstLineChars="200"/>
        <w:rPr>
          <w:rFonts w:ascii="仿宋" w:hAnsi="仿宋" w:eastAsia="仿宋"/>
          <w:color w:val="auto"/>
          <w:sz w:val="28"/>
          <w:szCs w:val="28"/>
        </w:rPr>
      </w:pPr>
      <w:r>
        <w:rPr>
          <w:rFonts w:hint="eastAsia" w:ascii="仿宋" w:hAnsi="仿宋" w:eastAsia="仿宋"/>
          <w:color w:val="auto"/>
          <w:sz w:val="28"/>
          <w:szCs w:val="28"/>
        </w:rPr>
        <w:t>④被列入“信用中国”网站 “严重失信主体名单”的；</w:t>
      </w:r>
    </w:p>
    <w:p w14:paraId="09C45DC5">
      <w:pPr>
        <w:ind w:firstLine="560" w:firstLineChars="200"/>
        <w:rPr>
          <w:rFonts w:ascii="仿宋" w:hAnsi="仿宋" w:eastAsia="仿宋"/>
          <w:color w:val="auto"/>
          <w:sz w:val="28"/>
          <w:szCs w:val="28"/>
        </w:rPr>
      </w:pPr>
      <w:r>
        <w:rPr>
          <w:rFonts w:hint="eastAsia" w:ascii="仿宋" w:hAnsi="仿宋" w:eastAsia="仿宋"/>
          <w:color w:val="auto"/>
          <w:sz w:val="28"/>
          <w:szCs w:val="28"/>
        </w:rPr>
        <w:t>⑤在“信用中国”网站上披露的仍在公示期的严重失信行为(具体行为类别及判定依据见附件2)的。</w:t>
      </w:r>
    </w:p>
    <w:p w14:paraId="5ADD51A8">
      <w:pPr>
        <w:ind w:firstLine="560" w:firstLineChars="200"/>
        <w:rPr>
          <w:rFonts w:ascii="仿宋" w:hAnsi="仿宋" w:eastAsia="仿宋"/>
          <w:color w:val="auto"/>
          <w:sz w:val="28"/>
          <w:szCs w:val="28"/>
        </w:rPr>
      </w:pPr>
      <w:r>
        <w:rPr>
          <w:rFonts w:hint="eastAsia" w:ascii="仿宋" w:hAnsi="仿宋" w:eastAsia="仿宋"/>
          <w:color w:val="auto"/>
          <w:sz w:val="28"/>
          <w:szCs w:val="28"/>
        </w:rPr>
        <w:t>⑥被列入</w:t>
      </w:r>
      <w:bookmarkStart w:id="15" w:name="OLE_LINK4"/>
      <w:r>
        <w:rPr>
          <w:rFonts w:hint="eastAsia" w:ascii="仿宋" w:hAnsi="仿宋" w:eastAsia="仿宋"/>
          <w:color w:val="auto"/>
          <w:sz w:val="28"/>
          <w:szCs w:val="28"/>
        </w:rPr>
        <w:t>国家企业信用信息公示系统网站</w:t>
      </w:r>
      <w:bookmarkEnd w:id="15"/>
      <w:r>
        <w:rPr>
          <w:rFonts w:hint="eastAsia" w:ascii="仿宋" w:hAnsi="仿宋" w:eastAsia="仿宋"/>
          <w:color w:val="auto"/>
          <w:sz w:val="28"/>
          <w:szCs w:val="28"/>
        </w:rPr>
        <w:t>“经营异常名录”或者“严重违法失信名单”的。</w:t>
      </w:r>
    </w:p>
    <w:p w14:paraId="0EBD8FD3">
      <w:pPr>
        <w:ind w:firstLine="560" w:firstLineChars="200"/>
        <w:rPr>
          <w:rFonts w:ascii="仿宋" w:hAnsi="仿宋" w:eastAsia="仿宋"/>
          <w:color w:val="auto"/>
          <w:sz w:val="28"/>
          <w:szCs w:val="28"/>
        </w:rPr>
      </w:pPr>
      <w:r>
        <w:rPr>
          <w:rFonts w:hint="eastAsia" w:ascii="仿宋" w:hAnsi="仿宋" w:eastAsia="仿宋"/>
          <w:color w:val="auto"/>
          <w:sz w:val="28"/>
          <w:szCs w:val="28"/>
        </w:rPr>
        <w:t>⑦前三年有行贿犯罪行为的单位和个人；</w:t>
      </w:r>
    </w:p>
    <w:p w14:paraId="1ACC71A6">
      <w:pPr>
        <w:ind w:firstLine="560" w:firstLineChars="200"/>
        <w:rPr>
          <w:rFonts w:ascii="仿宋" w:hAnsi="仿宋" w:eastAsia="仿宋"/>
          <w:color w:val="auto"/>
          <w:sz w:val="28"/>
          <w:szCs w:val="28"/>
        </w:rPr>
      </w:pPr>
      <w:r>
        <w:rPr>
          <w:rFonts w:hint="eastAsia" w:ascii="仿宋" w:hAnsi="仿宋" w:eastAsia="仿宋"/>
          <w:color w:val="auto"/>
          <w:sz w:val="28"/>
          <w:szCs w:val="28"/>
        </w:rPr>
        <w:t>⑧被滁州市县两级公管部门及各行业主管部门取消在一定期限内的投标资格且在取消期限内的；</w:t>
      </w:r>
    </w:p>
    <w:p w14:paraId="2F0CCE15">
      <w:pPr>
        <w:ind w:firstLine="560" w:firstLineChars="200"/>
        <w:rPr>
          <w:rFonts w:ascii="仿宋" w:hAnsi="仿宋" w:eastAsia="仿宋"/>
          <w:color w:val="auto"/>
          <w:sz w:val="28"/>
          <w:szCs w:val="28"/>
        </w:rPr>
      </w:pPr>
      <w:r>
        <w:rPr>
          <w:rFonts w:hint="eastAsia" w:ascii="仿宋" w:hAnsi="仿宋" w:eastAsia="仿宋"/>
          <w:color w:val="auto"/>
          <w:sz w:val="28"/>
          <w:szCs w:val="28"/>
        </w:rPr>
        <w:t>⑨因拖欠农民工工资被县级及以上有关行政主管部门限制投标资格且在限制期限内的；</w:t>
      </w:r>
    </w:p>
    <w:p w14:paraId="7EDDC89B">
      <w:pPr>
        <w:ind w:firstLine="560" w:firstLineChars="200"/>
        <w:rPr>
          <w:rFonts w:ascii="仿宋" w:hAnsi="仿宋" w:eastAsia="仿宋"/>
          <w:color w:val="auto"/>
          <w:sz w:val="28"/>
          <w:szCs w:val="28"/>
        </w:rPr>
      </w:pPr>
      <w:r>
        <w:rPr>
          <w:rFonts w:hint="eastAsia" w:ascii="仿宋" w:hAnsi="仿宋" w:eastAsia="仿宋"/>
          <w:color w:val="auto"/>
          <w:sz w:val="28"/>
          <w:szCs w:val="28"/>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03791BAF">
      <w:pPr>
        <w:ind w:firstLine="560" w:firstLineChars="200"/>
        <w:rPr>
          <w:rFonts w:ascii="仿宋" w:hAnsi="仿宋" w:eastAsia="仿宋"/>
          <w:color w:val="auto"/>
          <w:sz w:val="28"/>
          <w:szCs w:val="28"/>
        </w:rPr>
      </w:pPr>
      <w:r>
        <w:rPr>
          <w:rFonts w:hint="eastAsia" w:ascii="仿宋" w:hAnsi="仿宋" w:eastAsia="仿宋"/>
          <w:color w:val="auto"/>
          <w:sz w:val="28"/>
          <w:szCs w:val="28"/>
        </w:rPr>
        <w:t>3.投标人所属分公司、办事处等分支机构存在第2款信誉要求①-</w:t>
      </w:r>
      <w:r>
        <w:rPr>
          <w:rFonts w:hint="eastAsia" w:ascii="仿宋" w:hAnsi="仿宋" w:eastAsia="仿宋" w:cs="仿宋"/>
          <w:color w:val="auto"/>
          <w:sz w:val="28"/>
          <w:szCs w:val="28"/>
        </w:rPr>
        <w:t>⑩</w:t>
      </w:r>
      <w:r>
        <w:rPr>
          <w:rFonts w:hint="eastAsia" w:ascii="仿宋" w:hAnsi="仿宋" w:eastAsia="仿宋"/>
          <w:color w:val="auto"/>
          <w:sz w:val="28"/>
          <w:szCs w:val="28"/>
        </w:rPr>
        <w:t>项情形之一的，接受投标人参加本项目。</w:t>
      </w:r>
    </w:p>
    <w:p w14:paraId="1A42ED78">
      <w:pPr>
        <w:ind w:firstLine="560" w:firstLineChars="200"/>
        <w:rPr>
          <w:rFonts w:ascii="仿宋" w:hAnsi="仿宋" w:eastAsia="仿宋"/>
          <w:color w:val="auto"/>
          <w:sz w:val="28"/>
          <w:szCs w:val="28"/>
        </w:rPr>
      </w:pPr>
      <w:r>
        <w:rPr>
          <w:rFonts w:hint="eastAsia" w:ascii="仿宋" w:hAnsi="仿宋" w:eastAsia="仿宋"/>
          <w:color w:val="auto"/>
          <w:sz w:val="28"/>
          <w:szCs w:val="28"/>
        </w:rPr>
        <w:t>备注：第2、3条按照“关于联合惩戒失信行为加强信用查询管理的通知”查询或承诺。</w:t>
      </w:r>
    </w:p>
    <w:p w14:paraId="355EE675">
      <w:pPr>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三、获取招标文件</w:t>
      </w:r>
      <w:bookmarkEnd w:id="11"/>
      <w:bookmarkEnd w:id="12"/>
      <w:bookmarkEnd w:id="13"/>
      <w:bookmarkEnd w:id="14"/>
    </w:p>
    <w:p w14:paraId="0BFB42E8">
      <w:pPr>
        <w:ind w:firstLine="540"/>
        <w:rPr>
          <w:rFonts w:ascii="仿宋" w:hAnsi="仿宋" w:eastAsia="仿宋" w:cs="宋体"/>
          <w:iCs/>
          <w:color w:val="auto"/>
          <w:sz w:val="28"/>
          <w:szCs w:val="28"/>
        </w:rPr>
      </w:pPr>
      <w:r>
        <w:rPr>
          <w:rFonts w:hint="eastAsia" w:ascii="仿宋" w:hAnsi="仿宋" w:eastAsia="仿宋" w:cs="宋体"/>
          <w:color w:val="auto"/>
          <w:sz w:val="28"/>
          <w:szCs w:val="28"/>
        </w:rPr>
        <w:t>时间：</w:t>
      </w:r>
      <w:r>
        <w:rPr>
          <w:rFonts w:hint="eastAsia" w:ascii="仿宋" w:hAnsi="仿宋" w:eastAsia="仿宋" w:cs="宋体"/>
          <w:color w:val="auto"/>
          <w:sz w:val="28"/>
          <w:szCs w:val="28"/>
          <w:u w:val="single"/>
        </w:rPr>
        <w:t>2025年</w:t>
      </w:r>
      <w:r>
        <w:rPr>
          <w:rFonts w:hint="eastAsia" w:ascii="仿宋" w:hAnsi="仿宋" w:eastAsia="仿宋" w:cs="宋体"/>
          <w:color w:val="auto"/>
          <w:sz w:val="28"/>
          <w:szCs w:val="28"/>
          <w:u w:val="single"/>
          <w:lang w:val="en-US" w:eastAsia="zh-CN"/>
        </w:rPr>
        <w:t>9</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22</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rPr>
        <w:t xml:space="preserve"> 2025年</w:t>
      </w:r>
      <w:r>
        <w:rPr>
          <w:rFonts w:hint="eastAsia" w:ascii="仿宋" w:hAnsi="仿宋" w:eastAsia="仿宋" w:cs="宋体"/>
          <w:color w:val="auto"/>
          <w:sz w:val="28"/>
          <w:szCs w:val="28"/>
          <w:u w:val="single"/>
          <w:lang w:val="en-US" w:eastAsia="zh-CN"/>
        </w:rPr>
        <w:t>10</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13</w:t>
      </w:r>
      <w:r>
        <w:rPr>
          <w:rFonts w:hint="eastAsia" w:ascii="仿宋" w:hAnsi="仿宋" w:eastAsia="仿宋" w:cs="宋体"/>
          <w:color w:val="auto"/>
          <w:sz w:val="28"/>
          <w:szCs w:val="28"/>
          <w:u w:val="single"/>
        </w:rPr>
        <w:t>日</w:t>
      </w:r>
      <w:r>
        <w:rPr>
          <w:rFonts w:hint="eastAsia" w:ascii="仿宋" w:hAnsi="仿宋" w:eastAsia="仿宋" w:cs="宋体"/>
          <w:iCs/>
          <w:color w:val="auto"/>
          <w:sz w:val="28"/>
          <w:szCs w:val="28"/>
          <w:u w:val="single"/>
        </w:rPr>
        <w:t>（提供期限自本公告发布之日起不得少于5个工作日）</w:t>
      </w:r>
    </w:p>
    <w:p w14:paraId="1189E151">
      <w:pPr>
        <w:ind w:firstLine="540"/>
        <w:rPr>
          <w:rFonts w:ascii="仿宋" w:hAnsi="仿宋" w:eastAsia="仿宋" w:cs="宋体"/>
          <w:color w:val="auto"/>
          <w:sz w:val="28"/>
          <w:szCs w:val="28"/>
          <w:u w:val="single"/>
        </w:rPr>
      </w:pPr>
      <w:r>
        <w:rPr>
          <w:rFonts w:hint="eastAsia" w:ascii="仿宋" w:hAnsi="仿宋" w:eastAsia="仿宋" w:cs="宋体"/>
          <w:color w:val="auto"/>
          <w:sz w:val="28"/>
          <w:szCs w:val="28"/>
        </w:rPr>
        <w:t>地点：滁州市公共资源交易中心网</w:t>
      </w:r>
    </w:p>
    <w:p w14:paraId="467C9853">
      <w:pPr>
        <w:ind w:firstLine="540"/>
        <w:rPr>
          <w:rFonts w:ascii="仿宋" w:hAnsi="仿宋" w:eastAsia="仿宋" w:cs="宋体"/>
          <w:color w:val="auto"/>
          <w:sz w:val="28"/>
          <w:szCs w:val="28"/>
          <w:u w:val="single"/>
        </w:rPr>
      </w:pPr>
      <w:r>
        <w:rPr>
          <w:rFonts w:hint="eastAsia" w:ascii="仿宋" w:hAnsi="仿宋" w:eastAsia="仿宋" w:cs="宋体"/>
          <w:color w:val="auto"/>
          <w:sz w:val="28"/>
          <w:szCs w:val="28"/>
        </w:rPr>
        <w:t>方式：网上下载</w:t>
      </w:r>
    </w:p>
    <w:p w14:paraId="6462F083">
      <w:pPr>
        <w:ind w:firstLine="540"/>
        <w:rPr>
          <w:rFonts w:ascii="仿宋" w:hAnsi="仿宋" w:eastAsia="仿宋" w:cs="宋体"/>
          <w:color w:val="auto"/>
          <w:sz w:val="28"/>
          <w:szCs w:val="28"/>
        </w:rPr>
      </w:pPr>
      <w:r>
        <w:rPr>
          <w:rFonts w:hint="eastAsia" w:ascii="仿宋" w:hAnsi="仿宋" w:eastAsia="仿宋" w:cs="宋体"/>
          <w:color w:val="auto"/>
          <w:sz w:val="28"/>
          <w:szCs w:val="28"/>
        </w:rPr>
        <w:t>售价：0元</w:t>
      </w:r>
    </w:p>
    <w:p w14:paraId="53883F6C">
      <w:pPr>
        <w:pStyle w:val="3"/>
        <w:numPr>
          <w:ilvl w:val="0"/>
          <w:numId w:val="0"/>
        </w:numPr>
        <w:spacing w:line="240" w:lineRule="auto"/>
        <w:rPr>
          <w:rFonts w:ascii="黑体" w:hAnsi="黑体" w:eastAsia="黑体" w:cs="黑体"/>
          <w:color w:val="auto"/>
          <w:kern w:val="2"/>
          <w:sz w:val="28"/>
          <w:szCs w:val="28"/>
        </w:rPr>
      </w:pPr>
      <w:bookmarkStart w:id="16" w:name="_Toc28359005"/>
      <w:bookmarkStart w:id="17" w:name="_Toc28359082"/>
      <w:bookmarkStart w:id="18" w:name="_Toc35393793"/>
      <w:bookmarkStart w:id="19" w:name="_Toc35393624"/>
      <w:r>
        <w:rPr>
          <w:rFonts w:hint="eastAsia" w:ascii="黑体" w:hAnsi="黑体" w:eastAsia="黑体" w:cs="黑体"/>
          <w:color w:val="auto"/>
          <w:kern w:val="2"/>
          <w:sz w:val="28"/>
          <w:szCs w:val="28"/>
        </w:rPr>
        <w:t>四、提交投标文件</w:t>
      </w:r>
      <w:bookmarkEnd w:id="16"/>
      <w:bookmarkEnd w:id="17"/>
      <w:r>
        <w:rPr>
          <w:rFonts w:hint="eastAsia" w:ascii="黑体" w:hAnsi="黑体" w:eastAsia="黑体" w:cs="黑体"/>
          <w:color w:val="auto"/>
          <w:kern w:val="2"/>
          <w:sz w:val="28"/>
          <w:szCs w:val="28"/>
        </w:rPr>
        <w:t>截止时间、开标时间和地点</w:t>
      </w:r>
      <w:bookmarkEnd w:id="18"/>
      <w:bookmarkEnd w:id="19"/>
    </w:p>
    <w:p w14:paraId="5E1996B5">
      <w:pPr>
        <w:ind w:firstLine="560" w:firstLineChars="200"/>
        <w:rPr>
          <w:rFonts w:ascii="仿宋" w:hAnsi="仿宋" w:eastAsia="仿宋"/>
          <w:bCs/>
          <w:iCs/>
          <w:color w:val="auto"/>
          <w:sz w:val="28"/>
          <w:szCs w:val="28"/>
        </w:rPr>
      </w:pPr>
      <w:r>
        <w:rPr>
          <w:rFonts w:hint="eastAsia" w:ascii="仿宋" w:hAnsi="仿宋" w:eastAsia="仿宋"/>
          <w:bCs/>
          <w:color w:val="auto"/>
          <w:sz w:val="28"/>
          <w:szCs w:val="28"/>
          <w:u w:val="single"/>
        </w:rPr>
        <w:t>2025年</w:t>
      </w:r>
      <w:r>
        <w:rPr>
          <w:rFonts w:hint="eastAsia" w:ascii="仿宋" w:hAnsi="仿宋" w:eastAsia="仿宋"/>
          <w:bCs/>
          <w:color w:val="auto"/>
          <w:sz w:val="28"/>
          <w:szCs w:val="28"/>
          <w:u w:val="single"/>
          <w:lang w:val="en-US" w:eastAsia="zh-CN"/>
        </w:rPr>
        <w:t>10</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13</w:t>
      </w:r>
      <w:r>
        <w:rPr>
          <w:rFonts w:hint="eastAsia" w:ascii="仿宋" w:hAnsi="仿宋" w:eastAsia="仿宋"/>
          <w:bCs/>
          <w:color w:val="auto"/>
          <w:sz w:val="28"/>
          <w:szCs w:val="28"/>
          <w:u w:val="single"/>
        </w:rPr>
        <w:t>日8点00分</w:t>
      </w:r>
      <w:r>
        <w:rPr>
          <w:rFonts w:hint="eastAsia" w:ascii="仿宋" w:hAnsi="仿宋" w:eastAsia="仿宋"/>
          <w:bCs/>
          <w:color w:val="auto"/>
          <w:sz w:val="28"/>
          <w:szCs w:val="28"/>
        </w:rPr>
        <w:t>（北京时间）</w:t>
      </w:r>
      <w:r>
        <w:rPr>
          <w:rFonts w:hint="eastAsia" w:ascii="仿宋" w:hAnsi="仿宋" w:eastAsia="仿宋" w:cs="宋体"/>
          <w:iCs/>
          <w:color w:val="auto"/>
          <w:sz w:val="28"/>
          <w:szCs w:val="28"/>
          <w:u w:val="single"/>
        </w:rPr>
        <w:t>（自招标文件开始发出之日起至投标人提交投标文件截止之日止，不得少于20日）</w:t>
      </w:r>
    </w:p>
    <w:p w14:paraId="619FA813">
      <w:pPr>
        <w:ind w:firstLine="560" w:firstLineChars="200"/>
        <w:rPr>
          <w:rFonts w:ascii="仿宋" w:hAnsi="仿宋" w:eastAsia="仿宋"/>
          <w:color w:val="auto"/>
          <w:sz w:val="28"/>
          <w:szCs w:val="28"/>
        </w:rPr>
      </w:pPr>
      <w:r>
        <w:rPr>
          <w:rFonts w:hint="eastAsia" w:ascii="仿宋" w:hAnsi="仿宋" w:eastAsia="仿宋"/>
          <w:color w:val="auto"/>
          <w:sz w:val="28"/>
          <w:szCs w:val="28"/>
        </w:rPr>
        <w:t>地点：网上开标（滁州市公共资源交易中心网）</w:t>
      </w:r>
    </w:p>
    <w:p w14:paraId="057DC34A">
      <w:pPr>
        <w:keepNext/>
        <w:keepLines/>
        <w:spacing w:before="260" w:after="260"/>
        <w:rPr>
          <w:rFonts w:ascii="黑体" w:hAnsi="黑体" w:eastAsia="黑体" w:cs="黑体"/>
          <w:color w:val="auto"/>
          <w:sz w:val="28"/>
          <w:szCs w:val="28"/>
        </w:rPr>
      </w:pPr>
      <w:bookmarkStart w:id="20" w:name="_Toc35393794"/>
      <w:bookmarkStart w:id="21" w:name="_Toc28359084"/>
      <w:bookmarkStart w:id="22" w:name="_Toc35393625"/>
      <w:bookmarkStart w:id="23" w:name="_Toc28359007"/>
      <w:r>
        <w:rPr>
          <w:rFonts w:hint="eastAsia" w:ascii="黑体" w:hAnsi="黑体" w:eastAsia="黑体" w:cs="黑体"/>
          <w:color w:val="auto"/>
          <w:sz w:val="28"/>
          <w:szCs w:val="28"/>
        </w:rPr>
        <w:t>五、公告期限</w:t>
      </w:r>
      <w:bookmarkEnd w:id="20"/>
      <w:bookmarkEnd w:id="21"/>
      <w:bookmarkEnd w:id="22"/>
      <w:bookmarkEnd w:id="23"/>
    </w:p>
    <w:p w14:paraId="53C3B979">
      <w:pPr>
        <w:ind w:firstLine="560" w:firstLineChars="200"/>
        <w:rPr>
          <w:rFonts w:ascii="仿宋" w:hAnsi="仿宋" w:eastAsia="仿宋"/>
          <w:color w:val="auto"/>
          <w:sz w:val="28"/>
          <w:szCs w:val="28"/>
        </w:rPr>
      </w:pPr>
      <w:r>
        <w:rPr>
          <w:rFonts w:hint="eastAsia" w:ascii="仿宋" w:hAnsi="仿宋" w:eastAsia="仿宋"/>
          <w:color w:val="auto"/>
          <w:sz w:val="28"/>
          <w:szCs w:val="28"/>
        </w:rPr>
        <w:t>自本公告发布之日起5个工作日。</w:t>
      </w:r>
    </w:p>
    <w:p w14:paraId="39A089B0">
      <w:pPr>
        <w:keepNext/>
        <w:keepLines/>
        <w:spacing w:before="260" w:after="260"/>
        <w:rPr>
          <w:rFonts w:ascii="黑体" w:hAnsi="黑体" w:eastAsia="黑体" w:cs="黑体"/>
          <w:color w:val="auto"/>
          <w:sz w:val="28"/>
          <w:szCs w:val="28"/>
        </w:rPr>
      </w:pPr>
      <w:r>
        <w:rPr>
          <w:rFonts w:hint="eastAsia" w:ascii="黑体" w:hAnsi="黑体" w:eastAsia="黑体" w:cs="黑体"/>
          <w:color w:val="auto"/>
          <w:sz w:val="28"/>
          <w:szCs w:val="28"/>
        </w:rPr>
        <w:t>六、投标保证金金额及缴纳账户</w:t>
      </w:r>
    </w:p>
    <w:p w14:paraId="37BBEC4A">
      <w:pPr>
        <w:pStyle w:val="119"/>
        <w:rPr>
          <w:color w:val="auto"/>
        </w:rPr>
      </w:pPr>
      <w:bookmarkStart w:id="24" w:name="_Toc35393795"/>
      <w:bookmarkStart w:id="25" w:name="_Toc35393626"/>
      <w:r>
        <w:rPr>
          <w:color w:val="auto"/>
        </w:rPr>
        <w:t>窗体顶端</w:t>
      </w:r>
    </w:p>
    <w:p w14:paraId="2B0FE061">
      <w:pPr>
        <w:ind w:firstLine="560" w:firstLineChars="200"/>
        <w:rPr>
          <w:rFonts w:ascii="仿宋" w:hAnsi="仿宋" w:eastAsia="仿宋"/>
          <w:color w:val="auto"/>
          <w:sz w:val="28"/>
          <w:szCs w:val="28"/>
        </w:rPr>
      </w:pPr>
      <w:r>
        <w:rPr>
          <w:rFonts w:hint="eastAsia" w:ascii="仿宋" w:hAnsi="仿宋" w:eastAsia="仿宋"/>
          <w:color w:val="auto"/>
          <w:sz w:val="28"/>
          <w:szCs w:val="28"/>
        </w:rPr>
        <w:t>投标保证金的金额：0.9万元。不要求投标人提交投标保证金。</w:t>
      </w:r>
    </w:p>
    <w:p w14:paraId="3BA810A2">
      <w:pPr>
        <w:ind w:firstLine="560" w:firstLineChars="200"/>
        <w:rPr>
          <w:rFonts w:ascii="仿宋" w:hAnsi="仿宋" w:eastAsia="仿宋"/>
          <w:color w:val="auto"/>
          <w:sz w:val="28"/>
          <w:szCs w:val="28"/>
        </w:rPr>
      </w:pPr>
      <w:r>
        <w:rPr>
          <w:rFonts w:hint="eastAsia" w:ascii="仿宋" w:hAnsi="仿宋" w:eastAsia="仿宋"/>
          <w:color w:val="auto"/>
          <w:sz w:val="28"/>
          <w:szCs w:val="28"/>
        </w:rPr>
        <w:t>本项目不缴纳投标保证金条款仅针对在投标过程中未违反本招标文件第二章“投标人须知”中第24.4项约定的投标人。如在投标过程中投标人存在本招标文件第二章“投标人须知”中第24.4项约定情形，则无条件按招标人要求的金额、时间、账号缴纳投标保证金。</w:t>
      </w:r>
    </w:p>
    <w:p w14:paraId="01814087">
      <w:pPr>
        <w:pStyle w:val="120"/>
        <w:rPr>
          <w:color w:val="auto"/>
        </w:rPr>
      </w:pPr>
      <w:r>
        <w:rPr>
          <w:rFonts w:hint="eastAsia" w:ascii="仿宋" w:hAnsi="仿宋" w:eastAsia="仿宋"/>
          <w:color w:val="auto"/>
          <w:sz w:val="28"/>
          <w:szCs w:val="28"/>
        </w:rPr>
        <w:t>本项目不缴纳投标保证金条款仅针对在投标过程中未违反本招标文件第二章“投标人须知”中第23.4项约定的投标人。如在投标过程中投标人存在本招标文件第二章“投标人须知”中第23.4项约定情形，则无条件按招标人要求的金额、时间、账号缴纳投标保证金。</w:t>
      </w:r>
      <w:r>
        <w:rPr>
          <w:color w:val="auto"/>
        </w:rPr>
        <w:t>窗体底端</w:t>
      </w:r>
    </w:p>
    <w:p w14:paraId="5D2C63F9">
      <w:pPr>
        <w:keepNext/>
        <w:keepLines/>
        <w:spacing w:before="260" w:after="260"/>
        <w:rPr>
          <w:rFonts w:ascii="黑体" w:hAnsi="黑体" w:eastAsia="黑体" w:cs="黑体"/>
          <w:color w:val="auto"/>
          <w:sz w:val="28"/>
          <w:szCs w:val="28"/>
        </w:rPr>
      </w:pPr>
      <w:r>
        <w:rPr>
          <w:rFonts w:hint="eastAsia" w:ascii="黑体" w:hAnsi="黑体" w:eastAsia="黑体" w:cs="黑体"/>
          <w:color w:val="auto"/>
          <w:sz w:val="28"/>
          <w:szCs w:val="28"/>
        </w:rPr>
        <w:t>七、其他补充事宜</w:t>
      </w:r>
      <w:bookmarkEnd w:id="24"/>
      <w:bookmarkEnd w:id="25"/>
    </w:p>
    <w:p w14:paraId="654E962B">
      <w:pPr>
        <w:ind w:firstLine="560" w:firstLineChars="200"/>
        <w:rPr>
          <w:rFonts w:ascii="仿宋" w:hAnsi="仿宋" w:eastAsia="仿宋"/>
          <w:color w:val="auto"/>
          <w:sz w:val="28"/>
          <w:szCs w:val="28"/>
        </w:rPr>
      </w:pPr>
      <w:r>
        <w:rPr>
          <w:rFonts w:hint="eastAsia" w:ascii="仿宋" w:hAnsi="仿宋" w:eastAsia="仿宋"/>
          <w:color w:val="auto"/>
          <w:sz w:val="28"/>
          <w:szCs w:val="28"/>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0DF598EC">
      <w:pPr>
        <w:ind w:firstLine="560" w:firstLineChars="200"/>
        <w:rPr>
          <w:rFonts w:ascii="仿宋" w:hAnsi="仿宋" w:eastAsia="仿宋"/>
          <w:color w:val="auto"/>
          <w:sz w:val="28"/>
          <w:szCs w:val="28"/>
        </w:rPr>
      </w:pPr>
      <w:r>
        <w:rPr>
          <w:rFonts w:hint="eastAsia" w:ascii="仿宋" w:hAnsi="仿宋" w:eastAsia="仿宋"/>
          <w:color w:val="auto"/>
          <w:sz w:val="28"/>
          <w:szCs w:val="28"/>
        </w:rPr>
        <w:t>2.请投标人登录滁州市公共资源交易中心网站查看参加本项目的程序（具体操作步骤和程序请参见服务指南&gt;交易须知&gt;投标人填写投标信息、下载文件及网上提问操作手册）。</w:t>
      </w:r>
    </w:p>
    <w:p w14:paraId="6BB5F853">
      <w:pPr>
        <w:ind w:firstLine="560" w:firstLineChars="200"/>
        <w:rPr>
          <w:rFonts w:ascii="仿宋" w:hAnsi="仿宋" w:eastAsia="仿宋"/>
          <w:color w:val="auto"/>
          <w:sz w:val="28"/>
          <w:szCs w:val="28"/>
        </w:rPr>
      </w:pPr>
      <w:r>
        <w:rPr>
          <w:rFonts w:hint="eastAsia" w:ascii="仿宋" w:hAnsi="仿宋" w:eastAsia="仿宋"/>
          <w:color w:val="auto"/>
          <w:sz w:val="28"/>
          <w:szCs w:val="28"/>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65A7E833">
      <w:pPr>
        <w:ind w:firstLine="560" w:firstLineChars="200"/>
        <w:rPr>
          <w:rFonts w:ascii="仿宋" w:hAnsi="仿宋" w:eastAsia="仿宋"/>
          <w:color w:val="auto"/>
          <w:sz w:val="28"/>
          <w:szCs w:val="28"/>
        </w:rPr>
      </w:pPr>
      <w:r>
        <w:rPr>
          <w:rFonts w:hint="eastAsia" w:ascii="仿宋" w:hAnsi="仿宋" w:eastAsia="仿宋"/>
          <w:color w:val="auto"/>
          <w:sz w:val="28"/>
          <w:szCs w:val="28"/>
        </w:rPr>
        <w:t>4.投标文件格式、内容和制作要求以招标文件为准，投标文件制作工具中提供的相关格式及内容仅供参考，投标企业可根据招标文件要求自行调整。</w:t>
      </w:r>
    </w:p>
    <w:p w14:paraId="074C7AF2">
      <w:pPr>
        <w:ind w:firstLine="560" w:firstLineChars="200"/>
        <w:rPr>
          <w:rFonts w:ascii="仿宋" w:hAnsi="仿宋" w:eastAsia="仿宋"/>
          <w:color w:val="auto"/>
          <w:sz w:val="28"/>
          <w:szCs w:val="28"/>
        </w:rPr>
      </w:pPr>
      <w:r>
        <w:rPr>
          <w:rFonts w:hint="eastAsia" w:ascii="仿宋" w:hAnsi="仿宋" w:eastAsia="仿宋"/>
          <w:color w:val="auto"/>
          <w:sz w:val="28"/>
          <w:szCs w:val="28"/>
        </w:rPr>
        <w:t>5.投标人提出异议的截止时间及方式：如投标人对招标文件有异议，请于2025年</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日08时（投标截止10日）前在滁州市公共资源交易中心网电子交易系统中进行异议，具体操作步骤和程序请参见服务指南&gt;交易须知&gt;在线异议、质疑和投诉操作手册。</w:t>
      </w:r>
    </w:p>
    <w:p w14:paraId="472C9D6B">
      <w:pPr>
        <w:ind w:firstLine="560" w:firstLineChars="200"/>
        <w:rPr>
          <w:rFonts w:ascii="仿宋" w:hAnsi="仿宋" w:eastAsia="仿宋"/>
          <w:color w:val="auto"/>
          <w:sz w:val="28"/>
          <w:szCs w:val="28"/>
        </w:rPr>
      </w:pPr>
      <w:r>
        <w:rPr>
          <w:rFonts w:hint="eastAsia" w:ascii="仿宋" w:hAnsi="仿宋" w:eastAsia="仿宋"/>
          <w:color w:val="auto"/>
          <w:sz w:val="28"/>
          <w:szCs w:val="28"/>
        </w:rPr>
        <w:t>6.受理异议的联系人及联系方式：宋支武0550-3062913、杨韦0550-3519590。</w:t>
      </w:r>
    </w:p>
    <w:p w14:paraId="0F692B9D">
      <w:pPr>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八、对本次招标提出询问，请按以下方式联系</w:t>
      </w:r>
    </w:p>
    <w:p w14:paraId="0CC82A51">
      <w:pPr>
        <w:pStyle w:val="3"/>
        <w:numPr>
          <w:ilvl w:val="0"/>
          <w:numId w:val="0"/>
        </w:numPr>
        <w:adjustRightInd/>
        <w:spacing w:line="240" w:lineRule="auto"/>
        <w:ind w:left="-199" w:leftChars="-95" w:firstLine="560" w:firstLineChars="200"/>
        <w:jc w:val="left"/>
        <w:textAlignment w:val="auto"/>
        <w:rPr>
          <w:rFonts w:ascii="仿宋" w:hAnsi="仿宋" w:eastAsia="仿宋" w:cs="仿宋"/>
          <w:color w:val="auto"/>
          <w:kern w:val="2"/>
          <w:sz w:val="28"/>
          <w:szCs w:val="28"/>
        </w:rPr>
      </w:pPr>
      <w:r>
        <w:rPr>
          <w:rFonts w:hint="eastAsia" w:ascii="仿宋" w:hAnsi="仿宋" w:eastAsia="仿宋" w:cs="仿宋"/>
          <w:color w:val="auto"/>
          <w:kern w:val="2"/>
          <w:sz w:val="28"/>
          <w:szCs w:val="28"/>
        </w:rPr>
        <w:t>　1.招标人信息</w:t>
      </w:r>
    </w:p>
    <w:p w14:paraId="0401545F">
      <w:pPr>
        <w:ind w:left="-199" w:leftChars="-95" w:firstLine="840" w:firstLineChars="300"/>
        <w:jc w:val="left"/>
        <w:rPr>
          <w:rFonts w:ascii="仿宋" w:hAnsi="仿宋" w:eastAsia="仿宋" w:cs="仿宋"/>
          <w:color w:val="auto"/>
          <w:sz w:val="28"/>
          <w:szCs w:val="28"/>
          <w:u w:val="single"/>
        </w:rPr>
      </w:pPr>
      <w:r>
        <w:rPr>
          <w:rFonts w:hint="eastAsia" w:ascii="仿宋" w:hAnsi="仿宋" w:eastAsia="仿宋" w:cs="仿宋"/>
          <w:color w:val="auto"/>
          <w:sz w:val="28"/>
          <w:szCs w:val="28"/>
        </w:rPr>
        <w:t>名    称：</w:t>
      </w:r>
      <w:r>
        <w:rPr>
          <w:rFonts w:hint="eastAsia" w:ascii="仿宋" w:hAnsi="仿宋" w:eastAsia="仿宋" w:cs="仿宋"/>
          <w:color w:val="auto"/>
          <w:sz w:val="28"/>
          <w:szCs w:val="28"/>
          <w:u w:val="single"/>
        </w:rPr>
        <w:t xml:space="preserve">滁州市自来水有限公司  </w:t>
      </w:r>
    </w:p>
    <w:p w14:paraId="3DCA736A">
      <w:pPr>
        <w:ind w:left="-199" w:leftChars="-95" w:firstLine="840" w:firstLineChars="300"/>
        <w:jc w:val="left"/>
        <w:rPr>
          <w:rFonts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滁州市清流西路389号</w:t>
      </w:r>
    </w:p>
    <w:p w14:paraId="08056FCB">
      <w:pPr>
        <w:ind w:left="-199" w:leftChars="-95" w:firstLine="840" w:firstLineChars="300"/>
        <w:jc w:val="left"/>
        <w:rPr>
          <w:rFonts w:ascii="仿宋" w:hAnsi="仿宋" w:eastAsia="仿宋" w:cs="仿宋"/>
          <w:color w:val="auto"/>
          <w:sz w:val="28"/>
          <w:szCs w:val="28"/>
          <w:u w:val="single"/>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u w:val="single"/>
        </w:rPr>
        <w:t xml:space="preserve">0550-3062913                 </w:t>
      </w:r>
    </w:p>
    <w:p w14:paraId="249116B2">
      <w:pPr>
        <w:pStyle w:val="3"/>
        <w:numPr>
          <w:ilvl w:val="0"/>
          <w:numId w:val="0"/>
        </w:numPr>
        <w:adjustRightInd/>
        <w:spacing w:line="240" w:lineRule="auto"/>
        <w:ind w:left="-199" w:leftChars="-95" w:firstLine="840" w:firstLineChars="300"/>
        <w:jc w:val="left"/>
        <w:textAlignment w:val="auto"/>
        <w:rPr>
          <w:rFonts w:ascii="仿宋" w:hAnsi="仿宋" w:eastAsia="仿宋" w:cs="仿宋"/>
          <w:color w:val="auto"/>
          <w:kern w:val="2"/>
          <w:sz w:val="28"/>
          <w:szCs w:val="28"/>
        </w:rPr>
      </w:pPr>
      <w:r>
        <w:rPr>
          <w:rFonts w:hint="eastAsia" w:ascii="仿宋" w:hAnsi="仿宋" w:eastAsia="仿宋" w:cs="仿宋"/>
          <w:color w:val="auto"/>
          <w:kern w:val="2"/>
          <w:sz w:val="28"/>
          <w:szCs w:val="28"/>
        </w:rPr>
        <w:t>2.代理机构信息</w:t>
      </w:r>
    </w:p>
    <w:p w14:paraId="70760C51">
      <w:pPr>
        <w:ind w:left="-199" w:leftChars="-95" w:firstLine="840" w:firstLineChars="300"/>
        <w:jc w:val="left"/>
        <w:rPr>
          <w:rFonts w:ascii="仿宋" w:hAnsi="仿宋" w:eastAsia="仿宋" w:cs="仿宋"/>
          <w:color w:val="auto"/>
          <w:sz w:val="28"/>
          <w:szCs w:val="28"/>
          <w:u w:val="single"/>
        </w:rPr>
      </w:pPr>
      <w:r>
        <w:rPr>
          <w:rFonts w:hint="eastAsia" w:ascii="仿宋" w:hAnsi="仿宋" w:eastAsia="仿宋" w:cs="仿宋"/>
          <w:color w:val="auto"/>
          <w:sz w:val="28"/>
          <w:szCs w:val="28"/>
        </w:rPr>
        <w:t>名    称：</w:t>
      </w:r>
      <w:r>
        <w:rPr>
          <w:rFonts w:hint="eastAsia" w:ascii="仿宋" w:hAnsi="仿宋" w:eastAsia="仿宋" w:cs="仿宋"/>
          <w:color w:val="auto"/>
          <w:sz w:val="28"/>
          <w:szCs w:val="28"/>
          <w:u w:val="single"/>
        </w:rPr>
        <w:t>滁州市城投工程咨询管理有限公司</w:t>
      </w:r>
    </w:p>
    <w:p w14:paraId="7D000023">
      <w:pPr>
        <w:ind w:left="-199" w:leftChars="-95" w:firstLine="840" w:firstLineChars="300"/>
        <w:jc w:val="left"/>
        <w:rPr>
          <w:rFonts w:ascii="仿宋" w:hAnsi="仿宋" w:eastAsia="仿宋" w:cs="仿宋"/>
          <w:color w:val="auto"/>
          <w:sz w:val="28"/>
          <w:szCs w:val="28"/>
          <w:u w:val="single"/>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滁州市龙蟠大道109号房产大厦6楼</w:t>
      </w:r>
    </w:p>
    <w:p w14:paraId="5C96A8C6">
      <w:pPr>
        <w:ind w:left="-199" w:leftChars="-95" w:firstLine="840" w:firstLineChars="300"/>
        <w:jc w:val="left"/>
        <w:rPr>
          <w:rFonts w:ascii="仿宋" w:hAnsi="仿宋" w:eastAsia="仿宋" w:cs="仿宋"/>
          <w:color w:val="auto"/>
          <w:sz w:val="28"/>
          <w:szCs w:val="28"/>
          <w:u w:val="single"/>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u w:val="single"/>
        </w:rPr>
        <w:t>0550-3519590、18005501210</w:t>
      </w:r>
    </w:p>
    <w:p w14:paraId="541ED5B8">
      <w:pPr>
        <w:pStyle w:val="3"/>
        <w:numPr>
          <w:ilvl w:val="0"/>
          <w:numId w:val="0"/>
        </w:numPr>
        <w:adjustRightInd/>
        <w:spacing w:line="240" w:lineRule="auto"/>
        <w:ind w:left="-199" w:leftChars="-95" w:firstLine="840" w:firstLineChars="300"/>
        <w:jc w:val="left"/>
        <w:textAlignment w:val="auto"/>
        <w:rPr>
          <w:rFonts w:ascii="仿宋" w:hAnsi="仿宋" w:eastAsia="仿宋" w:cs="仿宋"/>
          <w:color w:val="auto"/>
          <w:kern w:val="2"/>
          <w:sz w:val="28"/>
          <w:szCs w:val="28"/>
        </w:rPr>
      </w:pPr>
      <w:r>
        <w:rPr>
          <w:rFonts w:hint="eastAsia" w:ascii="仿宋" w:hAnsi="仿宋" w:eastAsia="仿宋" w:cs="仿宋"/>
          <w:color w:val="auto"/>
          <w:kern w:val="2"/>
          <w:sz w:val="28"/>
          <w:szCs w:val="28"/>
        </w:rPr>
        <w:t>3.项目联系方式</w:t>
      </w:r>
    </w:p>
    <w:p w14:paraId="57C5BAD5">
      <w:pPr>
        <w:pStyle w:val="19"/>
        <w:ind w:left="-199" w:leftChars="-95" w:firstLine="840" w:firstLineChars="300"/>
        <w:jc w:val="left"/>
        <w:rPr>
          <w:rFonts w:ascii="仿宋" w:hAnsi="仿宋" w:eastAsia="仿宋" w:cs="仿宋"/>
          <w:color w:val="auto"/>
          <w:sz w:val="28"/>
          <w:szCs w:val="28"/>
          <w:u w:val="single"/>
        </w:rPr>
      </w:pPr>
      <w:r>
        <w:rPr>
          <w:rFonts w:hint="eastAsia" w:ascii="仿宋" w:hAnsi="仿宋" w:eastAsia="仿宋" w:cs="仿宋"/>
          <w:color w:val="auto"/>
          <w:sz w:val="28"/>
          <w:szCs w:val="28"/>
        </w:rPr>
        <w:t>项目联系人：</w:t>
      </w:r>
      <w:r>
        <w:rPr>
          <w:rFonts w:hint="eastAsia" w:ascii="仿宋" w:hAnsi="仿宋" w:eastAsia="仿宋" w:cs="仿宋"/>
          <w:color w:val="auto"/>
          <w:sz w:val="28"/>
          <w:szCs w:val="28"/>
          <w:u w:val="single"/>
        </w:rPr>
        <w:t xml:space="preserve">宋支武、杨韦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p>
    <w:p w14:paraId="28E7B289">
      <w:pPr>
        <w:ind w:left="-199" w:leftChars="-95" w:firstLine="840" w:firstLineChars="300"/>
        <w:jc w:val="left"/>
        <w:rPr>
          <w:rFonts w:ascii="仿宋" w:hAnsi="仿宋" w:eastAsia="仿宋"/>
          <w:color w:val="auto"/>
          <w:sz w:val="28"/>
          <w:szCs w:val="28"/>
          <w:u w:val="single"/>
        </w:rPr>
      </w:pPr>
      <w:r>
        <w:rPr>
          <w:rFonts w:hint="eastAsia" w:ascii="仿宋" w:hAnsi="仿宋" w:eastAsia="仿宋" w:cs="仿宋"/>
          <w:color w:val="auto"/>
          <w:sz w:val="28"/>
          <w:szCs w:val="28"/>
        </w:rPr>
        <w:t>电　　 话：</w:t>
      </w:r>
      <w:r>
        <w:rPr>
          <w:rFonts w:hint="eastAsia" w:ascii="仿宋" w:hAnsi="仿宋" w:eastAsia="仿宋" w:cs="仿宋"/>
          <w:color w:val="auto"/>
          <w:sz w:val="28"/>
          <w:szCs w:val="28"/>
          <w:u w:val="single"/>
        </w:rPr>
        <w:t xml:space="preserve">0550-3062913、0550-3519590 </w:t>
      </w:r>
    </w:p>
    <w:p w14:paraId="69081173">
      <w:pPr>
        <w:pStyle w:val="52"/>
        <w:ind w:firstLine="560"/>
        <w:rPr>
          <w:rFonts w:ascii="仿宋" w:hAnsi="仿宋" w:eastAsia="仿宋"/>
          <w:color w:val="auto"/>
          <w:sz w:val="28"/>
          <w:szCs w:val="28"/>
          <w:u w:val="single"/>
        </w:rPr>
      </w:pPr>
    </w:p>
    <w:p w14:paraId="54CFA5AF">
      <w:pPr>
        <w:pStyle w:val="52"/>
        <w:ind w:firstLine="560"/>
        <w:rPr>
          <w:rFonts w:ascii="仿宋" w:hAnsi="仿宋" w:eastAsia="仿宋"/>
          <w:color w:val="auto"/>
          <w:sz w:val="28"/>
          <w:szCs w:val="28"/>
          <w:u w:val="single"/>
        </w:rPr>
      </w:pPr>
    </w:p>
    <w:p w14:paraId="5EAC6EEE">
      <w:pPr>
        <w:pStyle w:val="52"/>
        <w:ind w:firstLine="0" w:firstLineChars="0"/>
        <w:rPr>
          <w:rFonts w:ascii="仿宋" w:hAnsi="仿宋" w:eastAsia="仿宋"/>
          <w:color w:val="auto"/>
          <w:sz w:val="28"/>
          <w:szCs w:val="28"/>
          <w:u w:val="single"/>
        </w:rPr>
      </w:pPr>
    </w:p>
    <w:p w14:paraId="32C05E22">
      <w:pPr>
        <w:pStyle w:val="2"/>
        <w:spacing w:beforeLines="50" w:afterLines="50" w:line="579" w:lineRule="auto"/>
        <w:rPr>
          <w:rFonts w:ascii="宋体"/>
          <w:b w:val="0"/>
          <w:color w:val="auto"/>
          <w:szCs w:val="32"/>
        </w:rPr>
      </w:pPr>
      <w:bookmarkStart w:id="26" w:name="_Toc20364"/>
      <w:r>
        <w:rPr>
          <w:rFonts w:hint="eastAsia"/>
          <w:color w:val="auto"/>
        </w:rPr>
        <w:br w:type="page"/>
      </w:r>
      <w:r>
        <w:rPr>
          <w:rFonts w:hint="eastAsia"/>
          <w:color w:val="auto"/>
        </w:rPr>
        <w:t>第二章 投标人须知</w:t>
      </w:r>
      <w:bookmarkEnd w:id="26"/>
    </w:p>
    <w:p w14:paraId="340B4472">
      <w:pPr>
        <w:snapToGrid w:val="0"/>
        <w:spacing w:line="440" w:lineRule="exact"/>
        <w:jc w:val="center"/>
        <w:outlineLvl w:val="1"/>
        <w:rPr>
          <w:rFonts w:ascii="宋体"/>
          <w:b/>
          <w:color w:val="auto"/>
          <w:sz w:val="28"/>
          <w:szCs w:val="28"/>
        </w:rPr>
      </w:pPr>
      <w:bookmarkStart w:id="27" w:name="_Toc449028865"/>
      <w:bookmarkStart w:id="28" w:name="_Toc58430314"/>
      <w:bookmarkStart w:id="29" w:name="_Toc1019"/>
      <w:r>
        <w:rPr>
          <w:rFonts w:hint="eastAsia" w:ascii="宋体"/>
          <w:b/>
          <w:color w:val="auto"/>
          <w:sz w:val="32"/>
          <w:szCs w:val="32"/>
        </w:rPr>
        <w:t>一、</w:t>
      </w:r>
      <w:r>
        <w:rPr>
          <w:rFonts w:hint="eastAsia" w:ascii="宋体"/>
          <w:b/>
          <w:color w:val="auto"/>
          <w:sz w:val="28"/>
          <w:szCs w:val="28"/>
        </w:rPr>
        <w:t>投标人须知前附表</w:t>
      </w:r>
      <w:bookmarkEnd w:id="27"/>
      <w:bookmarkEnd w:id="28"/>
      <w:bookmarkEnd w:id="29"/>
    </w:p>
    <w:tbl>
      <w:tblPr>
        <w:tblStyle w:val="35"/>
        <w:tblW w:w="9798"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48"/>
        <w:gridCol w:w="878"/>
        <w:gridCol w:w="1262"/>
        <w:gridCol w:w="6610"/>
      </w:tblGrid>
      <w:tr w14:paraId="4919BC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trPr>
        <w:tc>
          <w:tcPr>
            <w:tcW w:w="1048" w:type="dxa"/>
            <w:vAlign w:val="center"/>
          </w:tcPr>
          <w:p w14:paraId="7959D60F">
            <w:pPr>
              <w:pStyle w:val="19"/>
              <w:spacing w:line="500" w:lineRule="exact"/>
              <w:jc w:val="center"/>
              <w:rPr>
                <w:rFonts w:hAnsi="宋体" w:cs="宋体"/>
                <w:b/>
                <w:color w:val="auto"/>
                <w:szCs w:val="21"/>
              </w:rPr>
            </w:pPr>
            <w:r>
              <w:rPr>
                <w:rFonts w:hint="eastAsia" w:hAnsi="宋体" w:cs="宋体"/>
                <w:b/>
                <w:color w:val="auto"/>
                <w:szCs w:val="21"/>
              </w:rPr>
              <w:t>条款号</w:t>
            </w:r>
          </w:p>
        </w:tc>
        <w:tc>
          <w:tcPr>
            <w:tcW w:w="2140" w:type="dxa"/>
            <w:gridSpan w:val="2"/>
            <w:vAlign w:val="center"/>
          </w:tcPr>
          <w:p w14:paraId="01326B29">
            <w:pPr>
              <w:pStyle w:val="19"/>
              <w:spacing w:line="500" w:lineRule="exact"/>
              <w:jc w:val="center"/>
              <w:rPr>
                <w:rFonts w:hAnsi="宋体" w:cs="宋体"/>
                <w:b/>
                <w:color w:val="auto"/>
                <w:szCs w:val="21"/>
              </w:rPr>
            </w:pPr>
            <w:r>
              <w:rPr>
                <w:rFonts w:hint="eastAsia" w:hAnsi="宋体" w:cs="宋体"/>
                <w:b/>
                <w:color w:val="auto"/>
                <w:szCs w:val="21"/>
              </w:rPr>
              <w:t>内容</w:t>
            </w:r>
          </w:p>
        </w:tc>
        <w:tc>
          <w:tcPr>
            <w:tcW w:w="6610" w:type="dxa"/>
            <w:vAlign w:val="center"/>
          </w:tcPr>
          <w:p w14:paraId="7D47AF78">
            <w:pPr>
              <w:pStyle w:val="19"/>
              <w:spacing w:line="500" w:lineRule="exact"/>
              <w:jc w:val="center"/>
              <w:rPr>
                <w:rFonts w:hAnsi="宋体" w:cs="宋体"/>
                <w:b/>
                <w:color w:val="auto"/>
                <w:szCs w:val="21"/>
              </w:rPr>
            </w:pPr>
            <w:r>
              <w:rPr>
                <w:rFonts w:hint="eastAsia" w:hAnsi="宋体" w:cs="宋体"/>
                <w:b/>
                <w:color w:val="auto"/>
                <w:szCs w:val="21"/>
              </w:rPr>
              <w:t>说明与要求</w:t>
            </w:r>
          </w:p>
        </w:tc>
      </w:tr>
      <w:tr w14:paraId="7B175F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9" w:hRule="atLeast"/>
        </w:trPr>
        <w:tc>
          <w:tcPr>
            <w:tcW w:w="1048" w:type="dxa"/>
            <w:vAlign w:val="center"/>
          </w:tcPr>
          <w:p w14:paraId="44548235">
            <w:pPr>
              <w:pStyle w:val="19"/>
              <w:spacing w:line="500" w:lineRule="exact"/>
              <w:jc w:val="center"/>
              <w:rPr>
                <w:rFonts w:hAnsi="宋体" w:cs="宋体"/>
                <w:color w:val="auto"/>
                <w:szCs w:val="21"/>
              </w:rPr>
            </w:pPr>
            <w:r>
              <w:rPr>
                <w:rFonts w:hint="eastAsia" w:hAnsi="宋体" w:cs="宋体"/>
                <w:color w:val="auto"/>
                <w:szCs w:val="21"/>
              </w:rPr>
              <w:t>1.1</w:t>
            </w:r>
          </w:p>
        </w:tc>
        <w:tc>
          <w:tcPr>
            <w:tcW w:w="2140" w:type="dxa"/>
            <w:gridSpan w:val="2"/>
            <w:vAlign w:val="center"/>
          </w:tcPr>
          <w:p w14:paraId="66E0A56A">
            <w:pPr>
              <w:pStyle w:val="19"/>
              <w:spacing w:line="500" w:lineRule="exact"/>
              <w:jc w:val="left"/>
              <w:rPr>
                <w:rFonts w:hAnsi="宋体" w:cs="宋体"/>
                <w:color w:val="auto"/>
                <w:szCs w:val="21"/>
              </w:rPr>
            </w:pPr>
            <w:r>
              <w:rPr>
                <w:rFonts w:hint="eastAsia" w:hAnsi="宋体" w:cs="宋体"/>
                <w:color w:val="auto"/>
                <w:szCs w:val="21"/>
              </w:rPr>
              <w:t>项目名称</w:t>
            </w:r>
          </w:p>
        </w:tc>
        <w:tc>
          <w:tcPr>
            <w:tcW w:w="6610" w:type="dxa"/>
            <w:vAlign w:val="center"/>
          </w:tcPr>
          <w:p w14:paraId="2A7A73AB">
            <w:pPr>
              <w:pStyle w:val="19"/>
              <w:spacing w:line="500" w:lineRule="exact"/>
              <w:rPr>
                <w:rFonts w:hint="default" w:hAnsi="宋体" w:eastAsia="宋体" w:cs="宋体"/>
                <w:color w:val="auto"/>
                <w:szCs w:val="21"/>
                <w:lang w:val="en-US" w:eastAsia="zh-CN"/>
              </w:rPr>
            </w:pPr>
            <w:r>
              <w:rPr>
                <w:rFonts w:hint="eastAsia" w:hAnsi="宋体" w:cs="宋体"/>
                <w:color w:val="auto"/>
                <w:szCs w:val="21"/>
              </w:rPr>
              <w:t>2025年度机械水表周期更换采购项目</w:t>
            </w:r>
            <w:r>
              <w:rPr>
                <w:rFonts w:hint="eastAsia" w:hAnsi="宋体" w:cs="宋体"/>
                <w:color w:val="auto"/>
                <w:szCs w:val="21"/>
                <w:lang w:eastAsia="zh-CN"/>
              </w:rPr>
              <w:t>（</w:t>
            </w:r>
            <w:r>
              <w:rPr>
                <w:rFonts w:hint="eastAsia" w:hAnsi="宋体" w:cs="宋体"/>
                <w:color w:val="auto"/>
                <w:szCs w:val="21"/>
                <w:lang w:val="en-US" w:eastAsia="zh-CN"/>
              </w:rPr>
              <w:t>二次）</w:t>
            </w:r>
          </w:p>
        </w:tc>
      </w:tr>
      <w:tr w14:paraId="2C908A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trPr>
        <w:tc>
          <w:tcPr>
            <w:tcW w:w="1048" w:type="dxa"/>
            <w:vAlign w:val="center"/>
          </w:tcPr>
          <w:p w14:paraId="5B829123">
            <w:pPr>
              <w:pStyle w:val="19"/>
              <w:spacing w:line="500" w:lineRule="exact"/>
              <w:jc w:val="center"/>
              <w:rPr>
                <w:rFonts w:hAnsi="宋体" w:cs="宋体"/>
                <w:color w:val="auto"/>
                <w:szCs w:val="21"/>
              </w:rPr>
            </w:pPr>
            <w:r>
              <w:rPr>
                <w:rFonts w:hint="eastAsia" w:hAnsi="宋体" w:cs="宋体"/>
                <w:color w:val="auto"/>
                <w:szCs w:val="21"/>
              </w:rPr>
              <w:t>1.1</w:t>
            </w:r>
          </w:p>
        </w:tc>
        <w:tc>
          <w:tcPr>
            <w:tcW w:w="2140" w:type="dxa"/>
            <w:gridSpan w:val="2"/>
            <w:vAlign w:val="center"/>
          </w:tcPr>
          <w:p w14:paraId="2CEC1A84">
            <w:pPr>
              <w:pStyle w:val="19"/>
              <w:spacing w:line="500" w:lineRule="exact"/>
              <w:rPr>
                <w:rFonts w:hAnsi="宋体" w:cs="宋体"/>
                <w:color w:val="auto"/>
                <w:szCs w:val="21"/>
              </w:rPr>
            </w:pPr>
            <w:r>
              <w:rPr>
                <w:rFonts w:hint="eastAsia" w:hAnsi="宋体" w:cs="宋体"/>
                <w:color w:val="auto"/>
                <w:szCs w:val="21"/>
              </w:rPr>
              <w:t>项目编号</w:t>
            </w:r>
          </w:p>
        </w:tc>
        <w:tc>
          <w:tcPr>
            <w:tcW w:w="6610" w:type="dxa"/>
            <w:vAlign w:val="center"/>
          </w:tcPr>
          <w:p w14:paraId="05A8D5EC">
            <w:pPr>
              <w:pStyle w:val="19"/>
              <w:spacing w:line="500" w:lineRule="exact"/>
              <w:rPr>
                <w:rFonts w:hint="default" w:hAnsi="宋体" w:eastAsia="宋体" w:cs="宋体"/>
                <w:color w:val="auto"/>
                <w:szCs w:val="21"/>
                <w:lang w:val="en-US" w:eastAsia="zh-CN"/>
              </w:rPr>
            </w:pPr>
            <w:r>
              <w:rPr>
                <w:rFonts w:hint="eastAsia" w:hAnsi="宋体" w:cs="宋体"/>
                <w:color w:val="auto"/>
                <w:szCs w:val="21"/>
              </w:rPr>
              <w:t>czsjqt20250</w:t>
            </w:r>
            <w:r>
              <w:rPr>
                <w:rFonts w:hint="eastAsia" w:hAnsi="宋体" w:cs="宋体"/>
                <w:color w:val="auto"/>
                <w:szCs w:val="21"/>
                <w:lang w:val="en-US" w:eastAsia="zh-CN"/>
              </w:rPr>
              <w:t>9</w:t>
            </w:r>
            <w:r>
              <w:rPr>
                <w:rFonts w:hint="eastAsia" w:hAnsi="宋体" w:cs="宋体"/>
                <w:color w:val="auto"/>
                <w:szCs w:val="21"/>
              </w:rPr>
              <w:t>-</w:t>
            </w:r>
            <w:r>
              <w:rPr>
                <w:rFonts w:hint="eastAsia" w:hAnsi="宋体" w:cs="宋体"/>
                <w:color w:val="auto"/>
                <w:szCs w:val="21"/>
                <w:lang w:val="en-US" w:eastAsia="zh-CN"/>
              </w:rPr>
              <w:t>017</w:t>
            </w:r>
          </w:p>
        </w:tc>
      </w:tr>
      <w:tr w14:paraId="7C264E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048" w:type="dxa"/>
            <w:vAlign w:val="center"/>
          </w:tcPr>
          <w:p w14:paraId="0655D082">
            <w:pPr>
              <w:pStyle w:val="19"/>
              <w:spacing w:line="500" w:lineRule="exact"/>
              <w:jc w:val="center"/>
              <w:rPr>
                <w:rFonts w:hAnsi="宋体" w:cs="宋体"/>
                <w:color w:val="auto"/>
                <w:szCs w:val="21"/>
              </w:rPr>
            </w:pPr>
            <w:r>
              <w:rPr>
                <w:rFonts w:hint="eastAsia" w:hAnsi="宋体" w:cs="宋体"/>
                <w:color w:val="auto"/>
                <w:szCs w:val="21"/>
              </w:rPr>
              <w:t>1.1</w:t>
            </w:r>
          </w:p>
        </w:tc>
        <w:tc>
          <w:tcPr>
            <w:tcW w:w="2140" w:type="dxa"/>
            <w:gridSpan w:val="2"/>
            <w:vAlign w:val="center"/>
          </w:tcPr>
          <w:p w14:paraId="59331298">
            <w:pPr>
              <w:pStyle w:val="19"/>
              <w:spacing w:line="500" w:lineRule="exact"/>
              <w:jc w:val="left"/>
              <w:rPr>
                <w:rFonts w:hAnsi="宋体" w:cs="宋体"/>
                <w:color w:val="auto"/>
                <w:szCs w:val="21"/>
              </w:rPr>
            </w:pPr>
            <w:r>
              <w:rPr>
                <w:rFonts w:hint="eastAsia" w:hAnsi="宋体" w:cs="宋体"/>
                <w:color w:val="auto"/>
                <w:szCs w:val="21"/>
              </w:rPr>
              <w:t>合同履行期限</w:t>
            </w:r>
          </w:p>
        </w:tc>
        <w:tc>
          <w:tcPr>
            <w:tcW w:w="6610" w:type="dxa"/>
            <w:vAlign w:val="center"/>
          </w:tcPr>
          <w:p w14:paraId="27F0F0A2">
            <w:pPr>
              <w:spacing w:line="500" w:lineRule="exact"/>
              <w:jc w:val="left"/>
              <w:rPr>
                <w:rFonts w:ascii="宋体" w:hAnsi="宋体" w:cs="宋体"/>
                <w:color w:val="auto"/>
                <w:szCs w:val="21"/>
              </w:rPr>
            </w:pPr>
            <w:r>
              <w:rPr>
                <w:rFonts w:hint="eastAsia" w:ascii="宋体" w:hAnsi="宋体" w:cs="宋体"/>
                <w:color w:val="auto"/>
                <w:szCs w:val="21"/>
              </w:rPr>
              <w:t>本项目分批次供货，中标人收到招标人供货通知之日起7个历天内完成供货。</w:t>
            </w:r>
          </w:p>
        </w:tc>
      </w:tr>
      <w:tr w14:paraId="4C73D5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9" w:hRule="atLeast"/>
        </w:trPr>
        <w:tc>
          <w:tcPr>
            <w:tcW w:w="1048" w:type="dxa"/>
            <w:vAlign w:val="center"/>
          </w:tcPr>
          <w:p w14:paraId="0E6224D0">
            <w:pPr>
              <w:pStyle w:val="19"/>
              <w:spacing w:line="500" w:lineRule="exact"/>
              <w:jc w:val="center"/>
              <w:rPr>
                <w:rFonts w:hAnsi="宋体" w:cs="宋体"/>
                <w:color w:val="auto"/>
                <w:szCs w:val="21"/>
              </w:rPr>
            </w:pPr>
            <w:r>
              <w:rPr>
                <w:rFonts w:hint="eastAsia" w:hAnsi="宋体" w:cs="宋体"/>
                <w:color w:val="auto"/>
                <w:szCs w:val="21"/>
              </w:rPr>
              <w:t>1.1</w:t>
            </w:r>
          </w:p>
        </w:tc>
        <w:tc>
          <w:tcPr>
            <w:tcW w:w="2140" w:type="dxa"/>
            <w:gridSpan w:val="2"/>
            <w:vAlign w:val="center"/>
          </w:tcPr>
          <w:p w14:paraId="2D964F7C">
            <w:pPr>
              <w:pStyle w:val="19"/>
              <w:spacing w:line="500" w:lineRule="exact"/>
              <w:jc w:val="left"/>
              <w:rPr>
                <w:rFonts w:hAnsi="宋体" w:cs="宋体"/>
                <w:color w:val="auto"/>
                <w:szCs w:val="21"/>
              </w:rPr>
            </w:pPr>
            <w:r>
              <w:rPr>
                <w:rFonts w:hint="eastAsia" w:hAnsi="宋体" w:cs="宋体"/>
                <w:color w:val="auto"/>
                <w:szCs w:val="21"/>
              </w:rPr>
              <w:t>服务地点</w:t>
            </w:r>
          </w:p>
        </w:tc>
        <w:tc>
          <w:tcPr>
            <w:tcW w:w="6610" w:type="dxa"/>
            <w:vAlign w:val="center"/>
          </w:tcPr>
          <w:p w14:paraId="1B36716C">
            <w:pPr>
              <w:pStyle w:val="19"/>
              <w:spacing w:line="500" w:lineRule="exact"/>
              <w:rPr>
                <w:rFonts w:hAnsi="宋体" w:cs="宋体"/>
                <w:color w:val="auto"/>
                <w:szCs w:val="21"/>
              </w:rPr>
            </w:pPr>
            <w:r>
              <w:rPr>
                <w:rFonts w:hint="eastAsia" w:hAnsi="宋体" w:cs="宋体"/>
                <w:color w:val="auto"/>
                <w:szCs w:val="21"/>
              </w:rPr>
              <w:t>滁州市内</w:t>
            </w:r>
          </w:p>
        </w:tc>
      </w:tr>
      <w:tr w14:paraId="2EDB6F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 w:hRule="atLeast"/>
        </w:trPr>
        <w:tc>
          <w:tcPr>
            <w:tcW w:w="1048" w:type="dxa"/>
            <w:vAlign w:val="center"/>
          </w:tcPr>
          <w:p w14:paraId="2143E42D">
            <w:pPr>
              <w:pStyle w:val="19"/>
              <w:spacing w:line="500" w:lineRule="exact"/>
              <w:jc w:val="center"/>
              <w:rPr>
                <w:rFonts w:hAnsi="宋体" w:cs="宋体"/>
                <w:color w:val="auto"/>
                <w:szCs w:val="21"/>
              </w:rPr>
            </w:pPr>
            <w:r>
              <w:rPr>
                <w:rFonts w:hint="eastAsia" w:hAnsi="宋体" w:cs="宋体"/>
                <w:color w:val="auto"/>
                <w:szCs w:val="21"/>
              </w:rPr>
              <w:t>1.2</w:t>
            </w:r>
          </w:p>
        </w:tc>
        <w:tc>
          <w:tcPr>
            <w:tcW w:w="2140" w:type="dxa"/>
            <w:gridSpan w:val="2"/>
            <w:vAlign w:val="center"/>
          </w:tcPr>
          <w:p w14:paraId="7C738029">
            <w:pPr>
              <w:pStyle w:val="19"/>
              <w:spacing w:line="500" w:lineRule="exact"/>
              <w:jc w:val="left"/>
              <w:rPr>
                <w:rFonts w:hAnsi="宋体" w:cs="宋体"/>
                <w:color w:val="auto"/>
                <w:szCs w:val="21"/>
              </w:rPr>
            </w:pPr>
            <w:r>
              <w:rPr>
                <w:rFonts w:hint="eastAsia" w:hAnsi="宋体" w:cs="宋体"/>
                <w:color w:val="auto"/>
                <w:szCs w:val="21"/>
              </w:rPr>
              <w:t>招标人联系人及电话</w:t>
            </w:r>
          </w:p>
        </w:tc>
        <w:tc>
          <w:tcPr>
            <w:tcW w:w="6610" w:type="dxa"/>
            <w:vAlign w:val="center"/>
          </w:tcPr>
          <w:p w14:paraId="6DF838C8">
            <w:pPr>
              <w:pStyle w:val="19"/>
              <w:spacing w:line="500" w:lineRule="exact"/>
              <w:rPr>
                <w:rFonts w:hAnsi="宋体" w:cs="宋体"/>
                <w:color w:val="auto"/>
                <w:szCs w:val="21"/>
              </w:rPr>
            </w:pPr>
            <w:r>
              <w:rPr>
                <w:rFonts w:hint="eastAsia" w:hAnsi="宋体" w:cs="宋体"/>
                <w:color w:val="auto"/>
                <w:szCs w:val="21"/>
              </w:rPr>
              <w:t>联系人：宋支武              电话：0550-3062913</w:t>
            </w:r>
          </w:p>
        </w:tc>
      </w:tr>
      <w:tr w14:paraId="48EA6B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trPr>
        <w:tc>
          <w:tcPr>
            <w:tcW w:w="1048" w:type="dxa"/>
            <w:vAlign w:val="center"/>
          </w:tcPr>
          <w:p w14:paraId="055236AD">
            <w:pPr>
              <w:pStyle w:val="19"/>
              <w:spacing w:line="500" w:lineRule="exact"/>
              <w:jc w:val="center"/>
              <w:rPr>
                <w:rFonts w:hAnsi="宋体" w:cs="宋体"/>
                <w:color w:val="auto"/>
                <w:szCs w:val="21"/>
              </w:rPr>
            </w:pPr>
            <w:r>
              <w:rPr>
                <w:rFonts w:hint="eastAsia" w:hAnsi="宋体" w:cs="宋体"/>
                <w:color w:val="auto"/>
                <w:szCs w:val="21"/>
              </w:rPr>
              <w:t>1.2</w:t>
            </w:r>
          </w:p>
        </w:tc>
        <w:tc>
          <w:tcPr>
            <w:tcW w:w="2140" w:type="dxa"/>
            <w:gridSpan w:val="2"/>
            <w:vAlign w:val="center"/>
          </w:tcPr>
          <w:p w14:paraId="785EA7E4">
            <w:pPr>
              <w:pStyle w:val="19"/>
              <w:spacing w:line="500" w:lineRule="exact"/>
              <w:jc w:val="left"/>
              <w:rPr>
                <w:rFonts w:hAnsi="宋体" w:cs="宋体"/>
                <w:color w:val="auto"/>
                <w:szCs w:val="21"/>
              </w:rPr>
            </w:pPr>
            <w:r>
              <w:rPr>
                <w:rFonts w:hint="eastAsia" w:hAnsi="宋体" w:cs="宋体"/>
                <w:color w:val="auto"/>
                <w:szCs w:val="21"/>
              </w:rPr>
              <w:t>采购代理机构联系人及电话</w:t>
            </w:r>
          </w:p>
        </w:tc>
        <w:tc>
          <w:tcPr>
            <w:tcW w:w="6610" w:type="dxa"/>
            <w:vAlign w:val="center"/>
          </w:tcPr>
          <w:p w14:paraId="754529F4">
            <w:pPr>
              <w:pStyle w:val="19"/>
              <w:spacing w:line="500" w:lineRule="exact"/>
              <w:rPr>
                <w:rFonts w:hAnsi="宋体" w:cs="宋体"/>
                <w:color w:val="auto"/>
                <w:szCs w:val="21"/>
              </w:rPr>
            </w:pPr>
            <w:r>
              <w:rPr>
                <w:rFonts w:hint="eastAsia" w:hAnsi="宋体" w:cs="宋体"/>
                <w:color w:val="auto"/>
                <w:szCs w:val="21"/>
              </w:rPr>
              <w:t>联系人：杨韦                电话0550-3519590   18005501210</w:t>
            </w:r>
          </w:p>
        </w:tc>
      </w:tr>
      <w:tr w14:paraId="1D9103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7" w:hRule="atLeast"/>
        </w:trPr>
        <w:tc>
          <w:tcPr>
            <w:tcW w:w="1048" w:type="dxa"/>
            <w:vAlign w:val="center"/>
          </w:tcPr>
          <w:p w14:paraId="05C0347A">
            <w:pPr>
              <w:pStyle w:val="19"/>
              <w:spacing w:line="500" w:lineRule="exact"/>
              <w:jc w:val="center"/>
              <w:rPr>
                <w:rFonts w:hAnsi="宋体" w:cs="宋体"/>
                <w:color w:val="auto"/>
                <w:szCs w:val="21"/>
              </w:rPr>
            </w:pPr>
            <w:r>
              <w:rPr>
                <w:rFonts w:hint="eastAsia" w:hAnsi="宋体" w:cs="宋体"/>
                <w:color w:val="auto"/>
                <w:szCs w:val="21"/>
              </w:rPr>
              <w:t>1.3</w:t>
            </w:r>
          </w:p>
        </w:tc>
        <w:tc>
          <w:tcPr>
            <w:tcW w:w="2140" w:type="dxa"/>
            <w:gridSpan w:val="2"/>
            <w:vAlign w:val="center"/>
          </w:tcPr>
          <w:p w14:paraId="6A80AAAE">
            <w:pPr>
              <w:pStyle w:val="19"/>
              <w:spacing w:line="500" w:lineRule="exact"/>
              <w:jc w:val="left"/>
              <w:rPr>
                <w:rFonts w:hAnsi="宋体" w:cs="宋体"/>
                <w:color w:val="auto"/>
                <w:szCs w:val="21"/>
              </w:rPr>
            </w:pPr>
            <w:r>
              <w:rPr>
                <w:rFonts w:hint="eastAsia" w:hAnsi="宋体" w:cs="宋体"/>
                <w:color w:val="auto"/>
                <w:szCs w:val="21"/>
              </w:rPr>
              <w:t xml:space="preserve">资金来源                                                                                                                                                                 </w:t>
            </w:r>
          </w:p>
        </w:tc>
        <w:tc>
          <w:tcPr>
            <w:tcW w:w="6610" w:type="dxa"/>
            <w:vAlign w:val="center"/>
          </w:tcPr>
          <w:p w14:paraId="1D5D45BB">
            <w:pPr>
              <w:pStyle w:val="19"/>
              <w:spacing w:line="500" w:lineRule="exact"/>
              <w:rPr>
                <w:rFonts w:hAnsi="宋体" w:cs="宋体"/>
                <w:color w:val="auto"/>
                <w:szCs w:val="21"/>
              </w:rPr>
            </w:pPr>
            <w:r>
              <w:rPr>
                <w:rFonts w:hint="eastAsia" w:hAnsi="宋体" w:cs="宋体"/>
                <w:color w:val="auto"/>
                <w:szCs w:val="21"/>
              </w:rPr>
              <w:t>自筹资金</w:t>
            </w:r>
          </w:p>
        </w:tc>
      </w:tr>
      <w:tr w14:paraId="24F297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2" w:hRule="atLeast"/>
        </w:trPr>
        <w:tc>
          <w:tcPr>
            <w:tcW w:w="1048" w:type="dxa"/>
            <w:vAlign w:val="center"/>
          </w:tcPr>
          <w:p w14:paraId="0BA22E9B">
            <w:pPr>
              <w:pStyle w:val="19"/>
              <w:spacing w:line="500" w:lineRule="exact"/>
              <w:jc w:val="center"/>
              <w:rPr>
                <w:rFonts w:hAnsi="宋体" w:cs="宋体"/>
                <w:color w:val="auto"/>
                <w:szCs w:val="21"/>
              </w:rPr>
            </w:pPr>
            <w:r>
              <w:rPr>
                <w:rFonts w:hint="eastAsia" w:hAnsi="宋体" w:cs="宋体"/>
                <w:color w:val="auto"/>
                <w:szCs w:val="21"/>
              </w:rPr>
              <w:t>1.4</w:t>
            </w:r>
          </w:p>
        </w:tc>
        <w:tc>
          <w:tcPr>
            <w:tcW w:w="2140" w:type="dxa"/>
            <w:gridSpan w:val="2"/>
            <w:vAlign w:val="center"/>
          </w:tcPr>
          <w:p w14:paraId="7CEE53D0">
            <w:pPr>
              <w:pStyle w:val="19"/>
              <w:spacing w:line="500" w:lineRule="exact"/>
              <w:rPr>
                <w:rFonts w:hAnsi="宋体" w:cs="宋体"/>
                <w:color w:val="auto"/>
                <w:szCs w:val="21"/>
              </w:rPr>
            </w:pPr>
            <w:r>
              <w:rPr>
                <w:rFonts w:hint="eastAsia" w:hAnsi="宋体" w:cs="宋体"/>
                <w:color w:val="auto"/>
                <w:szCs w:val="21"/>
              </w:rPr>
              <w:t>采购预算</w:t>
            </w:r>
          </w:p>
        </w:tc>
        <w:tc>
          <w:tcPr>
            <w:tcW w:w="6610" w:type="dxa"/>
            <w:vAlign w:val="center"/>
          </w:tcPr>
          <w:p w14:paraId="1B1FD111">
            <w:pPr>
              <w:pStyle w:val="19"/>
              <w:spacing w:line="500" w:lineRule="exact"/>
              <w:rPr>
                <w:rFonts w:hAnsi="宋体" w:cs="宋体"/>
                <w:color w:val="auto"/>
                <w:szCs w:val="21"/>
              </w:rPr>
            </w:pPr>
            <w:r>
              <w:rPr>
                <w:rFonts w:hint="eastAsia" w:hAnsi="宋体" w:cs="宋体"/>
                <w:color w:val="auto"/>
                <w:szCs w:val="21"/>
              </w:rPr>
              <w:t>484000.00元</w:t>
            </w:r>
          </w:p>
        </w:tc>
      </w:tr>
      <w:tr w14:paraId="1ADBE2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vAlign w:val="center"/>
          </w:tcPr>
          <w:p w14:paraId="6ED05298">
            <w:pPr>
              <w:pStyle w:val="19"/>
              <w:spacing w:line="500" w:lineRule="exact"/>
              <w:jc w:val="center"/>
              <w:rPr>
                <w:rFonts w:hAnsi="宋体" w:cs="宋体"/>
                <w:color w:val="auto"/>
                <w:szCs w:val="21"/>
              </w:rPr>
            </w:pPr>
            <w:r>
              <w:rPr>
                <w:rFonts w:hint="eastAsia" w:hAnsi="宋体" w:cs="宋体"/>
                <w:color w:val="auto"/>
                <w:szCs w:val="21"/>
              </w:rPr>
              <w:t>1.5</w:t>
            </w:r>
          </w:p>
        </w:tc>
        <w:tc>
          <w:tcPr>
            <w:tcW w:w="2140" w:type="dxa"/>
            <w:gridSpan w:val="2"/>
            <w:vAlign w:val="center"/>
          </w:tcPr>
          <w:p w14:paraId="1795133E">
            <w:pPr>
              <w:pStyle w:val="19"/>
              <w:spacing w:line="500" w:lineRule="exact"/>
              <w:jc w:val="left"/>
              <w:rPr>
                <w:rFonts w:hAnsi="宋体" w:cs="宋体"/>
                <w:color w:val="auto"/>
                <w:szCs w:val="21"/>
              </w:rPr>
            </w:pPr>
            <w:r>
              <w:rPr>
                <w:rFonts w:hint="eastAsia" w:hAnsi="宋体" w:cs="宋体"/>
                <w:color w:val="auto"/>
                <w:szCs w:val="21"/>
              </w:rPr>
              <w:t>最高限价</w:t>
            </w:r>
          </w:p>
        </w:tc>
        <w:tc>
          <w:tcPr>
            <w:tcW w:w="6610" w:type="dxa"/>
            <w:vAlign w:val="center"/>
          </w:tcPr>
          <w:p w14:paraId="26F7153E">
            <w:pPr>
              <w:spacing w:line="500" w:lineRule="exact"/>
              <w:rPr>
                <w:rFonts w:ascii="宋体" w:hAnsi="宋体" w:cs="宋体"/>
                <w:color w:val="auto"/>
                <w:szCs w:val="21"/>
                <w:u w:color="000000"/>
              </w:rPr>
            </w:pPr>
            <w:r>
              <w:rPr>
                <w:rFonts w:hint="eastAsia" w:ascii="宋体" w:hAnsi="宋体" w:cs="宋体"/>
                <w:color w:val="auto"/>
                <w:szCs w:val="21"/>
                <w:u w:color="000000"/>
              </w:rPr>
              <w:t xml:space="preserve">484000.00元（其中最高综合单价为44元/只） </w:t>
            </w:r>
          </w:p>
        </w:tc>
      </w:tr>
      <w:tr w14:paraId="096633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048" w:type="dxa"/>
            <w:vAlign w:val="center"/>
          </w:tcPr>
          <w:p w14:paraId="250A6041">
            <w:pPr>
              <w:pStyle w:val="19"/>
              <w:spacing w:line="500" w:lineRule="exact"/>
              <w:jc w:val="center"/>
              <w:rPr>
                <w:rFonts w:hAnsi="宋体" w:cs="宋体"/>
                <w:color w:val="auto"/>
                <w:szCs w:val="21"/>
              </w:rPr>
            </w:pPr>
            <w:r>
              <w:rPr>
                <w:rFonts w:hint="eastAsia" w:hAnsi="宋体" w:cs="宋体"/>
                <w:color w:val="auto"/>
                <w:szCs w:val="21"/>
              </w:rPr>
              <w:t>2.1</w:t>
            </w:r>
          </w:p>
        </w:tc>
        <w:tc>
          <w:tcPr>
            <w:tcW w:w="2140" w:type="dxa"/>
            <w:gridSpan w:val="2"/>
            <w:vAlign w:val="center"/>
          </w:tcPr>
          <w:p w14:paraId="5BC21E71">
            <w:pPr>
              <w:pStyle w:val="19"/>
              <w:spacing w:line="500" w:lineRule="exact"/>
              <w:jc w:val="left"/>
              <w:rPr>
                <w:rFonts w:hAnsi="宋体" w:cs="宋体"/>
                <w:color w:val="auto"/>
                <w:szCs w:val="21"/>
              </w:rPr>
            </w:pPr>
            <w:r>
              <w:rPr>
                <w:rFonts w:hint="eastAsia" w:hAnsi="宋体" w:cs="宋体"/>
                <w:color w:val="auto"/>
                <w:szCs w:val="21"/>
              </w:rPr>
              <w:t>采购内容</w:t>
            </w:r>
          </w:p>
        </w:tc>
        <w:tc>
          <w:tcPr>
            <w:tcW w:w="6610" w:type="dxa"/>
            <w:vAlign w:val="center"/>
          </w:tcPr>
          <w:p w14:paraId="14447CC0">
            <w:pPr>
              <w:pStyle w:val="19"/>
              <w:spacing w:line="500" w:lineRule="exact"/>
              <w:rPr>
                <w:rFonts w:hAnsi="宋体" w:cs="宋体"/>
                <w:color w:val="auto"/>
                <w:szCs w:val="21"/>
              </w:rPr>
            </w:pPr>
            <w:r>
              <w:rPr>
                <w:rFonts w:hint="eastAsia" w:hAnsi="宋体" w:cs="宋体"/>
                <w:b/>
                <w:color w:val="auto"/>
                <w:kern w:val="0"/>
                <w:szCs w:val="21"/>
              </w:rPr>
              <w:t>具体详见《采购内容与技术要求》</w:t>
            </w:r>
          </w:p>
        </w:tc>
      </w:tr>
      <w:tr w14:paraId="3F58B8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vAlign w:val="center"/>
          </w:tcPr>
          <w:p w14:paraId="7C55ADD8">
            <w:pPr>
              <w:pStyle w:val="19"/>
              <w:spacing w:line="500" w:lineRule="exact"/>
              <w:jc w:val="center"/>
              <w:rPr>
                <w:rFonts w:hAnsi="宋体" w:cs="宋体"/>
                <w:color w:val="auto"/>
                <w:szCs w:val="21"/>
              </w:rPr>
            </w:pPr>
            <w:r>
              <w:rPr>
                <w:rFonts w:hint="eastAsia" w:hAnsi="宋体" w:cs="宋体"/>
                <w:color w:val="auto"/>
                <w:szCs w:val="21"/>
              </w:rPr>
              <w:t>3.1</w:t>
            </w:r>
          </w:p>
        </w:tc>
        <w:tc>
          <w:tcPr>
            <w:tcW w:w="2140" w:type="dxa"/>
            <w:gridSpan w:val="2"/>
            <w:vAlign w:val="center"/>
          </w:tcPr>
          <w:p w14:paraId="117551AB">
            <w:pPr>
              <w:pStyle w:val="19"/>
              <w:spacing w:line="500" w:lineRule="exact"/>
              <w:jc w:val="left"/>
              <w:rPr>
                <w:rFonts w:hAnsi="宋体" w:cs="宋体"/>
                <w:color w:val="auto"/>
                <w:szCs w:val="21"/>
              </w:rPr>
            </w:pPr>
            <w:r>
              <w:rPr>
                <w:rFonts w:hint="eastAsia" w:hAnsi="宋体" w:cs="宋体"/>
                <w:color w:val="auto"/>
                <w:szCs w:val="21"/>
              </w:rPr>
              <w:t>标包划分</w:t>
            </w:r>
          </w:p>
        </w:tc>
        <w:tc>
          <w:tcPr>
            <w:tcW w:w="6610" w:type="dxa"/>
            <w:vAlign w:val="center"/>
          </w:tcPr>
          <w:p w14:paraId="2A5597AC">
            <w:pPr>
              <w:pStyle w:val="19"/>
              <w:spacing w:line="500" w:lineRule="exact"/>
              <w:rPr>
                <w:rFonts w:hAnsi="宋体" w:cs="宋体"/>
                <w:color w:val="auto"/>
                <w:szCs w:val="21"/>
              </w:rPr>
            </w:pPr>
            <w:r>
              <w:rPr>
                <w:rFonts w:hint="eastAsia" w:hAnsi="宋体" w:cs="宋体"/>
                <w:color w:val="auto"/>
                <w:szCs w:val="21"/>
              </w:rPr>
              <w:t>本项目划分为</w:t>
            </w:r>
            <w:r>
              <w:rPr>
                <w:rFonts w:hint="eastAsia" w:hAnsi="宋体" w:cs="宋体"/>
                <w:color w:val="auto"/>
                <w:szCs w:val="21"/>
                <w:u w:val="single"/>
              </w:rPr>
              <w:t xml:space="preserve"> 1</w:t>
            </w:r>
            <w:r>
              <w:rPr>
                <w:rFonts w:hint="eastAsia" w:hAnsi="宋体" w:cs="宋体"/>
                <w:color w:val="auto"/>
                <w:szCs w:val="21"/>
              </w:rPr>
              <w:t>个标包</w:t>
            </w:r>
          </w:p>
        </w:tc>
      </w:tr>
      <w:tr w14:paraId="01350C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048" w:type="dxa"/>
            <w:vAlign w:val="center"/>
          </w:tcPr>
          <w:p w14:paraId="33DB9270">
            <w:pPr>
              <w:pStyle w:val="19"/>
              <w:spacing w:line="500" w:lineRule="exact"/>
              <w:jc w:val="center"/>
              <w:rPr>
                <w:rFonts w:hAnsi="宋体" w:cs="宋体"/>
                <w:color w:val="auto"/>
                <w:szCs w:val="21"/>
              </w:rPr>
            </w:pPr>
            <w:r>
              <w:rPr>
                <w:rFonts w:hint="eastAsia" w:hAnsi="宋体" w:cs="宋体"/>
                <w:color w:val="auto"/>
                <w:szCs w:val="21"/>
              </w:rPr>
              <w:t>4.1</w:t>
            </w:r>
          </w:p>
        </w:tc>
        <w:tc>
          <w:tcPr>
            <w:tcW w:w="2140" w:type="dxa"/>
            <w:gridSpan w:val="2"/>
            <w:vAlign w:val="center"/>
          </w:tcPr>
          <w:p w14:paraId="4C0D8CE5">
            <w:pPr>
              <w:pStyle w:val="19"/>
              <w:spacing w:line="500" w:lineRule="exact"/>
              <w:jc w:val="left"/>
              <w:rPr>
                <w:rFonts w:hAnsi="宋体" w:cs="宋体"/>
                <w:color w:val="auto"/>
                <w:szCs w:val="21"/>
              </w:rPr>
            </w:pPr>
            <w:r>
              <w:rPr>
                <w:rFonts w:hint="eastAsia" w:hAnsi="宋体" w:cs="宋体"/>
                <w:color w:val="auto"/>
                <w:szCs w:val="21"/>
              </w:rPr>
              <w:t>招标方式</w:t>
            </w:r>
          </w:p>
        </w:tc>
        <w:tc>
          <w:tcPr>
            <w:tcW w:w="6610" w:type="dxa"/>
            <w:vAlign w:val="center"/>
          </w:tcPr>
          <w:p w14:paraId="5D2EF253">
            <w:pPr>
              <w:pStyle w:val="19"/>
              <w:spacing w:line="500" w:lineRule="exact"/>
              <w:rPr>
                <w:rFonts w:hAnsi="宋体" w:cs="宋体"/>
                <w:color w:val="auto"/>
                <w:szCs w:val="21"/>
              </w:rPr>
            </w:pPr>
            <w:r>
              <w:rPr>
                <w:rFonts w:hint="eastAsia" w:hAnsi="宋体" w:cs="宋体"/>
                <w:color w:val="auto"/>
                <w:szCs w:val="21"/>
              </w:rPr>
              <w:t>公开招标</w:t>
            </w:r>
          </w:p>
        </w:tc>
      </w:tr>
      <w:tr w14:paraId="20D077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1048" w:type="dxa"/>
            <w:vAlign w:val="center"/>
          </w:tcPr>
          <w:p w14:paraId="20A72F57">
            <w:pPr>
              <w:pStyle w:val="19"/>
              <w:spacing w:line="500" w:lineRule="exact"/>
              <w:jc w:val="center"/>
              <w:rPr>
                <w:rFonts w:hAnsi="宋体" w:cs="宋体"/>
                <w:color w:val="auto"/>
                <w:szCs w:val="21"/>
              </w:rPr>
            </w:pPr>
            <w:r>
              <w:rPr>
                <w:rFonts w:hint="eastAsia" w:hAnsi="宋体" w:cs="宋体"/>
                <w:color w:val="auto"/>
                <w:szCs w:val="21"/>
              </w:rPr>
              <w:t>7.2</w:t>
            </w:r>
          </w:p>
        </w:tc>
        <w:tc>
          <w:tcPr>
            <w:tcW w:w="2140" w:type="dxa"/>
            <w:gridSpan w:val="2"/>
            <w:vAlign w:val="center"/>
          </w:tcPr>
          <w:p w14:paraId="7AA1F7BB">
            <w:pPr>
              <w:pStyle w:val="19"/>
              <w:spacing w:line="500" w:lineRule="exact"/>
              <w:jc w:val="left"/>
              <w:rPr>
                <w:rFonts w:hAnsi="宋体" w:cs="宋体"/>
                <w:color w:val="auto"/>
                <w:szCs w:val="21"/>
              </w:rPr>
            </w:pPr>
            <w:r>
              <w:rPr>
                <w:rFonts w:hint="eastAsia" w:hAnsi="宋体" w:cs="宋体"/>
                <w:color w:val="auto"/>
                <w:szCs w:val="21"/>
              </w:rPr>
              <w:t>投标人资格条件及其他要求</w:t>
            </w:r>
          </w:p>
        </w:tc>
        <w:tc>
          <w:tcPr>
            <w:tcW w:w="6610" w:type="dxa"/>
            <w:vAlign w:val="center"/>
          </w:tcPr>
          <w:p w14:paraId="021339A2">
            <w:pPr>
              <w:spacing w:line="500" w:lineRule="exact"/>
              <w:rPr>
                <w:rFonts w:ascii="宋体" w:hAnsi="宋体" w:cs="宋体"/>
                <w:color w:val="auto"/>
                <w:szCs w:val="21"/>
              </w:rPr>
            </w:pPr>
            <w:r>
              <w:rPr>
                <w:rFonts w:hint="eastAsia" w:ascii="宋体" w:hAnsi="宋体" w:cs="宋体"/>
                <w:color w:val="auto"/>
                <w:szCs w:val="21"/>
              </w:rPr>
              <w:t>详见第一章“招标公告”</w:t>
            </w:r>
          </w:p>
        </w:tc>
      </w:tr>
      <w:tr w14:paraId="1384DD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03BC3A78">
            <w:pPr>
              <w:pStyle w:val="19"/>
              <w:spacing w:line="500" w:lineRule="exact"/>
              <w:jc w:val="center"/>
              <w:rPr>
                <w:rFonts w:hAnsi="宋体" w:cs="宋体"/>
                <w:color w:val="auto"/>
                <w:szCs w:val="21"/>
              </w:rPr>
            </w:pPr>
            <w:r>
              <w:rPr>
                <w:rFonts w:hint="eastAsia" w:hAnsi="宋体" w:cs="宋体"/>
                <w:color w:val="auto"/>
                <w:szCs w:val="21"/>
              </w:rPr>
              <w:t>9.1</w:t>
            </w:r>
          </w:p>
        </w:tc>
        <w:tc>
          <w:tcPr>
            <w:tcW w:w="2140" w:type="dxa"/>
            <w:gridSpan w:val="2"/>
            <w:vAlign w:val="center"/>
          </w:tcPr>
          <w:p w14:paraId="6785A945">
            <w:pPr>
              <w:pStyle w:val="19"/>
              <w:spacing w:line="500" w:lineRule="exact"/>
              <w:jc w:val="left"/>
              <w:rPr>
                <w:rFonts w:hAnsi="宋体" w:cs="宋体"/>
                <w:color w:val="auto"/>
                <w:szCs w:val="21"/>
              </w:rPr>
            </w:pPr>
            <w:r>
              <w:rPr>
                <w:rFonts w:hint="eastAsia" w:hAnsi="宋体" w:cs="宋体"/>
                <w:color w:val="auto"/>
                <w:szCs w:val="21"/>
              </w:rPr>
              <w:t>踏勘现场</w:t>
            </w:r>
          </w:p>
        </w:tc>
        <w:tc>
          <w:tcPr>
            <w:tcW w:w="6610" w:type="dxa"/>
            <w:vAlign w:val="center"/>
          </w:tcPr>
          <w:p w14:paraId="2EC8505A">
            <w:pPr>
              <w:pStyle w:val="19"/>
              <w:spacing w:line="500" w:lineRule="exact"/>
              <w:rPr>
                <w:rFonts w:hAnsi="宋体" w:cs="宋体"/>
                <w:color w:val="auto"/>
                <w:szCs w:val="21"/>
              </w:rPr>
            </w:pPr>
            <w:r>
              <w:rPr>
                <w:rFonts w:hint="eastAsia" w:hAnsi="宋体" w:cs="宋体"/>
                <w:color w:val="auto"/>
                <w:szCs w:val="21"/>
              </w:rPr>
              <w:t>不组织,投标人自行踏勘。</w:t>
            </w:r>
          </w:p>
        </w:tc>
      </w:tr>
      <w:tr w14:paraId="388661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39774B29">
            <w:pPr>
              <w:pStyle w:val="19"/>
              <w:spacing w:line="500" w:lineRule="exact"/>
              <w:jc w:val="center"/>
              <w:rPr>
                <w:rFonts w:hAnsi="宋体" w:cs="宋体"/>
                <w:color w:val="auto"/>
                <w:szCs w:val="21"/>
              </w:rPr>
            </w:pPr>
            <w:r>
              <w:rPr>
                <w:rFonts w:hint="eastAsia" w:hAnsi="宋体" w:cs="宋体"/>
                <w:color w:val="auto"/>
                <w:szCs w:val="21"/>
              </w:rPr>
              <w:t>10.1</w:t>
            </w:r>
          </w:p>
        </w:tc>
        <w:tc>
          <w:tcPr>
            <w:tcW w:w="2140" w:type="dxa"/>
            <w:gridSpan w:val="2"/>
            <w:vAlign w:val="center"/>
          </w:tcPr>
          <w:p w14:paraId="49BEE084">
            <w:pPr>
              <w:pStyle w:val="19"/>
              <w:spacing w:line="500" w:lineRule="exact"/>
              <w:jc w:val="left"/>
              <w:rPr>
                <w:rFonts w:hAnsi="宋体" w:cs="宋体"/>
                <w:color w:val="auto"/>
                <w:szCs w:val="21"/>
              </w:rPr>
            </w:pPr>
            <w:r>
              <w:rPr>
                <w:rFonts w:hint="eastAsia" w:hAnsi="宋体" w:cs="宋体"/>
                <w:color w:val="auto"/>
                <w:szCs w:val="21"/>
              </w:rPr>
              <w:t>投标预备会</w:t>
            </w:r>
          </w:p>
        </w:tc>
        <w:tc>
          <w:tcPr>
            <w:tcW w:w="6610" w:type="dxa"/>
            <w:vAlign w:val="center"/>
          </w:tcPr>
          <w:p w14:paraId="78E797DA">
            <w:pPr>
              <w:pStyle w:val="19"/>
              <w:spacing w:line="500" w:lineRule="exact"/>
              <w:rPr>
                <w:rFonts w:hAnsi="宋体" w:cs="宋体"/>
                <w:color w:val="auto"/>
                <w:szCs w:val="21"/>
              </w:rPr>
            </w:pPr>
            <w:r>
              <w:rPr>
                <w:rFonts w:hint="eastAsia" w:hAnsi="宋体" w:cs="宋体"/>
                <w:color w:val="auto"/>
                <w:szCs w:val="21"/>
              </w:rPr>
              <w:t>不召开</w:t>
            </w:r>
          </w:p>
        </w:tc>
      </w:tr>
      <w:tr w14:paraId="4CD147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6B870516">
            <w:pPr>
              <w:pStyle w:val="19"/>
              <w:spacing w:line="500" w:lineRule="exact"/>
              <w:jc w:val="center"/>
              <w:rPr>
                <w:rFonts w:hAnsi="宋体" w:cs="宋体"/>
                <w:color w:val="auto"/>
                <w:szCs w:val="21"/>
              </w:rPr>
            </w:pPr>
            <w:r>
              <w:rPr>
                <w:rFonts w:hint="eastAsia" w:hAnsi="宋体" w:cs="宋体"/>
                <w:color w:val="auto"/>
                <w:szCs w:val="21"/>
              </w:rPr>
              <w:t>10.2</w:t>
            </w:r>
          </w:p>
        </w:tc>
        <w:tc>
          <w:tcPr>
            <w:tcW w:w="2140" w:type="dxa"/>
            <w:gridSpan w:val="2"/>
            <w:vAlign w:val="center"/>
          </w:tcPr>
          <w:p w14:paraId="7FA6FF89">
            <w:pPr>
              <w:pStyle w:val="19"/>
              <w:spacing w:line="500" w:lineRule="exact"/>
              <w:jc w:val="left"/>
              <w:rPr>
                <w:rFonts w:hAnsi="宋体" w:cs="宋体"/>
                <w:color w:val="auto"/>
                <w:szCs w:val="21"/>
              </w:rPr>
            </w:pPr>
            <w:r>
              <w:rPr>
                <w:rFonts w:hint="eastAsia" w:hAnsi="宋体" w:cs="宋体"/>
                <w:color w:val="auto"/>
                <w:szCs w:val="21"/>
              </w:rPr>
              <w:t>投标人提出疑问的截止时间及方式</w:t>
            </w:r>
          </w:p>
        </w:tc>
        <w:tc>
          <w:tcPr>
            <w:tcW w:w="6610" w:type="dxa"/>
            <w:vAlign w:val="center"/>
          </w:tcPr>
          <w:p w14:paraId="349731BE">
            <w:pPr>
              <w:pStyle w:val="19"/>
              <w:spacing w:line="500" w:lineRule="exact"/>
              <w:rPr>
                <w:rFonts w:hAnsi="宋体" w:cs="宋体"/>
                <w:color w:val="auto"/>
                <w:szCs w:val="21"/>
              </w:rPr>
            </w:pPr>
            <w:r>
              <w:rPr>
                <w:rFonts w:hint="eastAsia" w:hAnsi="宋体" w:cs="宋体"/>
                <w:color w:val="auto"/>
                <w:szCs w:val="21"/>
              </w:rPr>
              <w:t>如投标人对招标文件有疑问，请于</w:t>
            </w:r>
            <w:r>
              <w:rPr>
                <w:rFonts w:hint="eastAsia" w:hAnsi="宋体" w:cs="宋体"/>
                <w:b/>
                <w:bCs/>
                <w:color w:val="auto"/>
                <w:szCs w:val="21"/>
              </w:rPr>
              <w:t>2025年</w:t>
            </w:r>
            <w:r>
              <w:rPr>
                <w:rFonts w:hint="eastAsia" w:hAnsi="宋体" w:cs="宋体"/>
                <w:b/>
                <w:bCs/>
                <w:color w:val="auto"/>
                <w:szCs w:val="21"/>
                <w:lang w:val="en-US" w:eastAsia="zh-CN"/>
              </w:rPr>
              <w:t>10</w:t>
            </w:r>
            <w:r>
              <w:rPr>
                <w:rFonts w:hint="eastAsia" w:hAnsi="宋体" w:cs="宋体"/>
                <w:b/>
                <w:bCs/>
                <w:color w:val="auto"/>
                <w:szCs w:val="21"/>
              </w:rPr>
              <w:t>月</w:t>
            </w:r>
            <w:r>
              <w:rPr>
                <w:rFonts w:hint="eastAsia" w:hAnsi="宋体" w:cs="宋体"/>
                <w:b/>
                <w:bCs/>
                <w:color w:val="auto"/>
                <w:szCs w:val="21"/>
                <w:lang w:val="en-US" w:eastAsia="zh-CN"/>
              </w:rPr>
              <w:t>3</w:t>
            </w:r>
            <w:r>
              <w:rPr>
                <w:rFonts w:hint="eastAsia" w:hAnsi="宋体" w:cs="宋体"/>
                <w:b/>
                <w:bCs/>
                <w:color w:val="auto"/>
                <w:szCs w:val="21"/>
              </w:rPr>
              <w:t>日8时</w:t>
            </w:r>
            <w:r>
              <w:rPr>
                <w:rFonts w:hint="eastAsia" w:hAnsi="宋体" w:cs="宋体"/>
                <w:color w:val="auto"/>
                <w:szCs w:val="21"/>
              </w:rPr>
              <w:t>（投标截止10日）前</w:t>
            </w:r>
            <w:bookmarkStart w:id="30" w:name="_Hlk61815279"/>
            <w:r>
              <w:rPr>
                <w:rFonts w:hint="eastAsia" w:hAnsi="宋体" w:cs="宋体"/>
                <w:color w:val="auto"/>
                <w:szCs w:val="21"/>
              </w:rPr>
              <w:t xml:space="preserve">在滁州市公共资源交易中心网电子交易系统中进行异议（质疑），具体操作步骤和程序请参见服务指南&gt;交易须知&gt;在线异议、质疑和投诉操作手册。 </w:t>
            </w:r>
            <w:bookmarkEnd w:id="30"/>
          </w:p>
        </w:tc>
      </w:tr>
      <w:tr w14:paraId="7DD694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5C4179E1">
            <w:pPr>
              <w:pStyle w:val="19"/>
              <w:spacing w:line="500" w:lineRule="exact"/>
              <w:jc w:val="center"/>
              <w:rPr>
                <w:rFonts w:hAnsi="宋体" w:cs="宋体"/>
                <w:color w:val="auto"/>
                <w:szCs w:val="21"/>
              </w:rPr>
            </w:pPr>
            <w:r>
              <w:rPr>
                <w:rFonts w:hint="eastAsia" w:hAnsi="宋体" w:cs="宋体"/>
                <w:color w:val="auto"/>
                <w:szCs w:val="21"/>
              </w:rPr>
              <w:t>10.3</w:t>
            </w:r>
          </w:p>
        </w:tc>
        <w:tc>
          <w:tcPr>
            <w:tcW w:w="2140" w:type="dxa"/>
            <w:gridSpan w:val="2"/>
            <w:vAlign w:val="center"/>
          </w:tcPr>
          <w:p w14:paraId="24996891">
            <w:pPr>
              <w:pStyle w:val="19"/>
              <w:spacing w:line="500" w:lineRule="exact"/>
              <w:jc w:val="left"/>
              <w:rPr>
                <w:rFonts w:hAnsi="宋体" w:cs="宋体"/>
                <w:color w:val="auto"/>
                <w:szCs w:val="21"/>
              </w:rPr>
            </w:pPr>
            <w:r>
              <w:rPr>
                <w:rFonts w:hint="eastAsia" w:hAnsi="宋体" w:cs="宋体"/>
                <w:color w:val="auto"/>
                <w:szCs w:val="21"/>
              </w:rPr>
              <w:t>招标人澄清的时间及方式</w:t>
            </w:r>
          </w:p>
        </w:tc>
        <w:tc>
          <w:tcPr>
            <w:tcW w:w="6610" w:type="dxa"/>
            <w:vAlign w:val="center"/>
          </w:tcPr>
          <w:p w14:paraId="67F82F88">
            <w:pPr>
              <w:spacing w:line="500" w:lineRule="exact"/>
              <w:rPr>
                <w:rFonts w:ascii="宋体" w:hAnsi="宋体" w:cs="宋体"/>
                <w:color w:val="auto"/>
                <w:szCs w:val="21"/>
              </w:rPr>
            </w:pPr>
            <w:r>
              <w:rPr>
                <w:rFonts w:hint="eastAsia" w:ascii="宋体" w:hAnsi="宋体" w:cs="宋体"/>
                <w:b/>
                <w:bCs/>
                <w:color w:val="auto"/>
                <w:szCs w:val="21"/>
                <w:u w:color="000000"/>
              </w:rPr>
              <w:t>2025年</w:t>
            </w:r>
            <w:r>
              <w:rPr>
                <w:rFonts w:hint="eastAsia" w:ascii="宋体" w:hAnsi="宋体" w:cs="宋体"/>
                <w:b/>
                <w:bCs/>
                <w:color w:val="auto"/>
                <w:szCs w:val="21"/>
                <w:u w:color="000000"/>
                <w:lang w:val="en-US" w:eastAsia="zh-CN"/>
              </w:rPr>
              <w:t>10</w:t>
            </w:r>
            <w:r>
              <w:rPr>
                <w:rFonts w:hint="eastAsia" w:ascii="宋体" w:hAnsi="宋体" w:cs="宋体"/>
                <w:b/>
                <w:bCs/>
                <w:color w:val="auto"/>
                <w:szCs w:val="21"/>
                <w:u w:color="000000"/>
              </w:rPr>
              <w:t>月</w:t>
            </w:r>
            <w:r>
              <w:rPr>
                <w:rFonts w:hint="eastAsia" w:ascii="宋体" w:hAnsi="宋体" w:cs="宋体"/>
                <w:b/>
                <w:bCs/>
                <w:color w:val="auto"/>
                <w:szCs w:val="21"/>
                <w:u w:color="000000"/>
                <w:lang w:val="en-US" w:eastAsia="zh-CN"/>
              </w:rPr>
              <w:t>9</w:t>
            </w:r>
            <w:r>
              <w:rPr>
                <w:rFonts w:hint="eastAsia" w:ascii="宋体" w:hAnsi="宋体" w:cs="宋体"/>
                <w:b/>
                <w:bCs/>
                <w:color w:val="auto"/>
                <w:szCs w:val="21"/>
                <w:u w:color="000000"/>
              </w:rPr>
              <w:t>日17时</w:t>
            </w:r>
            <w:r>
              <w:rPr>
                <w:rFonts w:hint="eastAsia" w:ascii="宋体" w:hAnsi="宋体" w:cs="宋体"/>
                <w:b/>
                <w:bCs/>
                <w:color w:val="auto"/>
                <w:szCs w:val="21"/>
              </w:rPr>
              <w:t>前</w:t>
            </w:r>
            <w:r>
              <w:rPr>
                <w:rFonts w:hint="eastAsia" w:ascii="宋体" w:hAnsi="宋体" w:cs="宋体"/>
                <w:color w:val="auto"/>
                <w:szCs w:val="21"/>
              </w:rPr>
              <w:t>以澄清公告形式在滁州市公共资源交易网（http://ggzy.chuzhou.gov.cn /）“答疑澄清文件”栏目予以公告。</w:t>
            </w:r>
          </w:p>
        </w:tc>
      </w:tr>
      <w:tr w14:paraId="6E9884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1048" w:type="dxa"/>
            <w:vAlign w:val="center"/>
          </w:tcPr>
          <w:p w14:paraId="2D3512AC">
            <w:pPr>
              <w:pStyle w:val="19"/>
              <w:spacing w:line="500" w:lineRule="exact"/>
              <w:jc w:val="center"/>
              <w:rPr>
                <w:rFonts w:hAnsi="宋体" w:cs="宋体"/>
                <w:color w:val="auto"/>
                <w:szCs w:val="21"/>
              </w:rPr>
            </w:pPr>
            <w:r>
              <w:rPr>
                <w:rFonts w:hint="eastAsia" w:hAnsi="宋体" w:cs="宋体"/>
                <w:color w:val="auto"/>
                <w:szCs w:val="21"/>
              </w:rPr>
              <w:t>11.1</w:t>
            </w:r>
          </w:p>
        </w:tc>
        <w:tc>
          <w:tcPr>
            <w:tcW w:w="2140" w:type="dxa"/>
            <w:gridSpan w:val="2"/>
            <w:vAlign w:val="center"/>
          </w:tcPr>
          <w:p w14:paraId="40C573CC">
            <w:pPr>
              <w:pStyle w:val="19"/>
              <w:spacing w:line="500" w:lineRule="exact"/>
              <w:jc w:val="left"/>
              <w:rPr>
                <w:rFonts w:hAnsi="宋体" w:cs="宋体"/>
                <w:color w:val="auto"/>
                <w:szCs w:val="21"/>
              </w:rPr>
            </w:pPr>
            <w:r>
              <w:rPr>
                <w:rFonts w:hint="eastAsia" w:hAnsi="宋体" w:cs="宋体"/>
                <w:color w:val="auto"/>
                <w:szCs w:val="21"/>
              </w:rPr>
              <w:t>联合体投标</w:t>
            </w:r>
          </w:p>
        </w:tc>
        <w:tc>
          <w:tcPr>
            <w:tcW w:w="6610" w:type="dxa"/>
            <w:vAlign w:val="center"/>
          </w:tcPr>
          <w:p w14:paraId="1CBD5427">
            <w:pPr>
              <w:pStyle w:val="19"/>
              <w:spacing w:line="500" w:lineRule="exact"/>
              <w:rPr>
                <w:rFonts w:hAnsi="宋体" w:cs="宋体"/>
                <w:color w:val="auto"/>
                <w:szCs w:val="21"/>
              </w:rPr>
            </w:pPr>
            <w:r>
              <w:rPr>
                <w:rFonts w:hint="eastAsia" w:hAnsi="宋体" w:cs="宋体"/>
                <w:color w:val="auto"/>
                <w:szCs w:val="21"/>
              </w:rPr>
              <w:t>本次招标不接受联合体投标</w:t>
            </w:r>
          </w:p>
        </w:tc>
      </w:tr>
      <w:tr w14:paraId="3C675E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vAlign w:val="center"/>
          </w:tcPr>
          <w:p w14:paraId="1865D638">
            <w:pPr>
              <w:spacing w:line="500" w:lineRule="exact"/>
              <w:jc w:val="center"/>
              <w:rPr>
                <w:rFonts w:ascii="宋体" w:hAnsi="宋体" w:cs="宋体"/>
                <w:color w:val="auto"/>
                <w:szCs w:val="21"/>
              </w:rPr>
            </w:pPr>
            <w:r>
              <w:rPr>
                <w:rFonts w:hint="eastAsia" w:ascii="宋体" w:hAnsi="宋体" w:cs="宋体"/>
                <w:color w:val="auto"/>
                <w:szCs w:val="21"/>
              </w:rPr>
              <w:t>12.1</w:t>
            </w:r>
          </w:p>
        </w:tc>
        <w:tc>
          <w:tcPr>
            <w:tcW w:w="2140" w:type="dxa"/>
            <w:gridSpan w:val="2"/>
            <w:vAlign w:val="center"/>
          </w:tcPr>
          <w:p w14:paraId="7B98E6C8">
            <w:pPr>
              <w:spacing w:line="500" w:lineRule="exact"/>
              <w:jc w:val="left"/>
              <w:rPr>
                <w:rFonts w:ascii="宋体" w:hAnsi="宋体" w:cs="宋体"/>
                <w:color w:val="auto"/>
                <w:szCs w:val="21"/>
              </w:rPr>
            </w:pPr>
            <w:r>
              <w:rPr>
                <w:rFonts w:hint="eastAsia" w:ascii="宋体" w:hAnsi="宋体" w:cs="宋体"/>
                <w:color w:val="auto"/>
                <w:szCs w:val="21"/>
              </w:rPr>
              <w:t>招标代理费</w:t>
            </w:r>
          </w:p>
        </w:tc>
        <w:tc>
          <w:tcPr>
            <w:tcW w:w="6610" w:type="dxa"/>
            <w:vAlign w:val="center"/>
          </w:tcPr>
          <w:p w14:paraId="38AA695A">
            <w:pPr>
              <w:spacing w:line="500" w:lineRule="exact"/>
              <w:jc w:val="left"/>
              <w:rPr>
                <w:rFonts w:ascii="宋体" w:hAnsi="宋体" w:cs="宋体"/>
                <w:color w:val="auto"/>
                <w:szCs w:val="21"/>
              </w:rPr>
            </w:pPr>
            <w:r>
              <w:rPr>
                <w:rFonts w:hint="eastAsia" w:ascii="宋体" w:hAnsi="宋体" w:cs="宋体"/>
                <w:color w:val="auto"/>
                <w:szCs w:val="21"/>
              </w:rPr>
              <w:t>代理服务费金额：</w:t>
            </w:r>
            <w:r>
              <w:rPr>
                <w:rFonts w:hint="eastAsia" w:ascii="宋体" w:hAnsi="宋体" w:cs="宋体"/>
                <w:color w:val="auto"/>
                <w:szCs w:val="21"/>
                <w:lang w:val="en-US" w:eastAsia="zh-CN"/>
              </w:rPr>
              <w:t>7500</w:t>
            </w:r>
            <w:r>
              <w:rPr>
                <w:rFonts w:hint="eastAsia" w:ascii="宋体" w:hAnsi="宋体" w:cs="宋体"/>
                <w:color w:val="auto"/>
                <w:szCs w:val="21"/>
              </w:rPr>
              <w:t>元</w:t>
            </w:r>
            <w:r>
              <w:rPr>
                <w:rFonts w:hint="eastAsia" w:ascii="宋体" w:hAnsi="宋体" w:cs="宋体"/>
                <w:color w:val="auto"/>
                <w:szCs w:val="21"/>
                <w:lang w:val="en-US" w:eastAsia="zh-CN"/>
              </w:rPr>
              <w:t>(参考计价格[2002]1980号文件100%)</w:t>
            </w:r>
            <w:r>
              <w:rPr>
                <w:rFonts w:hint="eastAsia" w:ascii="宋体" w:hAnsi="宋体" w:cs="宋体"/>
                <w:color w:val="auto"/>
                <w:szCs w:val="21"/>
              </w:rPr>
              <w:t>。</w:t>
            </w:r>
          </w:p>
          <w:p w14:paraId="5289A2C3">
            <w:pPr>
              <w:spacing w:line="500" w:lineRule="exact"/>
              <w:jc w:val="left"/>
              <w:rPr>
                <w:rFonts w:ascii="宋体" w:hAnsi="宋体" w:cs="宋体"/>
                <w:color w:val="auto"/>
                <w:szCs w:val="21"/>
              </w:rPr>
            </w:pPr>
            <w:r>
              <w:rPr>
                <w:rFonts w:hint="eastAsia" w:ascii="宋体" w:hAnsi="宋体" w:cs="宋体"/>
                <w:color w:val="auto"/>
                <w:szCs w:val="21"/>
              </w:rPr>
              <w:t>代理服务费支付主体：中标单位。</w:t>
            </w:r>
          </w:p>
          <w:p w14:paraId="0CA95AB5">
            <w:pPr>
              <w:spacing w:line="500" w:lineRule="exact"/>
              <w:jc w:val="left"/>
              <w:rPr>
                <w:rFonts w:ascii="宋体" w:hAnsi="宋体" w:cs="宋体"/>
                <w:color w:val="auto"/>
                <w:szCs w:val="21"/>
              </w:rPr>
            </w:pPr>
            <w:r>
              <w:rPr>
                <w:rFonts w:hint="eastAsia" w:ascii="宋体" w:hAnsi="宋体" w:cs="宋体"/>
                <w:color w:val="auto"/>
                <w:szCs w:val="21"/>
              </w:rPr>
              <w:t>专家评审费支付主体：代理机构。</w:t>
            </w:r>
          </w:p>
        </w:tc>
      </w:tr>
      <w:tr w14:paraId="35729B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5" w:hRule="atLeast"/>
        </w:trPr>
        <w:tc>
          <w:tcPr>
            <w:tcW w:w="1048" w:type="dxa"/>
            <w:vAlign w:val="center"/>
          </w:tcPr>
          <w:p w14:paraId="6C10CCB2">
            <w:pPr>
              <w:spacing w:line="500" w:lineRule="exact"/>
              <w:jc w:val="center"/>
              <w:rPr>
                <w:rFonts w:ascii="宋体" w:hAnsi="宋体" w:cs="宋体"/>
                <w:color w:val="auto"/>
                <w:szCs w:val="21"/>
              </w:rPr>
            </w:pPr>
            <w:r>
              <w:rPr>
                <w:rFonts w:hint="eastAsia" w:ascii="宋体" w:hAnsi="宋体" w:cs="宋体"/>
                <w:color w:val="auto"/>
                <w:szCs w:val="21"/>
              </w:rPr>
              <w:t>16.3</w:t>
            </w:r>
          </w:p>
        </w:tc>
        <w:tc>
          <w:tcPr>
            <w:tcW w:w="2140" w:type="dxa"/>
            <w:gridSpan w:val="2"/>
            <w:vAlign w:val="center"/>
          </w:tcPr>
          <w:p w14:paraId="0295400A">
            <w:pPr>
              <w:spacing w:line="500" w:lineRule="exact"/>
              <w:ind w:right="-27" w:rightChars="-13"/>
              <w:jc w:val="left"/>
              <w:rPr>
                <w:rFonts w:ascii="宋体" w:hAnsi="宋体" w:cs="宋体"/>
                <w:color w:val="auto"/>
                <w:szCs w:val="21"/>
              </w:rPr>
            </w:pPr>
            <w:r>
              <w:rPr>
                <w:rFonts w:hint="eastAsia" w:ascii="宋体" w:hAnsi="宋体" w:cs="宋体"/>
                <w:color w:val="auto"/>
                <w:szCs w:val="21"/>
              </w:rPr>
              <w:t>投标人要求澄清招标文件的截止时间及方式</w:t>
            </w:r>
          </w:p>
        </w:tc>
        <w:tc>
          <w:tcPr>
            <w:tcW w:w="6610" w:type="dxa"/>
            <w:vAlign w:val="center"/>
          </w:tcPr>
          <w:p w14:paraId="6217100C">
            <w:pPr>
              <w:spacing w:line="500" w:lineRule="exact"/>
              <w:rPr>
                <w:rFonts w:ascii="宋体" w:hAnsi="宋体" w:cs="宋体"/>
                <w:color w:val="auto"/>
                <w:szCs w:val="21"/>
              </w:rPr>
            </w:pPr>
            <w:r>
              <w:rPr>
                <w:rFonts w:hint="eastAsia" w:ascii="宋体" w:hAnsi="宋体" w:cs="宋体"/>
                <w:color w:val="auto"/>
                <w:szCs w:val="21"/>
              </w:rPr>
              <w:t>同表10.2款</w:t>
            </w:r>
          </w:p>
        </w:tc>
      </w:tr>
      <w:tr w14:paraId="7482F4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74773649">
            <w:pPr>
              <w:pStyle w:val="19"/>
              <w:spacing w:line="500" w:lineRule="exact"/>
              <w:jc w:val="center"/>
              <w:rPr>
                <w:rFonts w:hAnsi="宋体" w:cs="宋体"/>
                <w:color w:val="auto"/>
                <w:szCs w:val="21"/>
              </w:rPr>
            </w:pPr>
            <w:r>
              <w:rPr>
                <w:rFonts w:hint="eastAsia" w:hAnsi="宋体" w:cs="宋体"/>
                <w:color w:val="auto"/>
                <w:szCs w:val="21"/>
              </w:rPr>
              <w:t>23.1</w:t>
            </w:r>
          </w:p>
        </w:tc>
        <w:tc>
          <w:tcPr>
            <w:tcW w:w="2140" w:type="dxa"/>
            <w:gridSpan w:val="2"/>
            <w:vAlign w:val="center"/>
          </w:tcPr>
          <w:p w14:paraId="77FD3CA6">
            <w:pPr>
              <w:pStyle w:val="19"/>
              <w:spacing w:line="500" w:lineRule="exact"/>
              <w:jc w:val="left"/>
              <w:rPr>
                <w:rFonts w:hAnsi="宋体" w:cs="宋体"/>
                <w:color w:val="auto"/>
                <w:szCs w:val="21"/>
              </w:rPr>
            </w:pPr>
            <w:r>
              <w:rPr>
                <w:rFonts w:hint="eastAsia" w:hAnsi="宋体" w:cs="宋体"/>
                <w:color w:val="auto"/>
                <w:szCs w:val="21"/>
              </w:rPr>
              <w:t>投标有效期</w:t>
            </w:r>
          </w:p>
        </w:tc>
        <w:tc>
          <w:tcPr>
            <w:tcW w:w="6610" w:type="dxa"/>
            <w:vAlign w:val="center"/>
          </w:tcPr>
          <w:p w14:paraId="5540C305">
            <w:pPr>
              <w:pStyle w:val="19"/>
              <w:spacing w:line="500" w:lineRule="exact"/>
              <w:rPr>
                <w:rFonts w:hAnsi="宋体" w:cs="宋体"/>
                <w:color w:val="auto"/>
                <w:szCs w:val="21"/>
              </w:rPr>
            </w:pPr>
            <w:r>
              <w:rPr>
                <w:rFonts w:hint="eastAsia" w:hAnsi="宋体" w:cs="宋体"/>
                <w:color w:val="auto"/>
                <w:szCs w:val="21"/>
              </w:rPr>
              <w:t>投标有效期为</w:t>
            </w:r>
            <w:r>
              <w:rPr>
                <w:rFonts w:hint="eastAsia" w:hAnsi="宋体" w:cs="宋体"/>
                <w:color w:val="auto"/>
                <w:szCs w:val="21"/>
                <w:u w:val="single"/>
              </w:rPr>
              <w:t xml:space="preserve"> 90  </w:t>
            </w:r>
            <w:r>
              <w:rPr>
                <w:rFonts w:hint="eastAsia" w:hAnsi="宋体" w:cs="宋体"/>
                <w:color w:val="auto"/>
                <w:szCs w:val="21"/>
              </w:rPr>
              <w:t>日历天（从投标截止之日算起）。在此期限内，凡符合本招标文件要求的投标文件均保持有效。</w:t>
            </w:r>
          </w:p>
        </w:tc>
      </w:tr>
      <w:tr w14:paraId="1BD461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48" w:type="dxa"/>
            <w:vAlign w:val="center"/>
          </w:tcPr>
          <w:p w14:paraId="66C28A3F">
            <w:pPr>
              <w:spacing w:line="500" w:lineRule="exact"/>
              <w:jc w:val="center"/>
              <w:rPr>
                <w:rFonts w:ascii="宋体" w:hAnsi="宋体" w:cs="宋体"/>
                <w:color w:val="auto"/>
                <w:szCs w:val="21"/>
              </w:rPr>
            </w:pPr>
            <w:r>
              <w:rPr>
                <w:rFonts w:hint="eastAsia" w:ascii="宋体" w:hAnsi="宋体" w:cs="宋体"/>
                <w:color w:val="auto"/>
                <w:szCs w:val="21"/>
              </w:rPr>
              <w:t>24</w:t>
            </w:r>
          </w:p>
        </w:tc>
        <w:tc>
          <w:tcPr>
            <w:tcW w:w="2140" w:type="dxa"/>
            <w:gridSpan w:val="2"/>
            <w:vAlign w:val="center"/>
          </w:tcPr>
          <w:p w14:paraId="0C8B6233">
            <w:pPr>
              <w:spacing w:line="500" w:lineRule="exact"/>
              <w:jc w:val="left"/>
              <w:rPr>
                <w:rFonts w:ascii="宋体" w:hAnsi="宋体" w:cs="宋体"/>
                <w:color w:val="auto"/>
                <w:szCs w:val="21"/>
              </w:rPr>
            </w:pPr>
            <w:r>
              <w:rPr>
                <w:rFonts w:hint="eastAsia" w:ascii="宋体" w:hAnsi="宋体" w:cs="宋体"/>
                <w:color w:val="auto"/>
                <w:szCs w:val="21"/>
              </w:rPr>
              <w:t>投标保证金</w:t>
            </w:r>
          </w:p>
        </w:tc>
        <w:tc>
          <w:tcPr>
            <w:tcW w:w="6610" w:type="dxa"/>
          </w:tcPr>
          <w:p w14:paraId="19395677">
            <w:pPr>
              <w:widowControl/>
              <w:shd w:val="clear" w:color="auto" w:fill="FFFFFF"/>
              <w:spacing w:line="500" w:lineRule="exact"/>
              <w:jc w:val="left"/>
              <w:rPr>
                <w:rFonts w:ascii="宋体" w:hAnsi="宋体" w:cs="宋体"/>
                <w:color w:val="auto"/>
                <w:szCs w:val="21"/>
              </w:rPr>
            </w:pPr>
            <w:r>
              <w:rPr>
                <w:rFonts w:hint="eastAsia" w:ascii="宋体" w:hAnsi="宋体" w:cs="宋体"/>
                <w:color w:val="auto"/>
                <w:szCs w:val="21"/>
                <w:u w:color="000000"/>
              </w:rPr>
              <w:t>详见第一章“招标公告”</w:t>
            </w:r>
          </w:p>
        </w:tc>
      </w:tr>
      <w:tr w14:paraId="480A8B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48" w:type="dxa"/>
            <w:vAlign w:val="center"/>
          </w:tcPr>
          <w:p w14:paraId="24923DFF">
            <w:pPr>
              <w:pStyle w:val="19"/>
              <w:spacing w:line="500" w:lineRule="exact"/>
              <w:jc w:val="center"/>
              <w:rPr>
                <w:rFonts w:hAnsi="宋体" w:cs="宋体"/>
                <w:color w:val="auto"/>
                <w:szCs w:val="21"/>
              </w:rPr>
            </w:pPr>
            <w:r>
              <w:rPr>
                <w:rFonts w:hint="eastAsia" w:hAnsi="宋体" w:cs="宋体"/>
                <w:color w:val="auto"/>
                <w:szCs w:val="21"/>
              </w:rPr>
              <w:t>25.1</w:t>
            </w:r>
          </w:p>
        </w:tc>
        <w:tc>
          <w:tcPr>
            <w:tcW w:w="2140" w:type="dxa"/>
            <w:gridSpan w:val="2"/>
            <w:vAlign w:val="center"/>
          </w:tcPr>
          <w:p w14:paraId="0E517D6F">
            <w:pPr>
              <w:pStyle w:val="19"/>
              <w:spacing w:line="500" w:lineRule="exact"/>
              <w:jc w:val="left"/>
              <w:rPr>
                <w:rFonts w:hAnsi="宋体" w:cs="宋体"/>
                <w:color w:val="auto"/>
                <w:szCs w:val="21"/>
              </w:rPr>
            </w:pPr>
            <w:r>
              <w:rPr>
                <w:rFonts w:hint="eastAsia" w:hAnsi="宋体" w:cs="宋体"/>
                <w:color w:val="auto"/>
                <w:szCs w:val="21"/>
              </w:rPr>
              <w:t>投标文件数量</w:t>
            </w:r>
          </w:p>
        </w:tc>
        <w:tc>
          <w:tcPr>
            <w:tcW w:w="6610" w:type="dxa"/>
            <w:vAlign w:val="center"/>
          </w:tcPr>
          <w:p w14:paraId="5794973B">
            <w:pPr>
              <w:widowControl/>
              <w:spacing w:line="500" w:lineRule="exact"/>
              <w:ind w:firstLine="88" w:firstLineChars="42"/>
              <w:jc w:val="left"/>
              <w:rPr>
                <w:rFonts w:ascii="宋体" w:hAnsi="宋体" w:cs="宋体"/>
                <w:bCs/>
                <w:color w:val="auto"/>
                <w:kern w:val="0"/>
                <w:szCs w:val="21"/>
              </w:rPr>
            </w:pPr>
            <w:r>
              <w:rPr>
                <w:rFonts w:hint="eastAsia" w:ascii="宋体" w:hAnsi="宋体" w:cs="宋体"/>
                <w:bCs/>
                <w:color w:val="auto"/>
                <w:kern w:val="0"/>
                <w:szCs w:val="21"/>
              </w:rPr>
              <w:t>网上递交的电子投标文件：一份。以投标人在投标截止时间前网上递交的电子投标文件为准，逾期提交的，投标文件将被拒绝。</w:t>
            </w:r>
          </w:p>
          <w:p w14:paraId="6EF76A6F">
            <w:pPr>
              <w:widowControl/>
              <w:spacing w:line="500" w:lineRule="exact"/>
              <w:ind w:firstLine="88" w:firstLineChars="42"/>
              <w:jc w:val="left"/>
              <w:rPr>
                <w:rFonts w:ascii="宋体" w:hAnsi="宋体" w:cs="宋体"/>
                <w:bCs/>
                <w:color w:val="auto"/>
                <w:szCs w:val="21"/>
              </w:rPr>
            </w:pPr>
            <w:r>
              <w:rPr>
                <w:rFonts w:hint="eastAsia" w:ascii="宋体" w:hAnsi="宋体" w:cs="宋体"/>
                <w:bCs/>
                <w:color w:val="auto"/>
                <w:kern w:val="0"/>
                <w:szCs w:val="21"/>
              </w:rPr>
              <w:t>（投标单位中标后须递交与网上电子投标文件完全一致的纸质版投标文件，并按要求加盖公章；份数：正本1份，副本2份；中标单位领取中标通知书时，一并递交给代理机构）</w:t>
            </w:r>
          </w:p>
        </w:tc>
      </w:tr>
      <w:tr w14:paraId="42EE8F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31677B3C">
            <w:pPr>
              <w:spacing w:line="500" w:lineRule="exact"/>
              <w:jc w:val="center"/>
              <w:rPr>
                <w:rFonts w:ascii="宋体" w:hAnsi="宋体" w:cs="宋体"/>
                <w:color w:val="auto"/>
                <w:szCs w:val="21"/>
              </w:rPr>
            </w:pPr>
            <w:r>
              <w:rPr>
                <w:rFonts w:hint="eastAsia" w:ascii="宋体" w:hAnsi="宋体" w:cs="宋体"/>
                <w:color w:val="auto"/>
                <w:szCs w:val="21"/>
              </w:rPr>
              <w:t>25.2</w:t>
            </w:r>
          </w:p>
        </w:tc>
        <w:tc>
          <w:tcPr>
            <w:tcW w:w="2140" w:type="dxa"/>
            <w:gridSpan w:val="2"/>
            <w:vAlign w:val="center"/>
          </w:tcPr>
          <w:p w14:paraId="46655E2E">
            <w:pPr>
              <w:spacing w:line="500" w:lineRule="exact"/>
              <w:jc w:val="left"/>
              <w:rPr>
                <w:rFonts w:ascii="宋体" w:hAnsi="宋体" w:cs="宋体"/>
                <w:color w:val="auto"/>
                <w:szCs w:val="21"/>
              </w:rPr>
            </w:pPr>
            <w:r>
              <w:rPr>
                <w:rFonts w:hint="eastAsia" w:ascii="宋体" w:hAnsi="宋体" w:cs="宋体"/>
                <w:color w:val="auto"/>
                <w:szCs w:val="21"/>
              </w:rPr>
              <w:t>签字或盖章要求</w:t>
            </w:r>
          </w:p>
        </w:tc>
        <w:tc>
          <w:tcPr>
            <w:tcW w:w="6610" w:type="dxa"/>
            <w:vAlign w:val="center"/>
          </w:tcPr>
          <w:p w14:paraId="3BD525D3">
            <w:pPr>
              <w:widowControl/>
              <w:spacing w:line="500" w:lineRule="exact"/>
              <w:jc w:val="left"/>
              <w:rPr>
                <w:rFonts w:ascii="宋体" w:hAnsi="宋体" w:cs="宋体"/>
                <w:bCs/>
                <w:color w:val="auto"/>
                <w:kern w:val="0"/>
                <w:szCs w:val="21"/>
              </w:rPr>
            </w:pPr>
            <w:r>
              <w:rPr>
                <w:rFonts w:hint="eastAsia" w:ascii="宋体" w:hAnsi="宋体" w:cs="宋体"/>
                <w:bCs/>
                <w:color w:val="auto"/>
                <w:kern w:val="0"/>
                <w:szCs w:val="21"/>
              </w:rPr>
              <w:t>电子投标文件须按格式文件要求签字或盖章（电子签章），招标文件格式中要求“签章”部位，指电子签章或盖章后扫描上传均可。</w:t>
            </w:r>
          </w:p>
          <w:p w14:paraId="109A3BBA">
            <w:pPr>
              <w:widowControl/>
              <w:spacing w:line="500" w:lineRule="exact"/>
              <w:ind w:firstLine="88" w:firstLineChars="42"/>
              <w:jc w:val="left"/>
              <w:rPr>
                <w:rFonts w:ascii="宋体" w:hAnsi="宋体" w:cs="宋体"/>
                <w:bCs/>
                <w:color w:val="auto"/>
                <w:szCs w:val="21"/>
              </w:rPr>
            </w:pPr>
            <w:r>
              <w:rPr>
                <w:rFonts w:hint="eastAsia" w:ascii="宋体" w:hAnsi="宋体" w:cs="宋体"/>
                <w:bCs/>
                <w:color w:val="auto"/>
                <w:kern w:val="0"/>
                <w:szCs w:val="21"/>
              </w:rPr>
              <w:t>否则经评委会一致认定且经过招投标监管部门批准后，按照无效投标处理。</w:t>
            </w:r>
          </w:p>
        </w:tc>
      </w:tr>
      <w:tr w14:paraId="7E1EF6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3" w:hRule="atLeast"/>
        </w:trPr>
        <w:tc>
          <w:tcPr>
            <w:tcW w:w="1048" w:type="dxa"/>
            <w:vAlign w:val="center"/>
          </w:tcPr>
          <w:p w14:paraId="7BAC04FC">
            <w:pPr>
              <w:spacing w:line="500" w:lineRule="exact"/>
              <w:jc w:val="center"/>
              <w:rPr>
                <w:rFonts w:ascii="宋体" w:hAnsi="宋体" w:cs="宋体"/>
                <w:color w:val="auto"/>
                <w:szCs w:val="21"/>
              </w:rPr>
            </w:pPr>
            <w:r>
              <w:rPr>
                <w:rFonts w:hint="eastAsia" w:ascii="宋体" w:hAnsi="宋体" w:cs="宋体"/>
                <w:color w:val="auto"/>
                <w:szCs w:val="21"/>
              </w:rPr>
              <w:t>26.1</w:t>
            </w:r>
          </w:p>
        </w:tc>
        <w:tc>
          <w:tcPr>
            <w:tcW w:w="2140" w:type="dxa"/>
            <w:gridSpan w:val="2"/>
            <w:vAlign w:val="center"/>
          </w:tcPr>
          <w:p w14:paraId="061F7399">
            <w:pPr>
              <w:spacing w:line="500" w:lineRule="exact"/>
              <w:jc w:val="left"/>
              <w:rPr>
                <w:rFonts w:ascii="宋体" w:hAnsi="宋体" w:cs="宋体"/>
                <w:color w:val="auto"/>
                <w:szCs w:val="21"/>
              </w:rPr>
            </w:pPr>
            <w:r>
              <w:rPr>
                <w:rFonts w:hint="eastAsia" w:ascii="宋体" w:hAnsi="宋体" w:cs="宋体"/>
                <w:color w:val="auto"/>
                <w:szCs w:val="21"/>
              </w:rPr>
              <w:t>投标文件提交截止时间</w:t>
            </w:r>
          </w:p>
        </w:tc>
        <w:tc>
          <w:tcPr>
            <w:tcW w:w="6610" w:type="dxa"/>
            <w:vAlign w:val="center"/>
          </w:tcPr>
          <w:p w14:paraId="6C62444C">
            <w:pPr>
              <w:spacing w:line="500" w:lineRule="exact"/>
              <w:rPr>
                <w:rFonts w:ascii="宋体" w:hAnsi="宋体" w:cs="宋体"/>
                <w:color w:val="auto"/>
                <w:szCs w:val="21"/>
              </w:rPr>
            </w:pPr>
            <w:r>
              <w:rPr>
                <w:rFonts w:hint="eastAsia" w:ascii="宋体" w:hAnsi="宋体" w:cs="宋体"/>
                <w:color w:val="auto"/>
                <w:szCs w:val="21"/>
              </w:rPr>
              <w:t>网上递交投标文件截止时间：</w:t>
            </w:r>
            <w:r>
              <w:rPr>
                <w:rFonts w:hint="eastAsia" w:ascii="宋体" w:hAnsi="宋体" w:cs="宋体"/>
                <w:b/>
                <w:bCs/>
                <w:color w:val="auto"/>
                <w:szCs w:val="21"/>
              </w:rPr>
              <w:t>2025年</w:t>
            </w:r>
            <w:r>
              <w:rPr>
                <w:rFonts w:hint="eastAsia" w:ascii="宋体" w:hAnsi="宋体" w:cs="宋体"/>
                <w:b/>
                <w:bCs/>
                <w:color w:val="auto"/>
                <w:szCs w:val="21"/>
                <w:lang w:val="en-US" w:eastAsia="zh-CN"/>
              </w:rPr>
              <w:t>10</w:t>
            </w:r>
            <w:r>
              <w:rPr>
                <w:rFonts w:hint="eastAsia" w:ascii="宋体" w:hAnsi="宋体" w:cs="宋体"/>
                <w:b/>
                <w:bCs/>
                <w:color w:val="auto"/>
                <w:szCs w:val="21"/>
              </w:rPr>
              <w:t>月</w:t>
            </w:r>
            <w:r>
              <w:rPr>
                <w:rFonts w:hint="eastAsia" w:ascii="宋体" w:hAnsi="宋体" w:cs="宋体"/>
                <w:b/>
                <w:bCs/>
                <w:color w:val="auto"/>
                <w:szCs w:val="21"/>
                <w:lang w:val="en-US" w:eastAsia="zh-CN"/>
              </w:rPr>
              <w:t>13</w:t>
            </w:r>
            <w:r>
              <w:rPr>
                <w:rFonts w:hint="eastAsia" w:ascii="宋体" w:hAnsi="宋体" w:cs="宋体"/>
                <w:b/>
                <w:bCs/>
                <w:color w:val="auto"/>
                <w:szCs w:val="21"/>
              </w:rPr>
              <w:t>日8点00分（北京时间）</w:t>
            </w:r>
          </w:p>
          <w:p w14:paraId="2EFCEA5D">
            <w:pPr>
              <w:spacing w:line="500" w:lineRule="exact"/>
              <w:rPr>
                <w:rFonts w:ascii="宋体" w:hAnsi="宋体" w:cs="宋体"/>
                <w:bCs/>
                <w:color w:val="auto"/>
                <w:szCs w:val="21"/>
              </w:rPr>
            </w:pPr>
            <w:r>
              <w:rPr>
                <w:rFonts w:hint="eastAsia" w:ascii="宋体" w:hAnsi="宋体" w:cs="宋体"/>
                <w:b/>
                <w:color w:val="auto"/>
                <w:szCs w:val="21"/>
              </w:rPr>
              <w:t>注：以投标人在投标截止时间前网上递交的电子投标文件为准，逾期提交的，投标文件将被拒绝。</w:t>
            </w:r>
          </w:p>
          <w:p w14:paraId="0C116C23">
            <w:pPr>
              <w:wordWrap w:val="0"/>
              <w:spacing w:line="500" w:lineRule="exact"/>
              <w:rPr>
                <w:rFonts w:ascii="宋体" w:hAnsi="宋体" w:cs="宋体"/>
                <w:color w:val="auto"/>
                <w:szCs w:val="21"/>
              </w:rPr>
            </w:pPr>
            <w:r>
              <w:rPr>
                <w:rFonts w:hint="eastAsia" w:ascii="宋体" w:hAnsi="宋体" w:cs="宋体"/>
                <w:color w:val="auto"/>
                <w:szCs w:val="21"/>
              </w:rPr>
              <w:t>1.解密程序开始后60分钟内（以本项目网上招投标系统解密倒计时为准）。</w:t>
            </w:r>
          </w:p>
          <w:p w14:paraId="50E733F0">
            <w:pPr>
              <w:wordWrap w:val="0"/>
              <w:spacing w:line="500" w:lineRule="exact"/>
              <w:rPr>
                <w:rFonts w:ascii="宋体" w:hAnsi="宋体" w:cs="宋体"/>
                <w:color w:val="auto"/>
                <w:szCs w:val="21"/>
              </w:rPr>
            </w:pPr>
            <w:r>
              <w:rPr>
                <w:rFonts w:hint="eastAsia" w:ascii="宋体" w:hAnsi="宋体" w:cs="宋体"/>
                <w:b/>
                <w:bCs/>
                <w:color w:val="auto"/>
                <w:szCs w:val="21"/>
              </w:rPr>
              <w:t>2.解密时间为2025年</w:t>
            </w:r>
            <w:r>
              <w:rPr>
                <w:rFonts w:hint="eastAsia" w:ascii="宋体" w:hAnsi="宋体" w:cs="宋体"/>
                <w:b/>
                <w:bCs/>
                <w:color w:val="auto"/>
                <w:szCs w:val="21"/>
                <w:lang w:val="en-US" w:eastAsia="zh-CN"/>
              </w:rPr>
              <w:t>10</w:t>
            </w:r>
            <w:r>
              <w:rPr>
                <w:rFonts w:hint="eastAsia" w:ascii="宋体" w:hAnsi="宋体" w:cs="宋体"/>
                <w:b/>
                <w:bCs/>
                <w:color w:val="auto"/>
                <w:szCs w:val="21"/>
              </w:rPr>
              <w:t>月</w:t>
            </w:r>
            <w:r>
              <w:rPr>
                <w:rFonts w:hint="eastAsia" w:ascii="宋体" w:hAnsi="宋体" w:cs="宋体"/>
                <w:b/>
                <w:bCs/>
                <w:color w:val="auto"/>
                <w:szCs w:val="21"/>
                <w:lang w:val="en-US" w:eastAsia="zh-CN"/>
              </w:rPr>
              <w:t>13</w:t>
            </w:r>
            <w:r>
              <w:rPr>
                <w:rFonts w:hint="eastAsia" w:ascii="宋体" w:hAnsi="宋体" w:cs="宋体"/>
                <w:b/>
                <w:bCs/>
                <w:color w:val="auto"/>
                <w:szCs w:val="21"/>
              </w:rPr>
              <w:t>日08点00分至2025年</w:t>
            </w:r>
            <w:r>
              <w:rPr>
                <w:rFonts w:hint="eastAsia" w:ascii="宋体" w:hAnsi="宋体" w:cs="宋体"/>
                <w:b/>
                <w:bCs/>
                <w:color w:val="auto"/>
                <w:szCs w:val="21"/>
                <w:lang w:val="en-US" w:eastAsia="zh-CN"/>
              </w:rPr>
              <w:t>10</w:t>
            </w:r>
            <w:r>
              <w:rPr>
                <w:rFonts w:hint="eastAsia" w:ascii="宋体" w:hAnsi="宋体" w:cs="宋体"/>
                <w:b/>
                <w:bCs/>
                <w:color w:val="auto"/>
                <w:szCs w:val="21"/>
              </w:rPr>
              <w:t>月</w:t>
            </w:r>
            <w:r>
              <w:rPr>
                <w:rFonts w:hint="eastAsia" w:ascii="宋体" w:hAnsi="宋体" w:cs="宋体"/>
                <w:b/>
                <w:bCs/>
                <w:color w:val="auto"/>
                <w:szCs w:val="21"/>
                <w:lang w:val="en-US" w:eastAsia="zh-CN"/>
              </w:rPr>
              <w:t>13</w:t>
            </w:r>
            <w:r>
              <w:rPr>
                <w:rFonts w:hint="eastAsia" w:ascii="宋体" w:hAnsi="宋体" w:cs="宋体"/>
                <w:b/>
                <w:bCs/>
                <w:color w:val="auto"/>
                <w:szCs w:val="21"/>
              </w:rPr>
              <w:t>日09点00分。</w:t>
            </w:r>
          </w:p>
        </w:tc>
      </w:tr>
      <w:tr w14:paraId="066790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048" w:type="dxa"/>
            <w:vAlign w:val="center"/>
          </w:tcPr>
          <w:p w14:paraId="50E87A78">
            <w:pPr>
              <w:spacing w:line="500" w:lineRule="exact"/>
              <w:jc w:val="center"/>
              <w:rPr>
                <w:rFonts w:ascii="宋体" w:hAnsi="宋体" w:cs="宋体"/>
                <w:color w:val="auto"/>
                <w:szCs w:val="21"/>
              </w:rPr>
            </w:pPr>
            <w:r>
              <w:rPr>
                <w:rFonts w:hint="eastAsia" w:ascii="宋体" w:hAnsi="宋体" w:cs="宋体"/>
                <w:color w:val="auto"/>
                <w:szCs w:val="21"/>
              </w:rPr>
              <w:t>27.3</w:t>
            </w:r>
          </w:p>
        </w:tc>
        <w:tc>
          <w:tcPr>
            <w:tcW w:w="2140" w:type="dxa"/>
            <w:gridSpan w:val="2"/>
            <w:vAlign w:val="center"/>
          </w:tcPr>
          <w:p w14:paraId="365286B3">
            <w:pPr>
              <w:spacing w:line="500" w:lineRule="exact"/>
              <w:jc w:val="left"/>
              <w:rPr>
                <w:rFonts w:ascii="宋体" w:hAnsi="宋体" w:cs="宋体"/>
                <w:color w:val="auto"/>
                <w:szCs w:val="21"/>
              </w:rPr>
            </w:pPr>
            <w:r>
              <w:rPr>
                <w:rFonts w:hint="eastAsia" w:ascii="宋体" w:hAnsi="宋体" w:cs="宋体"/>
                <w:color w:val="auto"/>
                <w:szCs w:val="21"/>
              </w:rPr>
              <w:t>是否退还投标文件</w:t>
            </w:r>
          </w:p>
        </w:tc>
        <w:tc>
          <w:tcPr>
            <w:tcW w:w="6610" w:type="dxa"/>
            <w:vAlign w:val="center"/>
          </w:tcPr>
          <w:p w14:paraId="00B540BB">
            <w:pPr>
              <w:spacing w:line="500" w:lineRule="exact"/>
              <w:rPr>
                <w:rFonts w:ascii="宋体" w:hAnsi="宋体" w:cs="宋体"/>
                <w:color w:val="auto"/>
                <w:szCs w:val="21"/>
              </w:rPr>
            </w:pPr>
            <w:r>
              <w:rPr>
                <w:rFonts w:hint="eastAsia" w:ascii="宋体" w:hAnsi="宋体" w:cs="宋体"/>
                <w:color w:val="auto"/>
                <w:szCs w:val="21"/>
              </w:rPr>
              <w:t>否</w:t>
            </w:r>
          </w:p>
        </w:tc>
      </w:tr>
      <w:tr w14:paraId="0AF05A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trPr>
        <w:tc>
          <w:tcPr>
            <w:tcW w:w="1048" w:type="dxa"/>
            <w:vAlign w:val="center"/>
          </w:tcPr>
          <w:p w14:paraId="0E80AE6E">
            <w:pPr>
              <w:spacing w:line="500" w:lineRule="exact"/>
              <w:jc w:val="center"/>
              <w:rPr>
                <w:rFonts w:ascii="宋体" w:hAnsi="宋体" w:cs="宋体"/>
                <w:color w:val="auto"/>
                <w:szCs w:val="21"/>
              </w:rPr>
            </w:pPr>
            <w:r>
              <w:rPr>
                <w:rFonts w:hint="eastAsia" w:ascii="宋体" w:hAnsi="宋体" w:cs="宋体"/>
                <w:color w:val="auto"/>
                <w:szCs w:val="21"/>
              </w:rPr>
              <w:t>28.1</w:t>
            </w:r>
          </w:p>
        </w:tc>
        <w:tc>
          <w:tcPr>
            <w:tcW w:w="2140" w:type="dxa"/>
            <w:gridSpan w:val="2"/>
            <w:vAlign w:val="center"/>
          </w:tcPr>
          <w:p w14:paraId="1A1347DE">
            <w:pPr>
              <w:spacing w:line="500" w:lineRule="exact"/>
              <w:jc w:val="left"/>
              <w:rPr>
                <w:rFonts w:ascii="宋体" w:hAnsi="宋体" w:cs="宋体"/>
                <w:color w:val="auto"/>
                <w:szCs w:val="21"/>
              </w:rPr>
            </w:pPr>
            <w:r>
              <w:rPr>
                <w:rFonts w:hint="eastAsia" w:ascii="宋体" w:hAnsi="宋体" w:cs="宋体"/>
                <w:color w:val="auto"/>
                <w:szCs w:val="21"/>
              </w:rPr>
              <w:t>开标时间及地点</w:t>
            </w:r>
          </w:p>
        </w:tc>
        <w:tc>
          <w:tcPr>
            <w:tcW w:w="6610" w:type="dxa"/>
            <w:vAlign w:val="center"/>
          </w:tcPr>
          <w:p w14:paraId="549FE70E">
            <w:pPr>
              <w:spacing w:line="500" w:lineRule="exact"/>
              <w:rPr>
                <w:rFonts w:ascii="宋体" w:hAnsi="宋体" w:cs="宋体"/>
                <w:b/>
                <w:bCs/>
                <w:color w:val="auto"/>
                <w:szCs w:val="21"/>
              </w:rPr>
            </w:pPr>
            <w:r>
              <w:rPr>
                <w:rFonts w:hint="eastAsia" w:ascii="宋体" w:hAnsi="宋体" w:cs="宋体"/>
                <w:color w:val="auto"/>
                <w:szCs w:val="21"/>
              </w:rPr>
              <w:t>开标时间：</w:t>
            </w:r>
            <w:r>
              <w:rPr>
                <w:rFonts w:hint="eastAsia" w:ascii="宋体" w:hAnsi="宋体" w:cs="宋体"/>
                <w:b/>
                <w:bCs/>
                <w:color w:val="auto"/>
                <w:szCs w:val="21"/>
              </w:rPr>
              <w:t>2025年</w:t>
            </w:r>
            <w:r>
              <w:rPr>
                <w:rFonts w:hint="eastAsia" w:ascii="宋体" w:hAnsi="宋体" w:cs="宋体"/>
                <w:b/>
                <w:bCs/>
                <w:color w:val="auto"/>
                <w:szCs w:val="21"/>
                <w:lang w:val="en-US" w:eastAsia="zh-CN"/>
              </w:rPr>
              <w:t>10</w:t>
            </w:r>
            <w:r>
              <w:rPr>
                <w:rFonts w:hint="eastAsia" w:ascii="宋体" w:hAnsi="宋体" w:cs="宋体"/>
                <w:b/>
                <w:bCs/>
                <w:color w:val="auto"/>
                <w:szCs w:val="21"/>
              </w:rPr>
              <w:t>月</w:t>
            </w:r>
            <w:r>
              <w:rPr>
                <w:rFonts w:hint="eastAsia" w:ascii="宋体" w:hAnsi="宋体" w:cs="宋体"/>
                <w:b/>
                <w:bCs/>
                <w:color w:val="auto"/>
                <w:szCs w:val="21"/>
                <w:lang w:val="en-US" w:eastAsia="zh-CN"/>
              </w:rPr>
              <w:t>13</w:t>
            </w:r>
            <w:r>
              <w:rPr>
                <w:rFonts w:hint="eastAsia" w:ascii="宋体" w:hAnsi="宋体" w:cs="宋体"/>
                <w:b/>
                <w:bCs/>
                <w:color w:val="auto"/>
                <w:szCs w:val="21"/>
              </w:rPr>
              <w:t>日08点00分（北京时间）</w:t>
            </w:r>
          </w:p>
          <w:p w14:paraId="7DF892C9">
            <w:pPr>
              <w:spacing w:line="500" w:lineRule="exact"/>
              <w:rPr>
                <w:rFonts w:ascii="宋体" w:hAnsi="宋体" w:cs="宋体"/>
                <w:color w:val="auto"/>
                <w:szCs w:val="21"/>
              </w:rPr>
            </w:pPr>
            <w:r>
              <w:rPr>
                <w:rFonts w:hint="eastAsia" w:ascii="宋体" w:hAnsi="宋体" w:cs="宋体"/>
                <w:color w:val="auto"/>
                <w:szCs w:val="21"/>
              </w:rPr>
              <w:t>开标地点：滁州市公共资源交易中心(滁州市龙蟠大道109号房产商务大厦二楼)</w:t>
            </w:r>
          </w:p>
        </w:tc>
      </w:tr>
      <w:tr w14:paraId="4A5AC7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1048" w:type="dxa"/>
            <w:vAlign w:val="center"/>
          </w:tcPr>
          <w:p w14:paraId="0E552998">
            <w:pPr>
              <w:spacing w:line="500" w:lineRule="exact"/>
              <w:jc w:val="center"/>
              <w:rPr>
                <w:rFonts w:ascii="宋体" w:hAnsi="宋体" w:cs="宋体"/>
                <w:color w:val="auto"/>
                <w:szCs w:val="21"/>
              </w:rPr>
            </w:pPr>
            <w:r>
              <w:rPr>
                <w:rFonts w:hint="eastAsia" w:ascii="宋体" w:hAnsi="宋体" w:cs="宋体"/>
                <w:color w:val="auto"/>
                <w:szCs w:val="21"/>
              </w:rPr>
              <w:t>28.3</w:t>
            </w:r>
          </w:p>
        </w:tc>
        <w:tc>
          <w:tcPr>
            <w:tcW w:w="2140" w:type="dxa"/>
            <w:gridSpan w:val="2"/>
            <w:vAlign w:val="center"/>
          </w:tcPr>
          <w:p w14:paraId="2CE51403">
            <w:pPr>
              <w:spacing w:line="500" w:lineRule="exact"/>
              <w:jc w:val="left"/>
              <w:rPr>
                <w:rFonts w:ascii="宋体" w:hAnsi="宋体" w:cs="宋体"/>
                <w:color w:val="auto"/>
                <w:szCs w:val="21"/>
              </w:rPr>
            </w:pPr>
            <w:r>
              <w:rPr>
                <w:rFonts w:hint="eastAsia" w:ascii="宋体" w:hAnsi="宋体" w:cs="宋体"/>
                <w:color w:val="auto"/>
                <w:szCs w:val="21"/>
              </w:rPr>
              <w:t>开标程序</w:t>
            </w:r>
          </w:p>
        </w:tc>
        <w:tc>
          <w:tcPr>
            <w:tcW w:w="6610" w:type="dxa"/>
            <w:vAlign w:val="center"/>
          </w:tcPr>
          <w:p w14:paraId="3AD06AA7">
            <w:pPr>
              <w:spacing w:line="500" w:lineRule="exact"/>
              <w:rPr>
                <w:rFonts w:ascii="宋体" w:hAnsi="宋体" w:cs="宋体"/>
                <w:color w:val="auto"/>
                <w:szCs w:val="21"/>
              </w:rPr>
            </w:pPr>
            <w:r>
              <w:rPr>
                <w:rFonts w:hint="eastAsia" w:ascii="宋体" w:hAnsi="宋体" w:cs="宋体"/>
                <w:color w:val="auto"/>
                <w:szCs w:val="21"/>
              </w:rPr>
              <w:t>开标顺序：解密电子投标文件后，由评标委员会评审。</w:t>
            </w:r>
          </w:p>
        </w:tc>
      </w:tr>
      <w:tr w14:paraId="7E0B13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4" w:hRule="atLeast"/>
        </w:trPr>
        <w:tc>
          <w:tcPr>
            <w:tcW w:w="1048" w:type="dxa"/>
            <w:vAlign w:val="center"/>
          </w:tcPr>
          <w:p w14:paraId="2326C1DB">
            <w:pPr>
              <w:pStyle w:val="19"/>
              <w:spacing w:line="500" w:lineRule="exact"/>
              <w:jc w:val="center"/>
              <w:rPr>
                <w:rFonts w:hAnsi="宋体" w:cs="宋体"/>
                <w:color w:val="auto"/>
                <w:szCs w:val="21"/>
              </w:rPr>
            </w:pPr>
            <w:r>
              <w:rPr>
                <w:rFonts w:hint="eastAsia" w:hAnsi="宋体" w:cs="宋体"/>
                <w:color w:val="auto"/>
                <w:szCs w:val="21"/>
              </w:rPr>
              <w:t>29.1</w:t>
            </w:r>
          </w:p>
        </w:tc>
        <w:tc>
          <w:tcPr>
            <w:tcW w:w="2140" w:type="dxa"/>
            <w:gridSpan w:val="2"/>
            <w:vAlign w:val="center"/>
          </w:tcPr>
          <w:p w14:paraId="3CCD0D37">
            <w:pPr>
              <w:pStyle w:val="19"/>
              <w:spacing w:line="500" w:lineRule="exact"/>
              <w:jc w:val="left"/>
              <w:rPr>
                <w:rFonts w:hAnsi="宋体" w:cs="宋体"/>
                <w:color w:val="auto"/>
                <w:szCs w:val="21"/>
              </w:rPr>
            </w:pPr>
            <w:r>
              <w:rPr>
                <w:rFonts w:hint="eastAsia" w:hAnsi="宋体" w:cs="宋体"/>
                <w:color w:val="auto"/>
                <w:szCs w:val="21"/>
              </w:rPr>
              <w:t>评标委员会的组建</w:t>
            </w:r>
          </w:p>
        </w:tc>
        <w:tc>
          <w:tcPr>
            <w:tcW w:w="6610" w:type="dxa"/>
          </w:tcPr>
          <w:p w14:paraId="57C3C329">
            <w:pPr>
              <w:spacing w:line="500" w:lineRule="exact"/>
              <w:rPr>
                <w:rFonts w:ascii="宋体" w:hAnsi="宋体" w:cs="宋体"/>
                <w:color w:val="auto"/>
                <w:szCs w:val="21"/>
                <w:highlight w:val="yellow"/>
              </w:rPr>
            </w:pPr>
            <w:r>
              <w:rPr>
                <w:rFonts w:hint="eastAsia" w:ascii="宋体" w:hAnsi="宋体" w:cs="宋体"/>
                <w:color w:val="auto"/>
                <w:szCs w:val="21"/>
              </w:rPr>
              <w:t>评标委员会</w:t>
            </w:r>
            <w:r>
              <w:rPr>
                <w:rFonts w:hint="eastAsia" w:ascii="宋体" w:hAnsi="宋体" w:cs="宋体"/>
                <w:color w:val="auto"/>
                <w:szCs w:val="21"/>
                <w:highlight w:val="none"/>
              </w:rPr>
              <w:t>构成：9人，其中招标人代表3人，评标专家6人。</w:t>
            </w:r>
          </w:p>
          <w:p w14:paraId="652A9BEE">
            <w:pPr>
              <w:spacing w:line="500" w:lineRule="exact"/>
              <w:rPr>
                <w:rFonts w:ascii="宋体" w:hAnsi="宋体" w:cs="宋体"/>
                <w:color w:val="auto"/>
                <w:szCs w:val="21"/>
              </w:rPr>
            </w:pPr>
            <w:r>
              <w:rPr>
                <w:rFonts w:hint="eastAsia" w:ascii="宋体" w:hAnsi="宋体" w:cs="宋体"/>
                <w:color w:val="auto"/>
                <w:szCs w:val="21"/>
              </w:rPr>
              <w:t>评标专家确定方式：专家评委由招标人在开标前从专家库中随机抽取。</w:t>
            </w:r>
          </w:p>
        </w:tc>
      </w:tr>
      <w:tr w14:paraId="1BCE86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048" w:type="dxa"/>
            <w:vAlign w:val="center"/>
          </w:tcPr>
          <w:p w14:paraId="61A4D817">
            <w:pPr>
              <w:pStyle w:val="19"/>
              <w:spacing w:line="500" w:lineRule="exact"/>
              <w:jc w:val="center"/>
              <w:rPr>
                <w:rFonts w:hAnsi="宋体" w:cs="宋体"/>
                <w:color w:val="auto"/>
                <w:szCs w:val="21"/>
              </w:rPr>
            </w:pPr>
            <w:r>
              <w:rPr>
                <w:rFonts w:hint="eastAsia" w:hAnsi="宋体" w:cs="宋体"/>
                <w:color w:val="auto"/>
                <w:szCs w:val="21"/>
              </w:rPr>
              <w:t>32.1.1</w:t>
            </w:r>
          </w:p>
        </w:tc>
        <w:tc>
          <w:tcPr>
            <w:tcW w:w="2140" w:type="dxa"/>
            <w:gridSpan w:val="2"/>
            <w:vAlign w:val="center"/>
          </w:tcPr>
          <w:p w14:paraId="0FE5EC0D">
            <w:pPr>
              <w:pStyle w:val="19"/>
              <w:spacing w:line="500" w:lineRule="exact"/>
              <w:jc w:val="left"/>
              <w:rPr>
                <w:rFonts w:hAnsi="宋体" w:cs="宋体"/>
                <w:color w:val="auto"/>
                <w:szCs w:val="21"/>
              </w:rPr>
            </w:pPr>
            <w:r>
              <w:rPr>
                <w:rFonts w:hint="eastAsia" w:hAnsi="宋体" w:cs="宋体"/>
                <w:color w:val="auto"/>
                <w:szCs w:val="21"/>
              </w:rPr>
              <w:t>是否授权评标委员会确定中标候选人</w:t>
            </w:r>
          </w:p>
        </w:tc>
        <w:tc>
          <w:tcPr>
            <w:tcW w:w="6610" w:type="dxa"/>
            <w:vAlign w:val="center"/>
          </w:tcPr>
          <w:p w14:paraId="2A245155">
            <w:pPr>
              <w:pStyle w:val="19"/>
              <w:spacing w:line="500" w:lineRule="exact"/>
              <w:rPr>
                <w:rFonts w:hAnsi="宋体" w:cs="宋体"/>
                <w:color w:val="auto"/>
                <w:szCs w:val="21"/>
              </w:rPr>
            </w:pPr>
            <w:r>
              <w:rPr>
                <w:rFonts w:hint="eastAsia" w:hAnsi="宋体" w:cs="宋体"/>
                <w:color w:val="auto"/>
                <w:szCs w:val="21"/>
              </w:rPr>
              <w:t>是，评标委员会推荐3名中标候选人。</w:t>
            </w:r>
          </w:p>
        </w:tc>
      </w:tr>
      <w:tr w14:paraId="4D7BBF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5" w:hRule="atLeast"/>
        </w:trPr>
        <w:tc>
          <w:tcPr>
            <w:tcW w:w="1048" w:type="dxa"/>
            <w:vAlign w:val="center"/>
          </w:tcPr>
          <w:p w14:paraId="0BF41B2E">
            <w:pPr>
              <w:pStyle w:val="19"/>
              <w:spacing w:line="500" w:lineRule="exact"/>
              <w:jc w:val="center"/>
              <w:rPr>
                <w:rFonts w:hAnsi="宋体" w:cs="宋体"/>
                <w:color w:val="auto"/>
                <w:szCs w:val="21"/>
              </w:rPr>
            </w:pPr>
            <w:r>
              <w:rPr>
                <w:rFonts w:hint="eastAsia" w:hAnsi="宋体" w:cs="宋体"/>
                <w:color w:val="auto"/>
                <w:szCs w:val="21"/>
              </w:rPr>
              <w:t>32.1.2</w:t>
            </w:r>
          </w:p>
        </w:tc>
        <w:tc>
          <w:tcPr>
            <w:tcW w:w="2140" w:type="dxa"/>
            <w:gridSpan w:val="2"/>
            <w:vAlign w:val="center"/>
          </w:tcPr>
          <w:p w14:paraId="186885AA">
            <w:pPr>
              <w:pStyle w:val="19"/>
              <w:spacing w:line="500" w:lineRule="exact"/>
              <w:jc w:val="left"/>
              <w:rPr>
                <w:rFonts w:hAnsi="宋体" w:cs="宋体"/>
                <w:color w:val="auto"/>
                <w:szCs w:val="21"/>
              </w:rPr>
            </w:pPr>
            <w:r>
              <w:rPr>
                <w:rFonts w:hint="eastAsia" w:hAnsi="宋体" w:cs="宋体"/>
                <w:color w:val="auto"/>
                <w:szCs w:val="21"/>
              </w:rPr>
              <w:t>中标结果公告媒介及期限</w:t>
            </w:r>
          </w:p>
        </w:tc>
        <w:tc>
          <w:tcPr>
            <w:tcW w:w="6610" w:type="dxa"/>
          </w:tcPr>
          <w:p w14:paraId="16AED702">
            <w:pPr>
              <w:pStyle w:val="19"/>
              <w:spacing w:line="500" w:lineRule="exact"/>
              <w:rPr>
                <w:rFonts w:hAnsi="宋体" w:cs="宋体"/>
                <w:color w:val="auto"/>
                <w:szCs w:val="21"/>
              </w:rPr>
            </w:pPr>
            <w:r>
              <w:rPr>
                <w:rFonts w:hint="eastAsia" w:hAnsi="宋体" w:cs="宋体"/>
                <w:color w:val="auto"/>
                <w:szCs w:val="21"/>
              </w:rPr>
              <w:t>公示媒介：同招标公告发布媒介</w:t>
            </w:r>
          </w:p>
          <w:p w14:paraId="49212326">
            <w:pPr>
              <w:pStyle w:val="19"/>
              <w:spacing w:line="500" w:lineRule="exact"/>
              <w:rPr>
                <w:rFonts w:hAnsi="宋体" w:cs="宋体"/>
                <w:color w:val="auto"/>
                <w:spacing w:val="-4"/>
                <w:szCs w:val="21"/>
              </w:rPr>
            </w:pPr>
            <w:r>
              <w:rPr>
                <w:rFonts w:hint="eastAsia" w:hAnsi="宋体" w:cs="宋体"/>
                <w:color w:val="auto"/>
                <w:szCs w:val="21"/>
              </w:rPr>
              <w:t>公示期限：公示发布次日起3日（如公示第三日为休息日或节假日，则顺延至休息日或节假日后第一个工作日）</w:t>
            </w:r>
          </w:p>
        </w:tc>
      </w:tr>
      <w:tr w14:paraId="00503D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1048" w:type="dxa"/>
            <w:vMerge w:val="restart"/>
            <w:vAlign w:val="center"/>
          </w:tcPr>
          <w:p w14:paraId="49554EAB">
            <w:pPr>
              <w:spacing w:line="500" w:lineRule="exact"/>
              <w:jc w:val="center"/>
              <w:rPr>
                <w:rFonts w:ascii="宋体" w:hAnsi="宋体" w:cs="宋体"/>
                <w:color w:val="auto"/>
                <w:szCs w:val="21"/>
              </w:rPr>
            </w:pPr>
            <w:r>
              <w:rPr>
                <w:rFonts w:hint="eastAsia" w:ascii="宋体" w:hAnsi="宋体" w:cs="宋体"/>
                <w:color w:val="auto"/>
                <w:szCs w:val="21"/>
              </w:rPr>
              <w:t>32.2</w:t>
            </w:r>
          </w:p>
        </w:tc>
        <w:tc>
          <w:tcPr>
            <w:tcW w:w="2140" w:type="dxa"/>
            <w:gridSpan w:val="2"/>
            <w:vAlign w:val="center"/>
          </w:tcPr>
          <w:p w14:paraId="4084D845">
            <w:pPr>
              <w:spacing w:line="500" w:lineRule="exact"/>
              <w:jc w:val="left"/>
              <w:rPr>
                <w:rFonts w:ascii="宋体" w:hAnsi="宋体" w:cs="宋体"/>
                <w:color w:val="auto"/>
                <w:szCs w:val="21"/>
              </w:rPr>
            </w:pPr>
            <w:r>
              <w:rPr>
                <w:rFonts w:hint="eastAsia" w:ascii="宋体" w:hAnsi="宋体" w:cs="宋体"/>
                <w:color w:val="auto"/>
                <w:szCs w:val="21"/>
              </w:rPr>
              <w:t>中标通知书</w:t>
            </w:r>
          </w:p>
        </w:tc>
        <w:tc>
          <w:tcPr>
            <w:tcW w:w="6610" w:type="dxa"/>
            <w:vAlign w:val="center"/>
          </w:tcPr>
          <w:p w14:paraId="2C71C974">
            <w:pPr>
              <w:spacing w:line="500" w:lineRule="exact"/>
              <w:rPr>
                <w:rFonts w:ascii="宋体" w:hAnsi="宋体" w:cs="宋体"/>
                <w:color w:val="auto"/>
                <w:szCs w:val="21"/>
              </w:rPr>
            </w:pPr>
            <w:r>
              <w:rPr>
                <w:rFonts w:hint="eastAsia" w:ascii="宋体" w:hAnsi="宋体" w:cs="宋体"/>
                <w:color w:val="auto"/>
                <w:szCs w:val="21"/>
              </w:rPr>
              <w:t>中标通知书须加盖公共资源交易中心见证章后方可发出。</w:t>
            </w:r>
          </w:p>
        </w:tc>
      </w:tr>
      <w:tr w14:paraId="788762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trPr>
        <w:tc>
          <w:tcPr>
            <w:tcW w:w="1048" w:type="dxa"/>
            <w:vMerge w:val="continue"/>
            <w:vAlign w:val="center"/>
          </w:tcPr>
          <w:p w14:paraId="7FDC9494">
            <w:pPr>
              <w:spacing w:line="500" w:lineRule="exact"/>
              <w:jc w:val="center"/>
              <w:rPr>
                <w:rFonts w:ascii="宋体" w:hAnsi="宋体" w:cs="宋体"/>
                <w:color w:val="auto"/>
                <w:szCs w:val="21"/>
              </w:rPr>
            </w:pPr>
          </w:p>
        </w:tc>
        <w:tc>
          <w:tcPr>
            <w:tcW w:w="2140" w:type="dxa"/>
            <w:gridSpan w:val="2"/>
            <w:vAlign w:val="center"/>
          </w:tcPr>
          <w:p w14:paraId="68550CCF">
            <w:pPr>
              <w:spacing w:line="500" w:lineRule="exact"/>
              <w:jc w:val="left"/>
              <w:rPr>
                <w:rFonts w:ascii="宋体" w:hAnsi="宋体" w:cs="宋体"/>
                <w:color w:val="auto"/>
                <w:szCs w:val="21"/>
              </w:rPr>
            </w:pPr>
            <w:r>
              <w:rPr>
                <w:rFonts w:hint="eastAsia" w:ascii="宋体" w:hAnsi="宋体" w:cs="宋体"/>
                <w:color w:val="auto"/>
                <w:szCs w:val="21"/>
              </w:rPr>
              <w:t>中标通知书发出形式</w:t>
            </w:r>
          </w:p>
        </w:tc>
        <w:tc>
          <w:tcPr>
            <w:tcW w:w="6610" w:type="dxa"/>
            <w:vAlign w:val="center"/>
          </w:tcPr>
          <w:p w14:paraId="2547DFDF">
            <w:pPr>
              <w:spacing w:line="500" w:lineRule="exact"/>
              <w:rPr>
                <w:rFonts w:ascii="宋体" w:hAnsi="宋体" w:cs="宋体"/>
                <w:color w:val="auto"/>
                <w:szCs w:val="21"/>
              </w:rPr>
            </w:pPr>
            <w:r>
              <w:rPr>
                <w:rFonts w:hint="eastAsia" w:ascii="宋体" w:hAnsi="宋体" w:cs="宋体"/>
                <w:color w:val="auto"/>
                <w:szCs w:val="21"/>
              </w:rPr>
              <w:t>数据电文</w:t>
            </w:r>
          </w:p>
        </w:tc>
      </w:tr>
      <w:tr w14:paraId="7AF683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4" w:hRule="atLeast"/>
        </w:trPr>
        <w:tc>
          <w:tcPr>
            <w:tcW w:w="1048" w:type="dxa"/>
            <w:vAlign w:val="center"/>
          </w:tcPr>
          <w:p w14:paraId="542601D6">
            <w:pPr>
              <w:spacing w:line="500" w:lineRule="exact"/>
              <w:jc w:val="center"/>
              <w:rPr>
                <w:rFonts w:ascii="宋体" w:hAnsi="宋体" w:cs="宋体"/>
                <w:color w:val="auto"/>
                <w:szCs w:val="21"/>
              </w:rPr>
            </w:pPr>
            <w:r>
              <w:rPr>
                <w:rFonts w:hint="eastAsia" w:ascii="宋体" w:hAnsi="宋体" w:cs="宋体"/>
                <w:color w:val="auto"/>
                <w:szCs w:val="21"/>
              </w:rPr>
              <w:t>36.1</w:t>
            </w:r>
          </w:p>
        </w:tc>
        <w:tc>
          <w:tcPr>
            <w:tcW w:w="2140" w:type="dxa"/>
            <w:gridSpan w:val="2"/>
            <w:vAlign w:val="center"/>
          </w:tcPr>
          <w:p w14:paraId="716A3183">
            <w:pPr>
              <w:spacing w:line="500" w:lineRule="exact"/>
              <w:jc w:val="left"/>
              <w:rPr>
                <w:rFonts w:ascii="宋体" w:hAnsi="宋体" w:cs="宋体"/>
                <w:color w:val="auto"/>
                <w:szCs w:val="21"/>
              </w:rPr>
            </w:pPr>
            <w:r>
              <w:rPr>
                <w:rFonts w:hint="eastAsia" w:ascii="宋体" w:hAnsi="宋体" w:cs="宋体"/>
                <w:color w:val="auto"/>
                <w:szCs w:val="21"/>
              </w:rPr>
              <w:t>履约担保</w:t>
            </w:r>
          </w:p>
        </w:tc>
        <w:tc>
          <w:tcPr>
            <w:tcW w:w="6610" w:type="dxa"/>
            <w:vAlign w:val="center"/>
          </w:tcPr>
          <w:p w14:paraId="66D8A957">
            <w:pPr>
              <w:tabs>
                <w:tab w:val="left" w:pos="5034"/>
              </w:tabs>
              <w:spacing w:line="500" w:lineRule="exact"/>
              <w:rPr>
                <w:rFonts w:ascii="宋体" w:hAnsi="宋体" w:cs="宋体"/>
                <w:color w:val="auto"/>
                <w:szCs w:val="21"/>
              </w:rPr>
            </w:pPr>
            <w:r>
              <w:rPr>
                <w:rFonts w:hint="eastAsia" w:ascii="宋体" w:hAnsi="宋体" w:cs="宋体"/>
                <w:color w:val="auto"/>
                <w:szCs w:val="21"/>
              </w:rPr>
              <w:t>是否收取履约担保：收取</w:t>
            </w:r>
          </w:p>
          <w:p w14:paraId="3DAC8A74">
            <w:pPr>
              <w:spacing w:line="500" w:lineRule="exact"/>
              <w:rPr>
                <w:rFonts w:ascii="宋体" w:hAnsi="宋体" w:cs="宋体"/>
                <w:color w:val="auto"/>
                <w:szCs w:val="21"/>
              </w:rPr>
            </w:pPr>
            <w:r>
              <w:rPr>
                <w:rFonts w:hint="eastAsia" w:ascii="宋体" w:hAnsi="宋体" w:cs="宋体"/>
                <w:color w:val="auto"/>
                <w:szCs w:val="21"/>
              </w:rPr>
              <w:t xml:space="preserve">履约担保的形式：支持银行转账、银行电汇、银行保函、担保机构担保、保证保险使用 </w:t>
            </w:r>
          </w:p>
          <w:p w14:paraId="41FACE36">
            <w:pPr>
              <w:spacing w:line="500" w:lineRule="exact"/>
              <w:rPr>
                <w:rFonts w:ascii="宋体" w:hAnsi="宋体" w:cs="宋体"/>
                <w:color w:val="auto"/>
                <w:szCs w:val="21"/>
              </w:rPr>
            </w:pPr>
            <w:r>
              <w:rPr>
                <w:rFonts w:hint="eastAsia" w:ascii="宋体" w:hAnsi="宋体" w:cs="宋体"/>
                <w:color w:val="auto"/>
                <w:szCs w:val="21"/>
              </w:rPr>
              <w:t>履约担保的金额：中标合同金额×</w:t>
            </w:r>
            <w:r>
              <w:rPr>
                <w:rFonts w:ascii="宋体" w:hAnsi="宋体" w:cs="宋体"/>
                <w:color w:val="auto"/>
                <w:szCs w:val="21"/>
              </w:rPr>
              <w:t>2</w:t>
            </w:r>
            <w:r>
              <w:rPr>
                <w:rFonts w:hint="eastAsia" w:ascii="宋体" w:hAnsi="宋体" w:cs="宋体"/>
                <w:color w:val="auto"/>
                <w:szCs w:val="21"/>
              </w:rPr>
              <w:t>%</w:t>
            </w:r>
          </w:p>
          <w:p w14:paraId="7F19018D">
            <w:pPr>
              <w:spacing w:line="500" w:lineRule="exact"/>
              <w:rPr>
                <w:rFonts w:ascii="宋体" w:hAnsi="宋体" w:cs="宋体"/>
                <w:color w:val="auto"/>
                <w:szCs w:val="21"/>
              </w:rPr>
            </w:pPr>
            <w:r>
              <w:rPr>
                <w:rFonts w:hint="eastAsia" w:ascii="宋体" w:hAnsi="宋体" w:cs="宋体"/>
                <w:color w:val="auto"/>
                <w:szCs w:val="21"/>
              </w:rPr>
              <w:t>收款单位：另行通知</w:t>
            </w:r>
          </w:p>
          <w:p w14:paraId="1461D182">
            <w:pPr>
              <w:spacing w:line="500" w:lineRule="exact"/>
              <w:rPr>
                <w:rFonts w:ascii="宋体" w:hAnsi="宋体" w:cs="宋体"/>
                <w:color w:val="auto"/>
                <w:szCs w:val="21"/>
              </w:rPr>
            </w:pPr>
            <w:r>
              <w:rPr>
                <w:rFonts w:hint="eastAsia" w:ascii="宋体" w:hAnsi="宋体" w:cs="宋体"/>
                <w:color w:val="auto"/>
                <w:szCs w:val="21"/>
              </w:rPr>
              <w:t>开户行、账号：另行通知</w:t>
            </w:r>
          </w:p>
          <w:p w14:paraId="5B4446CF">
            <w:pPr>
              <w:spacing w:line="500" w:lineRule="exact"/>
              <w:rPr>
                <w:rFonts w:ascii="宋体" w:hAnsi="宋体" w:cs="宋体"/>
                <w:color w:val="auto"/>
                <w:szCs w:val="21"/>
              </w:rPr>
            </w:pPr>
            <w:r>
              <w:rPr>
                <w:rFonts w:hint="eastAsia" w:ascii="宋体" w:hAnsi="宋体" w:cs="宋体"/>
                <w:color w:val="auto"/>
                <w:szCs w:val="21"/>
              </w:rPr>
              <w:t>缴纳时间：签订合同前缴纳。</w:t>
            </w:r>
          </w:p>
          <w:p w14:paraId="63EBC74D">
            <w:pPr>
              <w:spacing w:line="500" w:lineRule="exact"/>
              <w:rPr>
                <w:rFonts w:ascii="宋体" w:hAnsi="宋体" w:cs="宋体"/>
                <w:color w:val="auto"/>
                <w:szCs w:val="21"/>
              </w:rPr>
            </w:pPr>
            <w:r>
              <w:rPr>
                <w:rFonts w:hint="eastAsia" w:ascii="宋体" w:hAnsi="宋体" w:cs="宋体"/>
                <w:color w:val="auto"/>
                <w:szCs w:val="21"/>
              </w:rPr>
              <w:t>履约保证金退还方式：本项目供货完成后履约保证金直接转为质保金，待质保期满后一次性退还。</w:t>
            </w:r>
          </w:p>
          <w:p w14:paraId="5760E3BE">
            <w:pPr>
              <w:spacing w:line="500" w:lineRule="exact"/>
              <w:rPr>
                <w:rFonts w:ascii="宋体" w:hAnsi="宋体" w:cs="宋体"/>
                <w:color w:val="auto"/>
                <w:szCs w:val="21"/>
              </w:rPr>
            </w:pPr>
            <w:r>
              <w:rPr>
                <w:rFonts w:hint="eastAsia" w:ascii="宋体" w:hAnsi="宋体" w:cs="宋体"/>
                <w:color w:val="auto"/>
                <w:szCs w:val="21"/>
              </w:rPr>
              <w:t>其他相关要求：保函内容及格式等均须经招标人认可。</w:t>
            </w:r>
          </w:p>
        </w:tc>
      </w:tr>
      <w:tr w14:paraId="365CBA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8" w:hRule="atLeast"/>
        </w:trPr>
        <w:tc>
          <w:tcPr>
            <w:tcW w:w="1926" w:type="dxa"/>
            <w:gridSpan w:val="2"/>
            <w:vAlign w:val="center"/>
          </w:tcPr>
          <w:p w14:paraId="3CFC2894">
            <w:pPr>
              <w:spacing w:line="500" w:lineRule="exact"/>
              <w:jc w:val="left"/>
              <w:rPr>
                <w:rFonts w:ascii="宋体" w:hAnsi="宋体" w:cs="宋体"/>
                <w:color w:val="auto"/>
                <w:szCs w:val="21"/>
              </w:rPr>
            </w:pPr>
            <w:r>
              <w:rPr>
                <w:rFonts w:hint="eastAsia" w:ascii="宋体" w:hAnsi="宋体" w:cs="宋体"/>
                <w:color w:val="auto"/>
                <w:szCs w:val="21"/>
              </w:rPr>
              <w:t>付款方式、时间、条件</w:t>
            </w:r>
          </w:p>
        </w:tc>
        <w:tc>
          <w:tcPr>
            <w:tcW w:w="7872" w:type="dxa"/>
            <w:gridSpan w:val="2"/>
            <w:vAlign w:val="center"/>
          </w:tcPr>
          <w:p w14:paraId="14193EFE">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合同履行期间，中标人将货物运至指定地点并验收合格后，招标人将于</w:t>
            </w:r>
            <w:r>
              <w:rPr>
                <w:rFonts w:ascii="宋体" w:hAnsi="宋体" w:cs="宋体"/>
                <w:color w:val="auto"/>
                <w:szCs w:val="21"/>
                <w:highlight w:val="none"/>
              </w:rPr>
              <w:t>90</w:t>
            </w:r>
            <w:r>
              <w:rPr>
                <w:rFonts w:hint="eastAsia" w:ascii="宋体" w:hAnsi="宋体" w:cs="宋体"/>
                <w:color w:val="auto"/>
                <w:szCs w:val="21"/>
                <w:highlight w:val="none"/>
              </w:rPr>
              <w:t>个工作日内支付验收合格且入库货物货款的100%。本项目供货完成后履约保证金直接转为质保金，质保期从合同最后一批货验收合格起开始计算，质保期具体以标书中自行承诺的期限为准，质保期满后一个月内一次性付清。</w:t>
            </w:r>
          </w:p>
        </w:tc>
      </w:tr>
      <w:tr w14:paraId="120850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vAlign w:val="center"/>
          </w:tcPr>
          <w:p w14:paraId="57336682">
            <w:pPr>
              <w:spacing w:line="500" w:lineRule="exact"/>
              <w:rPr>
                <w:rFonts w:ascii="宋体" w:hAnsi="宋体" w:cs="宋体"/>
                <w:color w:val="auto"/>
                <w:szCs w:val="21"/>
              </w:rPr>
            </w:pPr>
            <w:r>
              <w:rPr>
                <w:rFonts w:hint="eastAsia" w:ascii="宋体" w:hAnsi="宋体" w:cs="宋体"/>
                <w:color w:val="auto"/>
                <w:szCs w:val="21"/>
              </w:rPr>
              <w:t>招标文件获取方式和时间</w:t>
            </w:r>
          </w:p>
        </w:tc>
        <w:tc>
          <w:tcPr>
            <w:tcW w:w="7872" w:type="dxa"/>
            <w:gridSpan w:val="2"/>
          </w:tcPr>
          <w:p w14:paraId="2E967195">
            <w:pPr>
              <w:topLinePunct/>
              <w:spacing w:line="500" w:lineRule="exact"/>
              <w:rPr>
                <w:rFonts w:ascii="宋体" w:hAnsi="宋体" w:cs="宋体"/>
                <w:color w:val="auto"/>
                <w:szCs w:val="21"/>
              </w:rPr>
            </w:pPr>
            <w:r>
              <w:rPr>
                <w:rFonts w:hint="eastAsia" w:ascii="宋体" w:hAnsi="宋体" w:cs="宋体"/>
                <w:color w:val="auto"/>
                <w:szCs w:val="21"/>
              </w:rPr>
              <w:t>招标文件获取方式：网上下载；</w:t>
            </w:r>
          </w:p>
          <w:p w14:paraId="49654C59">
            <w:pPr>
              <w:topLinePunct/>
              <w:spacing w:line="500" w:lineRule="exact"/>
              <w:rPr>
                <w:rFonts w:ascii="宋体" w:hAnsi="宋体" w:cs="宋体"/>
                <w:color w:val="auto"/>
                <w:szCs w:val="21"/>
              </w:rPr>
            </w:pPr>
            <w:r>
              <w:rPr>
                <w:rFonts w:hint="eastAsia" w:ascii="宋体" w:hAnsi="宋体" w:cs="宋体"/>
                <w:color w:val="auto"/>
                <w:szCs w:val="21"/>
              </w:rPr>
              <w:t>获取时间：招标文件发布至投标截止时间。</w:t>
            </w:r>
          </w:p>
        </w:tc>
      </w:tr>
      <w:tr w14:paraId="02C1D3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vAlign w:val="center"/>
          </w:tcPr>
          <w:p w14:paraId="5D746F94">
            <w:pPr>
              <w:adjustRightInd w:val="0"/>
              <w:snapToGrid w:val="0"/>
              <w:spacing w:line="500" w:lineRule="exact"/>
              <w:jc w:val="center"/>
              <w:rPr>
                <w:rFonts w:ascii="宋体" w:hAnsi="宋体" w:cs="宋体"/>
                <w:color w:val="auto"/>
                <w:szCs w:val="21"/>
              </w:rPr>
            </w:pPr>
            <w:r>
              <w:rPr>
                <w:rFonts w:hint="eastAsia" w:ascii="宋体" w:hAnsi="宋体" w:cs="宋体"/>
                <w:color w:val="auto"/>
                <w:szCs w:val="21"/>
              </w:rPr>
              <w:t>投诉</w:t>
            </w:r>
          </w:p>
        </w:tc>
        <w:tc>
          <w:tcPr>
            <w:tcW w:w="7872" w:type="dxa"/>
            <w:gridSpan w:val="2"/>
            <w:shd w:val="clear" w:color="auto" w:fill="auto"/>
          </w:tcPr>
          <w:p w14:paraId="7130C23A">
            <w:pPr>
              <w:adjustRightInd w:val="0"/>
              <w:snapToGrid w:val="0"/>
              <w:spacing w:line="500" w:lineRule="exact"/>
              <w:rPr>
                <w:rFonts w:ascii="宋体" w:hAnsi="宋体" w:cs="宋体"/>
                <w:color w:val="auto"/>
                <w:szCs w:val="21"/>
              </w:rPr>
            </w:pPr>
            <w:r>
              <w:rPr>
                <w:rFonts w:hint="eastAsia" w:ascii="宋体" w:hAnsi="宋体" w:cs="宋体"/>
                <w:color w:val="auto"/>
                <w:szCs w:val="21"/>
              </w:rPr>
              <w:t xml:space="preserve">投标人或者其他利害关系人认为招标投标活动违反法律、法规和规章规定的，有权向相关行政监督部门投诉。在线投诉具体步骤和程序请参照服务指南&gt;投诉渠道 </w:t>
            </w:r>
            <w:r>
              <w:rPr>
                <w:color w:val="auto"/>
              </w:rPr>
              <w:fldChar w:fldCharType="begin"/>
            </w:r>
            <w:r>
              <w:rPr>
                <w:color w:val="auto"/>
              </w:rPr>
              <w:instrText xml:space="preserve"> HYPERLINK "https://ggzy.chuzhou.gov.cn/fwzn/011001/serviceGuide.html" </w:instrText>
            </w:r>
            <w:r>
              <w:rPr>
                <w:color w:val="auto"/>
              </w:rPr>
              <w:fldChar w:fldCharType="separate"/>
            </w:r>
            <w:r>
              <w:rPr>
                <w:rFonts w:hint="eastAsia" w:ascii="宋体" w:hAnsi="宋体" w:cs="宋体"/>
                <w:color w:val="auto"/>
                <w:szCs w:val="21"/>
              </w:rPr>
              <w:t>https://ggzy.chuzhou.gov.cn/fwzn/011001/serviceGuide.html</w:t>
            </w:r>
            <w:r>
              <w:rPr>
                <w:rFonts w:hint="eastAsia" w:ascii="宋体" w:hAnsi="宋体" w:cs="宋体"/>
                <w:color w:val="auto"/>
                <w:szCs w:val="21"/>
              </w:rPr>
              <w:fldChar w:fldCharType="end"/>
            </w:r>
            <w:r>
              <w:rPr>
                <w:rFonts w:hint="eastAsia" w:ascii="宋体" w:hAnsi="宋体" w:cs="宋体"/>
                <w:color w:val="auto"/>
                <w:szCs w:val="21"/>
              </w:rPr>
              <w:t>；投诉书格式等内容参见服务指南&gt;办事指南&gt;投标人服务&gt;投诉受理一次告知书https://ggzy.chuzhou.gov.cn/fwzn/011001/011001001/011001001003/20211022/4b7d87ec-2c58-49b0-b76c-3a6277377930.html。</w:t>
            </w:r>
          </w:p>
        </w:tc>
      </w:tr>
      <w:tr w14:paraId="64BB76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vAlign w:val="center"/>
          </w:tcPr>
          <w:p w14:paraId="0585019D">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特别提示</w:t>
            </w:r>
          </w:p>
        </w:tc>
        <w:tc>
          <w:tcPr>
            <w:tcW w:w="7872" w:type="dxa"/>
            <w:gridSpan w:val="2"/>
            <w:shd w:val="clear" w:color="auto" w:fill="auto"/>
          </w:tcPr>
          <w:p w14:paraId="5ACE32A8">
            <w:pPr>
              <w:snapToGrid w:val="0"/>
              <w:spacing w:line="500" w:lineRule="exact"/>
              <w:rPr>
                <w:rFonts w:ascii="宋体" w:hAnsi="宋体" w:cs="宋体"/>
                <w:color w:val="auto"/>
                <w:szCs w:val="21"/>
              </w:rPr>
            </w:pPr>
            <w:r>
              <w:rPr>
                <w:rFonts w:hint="eastAsia" w:ascii="宋体" w:hAnsi="宋体" w:cs="宋体"/>
                <w:color w:val="auto"/>
                <w:szCs w:val="21"/>
              </w:rPr>
              <w:t>1.本项目投标保证金、履约保证金、工程质量保证金、农民工工资保证金均支持保函使用。以现金形式提交保证金的，应当同时退还保证金本金和银行同期存款利息。</w:t>
            </w:r>
          </w:p>
          <w:p w14:paraId="4D7F3A8A">
            <w:pPr>
              <w:snapToGrid w:val="0"/>
              <w:spacing w:line="500" w:lineRule="exact"/>
              <w:rPr>
                <w:rFonts w:ascii="宋体" w:hAnsi="宋体" w:cs="宋体"/>
                <w:color w:val="auto"/>
                <w:szCs w:val="21"/>
              </w:rPr>
            </w:pPr>
            <w:r>
              <w:rPr>
                <w:rFonts w:hint="eastAsia" w:ascii="宋体" w:hAnsi="宋体" w:cs="宋体"/>
                <w:color w:val="auto"/>
                <w:szCs w:val="21"/>
              </w:rPr>
              <w:t>2.投标人应填写投标信息并下载招标文件，否则无法上传投标文件。</w:t>
            </w:r>
          </w:p>
          <w:p w14:paraId="32185517">
            <w:pPr>
              <w:snapToGrid w:val="0"/>
              <w:spacing w:line="500" w:lineRule="exact"/>
              <w:rPr>
                <w:rFonts w:ascii="宋体" w:hAnsi="宋体" w:cs="宋体"/>
                <w:color w:val="auto"/>
                <w:szCs w:val="21"/>
              </w:rPr>
            </w:pPr>
            <w:r>
              <w:rPr>
                <w:rFonts w:hint="eastAsia" w:ascii="宋体" w:hAnsi="宋体" w:cs="宋体"/>
                <w:color w:val="auto"/>
                <w:szCs w:val="21"/>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3F57DAE3">
            <w:pPr>
              <w:snapToGrid w:val="0"/>
              <w:spacing w:line="500" w:lineRule="exact"/>
              <w:rPr>
                <w:rFonts w:ascii="宋体" w:hAnsi="宋体" w:cs="宋体"/>
                <w:color w:val="auto"/>
                <w:szCs w:val="21"/>
              </w:rPr>
            </w:pPr>
            <w:r>
              <w:rPr>
                <w:rFonts w:hint="eastAsia" w:ascii="宋体" w:hAnsi="宋体" w:cs="宋体"/>
                <w:color w:val="auto"/>
                <w:szCs w:val="21"/>
              </w:rPr>
              <w:t>4.如果过程中出现招标文件更改，应以最后发布的招标答疑澄清文件中的模板制作本项目最新投标文件。</w:t>
            </w:r>
          </w:p>
          <w:p w14:paraId="5A7B4FF1">
            <w:pPr>
              <w:snapToGrid w:val="0"/>
              <w:spacing w:line="500" w:lineRule="exact"/>
              <w:rPr>
                <w:rFonts w:ascii="宋体" w:hAnsi="宋体" w:cs="宋体"/>
                <w:color w:val="auto"/>
                <w:szCs w:val="21"/>
              </w:rPr>
            </w:pPr>
            <w:r>
              <w:rPr>
                <w:rFonts w:hint="eastAsia" w:ascii="宋体" w:hAnsi="宋体" w:cs="宋体"/>
                <w:color w:val="auto"/>
                <w:szCs w:val="21"/>
              </w:rPr>
              <w:t xml:space="preserve">5.投标人应当用本单位CA数字证书制作投标文件，制作成功后进行投标文件上传。 </w:t>
            </w:r>
          </w:p>
          <w:p w14:paraId="0B792A9B">
            <w:pPr>
              <w:snapToGrid w:val="0"/>
              <w:spacing w:line="500" w:lineRule="exact"/>
              <w:rPr>
                <w:rFonts w:ascii="宋体" w:hAnsi="宋体" w:cs="宋体"/>
                <w:color w:val="auto"/>
                <w:szCs w:val="21"/>
              </w:rPr>
            </w:pPr>
            <w:r>
              <w:rPr>
                <w:rFonts w:hint="eastAsia" w:ascii="宋体" w:hAnsi="宋体" w:cs="宋体"/>
                <w:color w:val="auto"/>
                <w:szCs w:val="21"/>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6F1E7AB5">
            <w:pPr>
              <w:snapToGrid w:val="0"/>
              <w:spacing w:line="500" w:lineRule="exact"/>
              <w:rPr>
                <w:rFonts w:ascii="宋体" w:hAnsi="宋体" w:cs="宋体"/>
                <w:color w:val="auto"/>
                <w:szCs w:val="21"/>
              </w:rPr>
            </w:pPr>
            <w:r>
              <w:rPr>
                <w:rFonts w:hint="eastAsia" w:ascii="宋体" w:hAnsi="宋体" w:cs="宋体"/>
                <w:color w:val="auto"/>
                <w:szCs w:val="21"/>
              </w:rPr>
              <w:t>7.请投标人注意加密投标文件CA数字证书的有效期，不在有效期的CA数字证书无法解密投标文件。</w:t>
            </w:r>
          </w:p>
          <w:p w14:paraId="0A3201D0">
            <w:pPr>
              <w:snapToGrid w:val="0"/>
              <w:spacing w:line="500" w:lineRule="exact"/>
              <w:rPr>
                <w:rFonts w:ascii="宋体" w:hAnsi="宋体" w:cs="宋体"/>
                <w:color w:val="auto"/>
                <w:szCs w:val="21"/>
              </w:rPr>
            </w:pPr>
            <w:r>
              <w:rPr>
                <w:rFonts w:hint="eastAsia" w:ascii="宋体" w:hAnsi="宋体" w:cs="宋体"/>
                <w:color w:val="auto"/>
                <w:szCs w:val="21"/>
              </w:rPr>
              <w:t>8.投标人投标MAC地址一致或申请开具电子保函MAC地址一致的，由评标委员会否决其投标。</w:t>
            </w:r>
          </w:p>
          <w:p w14:paraId="27DD9AE7">
            <w:pPr>
              <w:snapToGrid w:val="0"/>
              <w:spacing w:line="500" w:lineRule="exact"/>
              <w:rPr>
                <w:rFonts w:ascii="宋体" w:hAnsi="宋体" w:cs="宋体"/>
                <w:color w:val="auto"/>
                <w:szCs w:val="21"/>
              </w:rPr>
            </w:pPr>
            <w:r>
              <w:rPr>
                <w:rFonts w:hint="eastAsia" w:ascii="宋体" w:hAnsi="宋体" w:cs="宋体"/>
                <w:color w:val="auto"/>
                <w:szCs w:val="21"/>
              </w:rPr>
              <w:t>9.投标人投标文件中单方面出现其他投标人材料的（依法组成联合体投标的除外），由评标委员会否决其投标。</w:t>
            </w:r>
          </w:p>
          <w:p w14:paraId="1E9854EB">
            <w:pPr>
              <w:snapToGrid w:val="0"/>
              <w:spacing w:line="500" w:lineRule="exact"/>
              <w:rPr>
                <w:rFonts w:ascii="宋体" w:hAnsi="宋体" w:cs="宋体"/>
                <w:color w:val="auto"/>
                <w:szCs w:val="21"/>
              </w:rPr>
            </w:pPr>
            <w:r>
              <w:rPr>
                <w:rFonts w:hint="eastAsia" w:ascii="宋体" w:hAnsi="宋体" w:cs="宋体"/>
                <w:color w:val="auto"/>
                <w:szCs w:val="21"/>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5CC3E954">
            <w:pPr>
              <w:snapToGrid w:val="0"/>
              <w:spacing w:line="500" w:lineRule="exact"/>
              <w:rPr>
                <w:rFonts w:ascii="宋体" w:hAnsi="宋体" w:cs="宋体"/>
                <w:color w:val="auto"/>
                <w:szCs w:val="21"/>
              </w:rPr>
            </w:pPr>
            <w:r>
              <w:rPr>
                <w:rFonts w:hint="eastAsia" w:ascii="宋体" w:hAnsi="宋体" w:cs="宋体"/>
                <w:color w:val="auto"/>
                <w:szCs w:val="21"/>
              </w:rPr>
              <w:t>11.若存在不予退还投标人投标保证金的情形，银行转账的，由市公共资源交易中心代为收缴，递交保函的，由招标人予以追缴。</w:t>
            </w:r>
          </w:p>
          <w:p w14:paraId="652A552B">
            <w:pPr>
              <w:snapToGrid w:val="0"/>
              <w:spacing w:line="500" w:lineRule="exact"/>
              <w:rPr>
                <w:rFonts w:ascii="宋体" w:hAnsi="宋体" w:cs="宋体"/>
                <w:color w:val="auto"/>
                <w:szCs w:val="21"/>
              </w:rPr>
            </w:pPr>
            <w:r>
              <w:rPr>
                <w:rFonts w:hint="eastAsia" w:ascii="宋体" w:hAnsi="宋体" w:cs="宋体"/>
                <w:color w:val="auto"/>
                <w:szCs w:val="21"/>
              </w:rPr>
              <w:t>12.投标人以联合体名义投标的，其异议投诉应当由联合体全体成员共同提出。联合体成员单独进行异议投诉的，应当书面征得联合体其他成员同意，联合体成员之间投诉的除外。</w:t>
            </w:r>
          </w:p>
          <w:p w14:paraId="3748731D">
            <w:pPr>
              <w:snapToGrid w:val="0"/>
              <w:spacing w:line="500" w:lineRule="exact"/>
              <w:rPr>
                <w:rFonts w:ascii="宋体" w:hAnsi="宋体" w:cs="宋体"/>
                <w:color w:val="auto"/>
                <w:szCs w:val="21"/>
              </w:rPr>
            </w:pPr>
            <w:r>
              <w:rPr>
                <w:rFonts w:hint="eastAsia" w:ascii="宋体" w:hAnsi="宋体" w:cs="宋体"/>
                <w:color w:val="auto"/>
                <w:szCs w:val="21"/>
              </w:rPr>
              <w:t>13.投标人联系人或联系电话相同的，由评标委员会否决其投标，并报告监管部门作不良行为处理和进一步调查。</w:t>
            </w:r>
          </w:p>
          <w:p w14:paraId="34D8BB41">
            <w:pPr>
              <w:spacing w:line="500" w:lineRule="exact"/>
              <w:jc w:val="left"/>
              <w:rPr>
                <w:rFonts w:ascii="宋体" w:hAnsi="宋体" w:cs="宋体"/>
                <w:b/>
                <w:bCs/>
                <w:color w:val="auto"/>
                <w:szCs w:val="21"/>
              </w:rPr>
            </w:pPr>
            <w:r>
              <w:rPr>
                <w:rFonts w:hint="eastAsia" w:ascii="宋体" w:hAnsi="宋体" w:cs="宋体"/>
                <w:color w:val="auto"/>
                <w:szCs w:val="21"/>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4C2EA0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vAlign w:val="center"/>
          </w:tcPr>
          <w:p w14:paraId="6F439700">
            <w:pPr>
              <w:spacing w:line="500" w:lineRule="exact"/>
              <w:jc w:val="center"/>
              <w:rPr>
                <w:rFonts w:ascii="宋体" w:hAnsi="宋体" w:cs="宋体"/>
                <w:bCs/>
                <w:color w:val="auto"/>
                <w:szCs w:val="21"/>
              </w:rPr>
            </w:pPr>
            <w:r>
              <w:rPr>
                <w:rFonts w:hint="eastAsia" w:ascii="宋体" w:hAnsi="宋体" w:cs="宋体"/>
                <w:bCs/>
                <w:color w:val="auto"/>
                <w:szCs w:val="21"/>
              </w:rPr>
              <w:t>其他</w:t>
            </w:r>
          </w:p>
        </w:tc>
        <w:tc>
          <w:tcPr>
            <w:tcW w:w="7872" w:type="dxa"/>
            <w:gridSpan w:val="2"/>
            <w:shd w:val="clear" w:color="auto" w:fill="auto"/>
          </w:tcPr>
          <w:p w14:paraId="40EBDC7A">
            <w:pPr>
              <w:snapToGrid w:val="0"/>
              <w:spacing w:line="500" w:lineRule="exact"/>
              <w:rPr>
                <w:rFonts w:ascii="宋体" w:hAnsi="宋体" w:cs="宋体"/>
                <w:color w:val="auto"/>
                <w:szCs w:val="21"/>
              </w:rPr>
            </w:pPr>
            <w:r>
              <w:rPr>
                <w:rFonts w:hint="eastAsia" w:ascii="宋体" w:hAnsi="宋体" w:cs="宋体"/>
                <w:color w:val="auto"/>
                <w:szCs w:val="21"/>
              </w:rPr>
              <w:t>1.项目负责人必须是投标人本单位工作人员，提供虚假资料谋取中标将被依法处罚。投标人对所提交的投标人或拟派项目负责人业绩、投标人资质等证明资料承担缔约过失责任和法律责任。若投诉人或举报人对前述资料或证明资料存在争议，进行有效投诉或举报， 被投诉人、被举报人应当主动配合执法机关调查，并在规定的期限内举证，提供有关证明资料的原件；拒不配合执法机构调查，且未在规定期限内举证、提供证明资料原件的，执法机构（滁州市公共资源交易监督管理局）依法处理。</w:t>
            </w:r>
          </w:p>
          <w:p w14:paraId="77C11388">
            <w:pPr>
              <w:snapToGrid w:val="0"/>
              <w:spacing w:line="500" w:lineRule="exact"/>
              <w:rPr>
                <w:rFonts w:ascii="宋体" w:hAnsi="宋体" w:cs="宋体"/>
                <w:color w:val="auto"/>
                <w:szCs w:val="21"/>
              </w:rPr>
            </w:pPr>
            <w:r>
              <w:rPr>
                <w:rFonts w:hint="eastAsia" w:ascii="宋体" w:hAnsi="宋体" w:cs="宋体"/>
                <w:color w:val="auto"/>
                <w:szCs w:val="21"/>
              </w:rPr>
              <w:t>2.中标人未履行下述义务的，滁州市公共资源交易监督管理局将依法对中标人进行处理，追究相关责任：</w:t>
            </w:r>
          </w:p>
          <w:p w14:paraId="329D9B69">
            <w:pPr>
              <w:snapToGrid w:val="0"/>
              <w:spacing w:line="500" w:lineRule="exact"/>
              <w:rPr>
                <w:rFonts w:ascii="宋体" w:hAnsi="宋体" w:cs="宋体"/>
                <w:color w:val="auto"/>
                <w:szCs w:val="21"/>
              </w:rPr>
            </w:pPr>
            <w:r>
              <w:rPr>
                <w:rFonts w:hint="eastAsia" w:ascii="宋体" w:hAnsi="宋体" w:cs="宋体"/>
                <w:color w:val="auto"/>
                <w:szCs w:val="21"/>
              </w:rPr>
              <w:t>①中标人无正当理由不与招标人订立合同，在签订合同时向招标人提出附加条件，或者不按照招标文件要求提交履约保证金的，招标人有权取消中标人中标资格，并将相关违约行为报送监管部门处理；</w:t>
            </w:r>
          </w:p>
          <w:p w14:paraId="7E7BB3FF">
            <w:pPr>
              <w:snapToGrid w:val="0"/>
              <w:spacing w:line="500" w:lineRule="exact"/>
              <w:rPr>
                <w:rFonts w:ascii="宋体" w:hAnsi="宋体" w:cs="宋体"/>
                <w:color w:val="auto"/>
                <w:szCs w:val="21"/>
              </w:rPr>
            </w:pPr>
            <w:r>
              <w:rPr>
                <w:rFonts w:hint="eastAsia" w:ascii="宋体" w:hAnsi="宋体" w:cs="宋体"/>
                <w:color w:val="auto"/>
                <w:szCs w:val="21"/>
              </w:rPr>
              <w:t>②合同签订后，中标人存在规定时间内不组织人员进场开工、不履行供货安装义务等情况，招标人有权解除合同，并追究违约责任，同时将相关违约行为报送监管部门，记不良行为记录， 实施信用惩戒。</w:t>
            </w:r>
          </w:p>
        </w:tc>
      </w:tr>
      <w:tr w14:paraId="497C2A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1926" w:type="dxa"/>
            <w:gridSpan w:val="2"/>
            <w:shd w:val="clear" w:color="auto" w:fill="auto"/>
            <w:vAlign w:val="center"/>
          </w:tcPr>
          <w:p w14:paraId="687BE7B5">
            <w:pPr>
              <w:adjustRightInd w:val="0"/>
              <w:snapToGrid w:val="0"/>
              <w:spacing w:line="500" w:lineRule="exact"/>
              <w:jc w:val="center"/>
              <w:rPr>
                <w:rFonts w:ascii="宋体" w:hAnsi="宋体" w:cs="宋体"/>
                <w:bCs/>
                <w:color w:val="auto"/>
                <w:szCs w:val="21"/>
              </w:rPr>
            </w:pPr>
            <w:r>
              <w:rPr>
                <w:rFonts w:hint="eastAsia" w:ascii="宋体" w:hAnsi="宋体" w:cs="宋体"/>
                <w:bCs/>
                <w:color w:val="auto"/>
                <w:szCs w:val="21"/>
              </w:rPr>
              <w:t>变更招标方式</w:t>
            </w:r>
          </w:p>
        </w:tc>
        <w:tc>
          <w:tcPr>
            <w:tcW w:w="7872" w:type="dxa"/>
            <w:gridSpan w:val="2"/>
            <w:shd w:val="clear" w:color="auto" w:fill="auto"/>
            <w:vAlign w:val="center"/>
          </w:tcPr>
          <w:p w14:paraId="5D394EDF">
            <w:pPr>
              <w:pStyle w:val="17"/>
              <w:adjustRightInd w:val="0"/>
              <w:snapToGrid w:val="0"/>
              <w:spacing w:after="0" w:line="500" w:lineRule="exact"/>
              <w:rPr>
                <w:rFonts w:ascii="宋体" w:hAnsi="宋体" w:cs="宋体"/>
                <w:color w:val="auto"/>
                <w:szCs w:val="21"/>
              </w:rPr>
            </w:pPr>
            <w:r>
              <w:rPr>
                <w:rFonts w:hint="eastAsia" w:ascii="宋体" w:hAnsi="宋体" w:cs="宋体"/>
                <w:color w:val="auto"/>
                <w:szCs w:val="21"/>
              </w:rPr>
              <w:t>按照滁州市公共资源交易监督管理局现行规定执行。</w:t>
            </w:r>
          </w:p>
        </w:tc>
      </w:tr>
    </w:tbl>
    <w:p w14:paraId="0E1874DD">
      <w:pPr>
        <w:pageBreakBefore/>
        <w:spacing w:beforeLines="100" w:afterLines="100" w:line="500" w:lineRule="exact"/>
        <w:jc w:val="center"/>
        <w:outlineLvl w:val="1"/>
        <w:rPr>
          <w:rFonts w:ascii="宋体"/>
          <w:b/>
          <w:color w:val="auto"/>
          <w:sz w:val="28"/>
          <w:szCs w:val="32"/>
        </w:rPr>
      </w:pPr>
      <w:bookmarkStart w:id="31" w:name="_Toc28397"/>
      <w:bookmarkStart w:id="32" w:name="_Toc58430315"/>
      <w:bookmarkStart w:id="33" w:name="_Toc449028866"/>
      <w:r>
        <w:rPr>
          <w:rFonts w:hint="eastAsia" w:ascii="宋体"/>
          <w:b/>
          <w:color w:val="auto"/>
          <w:sz w:val="28"/>
          <w:szCs w:val="28"/>
        </w:rPr>
        <w:t>二、投标人须知</w:t>
      </w:r>
      <w:bookmarkEnd w:id="31"/>
      <w:bookmarkEnd w:id="32"/>
      <w:bookmarkEnd w:id="33"/>
    </w:p>
    <w:p w14:paraId="7C91EF85">
      <w:pPr>
        <w:spacing w:beforeLines="50" w:afterLines="50" w:line="500" w:lineRule="exact"/>
        <w:jc w:val="center"/>
        <w:rPr>
          <w:rFonts w:ascii="宋体" w:hAnsi="宋体" w:cs="宋体"/>
          <w:color w:val="auto"/>
          <w:sz w:val="28"/>
          <w:szCs w:val="28"/>
        </w:rPr>
      </w:pPr>
      <w:bookmarkStart w:id="34" w:name="_Toc449028867"/>
      <w:r>
        <w:rPr>
          <w:rFonts w:hint="eastAsia" w:ascii="宋体" w:hAnsi="宋体" w:cs="宋体"/>
          <w:b/>
          <w:color w:val="auto"/>
          <w:sz w:val="28"/>
          <w:szCs w:val="28"/>
        </w:rPr>
        <w:t>（一）总  则</w:t>
      </w:r>
      <w:bookmarkEnd w:id="34"/>
    </w:p>
    <w:p w14:paraId="2E8BFBD2">
      <w:pPr>
        <w:snapToGrid w:val="0"/>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1.项目概况</w:t>
      </w:r>
    </w:p>
    <w:p w14:paraId="4B6D2555">
      <w:pPr>
        <w:snapToGrid w:val="0"/>
        <w:spacing w:line="500" w:lineRule="exact"/>
        <w:ind w:firstLine="420" w:firstLineChars="200"/>
        <w:jc w:val="left"/>
        <w:rPr>
          <w:rFonts w:ascii="宋体" w:hAnsi="宋体" w:cs="宋体"/>
          <w:color w:val="auto"/>
          <w:szCs w:val="21"/>
          <w:u w:val="single"/>
        </w:rPr>
      </w:pPr>
      <w:r>
        <w:rPr>
          <w:rFonts w:hint="eastAsia" w:ascii="宋体" w:hAnsi="宋体" w:cs="宋体"/>
          <w:color w:val="auto"/>
          <w:szCs w:val="21"/>
        </w:rPr>
        <w:t>1.1本次招标采购项目名称：见投标人须知前附表。</w:t>
      </w:r>
    </w:p>
    <w:p w14:paraId="253CF305">
      <w:pPr>
        <w:snapToGrid w:val="0"/>
        <w:spacing w:line="500" w:lineRule="exact"/>
        <w:ind w:firstLine="420" w:firstLineChars="200"/>
        <w:jc w:val="left"/>
        <w:rPr>
          <w:rFonts w:ascii="宋体" w:hAnsi="宋体" w:cs="宋体"/>
          <w:color w:val="auto"/>
          <w:szCs w:val="21"/>
          <w:u w:val="single"/>
        </w:rPr>
      </w:pPr>
      <w:r>
        <w:rPr>
          <w:rFonts w:hint="eastAsia" w:ascii="宋体" w:hAnsi="宋体" w:cs="宋体"/>
          <w:color w:val="auto"/>
          <w:szCs w:val="21"/>
        </w:rPr>
        <w:t xml:space="preserve">               项目编号：见投标人须知前附表。</w:t>
      </w:r>
    </w:p>
    <w:p w14:paraId="339A6DFF">
      <w:pPr>
        <w:snapToGrid w:val="0"/>
        <w:spacing w:line="500" w:lineRule="exact"/>
        <w:ind w:firstLine="420" w:firstLineChars="200"/>
        <w:jc w:val="left"/>
        <w:rPr>
          <w:rFonts w:ascii="宋体" w:hAnsi="宋体" w:cs="宋体"/>
          <w:color w:val="auto"/>
          <w:szCs w:val="21"/>
          <w:u w:val="single"/>
        </w:rPr>
      </w:pPr>
      <w:r>
        <w:rPr>
          <w:rFonts w:hint="eastAsia" w:ascii="宋体" w:hAnsi="宋体" w:cs="宋体"/>
          <w:color w:val="auto"/>
          <w:szCs w:val="21"/>
        </w:rPr>
        <w:t xml:space="preserve">               招 标 人：见投标人须知前附表。</w:t>
      </w:r>
    </w:p>
    <w:p w14:paraId="0B17F5F1">
      <w:pPr>
        <w:snapToGrid w:val="0"/>
        <w:spacing w:line="500" w:lineRule="exact"/>
        <w:ind w:firstLine="420" w:firstLineChars="200"/>
        <w:jc w:val="left"/>
        <w:rPr>
          <w:rFonts w:ascii="宋体" w:hAnsi="宋体" w:cs="宋体"/>
          <w:color w:val="auto"/>
          <w:szCs w:val="21"/>
          <w:u w:val="single"/>
        </w:rPr>
      </w:pPr>
      <w:r>
        <w:rPr>
          <w:rFonts w:hint="eastAsia" w:ascii="宋体" w:hAnsi="宋体" w:cs="宋体"/>
          <w:color w:val="auto"/>
          <w:szCs w:val="21"/>
        </w:rPr>
        <w:t xml:space="preserve">               供货期：见投标人须知前附表。</w:t>
      </w:r>
    </w:p>
    <w:p w14:paraId="3D3FD474">
      <w:pPr>
        <w:snapToGrid w:val="0"/>
        <w:spacing w:line="500" w:lineRule="exact"/>
        <w:ind w:firstLine="420" w:firstLineChars="200"/>
        <w:jc w:val="left"/>
        <w:rPr>
          <w:rFonts w:ascii="宋体" w:hAnsi="宋体" w:cs="宋体"/>
          <w:color w:val="auto"/>
          <w:szCs w:val="21"/>
          <w:u w:val="single"/>
        </w:rPr>
      </w:pPr>
      <w:r>
        <w:rPr>
          <w:rFonts w:hint="eastAsia" w:ascii="宋体" w:hAnsi="宋体" w:cs="宋体"/>
          <w:color w:val="auto"/>
          <w:szCs w:val="21"/>
        </w:rPr>
        <w:t xml:space="preserve">               供货地点：见投标人须知前附表。</w:t>
      </w:r>
    </w:p>
    <w:p w14:paraId="3E680C62">
      <w:pPr>
        <w:snapToGrid w:val="0"/>
        <w:spacing w:line="500" w:lineRule="exact"/>
        <w:ind w:firstLine="420" w:firstLineChars="200"/>
        <w:jc w:val="left"/>
        <w:rPr>
          <w:rFonts w:ascii="宋体" w:hAnsi="宋体" w:cs="宋体"/>
          <w:color w:val="auto"/>
          <w:szCs w:val="21"/>
          <w:u w:val="single"/>
        </w:rPr>
      </w:pPr>
      <w:r>
        <w:rPr>
          <w:rFonts w:hint="eastAsia" w:ascii="宋体" w:hAnsi="宋体" w:cs="宋体"/>
          <w:color w:val="auto"/>
          <w:szCs w:val="21"/>
        </w:rPr>
        <w:t>1.2招标人及联系人: 见投标人须知前附表。</w:t>
      </w:r>
    </w:p>
    <w:p w14:paraId="793F7CDA">
      <w:pPr>
        <w:snapToGrid w:val="0"/>
        <w:spacing w:line="500" w:lineRule="exact"/>
        <w:ind w:firstLine="525" w:firstLineChars="250"/>
        <w:jc w:val="left"/>
        <w:rPr>
          <w:rFonts w:ascii="宋体" w:hAnsi="宋体" w:cs="宋体"/>
          <w:color w:val="auto"/>
          <w:szCs w:val="21"/>
          <w:u w:val="single"/>
        </w:rPr>
      </w:pPr>
      <w:r>
        <w:rPr>
          <w:rFonts w:hint="eastAsia" w:ascii="宋体" w:hAnsi="宋体" w:cs="宋体"/>
          <w:color w:val="auto"/>
          <w:szCs w:val="21"/>
        </w:rPr>
        <w:t xml:space="preserve">  采购代理机构及联系人: 见投标人须知前附表。</w:t>
      </w:r>
    </w:p>
    <w:p w14:paraId="6021C998">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1.3资金来源：见投标人须知前附表。</w:t>
      </w:r>
    </w:p>
    <w:p w14:paraId="5A5BE635">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1.4本项目预算：见投标人须知前附表。</w:t>
      </w:r>
    </w:p>
    <w:p w14:paraId="3B358086">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1.5本项目最高限价：见投标人须知前附表。</w:t>
      </w:r>
    </w:p>
    <w:p w14:paraId="6E9AD16F">
      <w:pPr>
        <w:snapToGrid w:val="0"/>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2.招标范围：</w:t>
      </w:r>
    </w:p>
    <w:p w14:paraId="5DAF78A4">
      <w:pPr>
        <w:snapToGrid w:val="0"/>
        <w:spacing w:line="500" w:lineRule="exact"/>
        <w:ind w:firstLine="420" w:firstLineChars="200"/>
        <w:jc w:val="left"/>
        <w:rPr>
          <w:rFonts w:ascii="宋体" w:hAnsi="宋体" w:cs="宋体"/>
          <w:color w:val="auto"/>
          <w:szCs w:val="21"/>
          <w:u w:val="single"/>
        </w:rPr>
      </w:pPr>
      <w:r>
        <w:rPr>
          <w:rFonts w:hint="eastAsia" w:ascii="宋体" w:hAnsi="宋体" w:cs="宋体"/>
          <w:color w:val="auto"/>
          <w:szCs w:val="21"/>
        </w:rPr>
        <w:t>2.1 采购内容：详见《采购内容与技术要求》。</w:t>
      </w:r>
    </w:p>
    <w:p w14:paraId="579F0E8B">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2.2 技术要求：详见《采购内容与技术要求》。</w:t>
      </w:r>
    </w:p>
    <w:p w14:paraId="68B3B4A1">
      <w:pPr>
        <w:snapToGrid w:val="0"/>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3.标包划分：</w:t>
      </w:r>
    </w:p>
    <w:p w14:paraId="743025D5">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3.1本项目划分：见投标人须知前附表。</w:t>
      </w:r>
    </w:p>
    <w:p w14:paraId="147F4A7B">
      <w:pPr>
        <w:snapToGrid w:val="0"/>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4.招标方式：</w:t>
      </w:r>
    </w:p>
    <w:p w14:paraId="77B7E39E">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4.1本项目招标方式：见投标人须知前附表。</w:t>
      </w:r>
    </w:p>
    <w:p w14:paraId="1BF5A421">
      <w:pPr>
        <w:snapToGrid w:val="0"/>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5.计价方式：</w:t>
      </w:r>
    </w:p>
    <w:p w14:paraId="54EEC9AF">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5.1本次招标项目合同采用</w:t>
      </w:r>
      <w:r>
        <w:rPr>
          <w:rFonts w:hint="eastAsia" w:ascii="宋体" w:hAnsi="宋体" w:cs="宋体"/>
          <w:color w:val="auto"/>
          <w:szCs w:val="21"/>
          <w:u w:val="single"/>
        </w:rPr>
        <w:t xml:space="preserve">  固定单价 。</w:t>
      </w:r>
    </w:p>
    <w:p w14:paraId="7E3403C8">
      <w:pPr>
        <w:snapToGrid w:val="0"/>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6.评标办法：</w:t>
      </w:r>
    </w:p>
    <w:p w14:paraId="2CD91402">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6.1本次招标评标采用</w:t>
      </w:r>
      <w:r>
        <w:rPr>
          <w:rFonts w:hint="eastAsia" w:ascii="宋体" w:hAnsi="宋体" w:cs="宋体"/>
          <w:color w:val="auto"/>
          <w:szCs w:val="21"/>
          <w:u w:val="single"/>
        </w:rPr>
        <w:t xml:space="preserve">  综合评分法  </w:t>
      </w:r>
      <w:r>
        <w:rPr>
          <w:rFonts w:hint="eastAsia" w:ascii="宋体" w:hAnsi="宋体" w:cs="宋体"/>
          <w:color w:val="auto"/>
          <w:szCs w:val="21"/>
        </w:rPr>
        <w:t>（详见第三章评标办法）</w:t>
      </w:r>
    </w:p>
    <w:p w14:paraId="0A3A889A">
      <w:pPr>
        <w:snapToGrid w:val="0"/>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7.投标人资格：</w:t>
      </w:r>
    </w:p>
    <w:p w14:paraId="4F1868DC">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7.1</w:t>
      </w:r>
      <w:r>
        <w:rPr>
          <w:rFonts w:hint="eastAsia" w:ascii="宋体"/>
          <w:color w:val="auto"/>
          <w:szCs w:val="21"/>
        </w:rPr>
        <w:t>详见投标人须知前附表。</w:t>
      </w:r>
    </w:p>
    <w:p w14:paraId="23F6D567">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7.2根据电子化采购的特点，投标人参加本项目投标，投标人参加本项目投标，需在安徽省公共资源交易市场主体库（http://61.190.70.20/ahggfwpt-zhutiku）登记并进行信息确认提交。</w:t>
      </w:r>
    </w:p>
    <w:p w14:paraId="7FE6ED3B">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7.3投标人必须确保自己在信息库中注册的信息真实、准确，并保证投标文件中的有关信息与库中的信息相一致。否则，投标人因此蒙受损失，招标人概不负责。</w:t>
      </w:r>
    </w:p>
    <w:p w14:paraId="29A9C6F7">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8. 投标费用</w:t>
      </w:r>
    </w:p>
    <w:p w14:paraId="05F49D8C">
      <w:pPr>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8.1投标人准备和参加投标活动发生的费用自理。</w:t>
      </w:r>
    </w:p>
    <w:p w14:paraId="50E8D4F7">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9.</w:t>
      </w:r>
      <w:bookmarkStart w:id="35" w:name="_Toc296602429"/>
      <w:bookmarkStart w:id="36" w:name="_Toc144974507"/>
      <w:bookmarkStart w:id="37" w:name="_Toc247513962"/>
      <w:bookmarkStart w:id="38" w:name="_Toc152045539"/>
      <w:bookmarkStart w:id="39" w:name="_Toc247592876"/>
      <w:bookmarkStart w:id="40" w:name="_Toc152042315"/>
      <w:bookmarkStart w:id="41" w:name="_Toc247527563"/>
      <w:r>
        <w:rPr>
          <w:rFonts w:hint="eastAsia" w:ascii="宋体" w:hAnsi="宋体" w:cs="宋体"/>
          <w:b/>
          <w:color w:val="auto"/>
          <w:szCs w:val="21"/>
        </w:rPr>
        <w:t xml:space="preserve"> 踏勘现场</w:t>
      </w:r>
      <w:bookmarkEnd w:id="35"/>
      <w:bookmarkEnd w:id="36"/>
      <w:bookmarkEnd w:id="37"/>
      <w:bookmarkEnd w:id="38"/>
      <w:bookmarkEnd w:id="39"/>
      <w:bookmarkEnd w:id="40"/>
      <w:bookmarkEnd w:id="41"/>
    </w:p>
    <w:p w14:paraId="7BEAE9AA">
      <w:pPr>
        <w:spacing w:line="500" w:lineRule="exact"/>
        <w:ind w:firstLine="409" w:firstLineChars="195"/>
        <w:jc w:val="left"/>
        <w:rPr>
          <w:rFonts w:ascii="宋体" w:hAnsi="宋体" w:cs="宋体"/>
          <w:color w:val="auto"/>
          <w:szCs w:val="21"/>
        </w:rPr>
      </w:pPr>
      <w:r>
        <w:rPr>
          <w:rFonts w:hint="eastAsia" w:ascii="宋体" w:hAnsi="宋体" w:cs="宋体"/>
          <w:color w:val="auto"/>
          <w:szCs w:val="21"/>
        </w:rPr>
        <w:t xml:space="preserve"> 9.1 投标人须知前附表规定组织踏勘现场的，招标人按投标人须知前附表规定的时间、地点组织投标人踏勘项目现场。 </w:t>
      </w:r>
    </w:p>
    <w:p w14:paraId="14CABEC4">
      <w:pPr>
        <w:spacing w:line="500" w:lineRule="exact"/>
        <w:ind w:firstLine="409" w:firstLineChars="195"/>
        <w:jc w:val="left"/>
        <w:rPr>
          <w:rFonts w:ascii="宋体" w:hAnsi="宋体" w:cs="宋体"/>
          <w:color w:val="auto"/>
          <w:szCs w:val="21"/>
        </w:rPr>
      </w:pPr>
      <w:r>
        <w:rPr>
          <w:rFonts w:hint="eastAsia" w:ascii="宋体" w:hAnsi="宋体" w:cs="宋体"/>
          <w:color w:val="auto"/>
          <w:szCs w:val="21"/>
        </w:rPr>
        <w:t>9.2 投标人踏勘现场发生的费用自理。</w:t>
      </w:r>
    </w:p>
    <w:p w14:paraId="109DD9CD">
      <w:pPr>
        <w:spacing w:line="500" w:lineRule="exact"/>
        <w:ind w:firstLine="409" w:firstLineChars="195"/>
        <w:jc w:val="left"/>
        <w:rPr>
          <w:rFonts w:ascii="宋体" w:hAnsi="宋体" w:cs="宋体"/>
          <w:color w:val="auto"/>
          <w:szCs w:val="21"/>
        </w:rPr>
      </w:pPr>
      <w:r>
        <w:rPr>
          <w:rFonts w:hint="eastAsia" w:ascii="宋体" w:hAnsi="宋体" w:cs="宋体"/>
          <w:color w:val="auto"/>
          <w:szCs w:val="21"/>
        </w:rPr>
        <w:t>9.3 除招标人的原因外，投标人自行负责在踏勘现场中所发生的人员伤亡和财产损失。</w:t>
      </w:r>
    </w:p>
    <w:p w14:paraId="6F4DACA0">
      <w:pPr>
        <w:spacing w:line="500" w:lineRule="exact"/>
        <w:ind w:firstLine="409" w:firstLineChars="195"/>
        <w:jc w:val="left"/>
        <w:rPr>
          <w:rFonts w:ascii="宋体" w:hAnsi="宋体" w:cs="宋体"/>
          <w:color w:val="auto"/>
          <w:szCs w:val="21"/>
        </w:rPr>
      </w:pPr>
      <w:r>
        <w:rPr>
          <w:rFonts w:hint="eastAsia" w:ascii="宋体" w:hAnsi="宋体" w:cs="宋体"/>
          <w:color w:val="auto"/>
          <w:szCs w:val="21"/>
        </w:rPr>
        <w:t>9.4 招标人在踏勘现场中介绍的场地和相关的周边环境情况，供投标人在编制投标文件时参考，招标人不对投标人据此作出的判断和决策负责。</w:t>
      </w:r>
      <w:bookmarkStart w:id="42" w:name="_Toc152042316"/>
      <w:bookmarkStart w:id="43" w:name="_Toc296602430"/>
      <w:bookmarkStart w:id="44" w:name="_Toc152045540"/>
      <w:bookmarkStart w:id="45" w:name="_Toc247513963"/>
      <w:bookmarkStart w:id="46" w:name="_Toc247592877"/>
      <w:bookmarkStart w:id="47" w:name="_Toc247527564"/>
      <w:bookmarkStart w:id="48" w:name="_Toc144974508"/>
    </w:p>
    <w:p w14:paraId="630E94F2">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10. 投标预备会</w:t>
      </w:r>
      <w:bookmarkEnd w:id="42"/>
      <w:bookmarkEnd w:id="43"/>
      <w:bookmarkEnd w:id="44"/>
      <w:bookmarkEnd w:id="45"/>
      <w:bookmarkEnd w:id="46"/>
      <w:bookmarkEnd w:id="47"/>
      <w:bookmarkEnd w:id="48"/>
      <w:r>
        <w:rPr>
          <w:rFonts w:hint="eastAsia" w:ascii="宋体" w:hAnsi="宋体" w:cs="宋体"/>
          <w:b/>
          <w:color w:val="auto"/>
          <w:szCs w:val="21"/>
        </w:rPr>
        <w:t>（本项目不采用）</w:t>
      </w:r>
    </w:p>
    <w:p w14:paraId="3E7ACE74">
      <w:pPr>
        <w:spacing w:line="500" w:lineRule="exact"/>
        <w:ind w:firstLine="409" w:firstLineChars="195"/>
        <w:rPr>
          <w:rFonts w:ascii="宋体"/>
          <w:color w:val="auto"/>
          <w:szCs w:val="21"/>
        </w:rPr>
      </w:pPr>
      <w:r>
        <w:rPr>
          <w:rFonts w:hint="eastAsia" w:ascii="宋体"/>
          <w:color w:val="auto"/>
          <w:szCs w:val="21"/>
        </w:rPr>
        <w:t>10.1投标人须知前附表规定召开投标预备会的，招标人按投标人须知前附表规定的时间和地点召开投标预备会，澄清投标人提出的问题。</w:t>
      </w:r>
    </w:p>
    <w:p w14:paraId="65F36A77">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11. 联合投标(本项目不采用）</w:t>
      </w:r>
    </w:p>
    <w:p w14:paraId="1D6F1746">
      <w:pPr>
        <w:spacing w:line="500" w:lineRule="exact"/>
        <w:ind w:firstLine="409" w:firstLineChars="195"/>
        <w:rPr>
          <w:rFonts w:ascii="宋体"/>
          <w:color w:val="auto"/>
          <w:szCs w:val="21"/>
        </w:rPr>
      </w:pPr>
      <w:r>
        <w:rPr>
          <w:rFonts w:hint="eastAsia" w:ascii="宋体" w:hAnsi="宋体" w:cs="宋体"/>
          <w:color w:val="auto"/>
          <w:szCs w:val="21"/>
        </w:rPr>
        <w:t xml:space="preserve">11.1 </w:t>
      </w:r>
      <w:r>
        <w:rPr>
          <w:rFonts w:hint="eastAsia" w:ascii="宋体"/>
          <w:bCs/>
          <w:color w:val="auto"/>
          <w:szCs w:val="21"/>
        </w:rPr>
        <w:t>本项</w:t>
      </w:r>
      <w:r>
        <w:rPr>
          <w:rFonts w:hint="eastAsia"/>
          <w:bCs/>
          <w:color w:val="auto"/>
          <w:szCs w:val="21"/>
        </w:rPr>
        <w:t>目不接受联合体投标。</w:t>
      </w:r>
    </w:p>
    <w:p w14:paraId="22339CE7">
      <w:pPr>
        <w:spacing w:line="500" w:lineRule="exact"/>
        <w:ind w:firstLine="413" w:firstLineChars="196"/>
        <w:jc w:val="left"/>
        <w:rPr>
          <w:rFonts w:ascii="宋体" w:hAnsi="宋体" w:cs="宋体"/>
          <w:b/>
          <w:color w:val="auto"/>
          <w:szCs w:val="21"/>
        </w:rPr>
      </w:pPr>
      <w:r>
        <w:rPr>
          <w:rFonts w:hint="eastAsia" w:ascii="宋体" w:hAnsi="宋体" w:cs="宋体"/>
          <w:b/>
          <w:color w:val="auto"/>
          <w:szCs w:val="21"/>
        </w:rPr>
        <w:t>12.招标代理费</w:t>
      </w:r>
    </w:p>
    <w:p w14:paraId="2F16FCB9">
      <w:pPr>
        <w:spacing w:line="500" w:lineRule="exact"/>
        <w:ind w:firstLine="210" w:firstLineChars="100"/>
        <w:jc w:val="left"/>
        <w:rPr>
          <w:rFonts w:ascii="宋体"/>
          <w:color w:val="auto"/>
          <w:szCs w:val="21"/>
        </w:rPr>
      </w:pPr>
      <w:r>
        <w:rPr>
          <w:rFonts w:hint="eastAsia" w:ascii="宋体"/>
          <w:bCs/>
          <w:color w:val="auto"/>
          <w:szCs w:val="21"/>
        </w:rPr>
        <w:t xml:space="preserve">  12.1</w:t>
      </w:r>
      <w:r>
        <w:rPr>
          <w:rFonts w:ascii="宋体"/>
          <w:bCs/>
          <w:color w:val="auto"/>
          <w:szCs w:val="21"/>
        </w:rPr>
        <w:t xml:space="preserve"> </w:t>
      </w:r>
      <w:r>
        <w:rPr>
          <w:rFonts w:hint="eastAsia" w:ascii="宋体"/>
          <w:bCs/>
          <w:color w:val="auto"/>
          <w:szCs w:val="21"/>
        </w:rPr>
        <w:t>招标代理费：</w:t>
      </w:r>
      <w:r>
        <w:rPr>
          <w:rFonts w:hint="eastAsia" w:ascii="宋体"/>
          <w:color w:val="auto"/>
          <w:szCs w:val="21"/>
        </w:rPr>
        <w:t>见投标人须知前附表。</w:t>
      </w:r>
    </w:p>
    <w:p w14:paraId="7FA2DAC6">
      <w:pPr>
        <w:spacing w:line="500" w:lineRule="exact"/>
        <w:ind w:firstLine="420" w:firstLineChars="200"/>
        <w:jc w:val="left"/>
        <w:rPr>
          <w:rFonts w:ascii="宋体"/>
          <w:color w:val="auto"/>
          <w:szCs w:val="21"/>
        </w:rPr>
      </w:pPr>
      <w:r>
        <w:rPr>
          <w:rFonts w:hint="eastAsia" w:ascii="宋体"/>
          <w:bCs/>
          <w:color w:val="auto"/>
          <w:szCs w:val="21"/>
        </w:rPr>
        <w:t>12.2</w:t>
      </w:r>
      <w:r>
        <w:rPr>
          <w:rFonts w:ascii="宋体"/>
          <w:bCs/>
          <w:color w:val="auto"/>
          <w:szCs w:val="21"/>
        </w:rPr>
        <w:t xml:space="preserve"> </w:t>
      </w:r>
      <w:r>
        <w:rPr>
          <w:rFonts w:hint="eastAsia" w:ascii="宋体"/>
          <w:bCs/>
          <w:color w:val="auto"/>
          <w:szCs w:val="21"/>
        </w:rPr>
        <w:t>专家评审劳务费：</w:t>
      </w:r>
      <w:r>
        <w:rPr>
          <w:rFonts w:hint="eastAsia" w:ascii="宋体"/>
          <w:color w:val="auto"/>
          <w:szCs w:val="21"/>
        </w:rPr>
        <w:t>见投标人须知前附表。</w:t>
      </w:r>
    </w:p>
    <w:p w14:paraId="026F0C25">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13.投标人应注意的事项</w:t>
      </w:r>
    </w:p>
    <w:p w14:paraId="633995C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13.1投标人一旦按规定参加投标，即被认为接受了本招标文件中的所有条件和规定。投标人必须严格按招标文件的要求编制投标文件，以便评委审核。否则，由此产生的一切后果由投标人承担。</w:t>
      </w:r>
    </w:p>
    <w:p w14:paraId="322EE48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13.2投标人对采购内容中规定的技术参数、规格、数量和要求等必须最大限度的满足招标文件的相关要求。</w:t>
      </w:r>
    </w:p>
    <w:p w14:paraId="7EC924C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13.3推荐品牌有助于投标人选择所投产品，仅供参考，并无限制性，可以选择性能不低于推荐品牌的产品，但所投产品的技术参数，要最大限度满足招标文件提供的详细参数。</w:t>
      </w:r>
    </w:p>
    <w:p w14:paraId="5D7A8DD2">
      <w:pPr>
        <w:spacing w:line="500" w:lineRule="exact"/>
        <w:ind w:firstLine="411" w:firstLineChars="196"/>
        <w:jc w:val="left"/>
        <w:rPr>
          <w:rFonts w:ascii="宋体" w:hAnsi="宋体" w:cs="宋体"/>
          <w:color w:val="auto"/>
          <w:szCs w:val="21"/>
        </w:rPr>
      </w:pPr>
      <w:r>
        <w:rPr>
          <w:rFonts w:hint="eastAsia" w:ascii="宋体" w:hAnsi="宋体" w:cs="宋体"/>
          <w:color w:val="auto"/>
          <w:szCs w:val="21"/>
        </w:rPr>
        <w:t>13.4 所有投标人的投标保证金都应在投标文件规定的投标保证金缴纳截止时间前缴纳，以资金到账时间为准</w:t>
      </w:r>
      <w:r>
        <w:rPr>
          <w:rFonts w:hint="eastAsia" w:ascii="宋体" w:hAnsi="宋体" w:cs="宋体"/>
          <w:b/>
          <w:color w:val="auto"/>
          <w:szCs w:val="21"/>
        </w:rPr>
        <w:t>（采用支票、汇票、本票、保函等的，以支票、汇票、本票、保函等递交的时间为准）</w:t>
      </w:r>
      <w:r>
        <w:rPr>
          <w:rFonts w:hint="eastAsia" w:ascii="宋体" w:hAnsi="宋体" w:cs="宋体"/>
          <w:color w:val="auto"/>
          <w:szCs w:val="21"/>
        </w:rPr>
        <w:t>。</w:t>
      </w:r>
    </w:p>
    <w:p w14:paraId="14CC601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13.5</w:t>
      </w:r>
      <w:r>
        <w:rPr>
          <w:rFonts w:hint="eastAsia" w:ascii="宋体" w:hAnsi="宋体" w:cs="宋体"/>
          <w:bCs/>
          <w:color w:val="auto"/>
          <w:szCs w:val="21"/>
        </w:rPr>
        <w:t>单位负责人为同一人或者存在直接控股、管理关系的不同投标人，不得参加同一合同项下的采购活动。</w:t>
      </w:r>
      <w:r>
        <w:rPr>
          <w:rFonts w:hint="eastAsia" w:ascii="宋体" w:hAnsi="宋体" w:cs="宋体"/>
          <w:color w:val="auto"/>
          <w:szCs w:val="21"/>
        </w:rPr>
        <w:t>为采购项目提供整体设计、规范编制或者项目管理、监理、检测等服务的投标人，不得再参加该采购项目的其他采购活动。</w:t>
      </w:r>
    </w:p>
    <w:p w14:paraId="3DB6AC0F">
      <w:pPr>
        <w:spacing w:line="500" w:lineRule="exact"/>
        <w:ind w:firstLine="417" w:firstLineChars="199"/>
        <w:jc w:val="left"/>
        <w:rPr>
          <w:rFonts w:ascii="宋体" w:hAnsi="宋体" w:cs="宋体"/>
          <w:color w:val="auto"/>
          <w:szCs w:val="21"/>
        </w:rPr>
      </w:pPr>
      <w:r>
        <w:rPr>
          <w:rFonts w:hint="eastAsia" w:ascii="宋体" w:hAnsi="宋体" w:cs="宋体"/>
          <w:color w:val="auto"/>
          <w:szCs w:val="21"/>
        </w:rPr>
        <w:t>13.6投标人被视为充分熟悉本招标项目所在地的与履行合同有关的各种情况，包括但不限于：</w:t>
      </w:r>
    </w:p>
    <w:p w14:paraId="5F0638E9">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（1）国家对本次投标货物和服务的生产、安装调试、验收、维修等有关法律、法规及行业管理标准；</w:t>
      </w:r>
    </w:p>
    <w:p w14:paraId="54455928">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（2）安徽省及滁州市等有关管理部门的相关规定；</w:t>
      </w:r>
    </w:p>
    <w:p w14:paraId="261C232D">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（3）招标人的相关场地情况、基础建设、电力供应情况及相关设计标准。</w:t>
      </w:r>
    </w:p>
    <w:p w14:paraId="174A70ED">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本招标文件不再对上述情况进行描述。</w:t>
      </w:r>
    </w:p>
    <w:p w14:paraId="244FB60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13.7凡投标人在我市公共资源交易活动中出现违法违规、破坏市场秩序等不良行为且被监管部门处罚的，一律在滁州市公共资源交易网等相关网站曝光。</w:t>
      </w:r>
    </w:p>
    <w:p w14:paraId="11122E9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13.8投标人的不良行为、失信行为及行政处罚等效力不因企业名称的变更而改变。</w:t>
      </w:r>
    </w:p>
    <w:p w14:paraId="527572F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13.9中标候选人无正当理由放弃中标候选人资格的，其保证金将不予退还，并被记不良信息记录。</w:t>
      </w:r>
    </w:p>
    <w:p w14:paraId="2D596CCF">
      <w:pPr>
        <w:pStyle w:val="12"/>
        <w:spacing w:after="0" w:line="500" w:lineRule="exact"/>
        <w:ind w:left="0" w:leftChars="0"/>
        <w:jc w:val="left"/>
        <w:rPr>
          <w:rFonts w:ascii="宋体" w:hAnsi="宋体" w:cs="宋体"/>
          <w:color w:val="auto"/>
          <w:sz w:val="21"/>
          <w:szCs w:val="21"/>
        </w:rPr>
      </w:pPr>
      <w:r>
        <w:rPr>
          <w:rFonts w:hint="eastAsia" w:ascii="宋体" w:hAnsi="宋体" w:cs="宋体"/>
          <w:color w:val="auto"/>
          <w:sz w:val="21"/>
          <w:szCs w:val="21"/>
        </w:rPr>
        <w:t>13.10若存在不予退还投标人投标保证金的情形，银行转账的，由市公共资源交易中心代为收缴，递交保函、支票、汇票、本票的，由招标人予以追缴。</w:t>
      </w:r>
    </w:p>
    <w:p w14:paraId="6BFFABED">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14.保密</w:t>
      </w:r>
    </w:p>
    <w:p w14:paraId="2A271EAC">
      <w:pPr>
        <w:pStyle w:val="12"/>
        <w:spacing w:after="0" w:line="500" w:lineRule="exact"/>
        <w:ind w:left="0" w:leftChars="0"/>
        <w:jc w:val="left"/>
        <w:rPr>
          <w:rFonts w:ascii="宋体" w:hAnsi="宋体" w:cs="宋体"/>
          <w:color w:val="auto"/>
          <w:sz w:val="21"/>
          <w:szCs w:val="21"/>
        </w:rPr>
      </w:pPr>
      <w:r>
        <w:rPr>
          <w:rFonts w:hint="eastAsia" w:ascii="宋体" w:hAnsi="宋体" w:cs="宋体"/>
          <w:color w:val="auto"/>
          <w:sz w:val="21"/>
          <w:szCs w:val="21"/>
        </w:rPr>
        <w:t xml:space="preserve">参与招标投标活动的各方应对招标文件和投标文件中的商业和技术等秘密保密，违者应对由此造成的后果承担法律责任。 </w:t>
      </w:r>
    </w:p>
    <w:p w14:paraId="3656C44F">
      <w:pPr>
        <w:spacing w:beforeLines="50" w:afterLines="50" w:line="500" w:lineRule="exact"/>
        <w:jc w:val="center"/>
        <w:rPr>
          <w:rFonts w:ascii="宋体" w:hAnsi="宋体" w:cs="宋体"/>
          <w:b/>
          <w:color w:val="auto"/>
          <w:sz w:val="28"/>
          <w:szCs w:val="28"/>
        </w:rPr>
      </w:pPr>
      <w:bookmarkStart w:id="49" w:name="_Toc449028868"/>
      <w:r>
        <w:rPr>
          <w:rFonts w:hint="eastAsia" w:ascii="宋体" w:hAnsi="宋体" w:cs="宋体"/>
          <w:b/>
          <w:color w:val="auto"/>
          <w:sz w:val="28"/>
          <w:szCs w:val="28"/>
        </w:rPr>
        <w:t>（二）</w:t>
      </w:r>
      <w:bookmarkEnd w:id="49"/>
      <w:r>
        <w:rPr>
          <w:rFonts w:hint="eastAsia" w:ascii="宋体" w:hAnsi="宋体" w:cs="宋体"/>
          <w:b/>
          <w:color w:val="auto"/>
          <w:sz w:val="28"/>
          <w:szCs w:val="28"/>
        </w:rPr>
        <w:t>招标文件</w:t>
      </w:r>
    </w:p>
    <w:p w14:paraId="155C7E16">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15. 招标文件的编制依据</w:t>
      </w:r>
    </w:p>
    <w:p w14:paraId="53F2C54C">
      <w:pPr>
        <w:spacing w:line="500" w:lineRule="exact"/>
        <w:ind w:firstLine="420" w:firstLineChars="200"/>
        <w:rPr>
          <w:rFonts w:ascii="宋体"/>
          <w:color w:val="auto"/>
          <w:szCs w:val="21"/>
        </w:rPr>
      </w:pPr>
      <w:r>
        <w:rPr>
          <w:rFonts w:hint="eastAsia" w:ascii="宋体"/>
          <w:color w:val="auto"/>
          <w:szCs w:val="21"/>
        </w:rPr>
        <w:t>根据</w:t>
      </w:r>
      <w:r>
        <w:rPr>
          <w:rFonts w:hint="eastAsia"/>
          <w:color w:val="auto"/>
        </w:rPr>
        <w:t>《中华人民共和国招标投标法》、《中华人民共和国招标投标法实施条例》</w:t>
      </w:r>
      <w:r>
        <w:rPr>
          <w:rFonts w:hint="eastAsia" w:ascii="宋体"/>
          <w:color w:val="auto"/>
          <w:szCs w:val="21"/>
        </w:rPr>
        <w:t>和</w:t>
      </w:r>
      <w:r>
        <w:rPr>
          <w:rFonts w:hint="eastAsia"/>
          <w:color w:val="auto"/>
        </w:rPr>
        <w:t>《中华人民共和国民法典》</w:t>
      </w:r>
      <w:r>
        <w:rPr>
          <w:rFonts w:hint="eastAsia" w:ascii="宋体"/>
          <w:color w:val="auto"/>
          <w:spacing w:val="-2"/>
          <w:szCs w:val="21"/>
        </w:rPr>
        <w:t>等相关法律法规和规章及部、省、市级规范性文件的规定，编制本招标文件。</w:t>
      </w:r>
    </w:p>
    <w:p w14:paraId="24DA610A">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16. 招标文件的组成</w:t>
      </w:r>
    </w:p>
    <w:p w14:paraId="679E8FA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16.1 招标文件包括内容：</w:t>
      </w:r>
    </w:p>
    <w:p w14:paraId="7FEDDABC">
      <w:pPr>
        <w:spacing w:line="500" w:lineRule="exact"/>
        <w:ind w:firstLine="1470" w:firstLineChars="700"/>
        <w:jc w:val="left"/>
        <w:rPr>
          <w:rFonts w:ascii="宋体" w:hAnsi="宋体" w:cs="宋体"/>
          <w:color w:val="auto"/>
          <w:szCs w:val="21"/>
        </w:rPr>
      </w:pPr>
      <w:r>
        <w:rPr>
          <w:rFonts w:hint="eastAsia" w:ascii="宋体" w:hAnsi="宋体" w:cs="宋体"/>
          <w:color w:val="auto"/>
          <w:szCs w:val="21"/>
        </w:rPr>
        <w:t>第一章  招标公告</w:t>
      </w:r>
    </w:p>
    <w:p w14:paraId="0A172FD2">
      <w:pPr>
        <w:spacing w:line="500" w:lineRule="exact"/>
        <w:ind w:firstLine="1470" w:firstLineChars="700"/>
        <w:jc w:val="left"/>
        <w:rPr>
          <w:rFonts w:ascii="宋体" w:hAnsi="宋体" w:cs="宋体"/>
          <w:color w:val="auto"/>
          <w:szCs w:val="21"/>
        </w:rPr>
      </w:pPr>
      <w:r>
        <w:rPr>
          <w:rFonts w:hint="eastAsia" w:ascii="宋体" w:hAnsi="宋体" w:cs="宋体"/>
          <w:color w:val="auto"/>
          <w:szCs w:val="21"/>
        </w:rPr>
        <w:t>第二章  投标人须知</w:t>
      </w:r>
    </w:p>
    <w:p w14:paraId="173AFCCE">
      <w:pPr>
        <w:spacing w:line="500" w:lineRule="exact"/>
        <w:ind w:firstLine="1470" w:firstLineChars="700"/>
        <w:jc w:val="left"/>
        <w:rPr>
          <w:rFonts w:ascii="宋体" w:hAnsi="宋体" w:cs="宋体"/>
          <w:color w:val="auto"/>
          <w:szCs w:val="21"/>
        </w:rPr>
      </w:pPr>
      <w:r>
        <w:rPr>
          <w:rFonts w:hint="eastAsia" w:ascii="宋体" w:hAnsi="宋体" w:cs="宋体"/>
          <w:color w:val="auto"/>
          <w:szCs w:val="21"/>
        </w:rPr>
        <w:t>第三章  评标办法</w:t>
      </w:r>
    </w:p>
    <w:p w14:paraId="639A3735">
      <w:pPr>
        <w:spacing w:line="500" w:lineRule="exact"/>
        <w:ind w:firstLine="1470" w:firstLineChars="700"/>
        <w:jc w:val="left"/>
        <w:rPr>
          <w:rFonts w:ascii="宋体" w:hAnsi="宋体" w:cs="宋体"/>
          <w:color w:val="auto"/>
          <w:szCs w:val="21"/>
        </w:rPr>
      </w:pPr>
      <w:r>
        <w:rPr>
          <w:rFonts w:hint="eastAsia" w:ascii="宋体" w:hAnsi="宋体" w:cs="宋体"/>
          <w:color w:val="auto"/>
          <w:szCs w:val="21"/>
        </w:rPr>
        <w:t>第四章  采购内容与技术要求</w:t>
      </w:r>
    </w:p>
    <w:p w14:paraId="4FBCDDB3">
      <w:pPr>
        <w:spacing w:line="500" w:lineRule="exact"/>
        <w:ind w:firstLine="1470" w:firstLineChars="700"/>
        <w:jc w:val="left"/>
        <w:rPr>
          <w:rFonts w:ascii="宋体" w:hAnsi="宋体" w:cs="宋体"/>
          <w:color w:val="auto"/>
          <w:szCs w:val="21"/>
        </w:rPr>
      </w:pPr>
      <w:r>
        <w:rPr>
          <w:rFonts w:hint="eastAsia" w:ascii="宋体" w:hAnsi="宋体" w:cs="宋体"/>
          <w:color w:val="auto"/>
          <w:szCs w:val="21"/>
        </w:rPr>
        <w:t>第五章  合同条款及格式</w:t>
      </w:r>
    </w:p>
    <w:p w14:paraId="12A43E14">
      <w:pPr>
        <w:spacing w:line="500" w:lineRule="exact"/>
        <w:ind w:firstLine="1470" w:firstLineChars="700"/>
        <w:jc w:val="left"/>
        <w:rPr>
          <w:rFonts w:ascii="宋体" w:hAnsi="宋体" w:cs="宋体"/>
          <w:color w:val="auto"/>
          <w:szCs w:val="21"/>
        </w:rPr>
      </w:pPr>
      <w:r>
        <w:rPr>
          <w:rFonts w:hint="eastAsia" w:ascii="宋体" w:hAnsi="宋体" w:cs="宋体"/>
          <w:color w:val="auto"/>
          <w:szCs w:val="21"/>
        </w:rPr>
        <w:t>第六章  投标文件格式</w:t>
      </w:r>
    </w:p>
    <w:p w14:paraId="5F79B2CD">
      <w:pPr>
        <w:spacing w:line="500" w:lineRule="exact"/>
        <w:jc w:val="left"/>
        <w:rPr>
          <w:rFonts w:ascii="宋体" w:hAnsi="宋体" w:cs="宋体"/>
          <w:color w:val="auto"/>
          <w:szCs w:val="21"/>
        </w:rPr>
      </w:pPr>
      <w:r>
        <w:rPr>
          <w:rFonts w:hint="eastAsia" w:ascii="宋体" w:hAnsi="宋体" w:cs="宋体"/>
          <w:color w:val="auto"/>
          <w:szCs w:val="21"/>
        </w:rPr>
        <w:t xml:space="preserve">   16.2 除16.1款内容外，招标答疑亦为招标文件的组成部分，对招标人和投标人起约束作用。</w:t>
      </w:r>
    </w:p>
    <w:p w14:paraId="55A069BF">
      <w:pPr>
        <w:spacing w:line="500" w:lineRule="exact"/>
        <w:jc w:val="left"/>
        <w:rPr>
          <w:rFonts w:ascii="宋体" w:hAnsi="宋体" w:cs="宋体"/>
          <w:color w:val="auto"/>
          <w:szCs w:val="21"/>
        </w:rPr>
      </w:pPr>
      <w:r>
        <w:rPr>
          <w:rFonts w:hint="eastAsia" w:ascii="宋体" w:hAnsi="宋体" w:cs="宋体"/>
          <w:color w:val="auto"/>
          <w:szCs w:val="21"/>
        </w:rPr>
        <w:t xml:space="preserve">   16.3投标人应仔细阅读和检查招标文件的全部内容。如发现缺页或附件不全，应及时向招标人提出，以便补齐。</w:t>
      </w:r>
    </w:p>
    <w:p w14:paraId="174F59D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16.4 投标人可以通过电子交易系统对招标文件提出澄清（质疑）。招标文件的澄清将在滁州市公共资源交易中心（</w:t>
      </w:r>
      <w:r>
        <w:rPr>
          <w:color w:val="auto"/>
        </w:rPr>
        <w:fldChar w:fldCharType="begin"/>
      </w:r>
      <w:r>
        <w:rPr>
          <w:color w:val="auto"/>
        </w:rPr>
        <w:instrText xml:space="preserve"> HYPERLINK "qq://txfile/" </w:instrText>
      </w:r>
      <w:r>
        <w:rPr>
          <w:color w:val="auto"/>
        </w:rPr>
        <w:fldChar w:fldCharType="separate"/>
      </w:r>
      <w:r>
        <w:rPr>
          <w:rFonts w:hint="eastAsia" w:ascii="宋体" w:hAnsi="宋体" w:cs="宋体"/>
          <w:color w:val="auto"/>
          <w:szCs w:val="21"/>
        </w:rPr>
        <w:t>http:// ggzy.chuzhou.gov.cn/</w:t>
      </w:r>
      <w:r>
        <w:rPr>
          <w:rFonts w:hint="eastAsia" w:ascii="宋体" w:hAnsi="宋体" w:cs="宋体"/>
          <w:color w:val="auto"/>
          <w:szCs w:val="21"/>
        </w:rPr>
        <w:fldChar w:fldCharType="end"/>
      </w:r>
      <w:r>
        <w:rPr>
          <w:rFonts w:hint="eastAsia" w:ascii="宋体" w:hAnsi="宋体" w:cs="宋体"/>
          <w:color w:val="auto"/>
          <w:szCs w:val="21"/>
        </w:rPr>
        <w:t>）发布，但不指明澄清问题的来源。如果澄清内容影响投标文件编制的，将相应延长投标截止时间。</w:t>
      </w:r>
    </w:p>
    <w:p w14:paraId="14F77E92">
      <w:pPr>
        <w:spacing w:line="500" w:lineRule="exact"/>
        <w:ind w:firstLine="422" w:firstLineChars="200"/>
        <w:jc w:val="left"/>
        <w:rPr>
          <w:rFonts w:ascii="宋体" w:hAnsi="宋体" w:cs="宋体"/>
          <w:b/>
          <w:bCs/>
          <w:color w:val="auto"/>
          <w:szCs w:val="21"/>
        </w:rPr>
      </w:pPr>
      <w:r>
        <w:rPr>
          <w:rFonts w:hint="eastAsia" w:ascii="宋体" w:hAnsi="宋体" w:cs="宋体"/>
          <w:b/>
          <w:bCs/>
          <w:color w:val="auto"/>
          <w:szCs w:val="21"/>
        </w:rPr>
        <w:t>17. 招标文件的异议、澄清</w:t>
      </w:r>
    </w:p>
    <w:p w14:paraId="009A871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17.1 投标人或其他利害关系人投标人应仔细阅读和检查招标文件的全部内容，对招标文件有异议的，应在投标截止时间10日前以投标人须知前附表规定的网上留言或书面形式提出。招标人将在收到异议之日起3日内作出答复；作出答复前，将暂停招标投标活动。</w:t>
      </w:r>
    </w:p>
    <w:p w14:paraId="1D6BA4F3">
      <w:pPr>
        <w:spacing w:line="500" w:lineRule="exact"/>
        <w:ind w:firstLine="420" w:firstLineChars="200"/>
        <w:jc w:val="left"/>
        <w:rPr>
          <w:rFonts w:ascii="宋体" w:hAnsi="宋体" w:cs="宋体"/>
          <w:bCs/>
          <w:color w:val="auto"/>
          <w:szCs w:val="21"/>
        </w:rPr>
      </w:pPr>
      <w:r>
        <w:rPr>
          <w:rFonts w:hint="eastAsia" w:ascii="宋体" w:hAnsi="宋体" w:cs="宋体"/>
          <w:bCs/>
          <w:color w:val="auto"/>
          <w:szCs w:val="21"/>
        </w:rPr>
        <w:t>17.2 招标人可以澄清招标文件，并以投标人须知前附表规定澄清的方式在滁州市公共资源交易中心网站发布。但如果修改招标文件的时间距投标截止时间不足15天，并且修改内容影响投标文件编制的，将相应延长投标截止时间。</w:t>
      </w:r>
    </w:p>
    <w:p w14:paraId="4D2C5C44">
      <w:pPr>
        <w:spacing w:line="500" w:lineRule="exact"/>
        <w:ind w:firstLine="420" w:firstLineChars="200"/>
        <w:jc w:val="left"/>
        <w:rPr>
          <w:rFonts w:ascii="宋体" w:hAnsi="宋体" w:cs="宋体"/>
          <w:bCs/>
          <w:color w:val="auto"/>
          <w:szCs w:val="21"/>
        </w:rPr>
      </w:pPr>
      <w:r>
        <w:rPr>
          <w:rFonts w:hint="eastAsia" w:ascii="宋体" w:hAnsi="宋体" w:cs="宋体"/>
          <w:bCs/>
          <w:color w:val="auto"/>
          <w:szCs w:val="21"/>
        </w:rPr>
        <w:t>17.3招标文件的解释</w:t>
      </w:r>
    </w:p>
    <w:p w14:paraId="213C1D9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（1）构成本招标文件的各个组成文件应互为解释，互为说明；</w:t>
      </w:r>
    </w:p>
    <w:p w14:paraId="65A88C1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（2）同一组成文件中就同一事项的规定或约定不一致的，以编排顺序在后者为准；</w:t>
      </w:r>
    </w:p>
    <w:p w14:paraId="21B8606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（3）如有不明确或不一致，构成合同文件组成内容的，以合同文件约定内容为准，且以专用合同条款约定的合同文件优先顺序解释；</w:t>
      </w:r>
    </w:p>
    <w:p w14:paraId="7415148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（4）系统中提供的表格（或格式文件）与招标文件中不一致时，以招标文件中提供的为准；</w:t>
      </w:r>
    </w:p>
    <w:p w14:paraId="6C8B3CE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（5）按本款前述规定仍不能形成结论的，由招标人（或其委托的采购代理机构）负责解释。</w:t>
      </w:r>
    </w:p>
    <w:p w14:paraId="6241D4B1">
      <w:pPr>
        <w:spacing w:line="500" w:lineRule="exact"/>
        <w:jc w:val="left"/>
        <w:rPr>
          <w:rFonts w:ascii="宋体" w:hAnsi="宋体" w:cs="宋体"/>
          <w:b/>
          <w:color w:val="auto"/>
          <w:szCs w:val="21"/>
        </w:rPr>
      </w:pPr>
      <w:r>
        <w:rPr>
          <w:rFonts w:hint="eastAsia" w:ascii="宋体" w:hAnsi="宋体" w:cs="宋体"/>
          <w:b/>
          <w:color w:val="auto"/>
          <w:szCs w:val="21"/>
        </w:rPr>
        <w:t xml:space="preserve">    18. 招标文件的发出</w:t>
      </w:r>
    </w:p>
    <w:p w14:paraId="63A0A2D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18.1招标文件、招标文件的澄清、修改、补充及招标答疑等均应报公共资源交易监督管理机构备案后，方可发出。</w:t>
      </w:r>
    </w:p>
    <w:p w14:paraId="417F7AC4">
      <w:pPr>
        <w:spacing w:line="500" w:lineRule="exact"/>
        <w:ind w:left="-420" w:leftChars="-200" w:right="-420" w:rightChars="-200" w:firstLine="843" w:firstLineChars="400"/>
        <w:rPr>
          <w:rFonts w:ascii="宋体" w:hAnsi="宋体" w:cs="宋体"/>
          <w:b/>
          <w:bCs/>
          <w:color w:val="auto"/>
          <w:szCs w:val="21"/>
        </w:rPr>
      </w:pPr>
      <w:bookmarkStart w:id="50" w:name="_Toc449028869"/>
      <w:r>
        <w:rPr>
          <w:rFonts w:hint="eastAsia" w:ascii="宋体" w:hAnsi="宋体" w:cs="宋体"/>
          <w:b/>
          <w:bCs/>
          <w:color w:val="auto"/>
          <w:szCs w:val="21"/>
        </w:rPr>
        <w:t>19. 样品（本项目不采用）</w:t>
      </w:r>
    </w:p>
    <w:p w14:paraId="70941E9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19.1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招标人或代理机构发布中标（成交）结果公告。</w:t>
      </w:r>
    </w:p>
    <w:p w14:paraId="1D6181D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19.2招标文件中应明确样品送检方式、检测费用支付方法、投标人在规定时间内无法提供第三方权威检测机构检测报告的处理方式。</w:t>
      </w:r>
    </w:p>
    <w:p w14:paraId="2A0452B0">
      <w:pPr>
        <w:spacing w:beforeLines="50" w:afterLines="50" w:line="500" w:lineRule="exact"/>
        <w:jc w:val="center"/>
        <w:rPr>
          <w:rFonts w:ascii="宋体" w:hAnsi="宋体" w:cs="宋体"/>
          <w:b/>
          <w:color w:val="auto"/>
          <w:sz w:val="28"/>
          <w:szCs w:val="28"/>
        </w:rPr>
      </w:pPr>
      <w:r>
        <w:rPr>
          <w:rFonts w:hint="eastAsia" w:ascii="宋体" w:hAnsi="宋体" w:cs="宋体"/>
          <w:b/>
          <w:color w:val="auto"/>
          <w:sz w:val="28"/>
          <w:szCs w:val="28"/>
        </w:rPr>
        <w:t>（三）投标文件的编制</w:t>
      </w:r>
      <w:bookmarkEnd w:id="50"/>
    </w:p>
    <w:p w14:paraId="63BF7AA2">
      <w:pPr>
        <w:spacing w:line="500" w:lineRule="exact"/>
        <w:ind w:firstLine="306" w:firstLineChars="145"/>
        <w:jc w:val="left"/>
        <w:rPr>
          <w:rFonts w:ascii="宋体" w:hAnsi="宋体" w:cs="宋体"/>
          <w:b/>
          <w:color w:val="auto"/>
          <w:szCs w:val="21"/>
        </w:rPr>
      </w:pPr>
      <w:r>
        <w:rPr>
          <w:rFonts w:hint="eastAsia" w:ascii="宋体" w:hAnsi="宋体" w:cs="宋体"/>
          <w:b/>
          <w:color w:val="auto"/>
          <w:szCs w:val="21"/>
        </w:rPr>
        <w:t>20. 投标的语言及度量衡单位</w:t>
      </w:r>
    </w:p>
    <w:p w14:paraId="704B6175">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20.1投标人的投标文件、以及投标人与招标人就投标的所有往来函电，均须使用简体中文。</w:t>
      </w:r>
    </w:p>
    <w:p w14:paraId="3DDFA0F7">
      <w:pPr>
        <w:spacing w:line="500" w:lineRule="exact"/>
        <w:ind w:firstLine="210" w:firstLineChars="100"/>
        <w:jc w:val="left"/>
        <w:rPr>
          <w:rFonts w:ascii="宋体" w:hAnsi="宋体" w:cs="宋体"/>
          <w:color w:val="auto"/>
          <w:szCs w:val="21"/>
        </w:rPr>
      </w:pPr>
      <w:r>
        <w:rPr>
          <w:rFonts w:hint="eastAsia" w:ascii="宋体" w:hAnsi="宋体" w:cs="宋体"/>
          <w:color w:val="auto"/>
          <w:szCs w:val="21"/>
        </w:rPr>
        <w:t>20.2除招标文件中另有规定外，投标文件所使用的度量衡均须采用法定计量单位。</w:t>
      </w:r>
    </w:p>
    <w:p w14:paraId="12A5CA2E">
      <w:pPr>
        <w:spacing w:line="500" w:lineRule="exact"/>
        <w:ind w:firstLine="211" w:firstLineChars="100"/>
        <w:jc w:val="left"/>
        <w:rPr>
          <w:rFonts w:ascii="宋体" w:hAnsi="宋体" w:cs="宋体"/>
          <w:b/>
          <w:color w:val="auto"/>
          <w:szCs w:val="21"/>
        </w:rPr>
      </w:pPr>
      <w:r>
        <w:rPr>
          <w:rFonts w:hint="eastAsia" w:ascii="宋体" w:hAnsi="宋体" w:cs="宋体"/>
          <w:b/>
          <w:color w:val="auto"/>
          <w:szCs w:val="21"/>
        </w:rPr>
        <w:t>21. 投标文件的组成、上传说明</w:t>
      </w:r>
    </w:p>
    <w:p w14:paraId="753CBD84">
      <w:pPr>
        <w:spacing w:line="500" w:lineRule="exact"/>
        <w:ind w:firstLine="211" w:firstLineChars="100"/>
        <w:jc w:val="left"/>
        <w:rPr>
          <w:rFonts w:ascii="宋体" w:hAnsi="宋体" w:cs="宋体"/>
          <w:color w:val="auto"/>
          <w:szCs w:val="21"/>
        </w:rPr>
      </w:pPr>
      <w:r>
        <w:rPr>
          <w:rFonts w:hint="eastAsia" w:ascii="宋体" w:hAnsi="宋体" w:cs="宋体"/>
          <w:b/>
          <w:color w:val="auto"/>
          <w:szCs w:val="21"/>
        </w:rPr>
        <w:t>21.1投标文件的组成</w:t>
      </w:r>
    </w:p>
    <w:p w14:paraId="4BE3A89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投标文件由投标文件一（资信证明文件）、投标文件二（技术标）和投标文件三（商务标）三部分组成。</w:t>
      </w:r>
      <w:r>
        <w:rPr>
          <w:rFonts w:hint="eastAsia" w:ascii="宋体" w:hAnsi="宋体" w:cs="宋体"/>
          <w:b/>
          <w:bCs/>
          <w:color w:val="auto"/>
          <w:szCs w:val="21"/>
        </w:rPr>
        <w:t>具体内容详见第六章投标文件格式内容。</w:t>
      </w:r>
    </w:p>
    <w:p w14:paraId="17EB096A">
      <w:pPr>
        <w:spacing w:line="500" w:lineRule="exact"/>
        <w:ind w:firstLine="211" w:firstLineChars="100"/>
        <w:jc w:val="left"/>
        <w:rPr>
          <w:rFonts w:ascii="宋体" w:hAnsi="宋体" w:cs="宋体"/>
          <w:b/>
          <w:color w:val="auto"/>
          <w:szCs w:val="21"/>
        </w:rPr>
      </w:pPr>
      <w:r>
        <w:rPr>
          <w:rFonts w:hint="eastAsia" w:ascii="宋体" w:hAnsi="宋体" w:cs="宋体"/>
          <w:b/>
          <w:color w:val="auto"/>
          <w:szCs w:val="21"/>
        </w:rPr>
        <w:t>21.2投标文件的上传</w:t>
      </w:r>
    </w:p>
    <w:p w14:paraId="50E6BA9F">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1）投标人在滁州市公共资源交易中心网，利用用户名或CA数字证书登录下载招标文件(.czzf格式)后，在下载投标文件制作工具安装后，在线制作投标文件，制作好的投标文件格式有2种:第一种.cztf格式加密投标文件；第二种.ncztf格式是非加密投标文件。请投标人将第一种投标文件通过系统“上传投标文件”上传到系统中。</w:t>
      </w:r>
    </w:p>
    <w:p w14:paraId="165E694D">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（2）如果一个项目有多个标段，则需按标段下载对应标段招标文件分别生成对应的投标文件，通过系统“上传投标文件”按标段分别上传到系统中。</w:t>
      </w:r>
    </w:p>
    <w:p w14:paraId="530AECA2">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（3）请投标人通过系统下载投标工具制作投标文件，并利用CA数字证书进行上传投标文件，上传已加密的投标文件，务必通过此方式上传投标文件。</w:t>
      </w:r>
    </w:p>
    <w:p w14:paraId="6B6F354F">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（4）投标人在投标文件编制、签章、上传过程中如有任何操作的疑问请及时联系技术支持，电话：0550-3801701。</w:t>
      </w:r>
    </w:p>
    <w:p w14:paraId="29AA8221">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5）如果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5FD27C66">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21.3投标文件的编制</w:t>
      </w:r>
    </w:p>
    <w:p w14:paraId="6B9AB68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（1）投标文件应按第六章“投标文件格式”进行编写，如有必要，可以增加附页，作为投标文件的组成部分。</w:t>
      </w:r>
    </w:p>
    <w:p w14:paraId="0CC864B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（2）本次招标投标不需要提供纸质投标文件，投标人应按照电子招标投标的要求，在投标人的会员系统中制作、电子签章、上传投标文件。</w:t>
      </w:r>
    </w:p>
    <w:p w14:paraId="0DD215E8">
      <w:pPr>
        <w:spacing w:line="500" w:lineRule="exact"/>
        <w:ind w:left="-9" w:right="-199" w:rightChars="-95" w:firstLine="420" w:firstLineChars="200"/>
        <w:jc w:val="left"/>
        <w:rPr>
          <w:rFonts w:ascii="宋体" w:hAnsi="宋体" w:cs="宋体"/>
          <w:color w:val="auto"/>
          <w:szCs w:val="21"/>
        </w:rPr>
      </w:pPr>
      <w:r>
        <w:rPr>
          <w:rFonts w:hint="eastAsia" w:ascii="宋体" w:hAnsi="宋体" w:cs="宋体"/>
          <w:color w:val="auto"/>
          <w:szCs w:val="21"/>
        </w:rPr>
        <w:t>（3）网上递交的电子投标文件制作工具等要求详见系统内帮助模块。</w:t>
      </w:r>
    </w:p>
    <w:p w14:paraId="03EC4914">
      <w:pPr>
        <w:spacing w:line="500" w:lineRule="exact"/>
        <w:ind w:firstLine="424" w:firstLineChars="202"/>
        <w:jc w:val="left"/>
        <w:rPr>
          <w:rFonts w:ascii="宋体" w:hAnsi="宋体" w:cs="宋体"/>
          <w:color w:val="auto"/>
          <w:szCs w:val="21"/>
        </w:rPr>
      </w:pPr>
      <w:r>
        <w:rPr>
          <w:rFonts w:hint="eastAsia" w:ascii="宋体" w:hAnsi="宋体" w:cs="宋体"/>
          <w:color w:val="auto"/>
          <w:szCs w:val="21"/>
        </w:rPr>
        <w:t>（4）网上递交的电子投标文件应按招标文件规定的格式由投标人的法定代表人和投标人分别签章。</w:t>
      </w:r>
    </w:p>
    <w:p w14:paraId="3968D149">
      <w:pPr>
        <w:spacing w:line="500" w:lineRule="exact"/>
        <w:ind w:firstLine="422" w:firstLineChars="200"/>
        <w:jc w:val="left"/>
        <w:rPr>
          <w:rFonts w:ascii="宋体" w:hAnsi="宋体" w:cs="宋体"/>
          <w:color w:val="auto"/>
          <w:szCs w:val="21"/>
        </w:rPr>
      </w:pPr>
      <w:r>
        <w:rPr>
          <w:rFonts w:hint="eastAsia" w:ascii="宋体" w:hAnsi="宋体" w:cs="宋体"/>
          <w:b/>
          <w:color w:val="auto"/>
          <w:szCs w:val="21"/>
        </w:rPr>
        <w:t>22</w:t>
      </w:r>
      <w:r>
        <w:rPr>
          <w:rFonts w:hint="eastAsia" w:ascii="宋体" w:hAnsi="宋体" w:cs="宋体"/>
          <w:color w:val="auto"/>
          <w:szCs w:val="21"/>
        </w:rPr>
        <w:t>.</w:t>
      </w:r>
      <w:r>
        <w:rPr>
          <w:rFonts w:hint="eastAsia" w:ascii="宋体" w:hAnsi="宋体" w:cs="宋体"/>
          <w:b/>
          <w:color w:val="auto"/>
          <w:szCs w:val="21"/>
        </w:rPr>
        <w:t>投标报价</w:t>
      </w:r>
    </w:p>
    <w:p w14:paraId="34F7BAD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22.1投标报价文件中的单价和总价全部采用人民币表示。投标人的报价应含有服务（货物）、利润、税金、政策性文件规定及合同包含的所有风险、责任、义务等，即为完成招标文件要求的服务（货物）内容所包含的一切应有费用，招标人后期不再追加费用，投标供应商自行考虑投标风险。</w:t>
      </w:r>
    </w:p>
    <w:p w14:paraId="46A9485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22.2投标报价表上应清楚地标明投标人拟提供货物的名称、型号、生产厂家、数量、单价和总价。</w:t>
      </w:r>
    </w:p>
    <w:p w14:paraId="1F7B504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22.3投标人只允许有一个方案、一个报价。</w:t>
      </w:r>
    </w:p>
    <w:p w14:paraId="140A9BA9">
      <w:pPr>
        <w:spacing w:line="500" w:lineRule="exact"/>
        <w:ind w:firstLine="420" w:firstLineChars="200"/>
        <w:rPr>
          <w:rFonts w:ascii="宋体" w:hAnsi="宋体" w:cs="宋体"/>
          <w:color w:val="auto"/>
          <w:szCs w:val="21"/>
        </w:rPr>
      </w:pPr>
      <w:r>
        <w:rPr>
          <w:rFonts w:hint="eastAsia" w:ascii="宋体" w:hAnsi="宋体" w:cs="宋体"/>
          <w:color w:val="auto"/>
          <w:szCs w:val="21"/>
        </w:rPr>
        <w:t>22.4</w:t>
      </w:r>
      <w:r>
        <w:rPr>
          <w:rFonts w:hint="eastAsia" w:ascii="宋体"/>
          <w:color w:val="auto"/>
          <w:szCs w:val="21"/>
        </w:rPr>
        <w:t>投标人应按“采购内容及技术要求”所列货物逐项进行单价报价，并最终按货物总量乘以货物单价报总价，不得采用总价下浮的方式进行报价</w:t>
      </w:r>
      <w:r>
        <w:rPr>
          <w:rFonts w:hint="eastAsia" w:ascii="宋体"/>
          <w:color w:val="auto"/>
          <w:szCs w:val="21"/>
          <w:highlight w:val="none"/>
        </w:rPr>
        <w:t>。</w:t>
      </w:r>
      <w:r>
        <w:rPr>
          <w:rFonts w:hint="eastAsia" w:ascii="宋体" w:hAnsi="宋体" w:cs="宋体"/>
          <w:b/>
          <w:bCs/>
          <w:color w:val="auto"/>
          <w:szCs w:val="21"/>
          <w:highlight w:val="none"/>
        </w:rPr>
        <w:t>综合单价包括：设备费、材料费（主材和辅材）、装卸费、运输费（含转运费）、</w:t>
      </w:r>
      <w:r>
        <w:rPr>
          <w:rFonts w:hint="eastAsia" w:ascii="宋体" w:hAnsi="宋体" w:cs="宋体"/>
          <w:b/>
          <w:bCs/>
          <w:color w:val="auto"/>
          <w:szCs w:val="21"/>
          <w:highlight w:val="none"/>
          <w:lang w:val="en-US" w:eastAsia="zh-CN"/>
        </w:rPr>
        <w:t>指导</w:t>
      </w:r>
      <w:r>
        <w:rPr>
          <w:rFonts w:hint="eastAsia" w:ascii="宋体" w:hAnsi="宋体" w:cs="宋体"/>
          <w:b/>
          <w:bCs/>
          <w:color w:val="auto"/>
          <w:szCs w:val="21"/>
          <w:highlight w:val="none"/>
        </w:rPr>
        <w:t>安装费、管理费、利润、风险费用、招标代理费、检测费、调试、验收、培训及后期服务及国家对中标单位征收的各种税费等所有一切费用，综合单价今后将不作任何调整。</w:t>
      </w:r>
      <w:r>
        <w:rPr>
          <w:rFonts w:hint="eastAsia" w:ascii="宋体" w:hAnsi="宋体"/>
          <w:color w:val="auto"/>
          <w:szCs w:val="21"/>
          <w:highlight w:val="none"/>
        </w:rPr>
        <w:t>投标人应当保持单项价格的合理性，严禁出现不平</w:t>
      </w:r>
      <w:r>
        <w:rPr>
          <w:rFonts w:hint="eastAsia" w:ascii="宋体" w:hAnsi="宋体"/>
          <w:color w:val="auto"/>
          <w:szCs w:val="21"/>
        </w:rPr>
        <w:t>衡报价的情况，项目采购结束后，采购人有权对各单项价格进行核查，对于严重超过市场价格的单价，将在正式合同中明确：对于认定为不平衡报价的单项，如果发生数量变动，将按照有利于甲方的单价进行认价。</w:t>
      </w:r>
    </w:p>
    <w:p w14:paraId="1730EC8B">
      <w:pPr>
        <w:spacing w:line="500" w:lineRule="exact"/>
        <w:ind w:firstLine="420" w:firstLineChars="200"/>
        <w:rPr>
          <w:rFonts w:ascii="宋体" w:hAnsi="宋体" w:cs="宋体"/>
          <w:color w:val="auto"/>
          <w:szCs w:val="21"/>
        </w:rPr>
      </w:pPr>
      <w:r>
        <w:rPr>
          <w:rFonts w:hint="eastAsia" w:ascii="宋体" w:hAnsi="宋体" w:cs="宋体"/>
          <w:color w:val="auto"/>
          <w:szCs w:val="21"/>
        </w:rPr>
        <w:t>22.5投标报价的价格是完成项目全部内容（包括后期的相关服务）交付验收的价格，其价格即为履行合同的固定价格。</w:t>
      </w:r>
    </w:p>
    <w:p w14:paraId="64CE144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22.6技术要求中规定的安装、调试和培训费用应包括在投标价格中。投标文件报价为含税价，采购人不再为此次招标支付任何费用。</w:t>
      </w:r>
    </w:p>
    <w:p w14:paraId="0412B61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22.7投标报价应由法定代表人或被授权人签署。</w:t>
      </w:r>
    </w:p>
    <w:p w14:paraId="5BD44A3A">
      <w:pPr>
        <w:spacing w:line="500" w:lineRule="exact"/>
        <w:ind w:firstLine="420" w:firstLineChars="200"/>
        <w:jc w:val="left"/>
        <w:rPr>
          <w:rFonts w:ascii="宋体" w:hAnsi="宋体" w:cs="宋体"/>
          <w:color w:val="auto"/>
          <w:szCs w:val="21"/>
        </w:rPr>
      </w:pPr>
      <w:r>
        <w:rPr>
          <w:rFonts w:hint="eastAsia" w:ascii="宋体" w:hAnsi="宋体" w:cs="宋体"/>
          <w:bCs/>
          <w:color w:val="auto"/>
          <w:szCs w:val="21"/>
        </w:rPr>
        <w:t>22.8投标人的报价（或单价）不得高于本次招标最高限价（或单价）</w:t>
      </w:r>
      <w:r>
        <w:rPr>
          <w:rFonts w:hint="eastAsia" w:ascii="宋体" w:hAnsi="宋体" w:cs="宋体"/>
          <w:b/>
          <w:color w:val="auto"/>
          <w:szCs w:val="21"/>
        </w:rPr>
        <w:t>，</w:t>
      </w:r>
      <w:r>
        <w:rPr>
          <w:rFonts w:hint="eastAsia" w:ascii="宋体" w:hAnsi="宋体" w:cs="宋体"/>
          <w:b/>
          <w:bCs/>
          <w:color w:val="auto"/>
          <w:szCs w:val="21"/>
        </w:rPr>
        <w:t>否则将作为无效投标处理。</w:t>
      </w:r>
    </w:p>
    <w:p w14:paraId="573F367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22.9如投标文件中未列明全面实现投标货物功能而必须配置的配套或辅助设施及相应技术措施的费用，这些费用将被视为已包含在总投标价中。</w:t>
      </w:r>
    </w:p>
    <w:p w14:paraId="6D54DBD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22.10总投标价中不得包含招标文件要求以外的内容，否则，在评标时不予核减，但在授予合同时，采购人有权将这部分价格从其中标价格中扣除。</w:t>
      </w:r>
    </w:p>
    <w:p w14:paraId="08326B86">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22.11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50459CD9">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22.12投标人不得对从第三方采购货物的随机备品、备件另行收费，否则在计算评标价时这部分费用将不予扣除，在授予合同时将从中标价格中扣除该部分费用。</w:t>
      </w:r>
    </w:p>
    <w:p w14:paraId="7EB66EFD">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采购人均无需为维护维修保养所需的专用工具和备品备件另行支付费用。</w:t>
      </w:r>
    </w:p>
    <w:p w14:paraId="28AE4639">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23. 投标有效期</w:t>
      </w:r>
    </w:p>
    <w:p w14:paraId="2153E16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23.1 除投标人须知前附表另有规定外，投标有效期为90天。</w:t>
      </w:r>
    </w:p>
    <w:p w14:paraId="2304F07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23.2在投标有效期内，投标人撤销或修改其投标文件的，应承担招标文件和法律规定的责任。</w:t>
      </w:r>
    </w:p>
    <w:p w14:paraId="1E1994C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338FAAF">
      <w:pPr>
        <w:spacing w:line="500" w:lineRule="exact"/>
        <w:ind w:firstLine="405" w:firstLineChars="192"/>
        <w:jc w:val="left"/>
        <w:rPr>
          <w:rFonts w:ascii="宋体" w:hAnsi="宋体" w:cs="宋体"/>
          <w:b/>
          <w:color w:val="auto"/>
          <w:szCs w:val="21"/>
        </w:rPr>
      </w:pPr>
      <w:r>
        <w:rPr>
          <w:rFonts w:hint="eastAsia" w:ascii="宋体" w:hAnsi="宋体" w:cs="宋体"/>
          <w:b/>
          <w:color w:val="auto"/>
          <w:szCs w:val="21"/>
        </w:rPr>
        <w:t>24. 投标保证金</w:t>
      </w:r>
    </w:p>
    <w:p w14:paraId="7AFFA2AE">
      <w:pPr>
        <w:spacing w:line="500" w:lineRule="exact"/>
        <w:ind w:firstLine="420" w:firstLineChars="200"/>
        <w:jc w:val="left"/>
        <w:rPr>
          <w:rFonts w:ascii="宋体" w:hAnsi="宋体" w:cs="宋体"/>
          <w:color w:val="auto"/>
          <w:szCs w:val="21"/>
        </w:rPr>
      </w:pPr>
      <w:bookmarkStart w:id="51" w:name="_Toc449028870"/>
      <w:r>
        <w:rPr>
          <w:rFonts w:hint="eastAsia" w:ascii="宋体" w:hAnsi="宋体" w:cs="宋体"/>
          <w:color w:val="auto"/>
          <w:szCs w:val="21"/>
        </w:rPr>
        <w:t>24.1投标人须知前附表规定递交投标保证金的，投标人在递交投标文件的同时，应按投标人须知前附表规定的金额、担保形式和招标文件规定的或者事先经过招标人认可的保证金格式递交保证金，并作为其投标文件的组成部分。</w:t>
      </w:r>
    </w:p>
    <w:p w14:paraId="09025C3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 无论采取何种形式的投标保证金，投标保证金有效期均应与投标有效期一致（采用投标电子保函的保证期截止时间不得早于该项目投标有效期的截止时间）。招标人如果按本章第23.3项的规定延长了投标有效期，则投标保证金的有效期也相应延长。</w:t>
      </w:r>
    </w:p>
    <w:p w14:paraId="1DA1290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24.2投标人不按本章第24.11项要求提交投标保证金的，评标委员会将否决其投标。</w:t>
      </w:r>
    </w:p>
    <w:p w14:paraId="61A924B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24.3未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4683981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24.4有下列情形之一的，投标保证金将不予退还： </w:t>
      </w:r>
    </w:p>
    <w:p w14:paraId="77BE565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（1）投标截止后投标人撤销投标文件的；</w:t>
      </w:r>
    </w:p>
    <w:p w14:paraId="54DA51B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（2）中标人无正当理由不与招标人订立合同，在签订合同时向招标人提出附加条件，或者不按照招标文件要求提交履约保证金的。</w:t>
      </w:r>
    </w:p>
    <w:p w14:paraId="0967CC0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24.5投标保证金按《</w:t>
      </w:r>
      <w:r>
        <w:rPr>
          <w:color w:val="auto"/>
        </w:rPr>
        <w:fldChar w:fldCharType="begin"/>
      </w:r>
      <w:r>
        <w:rPr>
          <w:color w:val="auto"/>
        </w:rPr>
        <w:instrText xml:space="preserve"> HYPERLINK "https://www.chuzhou.gov.cn/group1/M00/12/83/CpYI8mGDiKqAD_IkAAEIAMLVghw186.doc" \t "_blank" </w:instrText>
      </w:r>
      <w:r>
        <w:rPr>
          <w:color w:val="auto"/>
        </w:rPr>
        <w:fldChar w:fldCharType="separate"/>
      </w:r>
      <w:r>
        <w:rPr>
          <w:rFonts w:hint="eastAsia" w:ascii="宋体" w:hAnsi="宋体" w:cs="宋体"/>
          <w:color w:val="auto"/>
          <w:szCs w:val="21"/>
        </w:rPr>
        <w:t>滁州市公共资源交易投标保证金管理规定</w:t>
      </w:r>
      <w:r>
        <w:rPr>
          <w:rFonts w:hint="eastAsia" w:ascii="宋体" w:hAnsi="宋体" w:cs="宋体"/>
          <w:color w:val="auto"/>
          <w:szCs w:val="21"/>
        </w:rPr>
        <w:fldChar w:fldCharType="end"/>
      </w:r>
      <w:r>
        <w:rPr>
          <w:rFonts w:hint="eastAsia" w:ascii="宋体" w:hAnsi="宋体" w:cs="宋体"/>
          <w:color w:val="auto"/>
          <w:szCs w:val="21"/>
        </w:rPr>
        <w:t>》（滁公管〔2021〕7号）规定执行。</w:t>
      </w:r>
    </w:p>
    <w:p w14:paraId="27105313">
      <w:pPr>
        <w:spacing w:beforeLines="50" w:afterLines="50" w:line="500" w:lineRule="exact"/>
        <w:jc w:val="center"/>
        <w:rPr>
          <w:rFonts w:ascii="宋体" w:hAnsi="宋体" w:cs="宋体"/>
          <w:b/>
          <w:color w:val="auto"/>
          <w:sz w:val="28"/>
          <w:szCs w:val="28"/>
        </w:rPr>
      </w:pPr>
      <w:r>
        <w:rPr>
          <w:rFonts w:hint="eastAsia" w:ascii="宋体" w:hAnsi="宋体" w:cs="宋体"/>
          <w:b/>
          <w:color w:val="auto"/>
          <w:sz w:val="28"/>
          <w:szCs w:val="28"/>
        </w:rPr>
        <w:t>（四）投标文件的递交</w:t>
      </w:r>
      <w:bookmarkEnd w:id="51"/>
    </w:p>
    <w:p w14:paraId="079AF969">
      <w:pPr>
        <w:spacing w:line="500" w:lineRule="exact"/>
        <w:jc w:val="left"/>
        <w:rPr>
          <w:rFonts w:ascii="宋体" w:hAnsi="宋体" w:cs="宋体"/>
          <w:b/>
          <w:color w:val="auto"/>
          <w:szCs w:val="21"/>
        </w:rPr>
      </w:pPr>
      <w:r>
        <w:rPr>
          <w:rFonts w:hint="eastAsia" w:ascii="宋体" w:hAnsi="宋体" w:cs="宋体"/>
          <w:b/>
          <w:color w:val="auto"/>
          <w:szCs w:val="21"/>
        </w:rPr>
        <w:t xml:space="preserve">   25. 投标文件的份数和签署</w:t>
      </w:r>
    </w:p>
    <w:p w14:paraId="55D2BA1A">
      <w:pPr>
        <w:spacing w:line="500" w:lineRule="exact"/>
        <w:ind w:firstLine="420" w:firstLineChars="200"/>
        <w:jc w:val="left"/>
        <w:rPr>
          <w:rFonts w:ascii="宋体" w:hAnsi="宋体" w:cs="宋体"/>
          <w:color w:val="auto"/>
          <w:szCs w:val="21"/>
        </w:rPr>
      </w:pPr>
      <w:bookmarkStart w:id="52" w:name="_Toc449028871"/>
      <w:r>
        <w:rPr>
          <w:rFonts w:hint="eastAsia" w:ascii="宋体" w:hAnsi="宋体" w:cs="宋体"/>
          <w:color w:val="auto"/>
          <w:szCs w:val="21"/>
        </w:rPr>
        <w:t>25.1投标人中标后须递交与网上电子投标文件完全一致的纸质版和电子版投标文件，在领取中标通知书时，一并递交给招标代理机构。</w:t>
      </w:r>
    </w:p>
    <w:p w14:paraId="24C41AC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25.2电子投标文件须按格式文件要求签字或盖章（电子签章），否则经评委会一致认定且经过公共资源交易监督部门批准后, 按照无效投标处理。</w:t>
      </w:r>
    </w:p>
    <w:p w14:paraId="519555D1">
      <w:pPr>
        <w:spacing w:line="500" w:lineRule="exact"/>
        <w:ind w:firstLine="312" w:firstLineChars="148"/>
        <w:jc w:val="left"/>
        <w:rPr>
          <w:rFonts w:ascii="宋体" w:hAnsi="宋体" w:cs="宋体"/>
          <w:b/>
          <w:color w:val="auto"/>
          <w:szCs w:val="21"/>
        </w:rPr>
      </w:pPr>
      <w:r>
        <w:rPr>
          <w:rFonts w:hint="eastAsia" w:ascii="宋体" w:hAnsi="宋体" w:cs="宋体"/>
          <w:b/>
          <w:color w:val="auto"/>
          <w:szCs w:val="21"/>
        </w:rPr>
        <w:t>26. 投标文件的提交</w:t>
      </w:r>
    </w:p>
    <w:p w14:paraId="4D2D6706">
      <w:pPr>
        <w:spacing w:line="500" w:lineRule="exact"/>
        <w:ind w:firstLine="310" w:firstLineChars="148"/>
        <w:jc w:val="left"/>
        <w:rPr>
          <w:rFonts w:ascii="宋体" w:hAnsi="宋体" w:cs="宋体"/>
          <w:b/>
          <w:color w:val="auto"/>
          <w:szCs w:val="21"/>
        </w:rPr>
      </w:pPr>
      <w:r>
        <w:rPr>
          <w:rFonts w:hint="eastAsia" w:ascii="宋体" w:hAnsi="宋体" w:cs="宋体"/>
          <w:color w:val="auto"/>
          <w:szCs w:val="21"/>
        </w:rPr>
        <w:t>26.1 投标人应在投标人须知前附表规定的投标截止时间前在网上递交投标文件。未在开标截止时间前通过网上招标投标系统递交有效电子投标文件的，开标系统不予接收，投标将被拒绝。</w:t>
      </w:r>
    </w:p>
    <w:p w14:paraId="1E927314">
      <w:pPr>
        <w:spacing w:line="500" w:lineRule="exact"/>
        <w:ind w:firstLine="314" w:firstLineChars="149"/>
        <w:jc w:val="left"/>
        <w:rPr>
          <w:rFonts w:ascii="宋体" w:hAnsi="宋体" w:cs="宋体"/>
          <w:b/>
          <w:color w:val="auto"/>
          <w:szCs w:val="21"/>
        </w:rPr>
      </w:pPr>
      <w:r>
        <w:rPr>
          <w:rFonts w:hint="eastAsia" w:ascii="宋体" w:hAnsi="宋体" w:cs="宋体"/>
          <w:b/>
          <w:color w:val="auto"/>
          <w:szCs w:val="21"/>
        </w:rPr>
        <w:t>27．投标文件的修改与撤回</w:t>
      </w:r>
    </w:p>
    <w:p w14:paraId="69ADAB56">
      <w:pPr>
        <w:spacing w:line="500" w:lineRule="exact"/>
        <w:jc w:val="center"/>
        <w:rPr>
          <w:rFonts w:ascii="宋体" w:hAnsi="宋体" w:cs="宋体"/>
          <w:color w:val="auto"/>
          <w:szCs w:val="21"/>
        </w:rPr>
      </w:pPr>
      <w:r>
        <w:rPr>
          <w:rFonts w:hint="eastAsia" w:ascii="宋体" w:hAnsi="宋体" w:cs="宋体"/>
          <w:color w:val="auto"/>
          <w:szCs w:val="21"/>
        </w:rPr>
        <w:t xml:space="preserve">  27.1采用网上招投标的，在规定的投标截止时间前，投标人可以自行从网上招投标系统撤回已递交的投标文件，并可修改后重新上传，开标时以投标截止时间前投标人最终上传的投标文件为准。</w:t>
      </w:r>
    </w:p>
    <w:p w14:paraId="2497970F">
      <w:pPr>
        <w:spacing w:line="500" w:lineRule="exact"/>
        <w:ind w:firstLine="421"/>
        <w:jc w:val="left"/>
        <w:rPr>
          <w:rFonts w:ascii="宋体"/>
          <w:b/>
          <w:color w:val="auto"/>
          <w:szCs w:val="21"/>
        </w:rPr>
      </w:pPr>
      <w:r>
        <w:rPr>
          <w:rFonts w:hint="eastAsia" w:ascii="宋体"/>
          <w:b/>
          <w:color w:val="auto"/>
          <w:szCs w:val="21"/>
        </w:rPr>
        <w:t>28.偏离</w:t>
      </w:r>
    </w:p>
    <w:p w14:paraId="456E248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28.1投标文件偏离招标文件某些要求，视为投标文件存在偏差。偏差包括重大偏差和细微偏差。</w:t>
      </w:r>
    </w:p>
    <w:p w14:paraId="6198100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28.1.1投标文件应对招标文件的实质性要求和条件作出满足性或更有利于招标人的响应，否则，视为投标文件存在重大偏差，投标人的投标将被否决。</w:t>
      </w:r>
    </w:p>
    <w:p w14:paraId="443A1A6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投标文件存在第三章“评标办法”中所列任一无效投标情形的，均属于存在重大偏差。</w:t>
      </w:r>
    </w:p>
    <w:p w14:paraId="711380D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28.1.2投标文件中的下列偏差为细微偏差：</w:t>
      </w:r>
    </w:p>
    <w:p w14:paraId="66EBB2D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3B8F67D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（2）投标文件个别文字有遗漏错误等不影响投标文件实质性内容的偏差。</w:t>
      </w:r>
    </w:p>
    <w:p w14:paraId="33B7655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28.1.3评标委员会对投标文件中的细微偏差按如下规定处理：</w:t>
      </w:r>
    </w:p>
    <w:p w14:paraId="6A84338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对于本章第28.1.2 项（1）目所述的细微偏差，按照第四章“评标办法”的规定予以修正并要求投标人进行澄清；</w:t>
      </w:r>
    </w:p>
    <w:p w14:paraId="2A8DC910">
      <w:pPr>
        <w:spacing w:beforeLines="50" w:afterLines="50" w:line="500" w:lineRule="exact"/>
        <w:ind w:firstLine="420" w:firstLineChars="200"/>
        <w:rPr>
          <w:rFonts w:ascii="宋体" w:hAnsi="宋体" w:cs="宋体"/>
          <w:b/>
          <w:color w:val="auto"/>
          <w:sz w:val="28"/>
          <w:szCs w:val="28"/>
        </w:rPr>
      </w:pPr>
      <w:r>
        <w:rPr>
          <w:rFonts w:hint="eastAsia" w:ascii="宋体" w:hAnsi="宋体" w:cs="宋体"/>
          <w:color w:val="auto"/>
          <w:szCs w:val="21"/>
        </w:rPr>
        <w:t>对于本章第28.1.2 项（2）目所述的细微偏差，可要求投标人对细微偏差进行澄清。</w:t>
      </w:r>
    </w:p>
    <w:p w14:paraId="1438C703">
      <w:pPr>
        <w:spacing w:beforeLines="50" w:afterLines="50" w:line="500" w:lineRule="exact"/>
        <w:jc w:val="center"/>
        <w:rPr>
          <w:rFonts w:ascii="宋体" w:hAnsi="宋体" w:cs="宋体"/>
          <w:b/>
          <w:color w:val="auto"/>
          <w:sz w:val="28"/>
          <w:szCs w:val="28"/>
        </w:rPr>
      </w:pPr>
      <w:r>
        <w:rPr>
          <w:rFonts w:hint="eastAsia" w:ascii="宋体" w:hAnsi="宋体" w:cs="宋体"/>
          <w:b/>
          <w:color w:val="auto"/>
          <w:sz w:val="28"/>
          <w:szCs w:val="28"/>
        </w:rPr>
        <w:t>（五）开标、评标和定标</w:t>
      </w:r>
      <w:bookmarkEnd w:id="52"/>
    </w:p>
    <w:p w14:paraId="3A2F66A8">
      <w:pPr>
        <w:spacing w:line="500" w:lineRule="exact"/>
        <w:ind w:firstLine="421"/>
        <w:jc w:val="left"/>
        <w:rPr>
          <w:rFonts w:ascii="宋体"/>
          <w:b/>
          <w:color w:val="auto"/>
          <w:szCs w:val="21"/>
        </w:rPr>
      </w:pPr>
      <w:r>
        <w:rPr>
          <w:rFonts w:hint="eastAsia" w:ascii="宋体"/>
          <w:b/>
          <w:color w:val="auto"/>
          <w:szCs w:val="21"/>
        </w:rPr>
        <w:t>29. 开标</w:t>
      </w:r>
    </w:p>
    <w:p w14:paraId="0316BEA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29.1 开标的时间和地点</w:t>
      </w:r>
    </w:p>
    <w:p w14:paraId="72E97D8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29.1.1招标人</w:t>
      </w:r>
      <w:r>
        <w:rPr>
          <w:rFonts w:hint="eastAsia" w:ascii="宋体"/>
          <w:color w:val="auto"/>
          <w:szCs w:val="21"/>
        </w:rPr>
        <w:t>按招标公告中的开标时间和地点公开开标，并邀请所有投标人参加。</w:t>
      </w:r>
    </w:p>
    <w:p w14:paraId="6D1DD4A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29.2 参与开标的监督部门</w:t>
      </w:r>
    </w:p>
    <w:p w14:paraId="4959C0C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29.2.1招标人可以邀请相关监管部门参加。</w:t>
      </w:r>
    </w:p>
    <w:p w14:paraId="67E231B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29.3开标程序</w:t>
      </w:r>
    </w:p>
    <w:p w14:paraId="03B6F98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开标会议由采购代理机构主持。</w:t>
      </w:r>
    </w:p>
    <w:p w14:paraId="65D3768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（1）宣布开标纪律；</w:t>
      </w:r>
    </w:p>
    <w:p w14:paraId="792CF16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（2）宣布招标人、代理机构主持人、见证人等有关人员姓名；</w:t>
      </w:r>
    </w:p>
    <w:p w14:paraId="1FB485A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（3）公布投标截止时间前，通过滁州市公共资源交易中心网上招投标系统递交投标文件的投标人名称等； </w:t>
      </w:r>
    </w:p>
    <w:p w14:paraId="3FE478B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（4）投标人在投标截止时间后，规定时间内完成投标文件解密工作；</w:t>
      </w:r>
    </w:p>
    <w:p w14:paraId="7B53A5A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（5）公布投标人投标报价、质量目标、供货期及其他内容，并记录在案；</w:t>
      </w:r>
    </w:p>
    <w:p w14:paraId="4174001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（6）开标结束。</w:t>
      </w:r>
    </w:p>
    <w:p w14:paraId="103052A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多标段项目按照标段顺序按以上程序依次开标。</w:t>
      </w:r>
    </w:p>
    <w:p w14:paraId="125AF261">
      <w:pPr>
        <w:spacing w:line="500" w:lineRule="exact"/>
        <w:ind w:right="-155" w:rightChars="-74" w:firstLine="420" w:firstLineChars="200"/>
        <w:jc w:val="left"/>
        <w:rPr>
          <w:rFonts w:ascii="宋体"/>
          <w:color w:val="auto"/>
          <w:szCs w:val="21"/>
        </w:rPr>
      </w:pPr>
      <w:r>
        <w:rPr>
          <w:rFonts w:hint="eastAsia" w:ascii="宋体"/>
          <w:color w:val="auto"/>
          <w:szCs w:val="21"/>
        </w:rPr>
        <w:t>29.4开标异议</w:t>
      </w:r>
    </w:p>
    <w:p w14:paraId="773ACAD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投标人对开标有异议的，应当在开标现场提出，招标人当场作出答复，并制作记录。异议与答复应通过电子交易系统进行。</w:t>
      </w:r>
    </w:p>
    <w:p w14:paraId="752FD2EC">
      <w:pPr>
        <w:spacing w:line="500" w:lineRule="exact"/>
        <w:ind w:firstLine="421"/>
        <w:jc w:val="left"/>
        <w:rPr>
          <w:rFonts w:ascii="宋体"/>
          <w:b/>
          <w:color w:val="auto"/>
          <w:szCs w:val="21"/>
        </w:rPr>
      </w:pPr>
      <w:r>
        <w:rPr>
          <w:rFonts w:hint="eastAsia" w:ascii="宋体"/>
          <w:b/>
          <w:color w:val="auto"/>
          <w:szCs w:val="21"/>
        </w:rPr>
        <w:t>30.评标委员会</w:t>
      </w:r>
    </w:p>
    <w:p w14:paraId="2AF1B3DC">
      <w:pPr>
        <w:spacing w:line="500" w:lineRule="exact"/>
        <w:ind w:firstLine="420" w:firstLineChars="200"/>
        <w:jc w:val="left"/>
        <w:rPr>
          <w:rFonts w:ascii="宋体" w:cs="宋体"/>
          <w:color w:val="auto"/>
          <w:szCs w:val="21"/>
        </w:rPr>
      </w:pPr>
      <w:r>
        <w:rPr>
          <w:rFonts w:hint="eastAsia" w:ascii="宋体"/>
          <w:color w:val="auto"/>
          <w:szCs w:val="21"/>
        </w:rPr>
        <w:t>30.1</w:t>
      </w:r>
      <w:r>
        <w:rPr>
          <w:rFonts w:hint="eastAsia" w:ascii="宋体" w:hAnsi="宋体" w:cs="宋体"/>
          <w:color w:val="auto"/>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EE76D1D">
      <w:pPr>
        <w:spacing w:line="500" w:lineRule="exact"/>
        <w:ind w:firstLine="420" w:firstLineChars="200"/>
        <w:jc w:val="left"/>
        <w:rPr>
          <w:rFonts w:ascii="宋体" w:cs="宋体"/>
          <w:color w:val="auto"/>
          <w:szCs w:val="21"/>
        </w:rPr>
      </w:pPr>
      <w:r>
        <w:rPr>
          <w:rFonts w:hint="eastAsia" w:ascii="宋体" w:hAnsi="宋体" w:cs="宋体"/>
          <w:color w:val="auto"/>
          <w:szCs w:val="21"/>
        </w:rPr>
        <w:t>30</w:t>
      </w:r>
      <w:r>
        <w:rPr>
          <w:rFonts w:ascii="宋体" w:hAnsi="宋体" w:cs="宋体"/>
          <w:color w:val="auto"/>
          <w:szCs w:val="21"/>
        </w:rPr>
        <w:t xml:space="preserve">.2 </w:t>
      </w:r>
      <w:r>
        <w:rPr>
          <w:rFonts w:hint="eastAsia" w:ascii="宋体" w:hAnsi="宋体" w:cs="宋体"/>
          <w:color w:val="auto"/>
          <w:szCs w:val="21"/>
        </w:rPr>
        <w:t>评标委员会成员有下列情形之一的，应当回避：</w:t>
      </w:r>
    </w:p>
    <w:p w14:paraId="089093D1">
      <w:pPr>
        <w:spacing w:line="5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）投标人或投标人主要负责人的近亲属；</w:t>
      </w:r>
    </w:p>
    <w:p w14:paraId="46671416">
      <w:pPr>
        <w:spacing w:line="5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）项目主管部门或者行政监督部门的人员；</w:t>
      </w:r>
    </w:p>
    <w:p w14:paraId="68AB2943">
      <w:pPr>
        <w:spacing w:line="5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）与投标人有经济利益关系；</w:t>
      </w:r>
    </w:p>
    <w:p w14:paraId="16519FB4">
      <w:pPr>
        <w:spacing w:line="5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）曾因在招标、评标以及其他与招标投标有关活动中从事违法行为而受过行政处罚或刑事处罚的；</w:t>
      </w:r>
    </w:p>
    <w:p w14:paraId="5E7D673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（5）存在其他法定回避情形的。</w:t>
      </w:r>
    </w:p>
    <w:p w14:paraId="1B0FD0C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项目实施主体及其子公司、下属单位、上级主管部门或者控股公司的工作人员或者退休人员不得以专家身份参与本单位或者代理项目的评标评审。 </w:t>
      </w:r>
    </w:p>
    <w:p w14:paraId="33E2B4F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评标委员会或评审机构成员有前两款规定情形的，应当主动提出回避；已经进入的应当更换，被更换的成员评标评审意见无效。 </w:t>
      </w:r>
    </w:p>
    <w:p w14:paraId="1320132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30.3评标过程中，评标委员会成员有回避事由、擅离职守或因健康等原因不能继续评标的， 招标人有权更换。被更换的评标委员会成员作出的评审结论无效，由更换后的评标委员会成员重新进行评审。</w:t>
      </w:r>
    </w:p>
    <w:p w14:paraId="7EA1703F">
      <w:pPr>
        <w:spacing w:line="500" w:lineRule="exact"/>
        <w:ind w:firstLine="421"/>
        <w:jc w:val="left"/>
        <w:rPr>
          <w:rFonts w:ascii="宋体"/>
          <w:b/>
          <w:color w:val="auto"/>
          <w:szCs w:val="21"/>
        </w:rPr>
      </w:pPr>
      <w:r>
        <w:rPr>
          <w:rFonts w:hint="eastAsia" w:ascii="宋体"/>
          <w:b/>
          <w:color w:val="auto"/>
          <w:szCs w:val="21"/>
        </w:rPr>
        <w:t>31.评标</w:t>
      </w:r>
    </w:p>
    <w:p w14:paraId="138E64E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31.1评标委员会按照第三章“评标办法”规定的方法、评审因素、标准和程序对投标文件进行评审。第三章“评标办法”没有规定的方法、评审因素和标准，不作为评标依据。</w:t>
      </w:r>
    </w:p>
    <w:p w14:paraId="2219DA98">
      <w:pPr>
        <w:spacing w:line="500" w:lineRule="exact"/>
        <w:ind w:firstLine="420" w:firstLineChars="200"/>
        <w:jc w:val="left"/>
        <w:rPr>
          <w:rFonts w:ascii="宋体" w:hAnsi="宋体" w:cs="宋体"/>
          <w:color w:val="auto"/>
          <w:szCs w:val="21"/>
        </w:rPr>
      </w:pPr>
      <w:bookmarkStart w:id="53" w:name="_Toc449028873"/>
      <w:r>
        <w:rPr>
          <w:rFonts w:hint="eastAsia" w:ascii="宋体" w:hAnsi="宋体" w:cs="宋体"/>
          <w:color w:val="auto"/>
          <w:szCs w:val="21"/>
        </w:rPr>
        <w:t>31.2评标完成后，评标委员会应向招标人提交书面评标报告和中标候选人名单。评标委员会推荐中标候选人的人数见投标人须知前附表。</w:t>
      </w:r>
    </w:p>
    <w:p w14:paraId="71F00AD0">
      <w:pPr>
        <w:spacing w:line="500" w:lineRule="exact"/>
        <w:ind w:firstLine="420" w:firstLineChars="200"/>
        <w:jc w:val="left"/>
        <w:rPr>
          <w:rFonts w:ascii="宋体"/>
          <w:color w:val="auto"/>
          <w:szCs w:val="21"/>
        </w:rPr>
      </w:pPr>
      <w:r>
        <w:rPr>
          <w:rFonts w:hint="eastAsia" w:ascii="宋体"/>
          <w:color w:val="auto"/>
          <w:szCs w:val="21"/>
        </w:rPr>
        <w:t>31.3评标原则：遵循公平、公正、科学和择优的原则。</w:t>
      </w:r>
    </w:p>
    <w:p w14:paraId="6770AC9B">
      <w:pPr>
        <w:tabs>
          <w:tab w:val="left" w:pos="720"/>
        </w:tabs>
        <w:spacing w:line="500" w:lineRule="exact"/>
        <w:ind w:firstLine="420" w:firstLineChars="200"/>
        <w:jc w:val="left"/>
        <w:rPr>
          <w:rFonts w:ascii="宋体"/>
          <w:color w:val="auto"/>
          <w:szCs w:val="21"/>
        </w:rPr>
      </w:pPr>
      <w:r>
        <w:rPr>
          <w:rFonts w:hint="eastAsia" w:ascii="宋体"/>
          <w:color w:val="auto"/>
          <w:szCs w:val="21"/>
        </w:rPr>
        <w:t>31.4投标文件的澄清</w:t>
      </w:r>
    </w:p>
    <w:p w14:paraId="6B9AE183">
      <w:pPr>
        <w:tabs>
          <w:tab w:val="left" w:pos="720"/>
        </w:tabs>
        <w:spacing w:line="500" w:lineRule="exact"/>
        <w:ind w:firstLine="420" w:firstLineChars="200"/>
        <w:jc w:val="left"/>
        <w:rPr>
          <w:rFonts w:ascii="宋体"/>
          <w:color w:val="auto"/>
          <w:szCs w:val="21"/>
        </w:rPr>
      </w:pPr>
      <w:r>
        <w:rPr>
          <w:rFonts w:hint="eastAsia" w:ascii="宋体"/>
          <w:color w:val="auto"/>
          <w:szCs w:val="21"/>
        </w:rPr>
        <w:t>31.4.1在评标过程中，评标委员会认为需要，在公共资源交易监督管理部门的监督下，可要求投标人对投标文件中的有关问题进行澄清或提供补充说明及有关资料，投标人应做出书面答复。</w:t>
      </w:r>
    </w:p>
    <w:p w14:paraId="7CC14914">
      <w:pPr>
        <w:tabs>
          <w:tab w:val="left" w:pos="720"/>
        </w:tabs>
        <w:spacing w:line="500" w:lineRule="exact"/>
        <w:ind w:firstLine="420" w:firstLineChars="200"/>
        <w:jc w:val="left"/>
        <w:rPr>
          <w:rFonts w:ascii="宋体"/>
          <w:color w:val="auto"/>
          <w:szCs w:val="21"/>
        </w:rPr>
      </w:pPr>
      <w:r>
        <w:rPr>
          <w:rFonts w:hint="eastAsia" w:ascii="宋体"/>
          <w:color w:val="auto"/>
          <w:szCs w:val="21"/>
        </w:rPr>
        <w:t>31.4.2书面答复须经投标人法定代表人或其委托代理人签字或盖章，签字或盖章的书面答复将被视为投标文件的组成部分。</w:t>
      </w:r>
    </w:p>
    <w:p w14:paraId="66741003">
      <w:pPr>
        <w:tabs>
          <w:tab w:val="left" w:pos="720"/>
        </w:tabs>
        <w:spacing w:line="500" w:lineRule="exact"/>
        <w:ind w:firstLine="420" w:firstLineChars="200"/>
        <w:jc w:val="left"/>
        <w:rPr>
          <w:rFonts w:ascii="宋体"/>
          <w:color w:val="auto"/>
          <w:szCs w:val="21"/>
        </w:rPr>
      </w:pPr>
      <w:r>
        <w:rPr>
          <w:rFonts w:hint="eastAsia" w:ascii="宋体"/>
          <w:color w:val="auto"/>
          <w:szCs w:val="21"/>
        </w:rPr>
        <w:t>31.5报价合理性的判断</w:t>
      </w:r>
    </w:p>
    <w:p w14:paraId="4BAD98A5">
      <w:pPr>
        <w:spacing w:line="500" w:lineRule="exact"/>
        <w:ind w:firstLine="422" w:firstLineChars="200"/>
        <w:jc w:val="left"/>
        <w:rPr>
          <w:rFonts w:ascii="宋体" w:hAnsi="宋体"/>
          <w:b/>
          <w:bCs/>
          <w:color w:val="auto"/>
          <w:szCs w:val="21"/>
        </w:rPr>
      </w:pPr>
      <w:r>
        <w:rPr>
          <w:rFonts w:hint="eastAsia" w:ascii="宋体" w:hAnsi="宋体"/>
          <w:b/>
          <w:bCs/>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C005C3">
      <w:pPr>
        <w:tabs>
          <w:tab w:val="left" w:pos="720"/>
        </w:tabs>
        <w:spacing w:line="500" w:lineRule="exact"/>
        <w:ind w:firstLine="420" w:firstLineChars="200"/>
        <w:jc w:val="left"/>
        <w:rPr>
          <w:rFonts w:ascii="宋体"/>
          <w:color w:val="auto"/>
          <w:szCs w:val="21"/>
        </w:rPr>
      </w:pPr>
      <w:r>
        <w:rPr>
          <w:rFonts w:hint="eastAsia" w:ascii="宋体"/>
          <w:color w:val="auto"/>
          <w:szCs w:val="21"/>
        </w:rPr>
        <w:t>31.6评审意见分歧的处理办法</w:t>
      </w:r>
    </w:p>
    <w:p w14:paraId="5FA72EB3">
      <w:pPr>
        <w:tabs>
          <w:tab w:val="left" w:pos="720"/>
        </w:tabs>
        <w:spacing w:line="500" w:lineRule="exact"/>
        <w:ind w:firstLine="420" w:firstLineChars="200"/>
        <w:jc w:val="left"/>
        <w:rPr>
          <w:rFonts w:ascii="宋体"/>
          <w:color w:val="auto"/>
          <w:szCs w:val="21"/>
        </w:rPr>
      </w:pPr>
      <w:r>
        <w:rPr>
          <w:rFonts w:hint="eastAsia" w:ascii="宋体"/>
          <w:color w:val="auto"/>
          <w:szCs w:val="21"/>
        </w:rPr>
        <w:t>（1）评标委员会应当对投标人提供的报告、证明材料及详细说明认真研究。对存在意见分歧的，可采用投票方式表决决定（按多数评委意见为准）；</w:t>
      </w:r>
    </w:p>
    <w:p w14:paraId="476EAB96">
      <w:pPr>
        <w:tabs>
          <w:tab w:val="left" w:pos="720"/>
        </w:tabs>
        <w:spacing w:line="500" w:lineRule="exact"/>
        <w:ind w:firstLine="420" w:firstLineChars="200"/>
        <w:jc w:val="left"/>
        <w:rPr>
          <w:rFonts w:ascii="宋体"/>
          <w:color w:val="auto"/>
          <w:szCs w:val="21"/>
        </w:rPr>
      </w:pPr>
      <w:r>
        <w:rPr>
          <w:rFonts w:hint="eastAsia" w:ascii="宋体"/>
          <w:color w:val="auto"/>
          <w:szCs w:val="21"/>
        </w:rPr>
        <w:t>（2）招标投标当事人对评标结果提出异议或者投诉，公共资源交易监督机构认为需要重新进行评标的，评标委员会成员应当按照公共资源交易监督机构要求重新评标。</w:t>
      </w:r>
    </w:p>
    <w:p w14:paraId="2D818E81">
      <w:pPr>
        <w:tabs>
          <w:tab w:val="left" w:pos="720"/>
        </w:tabs>
        <w:spacing w:line="500" w:lineRule="exact"/>
        <w:ind w:firstLine="420" w:firstLineChars="200"/>
        <w:jc w:val="left"/>
        <w:rPr>
          <w:rFonts w:ascii="宋体"/>
          <w:color w:val="auto"/>
          <w:szCs w:val="21"/>
        </w:rPr>
      </w:pPr>
      <w:r>
        <w:rPr>
          <w:rFonts w:hint="eastAsia" w:ascii="宋体"/>
          <w:color w:val="auto"/>
          <w:szCs w:val="21"/>
        </w:rPr>
        <w:t>31.7评标报告的签署</w:t>
      </w:r>
    </w:p>
    <w:p w14:paraId="403F298B">
      <w:pPr>
        <w:tabs>
          <w:tab w:val="left" w:pos="720"/>
        </w:tabs>
        <w:spacing w:line="500" w:lineRule="exact"/>
        <w:ind w:firstLine="420" w:firstLineChars="200"/>
        <w:jc w:val="left"/>
        <w:rPr>
          <w:rFonts w:ascii="宋体"/>
          <w:color w:val="auto"/>
          <w:szCs w:val="21"/>
        </w:rPr>
      </w:pPr>
      <w:r>
        <w:rPr>
          <w:rFonts w:hint="eastAsia" w:ascii="宋体"/>
          <w:color w:val="auto"/>
          <w:szCs w:val="21"/>
        </w:rPr>
        <w:t>31.7.1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3C59A9E8">
      <w:pPr>
        <w:tabs>
          <w:tab w:val="left" w:pos="720"/>
        </w:tabs>
        <w:spacing w:line="500" w:lineRule="exact"/>
        <w:ind w:firstLine="420" w:firstLineChars="200"/>
        <w:jc w:val="left"/>
        <w:rPr>
          <w:rFonts w:ascii="宋体"/>
          <w:color w:val="auto"/>
          <w:szCs w:val="21"/>
        </w:rPr>
      </w:pPr>
      <w:r>
        <w:rPr>
          <w:rFonts w:hint="eastAsia" w:ascii="宋体"/>
          <w:color w:val="auto"/>
          <w:szCs w:val="21"/>
        </w:rPr>
        <w:t>31.8评标过程的保密</w:t>
      </w:r>
    </w:p>
    <w:p w14:paraId="72F0B9D2">
      <w:pPr>
        <w:tabs>
          <w:tab w:val="left" w:pos="720"/>
        </w:tabs>
        <w:spacing w:line="500" w:lineRule="exact"/>
        <w:ind w:firstLine="420" w:firstLineChars="200"/>
        <w:jc w:val="left"/>
        <w:rPr>
          <w:rFonts w:ascii="宋体"/>
          <w:color w:val="auto"/>
          <w:szCs w:val="21"/>
        </w:rPr>
      </w:pPr>
      <w:r>
        <w:rPr>
          <w:rFonts w:hint="eastAsia" w:ascii="宋体"/>
          <w:color w:val="auto"/>
          <w:szCs w:val="21"/>
        </w:rPr>
        <w:t>评标委员会成员和与评标活动有关的工作人员不得透露对投标文件的评审和比较、中标人的推荐情况以及与评标有关的其他情况。</w:t>
      </w:r>
    </w:p>
    <w:p w14:paraId="5DA0A9CF">
      <w:pPr>
        <w:tabs>
          <w:tab w:val="left" w:pos="720"/>
        </w:tabs>
        <w:spacing w:line="500" w:lineRule="exact"/>
        <w:ind w:firstLine="420" w:firstLineChars="200"/>
        <w:jc w:val="left"/>
        <w:rPr>
          <w:rFonts w:ascii="宋体"/>
          <w:color w:val="auto"/>
          <w:szCs w:val="21"/>
        </w:rPr>
      </w:pPr>
      <w:r>
        <w:rPr>
          <w:rFonts w:hint="eastAsia" w:ascii="宋体"/>
          <w:color w:val="auto"/>
          <w:szCs w:val="21"/>
        </w:rPr>
        <w:t>31.9评标结果公告</w:t>
      </w:r>
    </w:p>
    <w:p w14:paraId="1ABC40D3">
      <w:pPr>
        <w:tabs>
          <w:tab w:val="left" w:pos="720"/>
        </w:tabs>
        <w:spacing w:line="500" w:lineRule="exact"/>
        <w:ind w:firstLine="420" w:firstLineChars="200"/>
        <w:jc w:val="left"/>
        <w:rPr>
          <w:color w:val="auto"/>
        </w:rPr>
      </w:pPr>
      <w:r>
        <w:rPr>
          <w:rFonts w:hint="eastAsia" w:ascii="宋体"/>
          <w:color w:val="auto"/>
          <w:szCs w:val="21"/>
        </w:rPr>
        <w:t>招标人应将中标人的情况在滁州市公共资源交易中心等网站上予以公告，公告期为3日。</w:t>
      </w:r>
    </w:p>
    <w:p w14:paraId="1E4C70BF">
      <w:pPr>
        <w:spacing w:line="500" w:lineRule="exact"/>
        <w:ind w:firstLine="421"/>
        <w:jc w:val="left"/>
        <w:rPr>
          <w:rFonts w:ascii="宋体"/>
          <w:b/>
          <w:color w:val="auto"/>
          <w:szCs w:val="21"/>
        </w:rPr>
      </w:pPr>
      <w:r>
        <w:rPr>
          <w:rFonts w:hint="eastAsia" w:ascii="宋体"/>
          <w:b/>
          <w:color w:val="auto"/>
          <w:szCs w:val="21"/>
        </w:rPr>
        <w:t>32.定标</w:t>
      </w:r>
    </w:p>
    <w:p w14:paraId="3D4AD389">
      <w:pPr>
        <w:tabs>
          <w:tab w:val="left" w:pos="720"/>
        </w:tabs>
        <w:spacing w:line="500" w:lineRule="exact"/>
        <w:ind w:firstLine="420" w:firstLineChars="200"/>
        <w:jc w:val="left"/>
        <w:rPr>
          <w:rFonts w:ascii="宋体"/>
          <w:color w:val="auto"/>
          <w:szCs w:val="21"/>
        </w:rPr>
      </w:pPr>
      <w:r>
        <w:rPr>
          <w:rFonts w:hint="eastAsia" w:ascii="宋体"/>
          <w:color w:val="auto"/>
          <w:szCs w:val="21"/>
        </w:rPr>
        <w:t>32.1 中标人的确定</w:t>
      </w:r>
    </w:p>
    <w:p w14:paraId="511F9399">
      <w:pPr>
        <w:tabs>
          <w:tab w:val="left" w:pos="720"/>
        </w:tabs>
        <w:spacing w:line="500" w:lineRule="exact"/>
        <w:ind w:firstLine="420" w:firstLineChars="200"/>
        <w:jc w:val="left"/>
        <w:rPr>
          <w:rFonts w:ascii="宋体"/>
          <w:color w:val="auto"/>
          <w:szCs w:val="21"/>
        </w:rPr>
      </w:pPr>
      <w:r>
        <w:rPr>
          <w:rFonts w:hint="eastAsia" w:ascii="宋体"/>
          <w:color w:val="auto"/>
          <w:szCs w:val="21"/>
        </w:rPr>
        <w:t>32.1.1招标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B868DB0">
      <w:pPr>
        <w:tabs>
          <w:tab w:val="left" w:pos="720"/>
        </w:tabs>
        <w:spacing w:line="500" w:lineRule="exact"/>
        <w:ind w:firstLine="420" w:firstLineChars="200"/>
        <w:jc w:val="left"/>
        <w:rPr>
          <w:rFonts w:ascii="宋体"/>
          <w:color w:val="auto"/>
          <w:szCs w:val="21"/>
        </w:rPr>
      </w:pPr>
      <w:r>
        <w:rPr>
          <w:rFonts w:hint="eastAsia" w:ascii="宋体"/>
          <w:color w:val="auto"/>
          <w:szCs w:val="21"/>
        </w:rPr>
        <w:t>32.1.2中标人确定后，招标人应将中标信息在滁州市公共资源交易中心等网站上公告。</w:t>
      </w:r>
    </w:p>
    <w:p w14:paraId="701CAA28">
      <w:pPr>
        <w:tabs>
          <w:tab w:val="left" w:pos="720"/>
        </w:tabs>
        <w:spacing w:line="500" w:lineRule="exact"/>
        <w:ind w:firstLine="420" w:firstLineChars="200"/>
        <w:jc w:val="left"/>
        <w:rPr>
          <w:rFonts w:ascii="宋体"/>
          <w:color w:val="auto"/>
          <w:szCs w:val="21"/>
        </w:rPr>
      </w:pPr>
      <w:r>
        <w:rPr>
          <w:rFonts w:hint="eastAsia" w:ascii="宋体"/>
          <w:color w:val="auto"/>
          <w:szCs w:val="21"/>
        </w:rPr>
        <w:t>32.2 中标通知书</w:t>
      </w:r>
    </w:p>
    <w:p w14:paraId="48F9143D">
      <w:pPr>
        <w:tabs>
          <w:tab w:val="left" w:pos="720"/>
        </w:tabs>
        <w:spacing w:line="500" w:lineRule="exact"/>
        <w:ind w:firstLine="420" w:firstLineChars="200"/>
        <w:jc w:val="left"/>
        <w:rPr>
          <w:rFonts w:ascii="宋体"/>
          <w:color w:val="auto"/>
          <w:szCs w:val="21"/>
        </w:rPr>
      </w:pPr>
      <w:r>
        <w:rPr>
          <w:rFonts w:hint="eastAsia" w:ascii="宋体"/>
          <w:color w:val="auto"/>
          <w:szCs w:val="21"/>
        </w:rPr>
        <w:t>32.2.1招标人或代理机构应在中标人确定之日起2个工作日内，在滁州市公共资源交易中心等网站公告中标结果并同时向中标人发出中标通知书。</w:t>
      </w:r>
    </w:p>
    <w:p w14:paraId="65DD346C">
      <w:pPr>
        <w:tabs>
          <w:tab w:val="left" w:pos="720"/>
        </w:tabs>
        <w:spacing w:line="500" w:lineRule="exact"/>
        <w:ind w:firstLine="420" w:firstLineChars="200"/>
        <w:jc w:val="left"/>
        <w:rPr>
          <w:rFonts w:ascii="宋体"/>
          <w:color w:val="auto"/>
          <w:szCs w:val="21"/>
        </w:rPr>
      </w:pPr>
      <w:r>
        <w:rPr>
          <w:rFonts w:hint="eastAsia" w:ascii="宋体"/>
          <w:color w:val="auto"/>
          <w:szCs w:val="21"/>
        </w:rPr>
        <w:t>32.2.2中标通知书须加盖招标人、代理机构公章并经公共资源交易中心加盖见证章后，方可发出。</w:t>
      </w:r>
    </w:p>
    <w:p w14:paraId="1D4BD24C">
      <w:pPr>
        <w:tabs>
          <w:tab w:val="left" w:pos="720"/>
        </w:tabs>
        <w:spacing w:line="500" w:lineRule="exact"/>
        <w:ind w:firstLine="420" w:firstLineChars="200"/>
        <w:jc w:val="left"/>
        <w:rPr>
          <w:rFonts w:ascii="宋体"/>
          <w:color w:val="auto"/>
          <w:szCs w:val="21"/>
        </w:rPr>
      </w:pPr>
      <w:r>
        <w:rPr>
          <w:rFonts w:hint="eastAsia" w:ascii="宋体"/>
          <w:color w:val="auto"/>
          <w:szCs w:val="21"/>
        </w:rPr>
        <w:t>32.2.3招标人将在发出中标通知书的同时，向未通过资格审查的投标人告知其未通过的原因。</w:t>
      </w:r>
    </w:p>
    <w:p w14:paraId="21B85A56">
      <w:pPr>
        <w:spacing w:line="500" w:lineRule="exact"/>
        <w:ind w:firstLine="421"/>
        <w:jc w:val="left"/>
        <w:rPr>
          <w:rFonts w:ascii="宋体"/>
          <w:b/>
          <w:color w:val="auto"/>
          <w:szCs w:val="21"/>
        </w:rPr>
      </w:pPr>
      <w:r>
        <w:rPr>
          <w:rFonts w:hint="eastAsia" w:ascii="宋体"/>
          <w:b/>
          <w:color w:val="auto"/>
          <w:szCs w:val="21"/>
        </w:rPr>
        <w:t>33.开评标异常情况处理</w:t>
      </w:r>
    </w:p>
    <w:p w14:paraId="406A0602">
      <w:pPr>
        <w:spacing w:line="500" w:lineRule="exact"/>
        <w:ind w:firstLine="421"/>
        <w:jc w:val="left"/>
        <w:rPr>
          <w:rFonts w:ascii="宋体"/>
          <w:b/>
          <w:color w:val="auto"/>
          <w:szCs w:val="21"/>
        </w:rPr>
      </w:pPr>
      <w:r>
        <w:rPr>
          <w:rFonts w:hint="eastAsia" w:ascii="宋体"/>
          <w:color w:val="auto"/>
          <w:kern w:val="10"/>
          <w:szCs w:val="21"/>
        </w:rPr>
        <w:t>33.1</w:t>
      </w:r>
      <w:r>
        <w:rPr>
          <w:rFonts w:hint="eastAsia" w:ascii="宋体"/>
          <w:b/>
          <w:color w:val="auto"/>
          <w:szCs w:val="21"/>
        </w:rPr>
        <w:t xml:space="preserve">重新招标 </w:t>
      </w:r>
    </w:p>
    <w:p w14:paraId="7F60AFB3">
      <w:pPr>
        <w:tabs>
          <w:tab w:val="left" w:pos="720"/>
        </w:tabs>
        <w:spacing w:line="500" w:lineRule="exact"/>
        <w:ind w:firstLine="420" w:firstLineChars="200"/>
        <w:jc w:val="left"/>
        <w:rPr>
          <w:rFonts w:ascii="宋体"/>
          <w:color w:val="auto"/>
          <w:szCs w:val="21"/>
        </w:rPr>
      </w:pPr>
      <w:r>
        <w:rPr>
          <w:rFonts w:hint="eastAsia" w:ascii="宋体"/>
          <w:color w:val="auto"/>
          <w:szCs w:val="21"/>
        </w:rPr>
        <w:t>项目有下列情形之一的，招标人将重新招标：</w:t>
      </w:r>
    </w:p>
    <w:p w14:paraId="7D80DA66">
      <w:pPr>
        <w:adjustRightInd w:val="0"/>
        <w:snapToGrid w:val="0"/>
        <w:spacing w:line="500" w:lineRule="exact"/>
        <w:ind w:firstLine="420" w:firstLineChars="200"/>
        <w:rPr>
          <w:rFonts w:ascii="宋体"/>
          <w:color w:val="auto"/>
          <w:kern w:val="10"/>
          <w:szCs w:val="21"/>
        </w:rPr>
      </w:pPr>
      <w:r>
        <w:rPr>
          <w:rFonts w:hint="eastAsia" w:ascii="宋体"/>
          <w:color w:val="auto"/>
          <w:kern w:val="10"/>
          <w:szCs w:val="21"/>
        </w:rPr>
        <w:t xml:space="preserve">(1)投标截止时间止，投标人少于三个的； </w:t>
      </w:r>
    </w:p>
    <w:p w14:paraId="14371328">
      <w:pPr>
        <w:adjustRightInd w:val="0"/>
        <w:snapToGrid w:val="0"/>
        <w:spacing w:line="500" w:lineRule="exact"/>
        <w:ind w:firstLine="420" w:firstLineChars="200"/>
        <w:rPr>
          <w:rFonts w:ascii="宋体"/>
          <w:color w:val="auto"/>
          <w:kern w:val="10"/>
          <w:szCs w:val="21"/>
        </w:rPr>
      </w:pPr>
      <w:r>
        <w:rPr>
          <w:rFonts w:hint="eastAsia" w:ascii="宋体"/>
          <w:color w:val="auto"/>
          <w:kern w:val="10"/>
          <w:szCs w:val="21"/>
        </w:rPr>
        <w:t>(2)符合专业条件的供应商或者对招标文件作实质响应的供应商不足三家的；</w:t>
      </w:r>
    </w:p>
    <w:p w14:paraId="14D561E2">
      <w:pPr>
        <w:adjustRightInd w:val="0"/>
        <w:snapToGrid w:val="0"/>
        <w:spacing w:line="500" w:lineRule="exact"/>
        <w:ind w:firstLine="420" w:firstLineChars="200"/>
        <w:rPr>
          <w:rFonts w:ascii="宋体"/>
          <w:color w:val="auto"/>
          <w:kern w:val="10"/>
          <w:szCs w:val="21"/>
        </w:rPr>
      </w:pPr>
      <w:r>
        <w:rPr>
          <w:rFonts w:hint="eastAsia" w:ascii="宋体"/>
          <w:color w:val="auto"/>
          <w:kern w:val="10"/>
          <w:szCs w:val="21"/>
        </w:rPr>
        <w:t>(3)出现影响招标公正的违法、违规行为的；</w:t>
      </w:r>
    </w:p>
    <w:p w14:paraId="1199740D">
      <w:pPr>
        <w:adjustRightInd w:val="0"/>
        <w:snapToGrid w:val="0"/>
        <w:spacing w:line="500" w:lineRule="exact"/>
        <w:ind w:firstLine="420" w:firstLineChars="200"/>
        <w:rPr>
          <w:rFonts w:ascii="宋体"/>
          <w:color w:val="auto"/>
          <w:kern w:val="10"/>
          <w:szCs w:val="21"/>
        </w:rPr>
      </w:pPr>
      <w:r>
        <w:rPr>
          <w:rFonts w:hint="eastAsia" w:ascii="宋体"/>
          <w:color w:val="auto"/>
          <w:kern w:val="10"/>
          <w:szCs w:val="21"/>
        </w:rPr>
        <w:t>(4)投标人的报价均脱离实际且无充分证据的；</w:t>
      </w:r>
    </w:p>
    <w:p w14:paraId="77E6A2E1">
      <w:pPr>
        <w:adjustRightInd w:val="0"/>
        <w:snapToGrid w:val="0"/>
        <w:spacing w:line="500" w:lineRule="exact"/>
        <w:ind w:firstLine="420" w:firstLineChars="200"/>
        <w:rPr>
          <w:rFonts w:ascii="宋体"/>
          <w:color w:val="auto"/>
          <w:kern w:val="10"/>
          <w:szCs w:val="21"/>
        </w:rPr>
      </w:pPr>
      <w:r>
        <w:rPr>
          <w:rFonts w:hint="eastAsia" w:ascii="宋体"/>
          <w:color w:val="auto"/>
          <w:kern w:val="10"/>
          <w:szCs w:val="21"/>
        </w:rPr>
        <w:t>(5)技术标暗标项目，所有投标人的技术标均能反映投标人信息的；</w:t>
      </w:r>
    </w:p>
    <w:p w14:paraId="3C0DB972">
      <w:pPr>
        <w:adjustRightInd w:val="0"/>
        <w:snapToGrid w:val="0"/>
        <w:spacing w:line="500" w:lineRule="exact"/>
        <w:ind w:firstLine="420" w:firstLineChars="200"/>
        <w:rPr>
          <w:rFonts w:ascii="宋体"/>
          <w:color w:val="auto"/>
          <w:kern w:val="10"/>
          <w:szCs w:val="21"/>
        </w:rPr>
      </w:pPr>
      <w:r>
        <w:rPr>
          <w:rFonts w:hint="eastAsia" w:ascii="宋体"/>
          <w:color w:val="auto"/>
          <w:kern w:val="10"/>
          <w:szCs w:val="21"/>
        </w:rPr>
        <w:t>(6)因重大变故，采购任务取消的。</w:t>
      </w:r>
    </w:p>
    <w:p w14:paraId="2069C872">
      <w:pPr>
        <w:adjustRightInd w:val="0"/>
        <w:snapToGrid w:val="0"/>
        <w:spacing w:line="500" w:lineRule="exact"/>
        <w:ind w:firstLine="420" w:firstLineChars="200"/>
        <w:rPr>
          <w:rFonts w:ascii="宋体"/>
          <w:color w:val="auto"/>
          <w:kern w:val="10"/>
          <w:szCs w:val="21"/>
        </w:rPr>
      </w:pPr>
      <w:r>
        <w:rPr>
          <w:rFonts w:hint="eastAsia" w:ascii="宋体"/>
          <w:color w:val="auto"/>
          <w:kern w:val="10"/>
          <w:szCs w:val="21"/>
        </w:rPr>
        <w:t>33.2变更采购方式</w:t>
      </w:r>
    </w:p>
    <w:p w14:paraId="4D33BDDD">
      <w:pPr>
        <w:tabs>
          <w:tab w:val="left" w:pos="720"/>
        </w:tabs>
        <w:spacing w:line="500" w:lineRule="exact"/>
        <w:ind w:firstLine="420" w:firstLineChars="200"/>
        <w:jc w:val="left"/>
        <w:rPr>
          <w:rFonts w:ascii="宋体"/>
          <w:color w:val="auto"/>
          <w:szCs w:val="21"/>
        </w:rPr>
      </w:pPr>
      <w:bookmarkStart w:id="54" w:name="_Toc449028872"/>
      <w:r>
        <w:rPr>
          <w:rFonts w:hint="eastAsia" w:ascii="宋体"/>
          <w:color w:val="auto"/>
          <w:szCs w:val="21"/>
        </w:rPr>
        <w:t>按照滁州市公管局相关规定执行。</w:t>
      </w:r>
      <w:bookmarkEnd w:id="54"/>
    </w:p>
    <w:p w14:paraId="7302AC6F">
      <w:pPr>
        <w:spacing w:line="500" w:lineRule="exact"/>
        <w:jc w:val="center"/>
        <w:rPr>
          <w:rFonts w:ascii="黑体" w:eastAsia="黑体"/>
          <w:color w:val="auto"/>
          <w:sz w:val="24"/>
        </w:rPr>
      </w:pPr>
      <w:r>
        <w:rPr>
          <w:rFonts w:hint="eastAsia" w:ascii="黑体" w:eastAsia="黑体"/>
          <w:color w:val="auto"/>
          <w:sz w:val="28"/>
          <w:szCs w:val="28"/>
        </w:rPr>
        <w:t>（六）合同的授予</w:t>
      </w:r>
      <w:bookmarkEnd w:id="53"/>
    </w:p>
    <w:p w14:paraId="4BF65633">
      <w:pPr>
        <w:spacing w:line="500" w:lineRule="exact"/>
        <w:ind w:firstLine="521" w:firstLineChars="247"/>
        <w:jc w:val="left"/>
        <w:rPr>
          <w:rFonts w:ascii="宋体" w:hAnsi="宋体" w:cs="宋体"/>
          <w:b/>
          <w:color w:val="auto"/>
          <w:szCs w:val="21"/>
        </w:rPr>
      </w:pPr>
      <w:r>
        <w:rPr>
          <w:rFonts w:hint="eastAsia" w:ascii="宋体" w:hAnsi="宋体" w:cs="宋体"/>
          <w:b/>
          <w:color w:val="auto"/>
          <w:szCs w:val="21"/>
        </w:rPr>
        <w:t>34. 合同授予标准</w:t>
      </w:r>
    </w:p>
    <w:p w14:paraId="4C1420D3">
      <w:pPr>
        <w:spacing w:line="500" w:lineRule="exact"/>
        <w:ind w:firstLine="525" w:firstLineChars="250"/>
        <w:jc w:val="left"/>
        <w:rPr>
          <w:rFonts w:ascii="宋体" w:hAnsi="宋体" w:cs="宋体"/>
          <w:color w:val="auto"/>
          <w:szCs w:val="21"/>
        </w:rPr>
      </w:pPr>
      <w:r>
        <w:rPr>
          <w:rFonts w:hint="eastAsia" w:ascii="宋体" w:hAnsi="宋体" w:cs="宋体"/>
          <w:color w:val="auto"/>
          <w:szCs w:val="21"/>
        </w:rPr>
        <w:t>34.1 本招标项目的合同将授予按本投标须知第32.1.1条规定所确定的中标人。</w:t>
      </w:r>
    </w:p>
    <w:p w14:paraId="784F1B64">
      <w:pPr>
        <w:spacing w:line="500" w:lineRule="exact"/>
        <w:ind w:firstLine="521" w:firstLineChars="247"/>
        <w:jc w:val="left"/>
        <w:rPr>
          <w:rFonts w:ascii="宋体" w:hAnsi="宋体" w:cs="宋体"/>
          <w:b/>
          <w:color w:val="auto"/>
          <w:szCs w:val="21"/>
        </w:rPr>
      </w:pPr>
      <w:r>
        <w:rPr>
          <w:rFonts w:hint="eastAsia" w:ascii="宋体" w:hAnsi="宋体" w:cs="宋体"/>
          <w:b/>
          <w:color w:val="auto"/>
          <w:szCs w:val="21"/>
        </w:rPr>
        <w:t>35. 合同协议书的签订</w:t>
      </w:r>
    </w:p>
    <w:p w14:paraId="24BB9B24">
      <w:pPr>
        <w:spacing w:line="500" w:lineRule="exact"/>
        <w:ind w:firstLine="525" w:firstLineChars="250"/>
        <w:jc w:val="left"/>
        <w:rPr>
          <w:rFonts w:ascii="宋体" w:hAnsi="宋体" w:cs="宋体"/>
          <w:color w:val="auto"/>
          <w:szCs w:val="21"/>
        </w:rPr>
      </w:pPr>
      <w:r>
        <w:rPr>
          <w:rFonts w:hint="eastAsia" w:ascii="宋体" w:hAnsi="宋体" w:cs="宋体"/>
          <w:color w:val="auto"/>
          <w:szCs w:val="21"/>
        </w:rPr>
        <w:t>35.1 招标人与中标人将于中标通知书发出之日起30日内，按照招标文件和中标人的投标文件订立书面采购合同。招标人和中标人不得再行订立背离合同实质性内容的其他协议。</w:t>
      </w:r>
    </w:p>
    <w:p w14:paraId="33CDC041">
      <w:pPr>
        <w:spacing w:line="500" w:lineRule="exact"/>
        <w:ind w:firstLine="525" w:firstLineChars="250"/>
        <w:jc w:val="left"/>
        <w:rPr>
          <w:rFonts w:ascii="宋体" w:hAnsi="宋体" w:cs="宋体"/>
          <w:color w:val="auto"/>
          <w:szCs w:val="21"/>
        </w:rPr>
      </w:pPr>
      <w:r>
        <w:rPr>
          <w:rFonts w:hint="eastAsia" w:ascii="宋体" w:hAnsi="宋体" w:cs="宋体"/>
          <w:color w:val="auto"/>
          <w:szCs w:val="21"/>
        </w:rPr>
        <w:t>35.2发出中标通知书后，招标人无正当理由拒签合同的，招标人向中标人退还投标保证金；给中标人造成损失的，还应当赔偿损失。</w:t>
      </w:r>
    </w:p>
    <w:p w14:paraId="4254C5D9">
      <w:pPr>
        <w:spacing w:line="500" w:lineRule="exact"/>
        <w:ind w:firstLine="525" w:firstLineChars="250"/>
        <w:jc w:val="left"/>
        <w:rPr>
          <w:rFonts w:ascii="宋体" w:hAnsi="宋体" w:cs="宋体"/>
          <w:color w:val="auto"/>
          <w:szCs w:val="21"/>
        </w:rPr>
      </w:pPr>
      <w:r>
        <w:rPr>
          <w:rFonts w:hint="eastAsia" w:ascii="宋体" w:hAnsi="宋体" w:cs="宋体"/>
          <w:color w:val="auto"/>
          <w:szCs w:val="21"/>
        </w:rPr>
        <w:t>依法必须进行招标的项目，除中标人以外的其他投标人存在串通投标、弄虚作假、行贿情形且在评标过程中未被发现的，视为对中标结果没有造成实质性影响，招标人可以依法继续开展招标活动。</w:t>
      </w:r>
    </w:p>
    <w:p w14:paraId="7A38CD5D">
      <w:pPr>
        <w:spacing w:line="500" w:lineRule="exact"/>
        <w:rPr>
          <w:rFonts w:ascii="宋体" w:hAnsi="宋体" w:cs="宋体"/>
          <w:b/>
          <w:color w:val="auto"/>
          <w:szCs w:val="21"/>
        </w:rPr>
      </w:pPr>
      <w:r>
        <w:rPr>
          <w:rFonts w:hint="eastAsia" w:ascii="宋体" w:hAnsi="宋体" w:cs="宋体"/>
          <w:color w:val="auto"/>
          <w:szCs w:val="21"/>
        </w:rPr>
        <w:t xml:space="preserve">    36.</w:t>
      </w:r>
      <w:bookmarkStart w:id="55" w:name="_Toc217446068"/>
      <w:r>
        <w:rPr>
          <w:rFonts w:hint="eastAsia" w:ascii="宋体" w:hAnsi="宋体" w:cs="宋体"/>
          <w:color w:val="auto"/>
          <w:szCs w:val="21"/>
        </w:rPr>
        <w:t xml:space="preserve"> </w:t>
      </w:r>
      <w:r>
        <w:rPr>
          <w:rFonts w:hint="eastAsia" w:ascii="宋体" w:hAnsi="宋体" w:cs="宋体"/>
          <w:b/>
          <w:color w:val="auto"/>
          <w:szCs w:val="21"/>
        </w:rPr>
        <w:t>履约</w:t>
      </w:r>
      <w:bookmarkEnd w:id="55"/>
      <w:r>
        <w:rPr>
          <w:rFonts w:hint="eastAsia" w:ascii="宋体" w:hAnsi="宋体" w:cs="宋体"/>
          <w:b/>
          <w:color w:val="auto"/>
          <w:szCs w:val="21"/>
        </w:rPr>
        <w:t>担保</w:t>
      </w:r>
    </w:p>
    <w:p w14:paraId="406D7A95">
      <w:pPr>
        <w:spacing w:line="500" w:lineRule="exact"/>
        <w:ind w:firstLine="420" w:firstLineChars="200"/>
        <w:rPr>
          <w:rFonts w:ascii="宋体" w:hAnsi="宋体" w:cs="宋体"/>
          <w:color w:val="auto"/>
          <w:szCs w:val="21"/>
        </w:rPr>
      </w:pPr>
      <w:r>
        <w:rPr>
          <w:rFonts w:hint="eastAsia" w:ascii="宋体" w:hAnsi="宋体" w:cs="宋体"/>
          <w:color w:val="auto"/>
          <w:szCs w:val="21"/>
        </w:rPr>
        <w:t>36.1在签订合同前，中标人应按投标人须知前附表规定的担保形式、金额和招标文件第五章“合同条款及格式”规定的或者事先经过招标人书面认可的履约担保格式向招标人提交履约担保。</w:t>
      </w:r>
    </w:p>
    <w:p w14:paraId="141F4B15">
      <w:pPr>
        <w:spacing w:line="500" w:lineRule="exact"/>
        <w:ind w:firstLine="420" w:firstLineChars="200"/>
        <w:rPr>
          <w:rFonts w:ascii="宋体" w:hAnsi="宋体" w:cs="宋体"/>
          <w:color w:val="auto"/>
          <w:szCs w:val="21"/>
        </w:rPr>
      </w:pPr>
      <w:r>
        <w:rPr>
          <w:rFonts w:hint="eastAsia" w:ascii="宋体" w:hAnsi="宋体" w:cs="宋体"/>
          <w:color w:val="auto"/>
          <w:szCs w:val="21"/>
        </w:rPr>
        <w:t>36.2 中标人不能按本章第36.1项要求提交履约担保的，视为放弃中标，其投标保证金不予退还，</w:t>
      </w:r>
      <w:r>
        <w:rPr>
          <w:rFonts w:hint="eastAsia" w:ascii="宋体" w:hAnsi="宋体" w:cs="宋体"/>
          <w:color w:val="auto"/>
          <w:szCs w:val="21"/>
          <w:shd w:val="clear" w:color="auto" w:fill="FFFFFF"/>
        </w:rPr>
        <w:t>给招标人造成损失的，依法承担民事责任</w:t>
      </w:r>
      <w:r>
        <w:rPr>
          <w:rFonts w:hint="eastAsia" w:ascii="宋体" w:hAnsi="宋体" w:cs="宋体"/>
          <w:color w:val="auto"/>
          <w:szCs w:val="21"/>
        </w:rPr>
        <w:t>。</w:t>
      </w:r>
    </w:p>
    <w:p w14:paraId="4E3E7D89">
      <w:pPr>
        <w:spacing w:beforeLines="100" w:afterLines="100" w:line="500" w:lineRule="exact"/>
        <w:jc w:val="center"/>
        <w:rPr>
          <w:rFonts w:ascii="宋体"/>
          <w:b/>
          <w:color w:val="auto"/>
          <w:sz w:val="28"/>
          <w:szCs w:val="28"/>
        </w:rPr>
      </w:pPr>
      <w:bookmarkStart w:id="56" w:name="_Toc449028874"/>
      <w:r>
        <w:rPr>
          <w:rFonts w:hint="eastAsia" w:ascii="宋体"/>
          <w:b/>
          <w:color w:val="auto"/>
          <w:sz w:val="28"/>
          <w:szCs w:val="28"/>
        </w:rPr>
        <w:t>（七）纪律和监督</w:t>
      </w:r>
      <w:bookmarkEnd w:id="56"/>
    </w:p>
    <w:p w14:paraId="36A062C0">
      <w:pPr>
        <w:spacing w:line="500" w:lineRule="exact"/>
        <w:ind w:firstLine="310" w:firstLineChars="147"/>
        <w:jc w:val="left"/>
        <w:rPr>
          <w:rFonts w:ascii="宋体"/>
          <w:b/>
          <w:color w:val="auto"/>
          <w:szCs w:val="21"/>
        </w:rPr>
      </w:pPr>
      <w:r>
        <w:rPr>
          <w:rFonts w:hint="eastAsia" w:ascii="宋体"/>
          <w:b/>
          <w:color w:val="auto"/>
          <w:szCs w:val="21"/>
        </w:rPr>
        <w:t xml:space="preserve">37. 对招标人的纪律要求 </w:t>
      </w:r>
    </w:p>
    <w:p w14:paraId="0221C6BD">
      <w:pPr>
        <w:adjustRightInd w:val="0"/>
        <w:snapToGrid w:val="0"/>
        <w:spacing w:line="500" w:lineRule="exact"/>
        <w:ind w:firstLine="315" w:firstLineChars="150"/>
        <w:rPr>
          <w:rFonts w:ascii="宋体"/>
          <w:color w:val="auto"/>
          <w:kern w:val="10"/>
          <w:szCs w:val="21"/>
        </w:rPr>
      </w:pPr>
      <w:r>
        <w:rPr>
          <w:rFonts w:hint="eastAsia" w:ascii="宋体"/>
          <w:color w:val="auto"/>
          <w:kern w:val="10"/>
          <w:szCs w:val="21"/>
        </w:rPr>
        <w:t xml:space="preserve">37.1招标人不得泄漏招标投标活动中应当保密的情况和资料，不得与投标人串通损害国家利益，社会公共利益或者他人合法权益。 </w:t>
      </w:r>
    </w:p>
    <w:p w14:paraId="723539E2">
      <w:pPr>
        <w:spacing w:line="500" w:lineRule="exact"/>
        <w:ind w:firstLine="310" w:firstLineChars="147"/>
        <w:jc w:val="left"/>
        <w:rPr>
          <w:rFonts w:ascii="宋体"/>
          <w:b/>
          <w:color w:val="auto"/>
          <w:szCs w:val="21"/>
        </w:rPr>
      </w:pPr>
      <w:r>
        <w:rPr>
          <w:rFonts w:hint="eastAsia" w:ascii="宋体"/>
          <w:b/>
          <w:color w:val="auto"/>
          <w:szCs w:val="21"/>
        </w:rPr>
        <w:t xml:space="preserve">38. 对投标人的纪律要求 </w:t>
      </w:r>
    </w:p>
    <w:p w14:paraId="72BF1867">
      <w:pPr>
        <w:adjustRightInd w:val="0"/>
        <w:snapToGrid w:val="0"/>
        <w:spacing w:line="500" w:lineRule="exact"/>
        <w:ind w:firstLine="315" w:firstLineChars="150"/>
        <w:rPr>
          <w:rFonts w:ascii="宋体"/>
          <w:color w:val="auto"/>
          <w:kern w:val="10"/>
          <w:szCs w:val="21"/>
        </w:rPr>
      </w:pPr>
      <w:r>
        <w:rPr>
          <w:rFonts w:hint="eastAsia" w:ascii="宋体"/>
          <w:color w:val="auto"/>
          <w:kern w:val="10"/>
          <w:szCs w:val="21"/>
        </w:rPr>
        <w:t>38.1投标人不得相互串通投标或者与招标人串通投标，不得向招标人或者评标委员会成员行贿谋取中标，不得以他人名义投标或者以其他方式弄虚作假骗取中标；投标人不得以任何方式干扰、影响评标工作。</w:t>
      </w:r>
    </w:p>
    <w:p w14:paraId="500656CB">
      <w:pPr>
        <w:spacing w:line="500" w:lineRule="exact"/>
        <w:ind w:firstLine="310" w:firstLineChars="147"/>
        <w:jc w:val="left"/>
        <w:rPr>
          <w:rFonts w:ascii="宋体"/>
          <w:b/>
          <w:color w:val="auto"/>
          <w:szCs w:val="21"/>
        </w:rPr>
      </w:pPr>
      <w:r>
        <w:rPr>
          <w:rFonts w:hint="eastAsia" w:ascii="宋体"/>
          <w:b/>
          <w:color w:val="auto"/>
          <w:szCs w:val="21"/>
        </w:rPr>
        <w:t xml:space="preserve">39. 对评标委员会成员的纪律要求 </w:t>
      </w:r>
    </w:p>
    <w:p w14:paraId="321C5028">
      <w:pPr>
        <w:adjustRightInd w:val="0"/>
        <w:snapToGrid w:val="0"/>
        <w:spacing w:line="500" w:lineRule="exact"/>
        <w:ind w:firstLine="315" w:firstLineChars="150"/>
        <w:rPr>
          <w:rFonts w:ascii="宋体"/>
          <w:color w:val="auto"/>
          <w:kern w:val="10"/>
          <w:szCs w:val="21"/>
        </w:rPr>
      </w:pPr>
      <w:r>
        <w:rPr>
          <w:rFonts w:hint="eastAsia" w:ascii="宋体"/>
          <w:color w:val="auto"/>
          <w:kern w:val="10"/>
          <w:szCs w:val="21"/>
        </w:rPr>
        <w:t>39.1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1A5F7BE">
      <w:pPr>
        <w:spacing w:line="500" w:lineRule="exact"/>
        <w:ind w:firstLine="310" w:firstLineChars="147"/>
        <w:jc w:val="left"/>
        <w:rPr>
          <w:rFonts w:ascii="宋体"/>
          <w:b/>
          <w:color w:val="auto"/>
          <w:szCs w:val="21"/>
        </w:rPr>
      </w:pPr>
      <w:r>
        <w:rPr>
          <w:rFonts w:hint="eastAsia" w:ascii="宋体"/>
          <w:b/>
          <w:color w:val="auto"/>
          <w:szCs w:val="21"/>
        </w:rPr>
        <w:t xml:space="preserve">40. 对与评标活动有关的工作人员的纪律要求 </w:t>
      </w:r>
    </w:p>
    <w:p w14:paraId="1C42F96B">
      <w:pPr>
        <w:adjustRightInd w:val="0"/>
        <w:snapToGrid w:val="0"/>
        <w:spacing w:line="500" w:lineRule="exact"/>
        <w:ind w:firstLine="315" w:firstLineChars="150"/>
        <w:rPr>
          <w:rFonts w:ascii="宋体"/>
          <w:color w:val="auto"/>
          <w:kern w:val="10"/>
          <w:szCs w:val="21"/>
        </w:rPr>
      </w:pPr>
      <w:r>
        <w:rPr>
          <w:rFonts w:hint="eastAsia" w:ascii="宋体"/>
          <w:color w:val="auto"/>
          <w:kern w:val="10"/>
          <w:szCs w:val="21"/>
        </w:rPr>
        <w:t>40.1与评标活动有关的工作人员不得收受他人的财物或者其他好处，不得向他人透漏对投标文件的评审和比较、中标人的推荐情况以及评标有关的其他情况。在评标活动中，与评标活动有关的工作人员不得擅离职守，影响评标程序正常进行。</w:t>
      </w:r>
    </w:p>
    <w:p w14:paraId="550728D7">
      <w:pPr>
        <w:spacing w:beforeLines="100" w:afterLines="100" w:line="500" w:lineRule="exact"/>
        <w:jc w:val="center"/>
        <w:rPr>
          <w:rFonts w:ascii="宋体"/>
          <w:b/>
          <w:color w:val="auto"/>
          <w:sz w:val="28"/>
          <w:szCs w:val="28"/>
        </w:rPr>
      </w:pPr>
      <w:r>
        <w:rPr>
          <w:rFonts w:hint="eastAsia" w:ascii="宋体"/>
          <w:b/>
          <w:color w:val="auto"/>
          <w:sz w:val="28"/>
          <w:szCs w:val="28"/>
        </w:rPr>
        <w:t>（八）投诉</w:t>
      </w:r>
    </w:p>
    <w:p w14:paraId="6D1B0C9E">
      <w:pPr>
        <w:spacing w:line="500" w:lineRule="exact"/>
        <w:ind w:firstLine="314" w:firstLineChars="149"/>
        <w:jc w:val="left"/>
        <w:rPr>
          <w:rFonts w:ascii="宋体" w:hAnsi="宋体"/>
          <w:b/>
          <w:color w:val="auto"/>
          <w:szCs w:val="21"/>
        </w:rPr>
      </w:pPr>
      <w:r>
        <w:rPr>
          <w:rFonts w:hint="eastAsia" w:ascii="宋体" w:hAnsi="宋体"/>
          <w:b/>
          <w:color w:val="auto"/>
          <w:szCs w:val="21"/>
        </w:rPr>
        <w:t>41. 投诉</w:t>
      </w:r>
    </w:p>
    <w:p w14:paraId="0DC9000B">
      <w:pPr>
        <w:adjustRightInd w:val="0"/>
        <w:snapToGrid w:val="0"/>
        <w:spacing w:line="500" w:lineRule="exact"/>
        <w:ind w:firstLine="315" w:firstLineChars="150"/>
        <w:rPr>
          <w:rFonts w:ascii="宋体"/>
          <w:color w:val="auto"/>
          <w:kern w:val="10"/>
          <w:szCs w:val="21"/>
        </w:rPr>
      </w:pPr>
      <w:r>
        <w:rPr>
          <w:rFonts w:hint="eastAsia" w:ascii="宋体"/>
          <w:color w:val="auto"/>
          <w:kern w:val="10"/>
          <w:szCs w:val="21"/>
        </w:rPr>
        <w:t>41.1投标人或者其他利害关系人认为招标投标活动违反法律、法规和规章规定的，有权向相关行政监督部门投诉。投诉应当有明确的请求和必要的证明材料。</w:t>
      </w:r>
    </w:p>
    <w:p w14:paraId="7DD0F5D3">
      <w:pPr>
        <w:adjustRightInd w:val="0"/>
        <w:snapToGrid w:val="0"/>
        <w:spacing w:line="500" w:lineRule="exact"/>
        <w:ind w:firstLine="315" w:firstLineChars="150"/>
        <w:rPr>
          <w:rFonts w:ascii="宋体"/>
          <w:color w:val="auto"/>
          <w:kern w:val="10"/>
          <w:szCs w:val="21"/>
        </w:rPr>
      </w:pPr>
      <w:r>
        <w:rPr>
          <w:rFonts w:hint="eastAsia" w:ascii="宋体"/>
          <w:color w:val="auto"/>
          <w:kern w:val="10"/>
          <w:szCs w:val="21"/>
        </w:rPr>
        <w:t>41.2投标人和其他利害关系人对招标文件、开标和评标结果事项投诉的，应当按照投标人须知的规定先向招标人提出异议。异议答复期间不计算在第41.1项规定的期限内。</w:t>
      </w:r>
    </w:p>
    <w:p w14:paraId="27D6DCB9">
      <w:pPr>
        <w:spacing w:line="440" w:lineRule="exact"/>
        <w:ind w:firstLine="600" w:firstLineChars="200"/>
        <w:jc w:val="left"/>
        <w:rPr>
          <w:rFonts w:ascii="黑体" w:eastAsia="黑体"/>
          <w:color w:val="auto"/>
          <w:sz w:val="30"/>
          <w:szCs w:val="30"/>
        </w:rPr>
      </w:pPr>
    </w:p>
    <w:p w14:paraId="62260E25">
      <w:pPr>
        <w:spacing w:line="440" w:lineRule="exact"/>
        <w:ind w:firstLine="450" w:firstLineChars="150"/>
        <w:jc w:val="left"/>
        <w:rPr>
          <w:rFonts w:ascii="黑体" w:eastAsia="黑体"/>
          <w:color w:val="auto"/>
          <w:sz w:val="30"/>
          <w:szCs w:val="30"/>
        </w:rPr>
      </w:pPr>
    </w:p>
    <w:p w14:paraId="12AE14ED">
      <w:pPr>
        <w:pStyle w:val="2"/>
        <w:spacing w:line="280" w:lineRule="exact"/>
        <w:rPr>
          <w:rFonts w:ascii="宋体"/>
          <w:b w:val="0"/>
          <w:color w:val="auto"/>
          <w:szCs w:val="32"/>
        </w:rPr>
      </w:pPr>
      <w:r>
        <w:rPr>
          <w:rFonts w:ascii="宋体"/>
          <w:b w:val="0"/>
          <w:color w:val="auto"/>
          <w:szCs w:val="32"/>
        </w:rPr>
        <w:br w:type="page"/>
      </w:r>
      <w:bookmarkStart w:id="57" w:name="_Toc28871"/>
      <w:r>
        <w:rPr>
          <w:rFonts w:hint="eastAsia" w:ascii="宋体"/>
          <w:bCs w:val="0"/>
          <w:color w:val="auto"/>
          <w:szCs w:val="32"/>
        </w:rPr>
        <w:t>第三章 评标办法（综合评分法）</w:t>
      </w:r>
      <w:bookmarkEnd w:id="57"/>
    </w:p>
    <w:p w14:paraId="348C11CE">
      <w:pPr>
        <w:spacing w:beforeLines="50" w:afterLines="50" w:line="500" w:lineRule="exact"/>
        <w:jc w:val="center"/>
        <w:outlineLvl w:val="1"/>
        <w:rPr>
          <w:rFonts w:ascii="宋体" w:hAnsi="宋体" w:cs="宋体"/>
          <w:b/>
          <w:color w:val="auto"/>
          <w:sz w:val="28"/>
          <w:szCs w:val="28"/>
        </w:rPr>
      </w:pPr>
      <w:bookmarkStart w:id="58" w:name="_Toc58430317"/>
      <w:bookmarkStart w:id="59" w:name="_Toc20697"/>
      <w:bookmarkStart w:id="60" w:name="_Toc362983801"/>
      <w:bookmarkStart w:id="61" w:name="_Toc449028877"/>
      <w:bookmarkStart w:id="62" w:name="_Toc267320058"/>
      <w:bookmarkStart w:id="63" w:name="_Toc363135205"/>
      <w:r>
        <w:rPr>
          <w:rFonts w:hint="eastAsia" w:ascii="宋体" w:hAnsi="宋体" w:cs="宋体"/>
          <w:b/>
          <w:color w:val="auto"/>
          <w:sz w:val="28"/>
          <w:szCs w:val="28"/>
        </w:rPr>
        <w:t>一、总则</w:t>
      </w:r>
      <w:bookmarkEnd w:id="58"/>
      <w:bookmarkEnd w:id="59"/>
      <w:bookmarkEnd w:id="60"/>
      <w:bookmarkEnd w:id="61"/>
    </w:p>
    <w:p w14:paraId="2C80926C">
      <w:pPr>
        <w:spacing w:line="500" w:lineRule="exact"/>
        <w:ind w:firstLine="316" w:firstLineChars="150"/>
        <w:jc w:val="left"/>
        <w:rPr>
          <w:rFonts w:ascii="宋体" w:hAnsi="宋体" w:cs="宋体"/>
          <w:b/>
          <w:color w:val="auto"/>
          <w:szCs w:val="21"/>
        </w:rPr>
      </w:pPr>
      <w:r>
        <w:rPr>
          <w:rFonts w:hint="eastAsia" w:ascii="宋体" w:hAnsi="宋体" w:cs="宋体"/>
          <w:b/>
          <w:color w:val="auto"/>
          <w:szCs w:val="21"/>
        </w:rPr>
        <w:t xml:space="preserve"> 1. 本次评标采用综合评分法</w:t>
      </w:r>
    </w:p>
    <w:p w14:paraId="38C34B8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1.1综合评分法是指投标文件满足招标文件全部实质性要求且按照评审因素的量化指标评审总得分从高到低的供应商为中标候选人的评标方法。</w:t>
      </w:r>
    </w:p>
    <w:p w14:paraId="24DBA1B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1.2综合评分法一般适用于较为复杂、评价指标难以量化且价格为非主要因素的非标准定制商品和非通用服务项目的项目评审。</w:t>
      </w:r>
    </w:p>
    <w:p w14:paraId="713CB7B3">
      <w:pPr>
        <w:spacing w:line="500" w:lineRule="exact"/>
        <w:ind w:firstLine="422" w:firstLineChars="200"/>
        <w:jc w:val="left"/>
        <w:rPr>
          <w:rFonts w:ascii="宋体" w:hAnsi="宋体" w:cs="宋体"/>
          <w:b/>
          <w:color w:val="auto"/>
          <w:szCs w:val="21"/>
        </w:rPr>
      </w:pPr>
      <w:r>
        <w:rPr>
          <w:rFonts w:hint="eastAsia" w:ascii="宋体" w:hAnsi="宋体" w:cs="宋体"/>
          <w:b/>
          <w:color w:val="auto"/>
          <w:szCs w:val="21"/>
        </w:rPr>
        <w:t>2．评标程序</w:t>
      </w:r>
    </w:p>
    <w:p w14:paraId="34002D7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2.1投标文件的初审</w:t>
      </w:r>
    </w:p>
    <w:p w14:paraId="3B647AB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2.1.1资格性检查。依据法律法规和招标文件的规定，对投标文件中的资格证明、投标保证金等进行审查，以确定投标人是否具备投标资格。 </w:t>
      </w:r>
    </w:p>
    <w:p w14:paraId="41F2CBE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2.1.2符合性检查。依据招标文件的规定，从投标文件的有效性、完整性和对招标文件的响应程度进行审查，以确定投标人是否对招标文件的实质性要求作出响应。</w:t>
      </w:r>
    </w:p>
    <w:p w14:paraId="14C19F5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2.2投标文件的澄清</w:t>
      </w:r>
    </w:p>
    <w:p w14:paraId="6B0601F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2.2.1在评标过程中，评标委员会认为需要，在监督人员在场的情况下，可要求投标人对投标文件中的有关问题进行澄清或提供补充说明及有关资料，投标人应做出书面答复。书面答复中不得变更价格、供货期、自报质量等实质性内容。</w:t>
      </w:r>
    </w:p>
    <w:p w14:paraId="417BE671">
      <w:pPr>
        <w:wordWrap w:val="0"/>
        <w:spacing w:line="500" w:lineRule="exact"/>
        <w:ind w:firstLine="422" w:firstLineChars="200"/>
        <w:jc w:val="left"/>
        <w:rPr>
          <w:rFonts w:ascii="宋体" w:hAnsi="宋体" w:cs="宋体"/>
          <w:color w:val="auto"/>
          <w:szCs w:val="21"/>
        </w:rPr>
      </w:pPr>
      <w:r>
        <w:rPr>
          <w:rFonts w:hint="eastAsia" w:ascii="宋体" w:hAnsi="宋体" w:cs="宋体"/>
          <w:b/>
          <w:bCs/>
          <w:color w:val="auto"/>
          <w:szCs w:val="21"/>
        </w:rPr>
        <w:t>本项目采用远程开标，具体操作方法详见服务指南&gt;交易须知&gt;开标大厅远程解密、质疑(异议)及回复以及评标过程中询标流程操作手册。</w:t>
      </w:r>
    </w:p>
    <w:p w14:paraId="2F15415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0D631D5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2.2.3  招标人不接受投标人主动提出的澄清。</w:t>
      </w:r>
    </w:p>
    <w:p w14:paraId="527F6D2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2.3比较与评价</w:t>
      </w:r>
    </w:p>
    <w:p w14:paraId="7199208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2．3.1按招标文件中规定的评标方法和标准，对资格性检查和符合性检查合格的投标文件进行资信、商务和技术评估，综合比较与评价。 </w:t>
      </w:r>
    </w:p>
    <w:p w14:paraId="12D5965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2.4推荐中标候选人名单</w:t>
      </w:r>
    </w:p>
    <w:p w14:paraId="258869D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2.4.1中标候选人数量应当根据采购需要确定，但必须按顺序排列中标候选人。</w:t>
      </w:r>
    </w:p>
    <w:p w14:paraId="5A9B7028">
      <w:pPr>
        <w:spacing w:line="500" w:lineRule="exact"/>
        <w:ind w:firstLine="420" w:firstLineChars="200"/>
        <w:jc w:val="left"/>
        <w:rPr>
          <w:rFonts w:ascii="宋体" w:hAnsi="宋体" w:cs="宋体"/>
          <w:color w:val="auto"/>
        </w:rPr>
      </w:pPr>
      <w:r>
        <w:rPr>
          <w:rFonts w:hint="eastAsia" w:ascii="宋体" w:hAnsi="宋体" w:cs="宋体"/>
          <w:color w:val="auto"/>
          <w:szCs w:val="21"/>
        </w:rPr>
        <w:t>2.5在投标文件的审查、澄清、评价和比较以及授予合同过程中，投标人对招标人和评标委员会成员施加影响的任何行为，都将导致取消其中标资格。</w:t>
      </w:r>
      <w:bookmarkStart w:id="64" w:name="_Toc58430318"/>
      <w:bookmarkStart w:id="65" w:name="_Toc362983802"/>
      <w:bookmarkStart w:id="66" w:name="_Toc449028878"/>
    </w:p>
    <w:p w14:paraId="72F28CDE">
      <w:pPr>
        <w:spacing w:beforeLines="50" w:afterLines="50" w:line="500" w:lineRule="exact"/>
        <w:jc w:val="center"/>
        <w:outlineLvl w:val="1"/>
        <w:rPr>
          <w:rFonts w:ascii="宋体" w:hAnsi="宋体" w:cs="宋体"/>
          <w:b/>
          <w:color w:val="auto"/>
          <w:sz w:val="28"/>
          <w:szCs w:val="28"/>
        </w:rPr>
      </w:pPr>
      <w:r>
        <w:rPr>
          <w:rFonts w:hint="eastAsia" w:ascii="宋体" w:hAnsi="宋体" w:cs="宋体"/>
          <w:b/>
          <w:color w:val="auto"/>
          <w:sz w:val="28"/>
          <w:szCs w:val="28"/>
        </w:rPr>
        <w:t>二、投标文件初审</w:t>
      </w:r>
      <w:bookmarkEnd w:id="64"/>
      <w:bookmarkEnd w:id="65"/>
      <w:bookmarkEnd w:id="66"/>
    </w:p>
    <w:p w14:paraId="401C8BDC">
      <w:pPr>
        <w:spacing w:line="500" w:lineRule="exact"/>
        <w:ind w:firstLine="310" w:firstLineChars="147"/>
        <w:jc w:val="left"/>
        <w:rPr>
          <w:rFonts w:ascii="宋体" w:hAnsi="宋体" w:cs="宋体"/>
          <w:b/>
          <w:color w:val="auto"/>
          <w:szCs w:val="21"/>
        </w:rPr>
      </w:pPr>
      <w:r>
        <w:rPr>
          <w:rFonts w:hint="eastAsia" w:ascii="宋体" w:hAnsi="宋体" w:cs="宋体"/>
          <w:b/>
          <w:color w:val="auto"/>
          <w:szCs w:val="21"/>
        </w:rPr>
        <w:t>3.资格性审查:</w:t>
      </w:r>
    </w:p>
    <w:p w14:paraId="012D69DD">
      <w:pPr>
        <w:spacing w:line="500" w:lineRule="exact"/>
        <w:ind w:firstLine="308" w:firstLineChars="147"/>
        <w:jc w:val="left"/>
        <w:rPr>
          <w:rFonts w:ascii="宋体" w:hAnsi="宋体" w:cs="宋体"/>
          <w:color w:val="auto"/>
          <w:szCs w:val="21"/>
        </w:rPr>
      </w:pPr>
      <w:r>
        <w:rPr>
          <w:rFonts w:hint="eastAsia" w:ascii="宋体" w:hAnsi="宋体" w:cs="宋体"/>
          <w:color w:val="auto"/>
          <w:szCs w:val="21"/>
        </w:rPr>
        <w:t>3.1评审细则</w:t>
      </w:r>
    </w:p>
    <w:tbl>
      <w:tblPr>
        <w:tblStyle w:val="35"/>
        <w:tblW w:w="9926"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25"/>
        <w:gridCol w:w="4305"/>
        <w:gridCol w:w="3176"/>
      </w:tblGrid>
      <w:tr w14:paraId="52DE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0" w:type="dxa"/>
            <w:vAlign w:val="center"/>
          </w:tcPr>
          <w:p w14:paraId="66380ACF">
            <w:pPr>
              <w:spacing w:line="500" w:lineRule="exact"/>
              <w:jc w:val="center"/>
              <w:rPr>
                <w:rFonts w:ascii="宋体" w:hAnsi="宋体" w:cs="宋体"/>
                <w:b/>
                <w:bCs/>
                <w:color w:val="auto"/>
                <w:szCs w:val="21"/>
              </w:rPr>
            </w:pPr>
            <w:r>
              <w:rPr>
                <w:rFonts w:hint="eastAsia" w:ascii="宋体" w:hAnsi="宋体" w:cs="宋体"/>
                <w:b/>
                <w:bCs/>
                <w:color w:val="auto"/>
                <w:szCs w:val="21"/>
              </w:rPr>
              <w:t>序号</w:t>
            </w:r>
          </w:p>
        </w:tc>
        <w:tc>
          <w:tcPr>
            <w:tcW w:w="6030" w:type="dxa"/>
            <w:gridSpan w:val="2"/>
            <w:vAlign w:val="center"/>
          </w:tcPr>
          <w:p w14:paraId="518FA2C1">
            <w:pPr>
              <w:spacing w:line="500" w:lineRule="exact"/>
              <w:jc w:val="center"/>
              <w:rPr>
                <w:rFonts w:ascii="宋体" w:hAnsi="宋体" w:cs="宋体"/>
                <w:b/>
                <w:bCs/>
                <w:color w:val="auto"/>
                <w:szCs w:val="21"/>
              </w:rPr>
            </w:pPr>
            <w:r>
              <w:rPr>
                <w:rFonts w:hint="eastAsia" w:ascii="宋体" w:hAnsi="宋体" w:cs="宋体"/>
                <w:b/>
                <w:bCs/>
                <w:color w:val="auto"/>
                <w:szCs w:val="21"/>
              </w:rPr>
              <w:t>评审因素</w:t>
            </w:r>
          </w:p>
        </w:tc>
        <w:tc>
          <w:tcPr>
            <w:tcW w:w="3176" w:type="dxa"/>
            <w:vAlign w:val="center"/>
          </w:tcPr>
          <w:p w14:paraId="0140E1BD">
            <w:pPr>
              <w:spacing w:line="500" w:lineRule="exact"/>
              <w:jc w:val="center"/>
              <w:rPr>
                <w:rFonts w:ascii="宋体" w:hAnsi="宋体" w:cs="宋体"/>
                <w:b/>
                <w:bCs/>
                <w:color w:val="auto"/>
                <w:szCs w:val="21"/>
              </w:rPr>
            </w:pPr>
            <w:r>
              <w:rPr>
                <w:rFonts w:hint="eastAsia" w:ascii="宋体" w:hAnsi="宋体" w:cs="宋体"/>
                <w:b/>
                <w:bCs/>
                <w:color w:val="auto"/>
                <w:szCs w:val="21"/>
              </w:rPr>
              <w:t>评审标准</w:t>
            </w:r>
          </w:p>
        </w:tc>
      </w:tr>
      <w:tr w14:paraId="7C28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0" w:type="dxa"/>
            <w:vAlign w:val="center"/>
          </w:tcPr>
          <w:p w14:paraId="5A4E5503">
            <w:pPr>
              <w:spacing w:line="500" w:lineRule="exact"/>
              <w:jc w:val="center"/>
              <w:rPr>
                <w:rFonts w:ascii="宋体" w:hAnsi="宋体" w:cs="宋体"/>
                <w:color w:val="auto"/>
                <w:szCs w:val="21"/>
              </w:rPr>
            </w:pPr>
            <w:r>
              <w:rPr>
                <w:rFonts w:hint="eastAsia" w:ascii="宋体" w:hAnsi="宋体" w:cs="宋体"/>
                <w:color w:val="auto"/>
                <w:szCs w:val="21"/>
              </w:rPr>
              <w:t>1</w:t>
            </w:r>
          </w:p>
        </w:tc>
        <w:tc>
          <w:tcPr>
            <w:tcW w:w="1725" w:type="dxa"/>
            <w:vAlign w:val="center"/>
          </w:tcPr>
          <w:p w14:paraId="4A47BFC9">
            <w:pPr>
              <w:spacing w:line="500" w:lineRule="exact"/>
              <w:jc w:val="center"/>
              <w:rPr>
                <w:rFonts w:ascii="宋体" w:hAnsi="宋体" w:cs="宋体"/>
                <w:color w:val="auto"/>
                <w:szCs w:val="21"/>
              </w:rPr>
            </w:pPr>
            <w:r>
              <w:rPr>
                <w:rFonts w:hint="eastAsia" w:ascii="宋体" w:hAnsi="宋体" w:cs="宋体"/>
                <w:color w:val="auto"/>
                <w:szCs w:val="21"/>
              </w:rPr>
              <w:t>重要要求</w:t>
            </w:r>
          </w:p>
        </w:tc>
        <w:tc>
          <w:tcPr>
            <w:tcW w:w="4305" w:type="dxa"/>
            <w:vAlign w:val="center"/>
          </w:tcPr>
          <w:p w14:paraId="2D13D32A">
            <w:pPr>
              <w:spacing w:line="500" w:lineRule="exact"/>
              <w:rPr>
                <w:rFonts w:ascii="宋体" w:hAnsi="宋体" w:cs="宋体"/>
                <w:color w:val="auto"/>
                <w:szCs w:val="21"/>
              </w:rPr>
            </w:pPr>
            <w:r>
              <w:rPr>
                <w:rFonts w:hint="eastAsia" w:ascii="宋体" w:hAnsi="宋体" w:cs="宋体"/>
                <w:color w:val="auto"/>
                <w:szCs w:val="21"/>
              </w:rPr>
              <w:t>（1）法定代表人身份证明和本人有效身份证(或法定代表人授权委托书和委托代理人有效身份证)</w:t>
            </w:r>
          </w:p>
        </w:tc>
        <w:tc>
          <w:tcPr>
            <w:tcW w:w="3176" w:type="dxa"/>
            <w:vAlign w:val="center"/>
          </w:tcPr>
          <w:p w14:paraId="0CD3C436">
            <w:pPr>
              <w:spacing w:line="500" w:lineRule="exact"/>
              <w:jc w:val="left"/>
              <w:rPr>
                <w:rFonts w:ascii="宋体" w:hAnsi="宋体" w:cs="宋体"/>
                <w:color w:val="auto"/>
                <w:szCs w:val="21"/>
              </w:rPr>
            </w:pPr>
            <w:r>
              <w:rPr>
                <w:rFonts w:hint="eastAsia" w:ascii="宋体" w:hAnsi="宋体" w:cs="宋体"/>
                <w:color w:val="auto"/>
                <w:szCs w:val="21"/>
              </w:rPr>
              <w:t>检验电子标书</w:t>
            </w:r>
          </w:p>
        </w:tc>
      </w:tr>
      <w:tr w14:paraId="1AA7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720" w:type="dxa"/>
            <w:vMerge w:val="restart"/>
            <w:vAlign w:val="center"/>
          </w:tcPr>
          <w:p w14:paraId="5D11E7C3">
            <w:pPr>
              <w:spacing w:line="500" w:lineRule="exact"/>
              <w:jc w:val="center"/>
              <w:rPr>
                <w:rFonts w:ascii="宋体" w:hAnsi="宋体" w:cs="宋体"/>
                <w:color w:val="auto"/>
                <w:szCs w:val="21"/>
              </w:rPr>
            </w:pPr>
            <w:r>
              <w:rPr>
                <w:rFonts w:hint="eastAsia" w:ascii="宋体" w:hAnsi="宋体" w:cs="宋体"/>
                <w:color w:val="auto"/>
                <w:szCs w:val="21"/>
              </w:rPr>
              <w:t>2</w:t>
            </w:r>
          </w:p>
        </w:tc>
        <w:tc>
          <w:tcPr>
            <w:tcW w:w="1725" w:type="dxa"/>
            <w:vMerge w:val="restart"/>
            <w:vAlign w:val="center"/>
          </w:tcPr>
          <w:p w14:paraId="74A553A0">
            <w:pPr>
              <w:spacing w:line="500" w:lineRule="exact"/>
              <w:rPr>
                <w:rFonts w:ascii="宋体" w:hAnsi="宋体" w:cs="宋体"/>
                <w:color w:val="auto"/>
                <w:szCs w:val="21"/>
              </w:rPr>
            </w:pPr>
            <w:r>
              <w:rPr>
                <w:rFonts w:hint="eastAsia" w:ascii="宋体" w:hAnsi="宋体" w:cs="宋体"/>
                <w:color w:val="auto"/>
                <w:szCs w:val="21"/>
              </w:rPr>
              <w:t>投标人应符合的基本资格条件</w:t>
            </w:r>
          </w:p>
        </w:tc>
        <w:tc>
          <w:tcPr>
            <w:tcW w:w="4305" w:type="dxa"/>
            <w:vAlign w:val="center"/>
          </w:tcPr>
          <w:p w14:paraId="30837AA4">
            <w:pPr>
              <w:spacing w:line="500" w:lineRule="exact"/>
              <w:rPr>
                <w:rFonts w:ascii="宋体" w:hAnsi="宋体" w:cs="宋体"/>
                <w:color w:val="auto"/>
                <w:szCs w:val="21"/>
              </w:rPr>
            </w:pPr>
            <w:r>
              <w:rPr>
                <w:rFonts w:hint="eastAsia" w:ascii="宋体" w:hAnsi="宋体" w:cs="宋体"/>
                <w:color w:val="auto"/>
                <w:szCs w:val="21"/>
              </w:rPr>
              <w:t>（2）具有独立承担民事责任的能力</w:t>
            </w:r>
          </w:p>
        </w:tc>
        <w:tc>
          <w:tcPr>
            <w:tcW w:w="3176" w:type="dxa"/>
            <w:vAlign w:val="center"/>
          </w:tcPr>
          <w:p w14:paraId="2E1F418C">
            <w:pPr>
              <w:spacing w:line="500" w:lineRule="exact"/>
              <w:rPr>
                <w:rFonts w:ascii="宋体" w:hAnsi="宋体" w:cs="宋体"/>
                <w:color w:val="auto"/>
                <w:szCs w:val="21"/>
              </w:rPr>
            </w:pPr>
            <w:r>
              <w:rPr>
                <w:rFonts w:hint="eastAsia" w:ascii="宋体" w:hAnsi="宋体" w:cs="宋体"/>
                <w:b/>
                <w:color w:val="auto"/>
                <w:szCs w:val="21"/>
              </w:rPr>
              <w:t>评审核验电子标书中的下列证书、证明材料：</w:t>
            </w:r>
          </w:p>
          <w:p w14:paraId="7544395C">
            <w:pPr>
              <w:spacing w:line="500" w:lineRule="exact"/>
              <w:rPr>
                <w:rFonts w:ascii="宋体" w:hAnsi="宋体" w:cs="宋体"/>
                <w:color w:val="auto"/>
                <w:szCs w:val="21"/>
              </w:rPr>
            </w:pPr>
            <w:r>
              <w:rPr>
                <w:rFonts w:hint="eastAsia" w:ascii="宋体" w:hAnsi="宋体" w:cs="宋体"/>
                <w:color w:val="auto"/>
                <w:szCs w:val="21"/>
              </w:rPr>
              <w:t>投标人有效的营业执照、税务登记证、组织机构码证（或“三证合一证书”）</w:t>
            </w:r>
          </w:p>
        </w:tc>
      </w:tr>
      <w:tr w14:paraId="7F93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0" w:type="dxa"/>
            <w:vMerge w:val="continue"/>
            <w:vAlign w:val="center"/>
          </w:tcPr>
          <w:p w14:paraId="3D6FEE1C">
            <w:pPr>
              <w:spacing w:line="500" w:lineRule="exact"/>
              <w:jc w:val="center"/>
              <w:rPr>
                <w:rFonts w:ascii="宋体" w:hAnsi="宋体" w:cs="宋体"/>
                <w:color w:val="auto"/>
                <w:szCs w:val="21"/>
              </w:rPr>
            </w:pPr>
          </w:p>
        </w:tc>
        <w:tc>
          <w:tcPr>
            <w:tcW w:w="1725" w:type="dxa"/>
            <w:vMerge w:val="continue"/>
            <w:vAlign w:val="center"/>
          </w:tcPr>
          <w:p w14:paraId="6CB3CED5">
            <w:pPr>
              <w:spacing w:line="500" w:lineRule="exact"/>
              <w:rPr>
                <w:rFonts w:ascii="宋体" w:hAnsi="宋体" w:cs="宋体"/>
                <w:color w:val="auto"/>
                <w:szCs w:val="21"/>
              </w:rPr>
            </w:pPr>
          </w:p>
        </w:tc>
        <w:tc>
          <w:tcPr>
            <w:tcW w:w="4305" w:type="dxa"/>
            <w:vAlign w:val="center"/>
          </w:tcPr>
          <w:p w14:paraId="4911A218">
            <w:pPr>
              <w:spacing w:line="500" w:lineRule="exact"/>
              <w:rPr>
                <w:rFonts w:ascii="宋体" w:hAnsi="宋体" w:cs="宋体"/>
                <w:color w:val="auto"/>
                <w:szCs w:val="21"/>
              </w:rPr>
            </w:pPr>
            <w:r>
              <w:rPr>
                <w:rFonts w:hint="eastAsia" w:ascii="宋体" w:hAnsi="宋体" w:cs="宋体"/>
                <w:color w:val="auto"/>
                <w:szCs w:val="21"/>
              </w:rPr>
              <w:t>（3）具有省级及以上</w:t>
            </w:r>
            <w:r>
              <w:rPr>
                <w:rFonts w:hint="eastAsia" w:ascii="宋体" w:hAnsi="宋体" w:cs="宋体"/>
                <w:color w:val="auto"/>
                <w:sz w:val="18"/>
                <w:szCs w:val="18"/>
              </w:rPr>
              <w:t>卫生主管部门颁发的涉及饮用水卫生安全产品的有效卫生许可批件或省级及以上疾病预</w:t>
            </w:r>
            <w:r>
              <w:rPr>
                <w:rFonts w:hint="eastAsia" w:ascii="宋体" w:hAnsi="宋体" w:cs="宋体"/>
                <w:color w:val="auto"/>
                <w:szCs w:val="21"/>
              </w:rPr>
              <w:t>防控制中心出具的涉及饮用水卫生安全产品检验报告</w:t>
            </w:r>
          </w:p>
        </w:tc>
        <w:tc>
          <w:tcPr>
            <w:tcW w:w="3176" w:type="dxa"/>
            <w:vMerge w:val="restart"/>
            <w:vAlign w:val="center"/>
          </w:tcPr>
          <w:p w14:paraId="72FA1C98">
            <w:pPr>
              <w:spacing w:line="500" w:lineRule="exact"/>
              <w:rPr>
                <w:rFonts w:ascii="宋体" w:hAnsi="宋体" w:cs="宋体"/>
                <w:color w:val="auto"/>
                <w:szCs w:val="21"/>
              </w:rPr>
            </w:pPr>
            <w:r>
              <w:rPr>
                <w:rFonts w:hint="eastAsia" w:ascii="宋体" w:hAnsi="宋体" w:cs="宋体"/>
                <w:color w:val="auto"/>
                <w:szCs w:val="21"/>
              </w:rPr>
              <w:t>检验电子标书</w:t>
            </w:r>
          </w:p>
        </w:tc>
      </w:tr>
      <w:tr w14:paraId="3988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20" w:type="dxa"/>
            <w:vMerge w:val="continue"/>
            <w:vAlign w:val="center"/>
          </w:tcPr>
          <w:p w14:paraId="5BE9949B">
            <w:pPr>
              <w:spacing w:line="500" w:lineRule="exact"/>
              <w:jc w:val="center"/>
              <w:rPr>
                <w:rFonts w:ascii="宋体" w:hAnsi="宋体" w:cs="宋体"/>
                <w:color w:val="auto"/>
                <w:szCs w:val="21"/>
              </w:rPr>
            </w:pPr>
          </w:p>
        </w:tc>
        <w:tc>
          <w:tcPr>
            <w:tcW w:w="1725" w:type="dxa"/>
            <w:vMerge w:val="continue"/>
            <w:vAlign w:val="center"/>
          </w:tcPr>
          <w:p w14:paraId="55A0AFF4">
            <w:pPr>
              <w:spacing w:line="500" w:lineRule="exact"/>
              <w:rPr>
                <w:rFonts w:ascii="宋体" w:hAnsi="宋体" w:cs="宋体"/>
                <w:color w:val="auto"/>
                <w:szCs w:val="21"/>
              </w:rPr>
            </w:pPr>
          </w:p>
        </w:tc>
        <w:tc>
          <w:tcPr>
            <w:tcW w:w="4305" w:type="dxa"/>
            <w:vAlign w:val="center"/>
          </w:tcPr>
          <w:p w14:paraId="2ECA5F4C">
            <w:pPr>
              <w:widowControl/>
              <w:spacing w:line="500" w:lineRule="exact"/>
              <w:jc w:val="left"/>
              <w:rPr>
                <w:rFonts w:ascii="宋体" w:hAnsi="宋体" w:cs="宋体"/>
                <w:color w:val="auto"/>
                <w:szCs w:val="21"/>
              </w:rPr>
            </w:pPr>
            <w:r>
              <w:rPr>
                <w:rFonts w:hint="eastAsia" w:ascii="宋体" w:hAnsi="宋体" w:cs="宋体"/>
                <w:color w:val="auto"/>
                <w:szCs w:val="21"/>
              </w:rPr>
              <w:t>（4）投标人具有省级或省级以上计量部门出具的产品制造计量器具许可证或有效的计量器具型式批准证书（审批权限造成无法提供上述资料的可提供市级计量部门出具的产品制造计量器具许可证或有效的计量器具型式批准证书同时须附有关人民政府发布的相关政府文件）</w:t>
            </w:r>
          </w:p>
        </w:tc>
        <w:tc>
          <w:tcPr>
            <w:tcW w:w="3176" w:type="dxa"/>
            <w:vMerge w:val="continue"/>
            <w:vAlign w:val="center"/>
          </w:tcPr>
          <w:p w14:paraId="4E77801D">
            <w:pPr>
              <w:spacing w:line="500" w:lineRule="exact"/>
              <w:rPr>
                <w:rFonts w:ascii="宋体" w:hAnsi="宋体" w:cs="宋体"/>
                <w:color w:val="auto"/>
                <w:szCs w:val="21"/>
              </w:rPr>
            </w:pPr>
          </w:p>
        </w:tc>
      </w:tr>
      <w:tr w14:paraId="2E04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20" w:type="dxa"/>
            <w:vMerge w:val="continue"/>
            <w:vAlign w:val="center"/>
          </w:tcPr>
          <w:p w14:paraId="1C718D20">
            <w:pPr>
              <w:spacing w:line="500" w:lineRule="exact"/>
              <w:jc w:val="center"/>
              <w:rPr>
                <w:rFonts w:ascii="宋体" w:hAnsi="宋体" w:cs="宋体"/>
                <w:color w:val="auto"/>
                <w:szCs w:val="21"/>
              </w:rPr>
            </w:pPr>
          </w:p>
        </w:tc>
        <w:tc>
          <w:tcPr>
            <w:tcW w:w="1725" w:type="dxa"/>
            <w:vMerge w:val="continue"/>
            <w:vAlign w:val="center"/>
          </w:tcPr>
          <w:p w14:paraId="0FE8E69B">
            <w:pPr>
              <w:spacing w:line="500" w:lineRule="exact"/>
              <w:rPr>
                <w:rFonts w:ascii="宋体" w:hAnsi="宋体" w:cs="宋体"/>
                <w:color w:val="auto"/>
                <w:szCs w:val="21"/>
              </w:rPr>
            </w:pPr>
          </w:p>
        </w:tc>
        <w:tc>
          <w:tcPr>
            <w:tcW w:w="4305" w:type="dxa"/>
            <w:vAlign w:val="center"/>
          </w:tcPr>
          <w:p w14:paraId="51779800">
            <w:pPr>
              <w:spacing w:line="500" w:lineRule="exact"/>
              <w:jc w:val="left"/>
              <w:rPr>
                <w:rFonts w:ascii="宋体" w:hAnsi="宋体" w:cs="宋体"/>
                <w:b/>
                <w:color w:val="auto"/>
                <w:szCs w:val="21"/>
              </w:rPr>
            </w:pPr>
            <w:r>
              <w:rPr>
                <w:rFonts w:hint="eastAsia" w:ascii="宋体" w:hAnsi="宋体" w:cs="宋体"/>
                <w:color w:val="auto"/>
                <w:szCs w:val="21"/>
              </w:rPr>
              <w:t>（5）诚信投标承诺书或公共信用信息报告（无违法违规证明版或核查版）</w:t>
            </w:r>
          </w:p>
        </w:tc>
        <w:tc>
          <w:tcPr>
            <w:tcW w:w="3176" w:type="dxa"/>
            <w:vAlign w:val="center"/>
          </w:tcPr>
          <w:p w14:paraId="110E06A2">
            <w:pPr>
              <w:spacing w:line="500" w:lineRule="exact"/>
              <w:jc w:val="left"/>
              <w:rPr>
                <w:rFonts w:ascii="宋体" w:hAnsi="宋体" w:cs="宋体"/>
                <w:b/>
                <w:color w:val="auto"/>
                <w:szCs w:val="21"/>
              </w:rPr>
            </w:pPr>
            <w:r>
              <w:rPr>
                <w:rFonts w:hint="eastAsia" w:ascii="宋体" w:hAnsi="宋体" w:cs="宋体"/>
                <w:color w:val="auto"/>
                <w:szCs w:val="21"/>
              </w:rPr>
              <w:t>格式见附件，检验电子标书</w:t>
            </w:r>
          </w:p>
        </w:tc>
      </w:tr>
    </w:tbl>
    <w:p w14:paraId="3D5C7843">
      <w:pPr>
        <w:spacing w:line="500" w:lineRule="exact"/>
        <w:ind w:right="-164" w:rightChars="-78" w:firstLine="508" w:firstLineChars="241"/>
        <w:jc w:val="left"/>
        <w:rPr>
          <w:rFonts w:ascii="宋体" w:hAnsi="宋体" w:cs="宋体"/>
          <w:b/>
          <w:color w:val="auto"/>
          <w:szCs w:val="21"/>
        </w:rPr>
      </w:pPr>
      <w:r>
        <w:rPr>
          <w:rFonts w:hint="eastAsia" w:ascii="宋体" w:hAnsi="宋体" w:cs="宋体"/>
          <w:b/>
          <w:color w:val="auto"/>
          <w:szCs w:val="21"/>
        </w:rPr>
        <w:t>3.2资格审查材料必须上传到投标人系统-安徽省公共资源交易市场主体库中对应栏目，制作资格审查文件时插上CA数字证书，从投标企业注册信息中挑选相关材料。若所需材料无对应栏目，则将该材料上传至“其他投标用证明材料”里或电子投标文件对应栏中，做电子投标文件时从“其他所需材料”里获取。请各投标人位自行完善主体库管理中的单位信息，保证信息最新且有效。</w:t>
      </w:r>
    </w:p>
    <w:p w14:paraId="3871C93F">
      <w:pPr>
        <w:spacing w:line="500" w:lineRule="exact"/>
        <w:ind w:right="-164" w:rightChars="-78" w:firstLine="508" w:firstLineChars="241"/>
        <w:jc w:val="left"/>
        <w:rPr>
          <w:rFonts w:ascii="宋体" w:hAnsi="宋体" w:cs="宋体"/>
          <w:b/>
          <w:color w:val="auto"/>
          <w:szCs w:val="21"/>
        </w:rPr>
      </w:pPr>
      <w:r>
        <w:rPr>
          <w:rFonts w:hint="eastAsia" w:ascii="宋体" w:hAnsi="宋体" w:cs="宋体"/>
          <w:b/>
          <w:color w:val="auto"/>
          <w:szCs w:val="21"/>
        </w:rPr>
        <w:t>3.3如评标专家在检验电子投标文件过程中，如果由于投标人自身原因导致评标专家无法查看并检验电子投标文件中相关资料的，否决其投标。即使投标人将原件携带至现场的，同样按否决投标处理。</w:t>
      </w:r>
    </w:p>
    <w:p w14:paraId="2B2D3B7F">
      <w:pPr>
        <w:spacing w:line="500" w:lineRule="exact"/>
        <w:ind w:firstLine="310" w:firstLineChars="147"/>
        <w:jc w:val="left"/>
        <w:rPr>
          <w:rFonts w:ascii="宋体" w:hAnsi="宋体" w:cs="宋体"/>
          <w:b/>
          <w:color w:val="auto"/>
          <w:szCs w:val="21"/>
        </w:rPr>
      </w:pPr>
      <w:r>
        <w:rPr>
          <w:rFonts w:hint="eastAsia" w:ascii="宋体" w:hAnsi="宋体" w:cs="宋体"/>
          <w:b/>
          <w:color w:val="auto"/>
          <w:szCs w:val="21"/>
        </w:rPr>
        <w:t>4.符合性审查</w:t>
      </w:r>
    </w:p>
    <w:p w14:paraId="7E6C777E">
      <w:pPr>
        <w:spacing w:line="500" w:lineRule="exact"/>
        <w:ind w:firstLine="315" w:firstLineChars="150"/>
        <w:jc w:val="left"/>
        <w:rPr>
          <w:rFonts w:ascii="宋体" w:hAnsi="宋体" w:cs="宋体"/>
          <w:color w:val="auto"/>
          <w:szCs w:val="21"/>
        </w:rPr>
      </w:pPr>
      <w:r>
        <w:rPr>
          <w:rFonts w:hint="eastAsia" w:ascii="宋体" w:hAnsi="宋体" w:cs="宋体"/>
          <w:color w:val="auto"/>
          <w:szCs w:val="21"/>
        </w:rPr>
        <w:t>4.1评审细则</w:t>
      </w:r>
    </w:p>
    <w:tbl>
      <w:tblPr>
        <w:tblStyle w:val="35"/>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18"/>
        <w:gridCol w:w="2931"/>
        <w:gridCol w:w="4691"/>
      </w:tblGrid>
      <w:tr w14:paraId="41E5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5" w:type="dxa"/>
            <w:vAlign w:val="center"/>
          </w:tcPr>
          <w:p w14:paraId="461AF6F6">
            <w:pPr>
              <w:spacing w:line="500" w:lineRule="exact"/>
              <w:jc w:val="center"/>
              <w:rPr>
                <w:rFonts w:ascii="宋体" w:hAnsi="宋体" w:cs="宋体"/>
                <w:b/>
                <w:bCs/>
                <w:color w:val="auto"/>
                <w:szCs w:val="21"/>
              </w:rPr>
            </w:pPr>
            <w:r>
              <w:rPr>
                <w:rFonts w:hint="eastAsia" w:ascii="宋体" w:hAnsi="宋体" w:cs="宋体"/>
                <w:b/>
                <w:bCs/>
                <w:color w:val="auto"/>
                <w:szCs w:val="21"/>
              </w:rPr>
              <w:t>序号</w:t>
            </w:r>
          </w:p>
        </w:tc>
        <w:tc>
          <w:tcPr>
            <w:tcW w:w="4249" w:type="dxa"/>
            <w:gridSpan w:val="2"/>
            <w:vAlign w:val="center"/>
          </w:tcPr>
          <w:p w14:paraId="44B1B613">
            <w:pPr>
              <w:spacing w:line="500" w:lineRule="exact"/>
              <w:jc w:val="center"/>
              <w:rPr>
                <w:rFonts w:ascii="宋体" w:hAnsi="宋体" w:cs="宋体"/>
                <w:b/>
                <w:bCs/>
                <w:color w:val="auto"/>
                <w:szCs w:val="21"/>
              </w:rPr>
            </w:pPr>
            <w:r>
              <w:rPr>
                <w:rFonts w:hint="eastAsia" w:ascii="宋体" w:hAnsi="宋体" w:cs="宋体"/>
                <w:b/>
                <w:bCs/>
                <w:color w:val="auto"/>
                <w:szCs w:val="21"/>
              </w:rPr>
              <w:t>审查因素</w:t>
            </w:r>
          </w:p>
        </w:tc>
        <w:tc>
          <w:tcPr>
            <w:tcW w:w="4691" w:type="dxa"/>
            <w:vAlign w:val="center"/>
          </w:tcPr>
          <w:p w14:paraId="5B6289DE">
            <w:pPr>
              <w:spacing w:line="500" w:lineRule="exact"/>
              <w:jc w:val="center"/>
              <w:rPr>
                <w:rFonts w:ascii="宋体" w:hAnsi="宋体" w:cs="宋体"/>
                <w:b/>
                <w:bCs/>
                <w:color w:val="auto"/>
                <w:szCs w:val="21"/>
              </w:rPr>
            </w:pPr>
            <w:r>
              <w:rPr>
                <w:rFonts w:hint="eastAsia" w:ascii="宋体" w:hAnsi="宋体" w:cs="宋体"/>
                <w:b/>
                <w:bCs/>
                <w:color w:val="auto"/>
                <w:szCs w:val="21"/>
              </w:rPr>
              <w:t>审查内容</w:t>
            </w:r>
          </w:p>
        </w:tc>
      </w:tr>
      <w:tr w14:paraId="12F7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5" w:type="dxa"/>
            <w:vMerge w:val="restart"/>
            <w:vAlign w:val="center"/>
          </w:tcPr>
          <w:p w14:paraId="6B605502">
            <w:pPr>
              <w:spacing w:line="500" w:lineRule="exact"/>
              <w:jc w:val="left"/>
              <w:rPr>
                <w:rFonts w:ascii="宋体" w:hAnsi="宋体" w:cs="宋体"/>
                <w:color w:val="auto"/>
                <w:szCs w:val="21"/>
              </w:rPr>
            </w:pPr>
            <w:r>
              <w:rPr>
                <w:rFonts w:hint="eastAsia" w:ascii="宋体" w:hAnsi="宋体" w:cs="宋体"/>
                <w:color w:val="auto"/>
                <w:szCs w:val="21"/>
              </w:rPr>
              <w:t>1</w:t>
            </w:r>
          </w:p>
        </w:tc>
        <w:tc>
          <w:tcPr>
            <w:tcW w:w="1318" w:type="dxa"/>
            <w:vMerge w:val="restart"/>
            <w:vAlign w:val="center"/>
          </w:tcPr>
          <w:p w14:paraId="308B9786">
            <w:pPr>
              <w:spacing w:line="500" w:lineRule="exact"/>
              <w:jc w:val="left"/>
              <w:rPr>
                <w:rFonts w:ascii="宋体" w:hAnsi="宋体" w:cs="宋体"/>
                <w:color w:val="auto"/>
                <w:szCs w:val="21"/>
                <w:lang w:val="zh-CN"/>
              </w:rPr>
            </w:pPr>
            <w:r>
              <w:rPr>
                <w:rFonts w:hint="eastAsia" w:ascii="宋体" w:hAnsi="宋体" w:cs="宋体"/>
                <w:color w:val="auto"/>
                <w:szCs w:val="21"/>
                <w:lang w:val="zh-CN"/>
              </w:rPr>
              <w:t>投标文件的有效性</w:t>
            </w:r>
          </w:p>
        </w:tc>
        <w:tc>
          <w:tcPr>
            <w:tcW w:w="2931" w:type="dxa"/>
            <w:vAlign w:val="center"/>
          </w:tcPr>
          <w:p w14:paraId="630D96C2">
            <w:pPr>
              <w:spacing w:line="500" w:lineRule="exact"/>
              <w:jc w:val="left"/>
              <w:rPr>
                <w:rFonts w:ascii="宋体" w:hAnsi="宋体" w:cs="宋体"/>
                <w:color w:val="auto"/>
                <w:szCs w:val="21"/>
                <w:lang w:val="zh-CN"/>
              </w:rPr>
            </w:pPr>
            <w:r>
              <w:rPr>
                <w:rFonts w:hint="eastAsia" w:ascii="宋体" w:hAnsi="宋体" w:cs="宋体"/>
                <w:color w:val="auto"/>
                <w:szCs w:val="21"/>
                <w:lang w:val="zh-CN"/>
              </w:rPr>
              <w:t>（1）投标文件签署</w:t>
            </w:r>
          </w:p>
        </w:tc>
        <w:tc>
          <w:tcPr>
            <w:tcW w:w="4691" w:type="dxa"/>
            <w:vAlign w:val="center"/>
          </w:tcPr>
          <w:p w14:paraId="58B2E965">
            <w:pPr>
              <w:spacing w:line="500" w:lineRule="exact"/>
              <w:jc w:val="left"/>
              <w:rPr>
                <w:rFonts w:ascii="宋体" w:hAnsi="宋体" w:cs="宋体"/>
                <w:color w:val="auto"/>
                <w:szCs w:val="21"/>
                <w:lang w:val="zh-CN"/>
              </w:rPr>
            </w:pPr>
            <w:r>
              <w:rPr>
                <w:rFonts w:hint="eastAsia" w:ascii="宋体" w:hAnsi="宋体" w:cs="宋体"/>
                <w:color w:val="auto"/>
                <w:szCs w:val="21"/>
                <w:lang w:val="zh-CN"/>
              </w:rPr>
              <w:t>签字、盖章符合要求。</w:t>
            </w:r>
          </w:p>
          <w:p w14:paraId="544EA62F">
            <w:pPr>
              <w:spacing w:line="500" w:lineRule="exact"/>
              <w:jc w:val="left"/>
              <w:rPr>
                <w:rFonts w:ascii="宋体" w:hAnsi="宋体" w:cs="宋体"/>
                <w:color w:val="auto"/>
                <w:szCs w:val="21"/>
              </w:rPr>
            </w:pPr>
            <w:r>
              <w:rPr>
                <w:rFonts w:hint="eastAsia" w:ascii="宋体" w:hAnsi="宋体" w:cs="宋体"/>
                <w:b/>
                <w:bCs/>
                <w:color w:val="auto"/>
                <w:szCs w:val="21"/>
                <w:lang w:val="zh-CN"/>
              </w:rPr>
              <w:t>（</w:t>
            </w:r>
            <w:r>
              <w:rPr>
                <w:rFonts w:hint="eastAsia" w:ascii="宋体" w:hAnsi="宋体" w:cs="宋体"/>
                <w:b/>
                <w:bCs/>
                <w:color w:val="auto"/>
                <w:szCs w:val="21"/>
              </w:rPr>
              <w:t>注：技术标采用暗标，无需签字、盖章）</w:t>
            </w:r>
          </w:p>
        </w:tc>
      </w:tr>
      <w:tr w14:paraId="167B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35" w:type="dxa"/>
            <w:vMerge w:val="continue"/>
            <w:vAlign w:val="center"/>
          </w:tcPr>
          <w:p w14:paraId="4DD229F9">
            <w:pPr>
              <w:spacing w:line="500" w:lineRule="exact"/>
              <w:jc w:val="left"/>
              <w:rPr>
                <w:rFonts w:ascii="宋体" w:hAnsi="宋体" w:cs="宋体"/>
                <w:color w:val="auto"/>
                <w:szCs w:val="21"/>
              </w:rPr>
            </w:pPr>
          </w:p>
        </w:tc>
        <w:tc>
          <w:tcPr>
            <w:tcW w:w="1318" w:type="dxa"/>
            <w:vMerge w:val="continue"/>
            <w:vAlign w:val="center"/>
          </w:tcPr>
          <w:p w14:paraId="40533F9E">
            <w:pPr>
              <w:spacing w:line="500" w:lineRule="exact"/>
              <w:jc w:val="left"/>
              <w:rPr>
                <w:rFonts w:ascii="宋体" w:hAnsi="宋体" w:cs="宋体"/>
                <w:color w:val="auto"/>
                <w:szCs w:val="21"/>
              </w:rPr>
            </w:pPr>
          </w:p>
        </w:tc>
        <w:tc>
          <w:tcPr>
            <w:tcW w:w="2931" w:type="dxa"/>
            <w:vAlign w:val="center"/>
          </w:tcPr>
          <w:p w14:paraId="75826FC9">
            <w:pPr>
              <w:spacing w:line="500" w:lineRule="exact"/>
              <w:jc w:val="left"/>
              <w:rPr>
                <w:rFonts w:ascii="宋体" w:hAnsi="宋体" w:cs="宋体"/>
                <w:color w:val="auto"/>
                <w:szCs w:val="21"/>
                <w:lang w:val="zh-CN"/>
              </w:rPr>
            </w:pPr>
            <w:r>
              <w:rPr>
                <w:rFonts w:hint="eastAsia" w:ascii="宋体" w:hAnsi="宋体" w:cs="宋体"/>
                <w:color w:val="auto"/>
                <w:szCs w:val="21"/>
                <w:lang w:val="zh-CN"/>
              </w:rPr>
              <w:t>（2）投标方案</w:t>
            </w:r>
          </w:p>
        </w:tc>
        <w:tc>
          <w:tcPr>
            <w:tcW w:w="4691" w:type="dxa"/>
            <w:vAlign w:val="center"/>
          </w:tcPr>
          <w:p w14:paraId="1EC48AE4">
            <w:pPr>
              <w:spacing w:line="500" w:lineRule="exact"/>
              <w:jc w:val="left"/>
              <w:rPr>
                <w:rFonts w:ascii="宋体" w:hAnsi="宋体" w:cs="宋体"/>
                <w:color w:val="auto"/>
                <w:szCs w:val="21"/>
              </w:rPr>
            </w:pPr>
            <w:r>
              <w:rPr>
                <w:rFonts w:hint="eastAsia" w:ascii="宋体" w:hAnsi="宋体" w:cs="宋体"/>
                <w:color w:val="auto"/>
                <w:szCs w:val="21"/>
                <w:lang w:val="zh-CN"/>
              </w:rPr>
              <w:t>每个分包只能有一个方案投标。</w:t>
            </w:r>
          </w:p>
        </w:tc>
      </w:tr>
      <w:tr w14:paraId="519E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5" w:type="dxa"/>
            <w:vMerge w:val="continue"/>
            <w:vAlign w:val="center"/>
          </w:tcPr>
          <w:p w14:paraId="6FAC2FDE">
            <w:pPr>
              <w:spacing w:line="500" w:lineRule="exact"/>
              <w:jc w:val="left"/>
              <w:rPr>
                <w:rFonts w:ascii="宋体" w:hAnsi="宋体" w:cs="宋体"/>
                <w:color w:val="auto"/>
                <w:szCs w:val="21"/>
              </w:rPr>
            </w:pPr>
          </w:p>
        </w:tc>
        <w:tc>
          <w:tcPr>
            <w:tcW w:w="1318" w:type="dxa"/>
            <w:vMerge w:val="continue"/>
            <w:vAlign w:val="center"/>
          </w:tcPr>
          <w:p w14:paraId="41F9A22C">
            <w:pPr>
              <w:spacing w:line="500" w:lineRule="exact"/>
              <w:jc w:val="left"/>
              <w:rPr>
                <w:rFonts w:ascii="宋体" w:hAnsi="宋体" w:cs="宋体"/>
                <w:color w:val="auto"/>
                <w:szCs w:val="21"/>
              </w:rPr>
            </w:pPr>
          </w:p>
        </w:tc>
        <w:tc>
          <w:tcPr>
            <w:tcW w:w="2931" w:type="dxa"/>
            <w:vAlign w:val="center"/>
          </w:tcPr>
          <w:p w14:paraId="06EBEA00">
            <w:pPr>
              <w:spacing w:line="500" w:lineRule="exact"/>
              <w:jc w:val="left"/>
              <w:rPr>
                <w:rFonts w:ascii="宋体" w:hAnsi="宋体" w:cs="宋体"/>
                <w:color w:val="auto"/>
                <w:szCs w:val="21"/>
                <w:lang w:val="zh-CN"/>
              </w:rPr>
            </w:pPr>
            <w:r>
              <w:rPr>
                <w:rFonts w:hint="eastAsia" w:ascii="宋体" w:hAnsi="宋体" w:cs="宋体"/>
                <w:color w:val="auto"/>
                <w:szCs w:val="21"/>
              </w:rPr>
              <w:t>（3）报价唯一</w:t>
            </w:r>
          </w:p>
        </w:tc>
        <w:tc>
          <w:tcPr>
            <w:tcW w:w="4691" w:type="dxa"/>
            <w:vAlign w:val="center"/>
          </w:tcPr>
          <w:p w14:paraId="2D33A63C">
            <w:pPr>
              <w:spacing w:line="500" w:lineRule="exact"/>
              <w:jc w:val="left"/>
              <w:rPr>
                <w:rFonts w:ascii="宋体" w:hAnsi="宋体" w:cs="宋体"/>
                <w:color w:val="auto"/>
                <w:szCs w:val="21"/>
              </w:rPr>
            </w:pPr>
            <w:r>
              <w:rPr>
                <w:rFonts w:hint="eastAsia" w:ascii="宋体" w:hAnsi="宋体" w:cs="宋体"/>
                <w:color w:val="auto"/>
                <w:szCs w:val="21"/>
                <w:lang w:val="zh-CN"/>
              </w:rPr>
              <w:t>只能在限价范围内报价，</w:t>
            </w:r>
            <w:r>
              <w:rPr>
                <w:rFonts w:hint="eastAsia" w:ascii="宋体" w:hAnsi="宋体" w:cs="宋体"/>
                <w:color w:val="auto"/>
                <w:szCs w:val="21"/>
              </w:rPr>
              <w:t>只能有一个有效报价，不得提交选择性报价。</w:t>
            </w:r>
          </w:p>
        </w:tc>
      </w:tr>
      <w:tr w14:paraId="238A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35" w:type="dxa"/>
            <w:vMerge w:val="continue"/>
            <w:vAlign w:val="center"/>
          </w:tcPr>
          <w:p w14:paraId="1769C82E">
            <w:pPr>
              <w:spacing w:line="500" w:lineRule="exact"/>
              <w:jc w:val="left"/>
              <w:rPr>
                <w:rFonts w:ascii="宋体" w:hAnsi="宋体" w:cs="宋体"/>
                <w:color w:val="auto"/>
                <w:szCs w:val="21"/>
              </w:rPr>
            </w:pPr>
          </w:p>
        </w:tc>
        <w:tc>
          <w:tcPr>
            <w:tcW w:w="1318" w:type="dxa"/>
            <w:vMerge w:val="continue"/>
            <w:vAlign w:val="center"/>
          </w:tcPr>
          <w:p w14:paraId="697578BC">
            <w:pPr>
              <w:spacing w:line="500" w:lineRule="exact"/>
              <w:jc w:val="left"/>
              <w:rPr>
                <w:rFonts w:ascii="宋体" w:hAnsi="宋体" w:cs="宋体"/>
                <w:color w:val="auto"/>
                <w:szCs w:val="21"/>
              </w:rPr>
            </w:pPr>
          </w:p>
        </w:tc>
        <w:tc>
          <w:tcPr>
            <w:tcW w:w="2931" w:type="dxa"/>
            <w:vAlign w:val="center"/>
          </w:tcPr>
          <w:p w14:paraId="645100D4">
            <w:pPr>
              <w:spacing w:line="500" w:lineRule="exact"/>
              <w:jc w:val="left"/>
              <w:rPr>
                <w:rFonts w:ascii="宋体" w:hAnsi="宋体" w:cs="宋体"/>
                <w:color w:val="auto"/>
                <w:szCs w:val="21"/>
              </w:rPr>
            </w:pPr>
            <w:r>
              <w:rPr>
                <w:rFonts w:hint="eastAsia" w:ascii="宋体" w:hAnsi="宋体" w:cs="宋体"/>
                <w:color w:val="auto"/>
                <w:szCs w:val="21"/>
              </w:rPr>
              <w:t xml:space="preserve"> (4) 投标文件的有效期</w:t>
            </w:r>
          </w:p>
        </w:tc>
        <w:tc>
          <w:tcPr>
            <w:tcW w:w="4691" w:type="dxa"/>
            <w:vAlign w:val="center"/>
          </w:tcPr>
          <w:p w14:paraId="3ECC4C21">
            <w:pPr>
              <w:spacing w:line="500" w:lineRule="exact"/>
              <w:jc w:val="left"/>
              <w:rPr>
                <w:rFonts w:ascii="宋体" w:hAnsi="宋体" w:cs="宋体"/>
                <w:color w:val="auto"/>
                <w:szCs w:val="21"/>
                <w:lang w:val="zh-CN"/>
              </w:rPr>
            </w:pPr>
            <w:r>
              <w:rPr>
                <w:rFonts w:hint="eastAsia" w:ascii="宋体" w:hAnsi="宋体" w:cs="宋体"/>
                <w:color w:val="auto"/>
                <w:szCs w:val="21"/>
                <w:lang w:val="zh-CN"/>
              </w:rPr>
              <w:t>完全响应。</w:t>
            </w:r>
          </w:p>
        </w:tc>
      </w:tr>
      <w:tr w14:paraId="1A6F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35" w:type="dxa"/>
            <w:vMerge w:val="restart"/>
            <w:vAlign w:val="center"/>
          </w:tcPr>
          <w:p w14:paraId="29F1DDE7">
            <w:pPr>
              <w:spacing w:line="500" w:lineRule="exact"/>
              <w:jc w:val="left"/>
              <w:rPr>
                <w:rFonts w:ascii="宋体" w:hAnsi="宋体" w:cs="宋体"/>
                <w:color w:val="auto"/>
                <w:szCs w:val="21"/>
              </w:rPr>
            </w:pPr>
            <w:r>
              <w:rPr>
                <w:rFonts w:hint="eastAsia" w:ascii="宋体" w:hAnsi="宋体" w:cs="宋体"/>
                <w:color w:val="auto"/>
                <w:szCs w:val="21"/>
              </w:rPr>
              <w:t>2</w:t>
            </w:r>
          </w:p>
        </w:tc>
        <w:tc>
          <w:tcPr>
            <w:tcW w:w="1318" w:type="dxa"/>
            <w:vMerge w:val="restart"/>
            <w:vAlign w:val="center"/>
          </w:tcPr>
          <w:p w14:paraId="52DB7871">
            <w:pPr>
              <w:spacing w:line="500" w:lineRule="exact"/>
              <w:jc w:val="left"/>
              <w:rPr>
                <w:rFonts w:ascii="宋体" w:hAnsi="宋体" w:cs="宋体"/>
                <w:color w:val="auto"/>
                <w:szCs w:val="21"/>
                <w:lang w:val="zh-CN"/>
              </w:rPr>
            </w:pPr>
            <w:r>
              <w:rPr>
                <w:rFonts w:hint="eastAsia" w:ascii="宋体" w:hAnsi="宋体" w:cs="宋体"/>
                <w:color w:val="auto"/>
                <w:szCs w:val="21"/>
                <w:lang w:val="zh-CN"/>
              </w:rPr>
              <w:t>投标文件的完整性</w:t>
            </w:r>
          </w:p>
        </w:tc>
        <w:tc>
          <w:tcPr>
            <w:tcW w:w="2931" w:type="dxa"/>
            <w:vAlign w:val="center"/>
          </w:tcPr>
          <w:p w14:paraId="3EF33D95">
            <w:pPr>
              <w:spacing w:line="500" w:lineRule="exact"/>
              <w:jc w:val="left"/>
              <w:rPr>
                <w:rFonts w:ascii="宋体" w:hAnsi="宋体" w:cs="宋体"/>
                <w:color w:val="auto"/>
                <w:szCs w:val="21"/>
              </w:rPr>
            </w:pPr>
            <w:r>
              <w:rPr>
                <w:rFonts w:hint="eastAsia" w:ascii="宋体" w:hAnsi="宋体" w:cs="宋体"/>
                <w:color w:val="auto"/>
                <w:szCs w:val="21"/>
                <w:lang w:val="zh-CN"/>
              </w:rPr>
              <w:t>（5）投标文件份数</w:t>
            </w:r>
          </w:p>
        </w:tc>
        <w:tc>
          <w:tcPr>
            <w:tcW w:w="4691" w:type="dxa"/>
            <w:vAlign w:val="center"/>
          </w:tcPr>
          <w:p w14:paraId="541851D7">
            <w:pPr>
              <w:spacing w:line="500" w:lineRule="exact"/>
              <w:jc w:val="left"/>
              <w:rPr>
                <w:rFonts w:ascii="宋体" w:hAnsi="宋体" w:cs="宋体"/>
                <w:color w:val="auto"/>
                <w:szCs w:val="21"/>
              </w:rPr>
            </w:pPr>
            <w:r>
              <w:rPr>
                <w:rFonts w:hint="eastAsia" w:ascii="宋体" w:hAnsi="宋体" w:cs="宋体"/>
                <w:color w:val="auto"/>
                <w:szCs w:val="21"/>
              </w:rPr>
              <w:t xml:space="preserve">网上递交的电子投标文件：一份； </w:t>
            </w:r>
          </w:p>
        </w:tc>
      </w:tr>
      <w:tr w14:paraId="760E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35" w:type="dxa"/>
            <w:vMerge w:val="continue"/>
            <w:vAlign w:val="center"/>
          </w:tcPr>
          <w:p w14:paraId="04BCBF31">
            <w:pPr>
              <w:spacing w:line="500" w:lineRule="exact"/>
              <w:jc w:val="left"/>
              <w:rPr>
                <w:rFonts w:ascii="宋体" w:hAnsi="宋体" w:cs="宋体"/>
                <w:color w:val="auto"/>
                <w:szCs w:val="21"/>
              </w:rPr>
            </w:pPr>
          </w:p>
        </w:tc>
        <w:tc>
          <w:tcPr>
            <w:tcW w:w="1318" w:type="dxa"/>
            <w:vMerge w:val="continue"/>
            <w:vAlign w:val="center"/>
          </w:tcPr>
          <w:p w14:paraId="41CD1179">
            <w:pPr>
              <w:spacing w:line="500" w:lineRule="exact"/>
              <w:jc w:val="left"/>
              <w:rPr>
                <w:rFonts w:ascii="宋体" w:hAnsi="宋体" w:cs="宋体"/>
                <w:color w:val="auto"/>
                <w:szCs w:val="21"/>
              </w:rPr>
            </w:pPr>
          </w:p>
        </w:tc>
        <w:tc>
          <w:tcPr>
            <w:tcW w:w="2931" w:type="dxa"/>
            <w:vAlign w:val="center"/>
          </w:tcPr>
          <w:p w14:paraId="0A1C1249">
            <w:pPr>
              <w:spacing w:line="500" w:lineRule="exact"/>
              <w:jc w:val="left"/>
              <w:rPr>
                <w:rFonts w:ascii="宋体" w:hAnsi="宋体" w:cs="宋体"/>
                <w:color w:val="auto"/>
                <w:szCs w:val="21"/>
                <w:lang w:val="zh-CN"/>
              </w:rPr>
            </w:pPr>
            <w:r>
              <w:rPr>
                <w:rFonts w:hint="eastAsia" w:ascii="宋体" w:hAnsi="宋体" w:cs="宋体"/>
                <w:color w:val="auto"/>
                <w:szCs w:val="21"/>
                <w:lang w:val="zh-CN"/>
              </w:rPr>
              <w:t>（6）投标文件形式内容</w:t>
            </w:r>
          </w:p>
        </w:tc>
        <w:tc>
          <w:tcPr>
            <w:tcW w:w="4691" w:type="dxa"/>
            <w:vAlign w:val="center"/>
          </w:tcPr>
          <w:p w14:paraId="1D49BC1B">
            <w:pPr>
              <w:spacing w:line="500" w:lineRule="exact"/>
              <w:jc w:val="left"/>
              <w:rPr>
                <w:rFonts w:ascii="宋体" w:hAnsi="宋体" w:cs="宋体"/>
                <w:color w:val="auto"/>
                <w:szCs w:val="21"/>
                <w:lang w:val="zh-CN"/>
              </w:rPr>
            </w:pPr>
            <w:r>
              <w:rPr>
                <w:rFonts w:hint="eastAsia" w:ascii="宋体" w:hAnsi="宋体" w:cs="宋体"/>
                <w:color w:val="auto"/>
                <w:szCs w:val="21"/>
                <w:lang w:val="zh-CN"/>
              </w:rPr>
              <w:t>投标文件内容清晰、齐全无遗漏。</w:t>
            </w:r>
          </w:p>
        </w:tc>
      </w:tr>
      <w:tr w14:paraId="327D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35" w:type="dxa"/>
            <w:vMerge w:val="restart"/>
            <w:vAlign w:val="center"/>
          </w:tcPr>
          <w:p w14:paraId="5AE02637">
            <w:pPr>
              <w:spacing w:line="500" w:lineRule="exact"/>
              <w:jc w:val="left"/>
              <w:rPr>
                <w:rFonts w:ascii="宋体" w:hAnsi="宋体" w:cs="宋体"/>
                <w:color w:val="auto"/>
                <w:szCs w:val="21"/>
              </w:rPr>
            </w:pPr>
            <w:r>
              <w:rPr>
                <w:rFonts w:hint="eastAsia" w:ascii="宋体" w:hAnsi="宋体" w:cs="宋体"/>
                <w:color w:val="auto"/>
                <w:szCs w:val="21"/>
              </w:rPr>
              <w:t>3</w:t>
            </w:r>
          </w:p>
        </w:tc>
        <w:tc>
          <w:tcPr>
            <w:tcW w:w="1318" w:type="dxa"/>
            <w:vMerge w:val="restart"/>
            <w:vAlign w:val="center"/>
          </w:tcPr>
          <w:p w14:paraId="4B484432">
            <w:pPr>
              <w:spacing w:line="500" w:lineRule="exact"/>
              <w:jc w:val="left"/>
              <w:rPr>
                <w:rFonts w:ascii="宋体" w:hAnsi="宋体" w:cs="宋体"/>
                <w:color w:val="auto"/>
                <w:szCs w:val="21"/>
                <w:lang w:val="zh-CN"/>
              </w:rPr>
            </w:pPr>
            <w:r>
              <w:rPr>
                <w:rFonts w:hint="eastAsia" w:ascii="宋体" w:hAnsi="宋体" w:cs="宋体"/>
                <w:color w:val="auto"/>
                <w:szCs w:val="21"/>
                <w:lang w:val="zh-CN"/>
              </w:rPr>
              <w:t>投标文件的响应程度</w:t>
            </w:r>
          </w:p>
        </w:tc>
        <w:tc>
          <w:tcPr>
            <w:tcW w:w="2931" w:type="dxa"/>
            <w:vAlign w:val="center"/>
          </w:tcPr>
          <w:p w14:paraId="72BE59D5">
            <w:pPr>
              <w:spacing w:line="500" w:lineRule="exact"/>
              <w:jc w:val="left"/>
              <w:rPr>
                <w:rFonts w:ascii="宋体" w:hAnsi="宋体" w:cs="宋体"/>
                <w:color w:val="auto"/>
                <w:szCs w:val="21"/>
                <w:lang w:val="zh-CN"/>
              </w:rPr>
            </w:pPr>
            <w:r>
              <w:rPr>
                <w:rFonts w:hint="eastAsia" w:ascii="宋体" w:hAnsi="宋体" w:cs="宋体"/>
                <w:color w:val="auto"/>
                <w:szCs w:val="21"/>
                <w:lang w:val="zh-CN"/>
              </w:rPr>
              <w:t>（7）技术参数响应程度</w:t>
            </w:r>
          </w:p>
        </w:tc>
        <w:tc>
          <w:tcPr>
            <w:tcW w:w="4691" w:type="dxa"/>
            <w:vAlign w:val="center"/>
          </w:tcPr>
          <w:p w14:paraId="0FDFFF15">
            <w:pPr>
              <w:spacing w:line="500" w:lineRule="exact"/>
              <w:jc w:val="left"/>
              <w:rPr>
                <w:rFonts w:ascii="宋体" w:hAnsi="宋体" w:cs="宋体"/>
                <w:color w:val="auto"/>
              </w:rPr>
            </w:pPr>
            <w:r>
              <w:rPr>
                <w:rFonts w:hint="eastAsia" w:ascii="宋体" w:hAnsi="宋体" w:cs="宋体"/>
                <w:color w:val="auto"/>
              </w:rPr>
              <w:t>最大限度响应</w:t>
            </w:r>
            <w:r>
              <w:rPr>
                <w:rFonts w:hint="eastAsia" w:ascii="宋体" w:hAnsi="宋体" w:cs="宋体"/>
                <w:color w:val="auto"/>
                <w:lang w:val="zh-CN"/>
              </w:rPr>
              <w:t>招标文件要求。</w:t>
            </w:r>
          </w:p>
        </w:tc>
      </w:tr>
      <w:tr w14:paraId="020E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5" w:type="dxa"/>
            <w:vMerge w:val="continue"/>
            <w:vAlign w:val="center"/>
          </w:tcPr>
          <w:p w14:paraId="176F5255">
            <w:pPr>
              <w:spacing w:line="500" w:lineRule="exact"/>
              <w:jc w:val="left"/>
              <w:rPr>
                <w:rFonts w:ascii="宋体" w:hAnsi="宋体" w:cs="宋体"/>
                <w:color w:val="auto"/>
                <w:szCs w:val="21"/>
              </w:rPr>
            </w:pPr>
          </w:p>
        </w:tc>
        <w:tc>
          <w:tcPr>
            <w:tcW w:w="1318" w:type="dxa"/>
            <w:vMerge w:val="continue"/>
            <w:vAlign w:val="center"/>
          </w:tcPr>
          <w:p w14:paraId="6324ACE2">
            <w:pPr>
              <w:spacing w:line="500" w:lineRule="exact"/>
              <w:jc w:val="left"/>
              <w:rPr>
                <w:rFonts w:ascii="宋体" w:hAnsi="宋体" w:cs="宋体"/>
                <w:color w:val="auto"/>
                <w:szCs w:val="21"/>
              </w:rPr>
            </w:pPr>
          </w:p>
        </w:tc>
        <w:tc>
          <w:tcPr>
            <w:tcW w:w="2931" w:type="dxa"/>
            <w:vAlign w:val="center"/>
          </w:tcPr>
          <w:p w14:paraId="456AD78D">
            <w:pPr>
              <w:spacing w:line="500" w:lineRule="exact"/>
              <w:jc w:val="left"/>
              <w:rPr>
                <w:rFonts w:ascii="宋体" w:hAnsi="宋体" w:cs="宋体"/>
                <w:color w:val="auto"/>
                <w:szCs w:val="21"/>
                <w:lang w:val="zh-CN"/>
              </w:rPr>
            </w:pPr>
            <w:r>
              <w:rPr>
                <w:rFonts w:hint="eastAsia" w:ascii="宋体" w:hAnsi="宋体" w:cs="宋体"/>
                <w:color w:val="auto"/>
                <w:szCs w:val="21"/>
                <w:lang w:val="zh-CN"/>
              </w:rPr>
              <w:t>（8）商务条款响应程度（包括不限于业绩、</w:t>
            </w:r>
            <w:r>
              <w:rPr>
                <w:rFonts w:hint="eastAsia" w:ascii="宋体" w:hAnsi="宋体" w:cs="宋体"/>
                <w:color w:val="auto"/>
                <w:szCs w:val="21"/>
              </w:rPr>
              <w:t>供货</w:t>
            </w:r>
            <w:r>
              <w:rPr>
                <w:rFonts w:hint="eastAsia" w:ascii="宋体" w:hAnsi="宋体" w:cs="宋体"/>
                <w:color w:val="auto"/>
                <w:szCs w:val="21"/>
                <w:lang w:val="zh-CN"/>
              </w:rPr>
              <w:t>期、售后服务、技术培训等）</w:t>
            </w:r>
          </w:p>
        </w:tc>
        <w:tc>
          <w:tcPr>
            <w:tcW w:w="4691" w:type="dxa"/>
            <w:vAlign w:val="center"/>
          </w:tcPr>
          <w:p w14:paraId="59CC08D4">
            <w:pPr>
              <w:spacing w:line="500" w:lineRule="exact"/>
              <w:jc w:val="left"/>
              <w:rPr>
                <w:rFonts w:ascii="宋体" w:hAnsi="宋体" w:cs="宋体"/>
                <w:color w:val="auto"/>
                <w:szCs w:val="21"/>
                <w:lang w:val="zh-CN"/>
              </w:rPr>
            </w:pPr>
            <w:r>
              <w:rPr>
                <w:rFonts w:hint="eastAsia" w:ascii="宋体" w:hAnsi="宋体" w:cs="宋体"/>
                <w:color w:val="auto"/>
                <w:szCs w:val="21"/>
                <w:lang w:val="zh-CN"/>
              </w:rPr>
              <w:t>响应招标文件要求。</w:t>
            </w:r>
          </w:p>
        </w:tc>
      </w:tr>
    </w:tbl>
    <w:p w14:paraId="75B0F63E">
      <w:pPr>
        <w:spacing w:line="500" w:lineRule="exact"/>
        <w:ind w:right="36" w:rightChars="17" w:firstLine="506" w:firstLineChars="241"/>
        <w:jc w:val="left"/>
        <w:rPr>
          <w:rFonts w:ascii="宋体" w:hAnsi="宋体" w:cs="宋体"/>
          <w:color w:val="auto"/>
          <w:szCs w:val="21"/>
        </w:rPr>
      </w:pPr>
      <w:r>
        <w:rPr>
          <w:rFonts w:hint="eastAsia" w:ascii="宋体" w:hAnsi="宋体" w:cs="宋体"/>
          <w:color w:val="auto"/>
          <w:szCs w:val="21"/>
        </w:rPr>
        <w:t>4.2资格审查及评分细则中涉及的有关证明材料及相关证书，电子投标文件中须按招标文件要求上传</w:t>
      </w:r>
      <w:r>
        <w:rPr>
          <w:rFonts w:hint="eastAsia" w:ascii="宋体" w:hAnsi="宋体" w:cs="宋体"/>
          <w:b/>
          <w:color w:val="auto"/>
          <w:szCs w:val="21"/>
        </w:rPr>
        <w:t>扫描件</w:t>
      </w:r>
      <w:r>
        <w:rPr>
          <w:rFonts w:hint="eastAsia" w:ascii="宋体" w:hAnsi="宋体" w:cs="宋体"/>
          <w:color w:val="auto"/>
          <w:szCs w:val="21"/>
        </w:rPr>
        <w:t>，以供审查。</w:t>
      </w:r>
    </w:p>
    <w:p w14:paraId="3CA00520">
      <w:pPr>
        <w:spacing w:line="500" w:lineRule="exact"/>
        <w:ind w:right="36" w:rightChars="17" w:firstLine="506" w:firstLineChars="241"/>
        <w:jc w:val="left"/>
        <w:rPr>
          <w:rFonts w:ascii="宋体" w:hAnsi="宋体" w:cs="宋体"/>
          <w:color w:val="auto"/>
          <w:szCs w:val="21"/>
        </w:rPr>
      </w:pPr>
      <w:r>
        <w:rPr>
          <w:rFonts w:hint="eastAsia" w:ascii="宋体" w:hAnsi="宋体" w:cs="宋体"/>
          <w:color w:val="auto"/>
          <w:szCs w:val="21"/>
        </w:rPr>
        <w:t>4.3．评标委员会判定投标文件的响应性只根据投标文件本身的内容，而不寻求外部的证据，但投标有不真实不正确的内容时除外。</w:t>
      </w:r>
    </w:p>
    <w:p w14:paraId="13924DB5">
      <w:pPr>
        <w:spacing w:line="500" w:lineRule="exact"/>
        <w:ind w:right="36" w:rightChars="17" w:firstLine="506" w:firstLineChars="241"/>
        <w:jc w:val="left"/>
        <w:rPr>
          <w:rFonts w:ascii="宋体" w:hAnsi="宋体" w:cs="宋体"/>
          <w:color w:val="auto"/>
          <w:szCs w:val="21"/>
        </w:rPr>
      </w:pPr>
      <w:r>
        <w:rPr>
          <w:rFonts w:hint="eastAsia" w:ascii="宋体" w:hAnsi="宋体" w:cs="宋体"/>
          <w:color w:val="auto"/>
          <w:szCs w:val="21"/>
        </w:rPr>
        <w:t>4.4如果投标文件实质上没有响应招标文件的要求，评标委员会将予以拒绝，投标人不得通过修正或撤销不符合要求的偏离或保留，而使其投标成为实质上响应的投标。</w:t>
      </w:r>
    </w:p>
    <w:p w14:paraId="5AB98D78">
      <w:pPr>
        <w:spacing w:line="500" w:lineRule="exact"/>
        <w:ind w:right="36" w:rightChars="17" w:firstLine="420" w:firstLineChars="200"/>
        <w:jc w:val="left"/>
        <w:rPr>
          <w:rFonts w:ascii="宋体" w:hAnsi="宋体" w:cs="宋体"/>
          <w:color w:val="auto"/>
          <w:szCs w:val="21"/>
        </w:rPr>
      </w:pPr>
      <w:r>
        <w:rPr>
          <w:rFonts w:hint="eastAsia" w:ascii="宋体" w:hAnsi="宋体" w:cs="宋体"/>
          <w:color w:val="auto"/>
          <w:szCs w:val="21"/>
        </w:rPr>
        <w:t xml:space="preserve"> 4.5投标人可在现场20分钟内对评标委员会的评审结论提出质疑，评标委员会根据招标文件及有关规定对投标人的质疑进行复议。</w:t>
      </w:r>
    </w:p>
    <w:p w14:paraId="77F0BFDB">
      <w:pPr>
        <w:spacing w:line="500" w:lineRule="exact"/>
        <w:ind w:right="36" w:rightChars="17" w:firstLine="525" w:firstLineChars="250"/>
        <w:jc w:val="left"/>
        <w:rPr>
          <w:rFonts w:ascii="宋体" w:hAnsi="宋体" w:cs="宋体"/>
          <w:color w:val="auto"/>
          <w:szCs w:val="21"/>
        </w:rPr>
      </w:pPr>
      <w:r>
        <w:rPr>
          <w:rFonts w:hint="eastAsia" w:ascii="宋体" w:hAnsi="宋体" w:cs="宋体"/>
          <w:color w:val="auto"/>
          <w:szCs w:val="21"/>
        </w:rPr>
        <w:t>4.6只有通过初审的投标人才能进入下一步程序。</w:t>
      </w:r>
    </w:p>
    <w:p w14:paraId="391518F5">
      <w:pPr>
        <w:spacing w:line="500" w:lineRule="exact"/>
        <w:ind w:right="36" w:rightChars="17"/>
        <w:jc w:val="left"/>
        <w:rPr>
          <w:rFonts w:ascii="宋体" w:hAnsi="宋体" w:cs="宋体"/>
          <w:b/>
          <w:color w:val="auto"/>
          <w:szCs w:val="21"/>
        </w:rPr>
      </w:pPr>
      <w:r>
        <w:rPr>
          <w:rFonts w:hint="eastAsia" w:ascii="宋体" w:hAnsi="宋体" w:cs="宋体"/>
          <w:b/>
          <w:color w:val="auto"/>
          <w:szCs w:val="21"/>
        </w:rPr>
        <w:t>温馨提示：1.请各投标人自行完善安徽省公共资源交易市场主体库中的单位基本信息，保证信息最新且有效。</w:t>
      </w:r>
    </w:p>
    <w:p w14:paraId="4F187FD5">
      <w:pPr>
        <w:spacing w:line="500" w:lineRule="exact"/>
        <w:ind w:right="36" w:rightChars="17"/>
        <w:jc w:val="left"/>
        <w:rPr>
          <w:rFonts w:ascii="宋体" w:hAnsi="宋体" w:cs="宋体"/>
          <w:color w:val="auto"/>
          <w:szCs w:val="21"/>
        </w:rPr>
      </w:pPr>
      <w:r>
        <w:rPr>
          <w:rFonts w:hint="eastAsia" w:ascii="宋体" w:hAnsi="宋体" w:cs="宋体"/>
          <w:b/>
          <w:color w:val="auto"/>
          <w:szCs w:val="21"/>
        </w:rPr>
        <w:t>2.投标文件资格审查资料请精心准备,如评标专家在检验电子投标文件过程中，如果由于投标人自身原因导致评标专家无法查看并检验电子投标文件中以上相关资料的，按无效投标处理。即使投标人将原件携带至现场的，同样按无效投标处理。</w:t>
      </w:r>
    </w:p>
    <w:p w14:paraId="49195413">
      <w:pPr>
        <w:spacing w:beforeLines="50" w:afterLines="50"/>
        <w:jc w:val="center"/>
        <w:outlineLvl w:val="1"/>
        <w:rPr>
          <w:rFonts w:ascii="宋体"/>
          <w:b/>
          <w:color w:val="auto"/>
          <w:sz w:val="28"/>
          <w:szCs w:val="28"/>
        </w:rPr>
      </w:pPr>
      <w:bookmarkStart w:id="67" w:name="_Toc362983803"/>
      <w:bookmarkStart w:id="68" w:name="_Toc449028879"/>
      <w:bookmarkStart w:id="69" w:name="_Toc14002"/>
      <w:bookmarkStart w:id="70" w:name="_Toc58430319"/>
      <w:r>
        <w:rPr>
          <w:rFonts w:hint="eastAsia" w:ascii="宋体"/>
          <w:b/>
          <w:color w:val="auto"/>
          <w:sz w:val="28"/>
          <w:szCs w:val="28"/>
        </w:rPr>
        <w:t>三、投标文件的澄清和补正</w:t>
      </w:r>
      <w:bookmarkEnd w:id="67"/>
      <w:bookmarkEnd w:id="68"/>
      <w:bookmarkEnd w:id="69"/>
      <w:bookmarkEnd w:id="70"/>
    </w:p>
    <w:p w14:paraId="035499CA">
      <w:pPr>
        <w:spacing w:line="500" w:lineRule="exact"/>
        <w:ind w:right="36" w:rightChars="17" w:firstLine="420" w:firstLineChars="200"/>
        <w:jc w:val="left"/>
        <w:rPr>
          <w:rFonts w:ascii="宋体" w:hAnsi="宋体" w:cs="宋体"/>
          <w:color w:val="auto"/>
          <w:szCs w:val="21"/>
        </w:rPr>
      </w:pPr>
      <w:r>
        <w:rPr>
          <w:rFonts w:hint="eastAsia" w:ascii="宋体" w:hAnsi="宋体" w:cs="宋体"/>
          <w:color w:val="auto"/>
          <w:szCs w:val="21"/>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rPr>
        <w:t>如因投标人未参加开标导致开评标过程中无法澄清、说明或补正的，视同投标人放弃该权利。</w:t>
      </w:r>
    </w:p>
    <w:p w14:paraId="35142ED8">
      <w:pPr>
        <w:spacing w:line="500" w:lineRule="exact"/>
        <w:ind w:right="36" w:rightChars="17" w:firstLine="525" w:firstLineChars="250"/>
        <w:jc w:val="left"/>
        <w:rPr>
          <w:rFonts w:ascii="宋体" w:hAnsi="宋体" w:cs="宋体"/>
          <w:color w:val="auto"/>
          <w:szCs w:val="21"/>
        </w:rPr>
      </w:pPr>
      <w:r>
        <w:rPr>
          <w:rFonts w:hint="eastAsia" w:ascii="宋体" w:hAnsi="宋体" w:cs="宋体"/>
          <w:color w:val="auto"/>
          <w:szCs w:val="21"/>
        </w:rPr>
        <w:t>5.2本项目采用远程开标，投标人的澄清、说明或者补正应当在系统进行，但不得超出投标书的范围或者改变投标书的实质性内容。具体操作方法详见服务指南&gt;交易须知&gt;开标大厅远程解密、质疑(异议)及回复以及评标过程中询标流程操作手册。</w:t>
      </w:r>
    </w:p>
    <w:p w14:paraId="6CB3DD03">
      <w:pPr>
        <w:spacing w:line="500" w:lineRule="exact"/>
        <w:ind w:right="36" w:rightChars="17" w:firstLine="525" w:firstLineChars="250"/>
        <w:jc w:val="left"/>
        <w:rPr>
          <w:rFonts w:ascii="宋体" w:hAnsi="宋体" w:cs="宋体"/>
          <w:color w:val="auto"/>
          <w:szCs w:val="21"/>
        </w:rPr>
      </w:pPr>
      <w:r>
        <w:rPr>
          <w:rFonts w:hint="eastAsia" w:ascii="宋体" w:hAnsi="宋体" w:cs="宋体"/>
          <w:color w:val="auto"/>
          <w:szCs w:val="21"/>
        </w:rPr>
        <w:t>5.3评委会修正错误的原则：</w:t>
      </w:r>
    </w:p>
    <w:p w14:paraId="447B8A24">
      <w:pPr>
        <w:spacing w:line="500" w:lineRule="exact"/>
        <w:ind w:right="36" w:rightChars="17" w:firstLine="525" w:firstLineChars="250"/>
        <w:jc w:val="left"/>
        <w:rPr>
          <w:rFonts w:ascii="宋体" w:hAnsi="宋体" w:cs="宋体"/>
          <w:color w:val="auto"/>
          <w:szCs w:val="21"/>
        </w:rPr>
      </w:pPr>
      <w:r>
        <w:rPr>
          <w:rFonts w:hint="eastAsia" w:ascii="宋体" w:hAnsi="宋体" w:cs="宋体"/>
          <w:color w:val="auto"/>
          <w:szCs w:val="21"/>
        </w:rPr>
        <w:t>5.3.1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75ADE800">
      <w:pPr>
        <w:spacing w:line="500" w:lineRule="exact"/>
        <w:ind w:right="36" w:rightChars="17" w:firstLine="525" w:firstLineChars="250"/>
        <w:jc w:val="left"/>
        <w:rPr>
          <w:rFonts w:ascii="宋体" w:hAnsi="宋体" w:cs="宋体"/>
          <w:color w:val="auto"/>
          <w:szCs w:val="21"/>
        </w:rPr>
      </w:pPr>
      <w:r>
        <w:rPr>
          <w:rFonts w:hint="eastAsia" w:ascii="宋体" w:hAnsi="宋体" w:cs="宋体"/>
          <w:color w:val="auto"/>
          <w:szCs w:val="21"/>
        </w:rPr>
        <w:t>5.3.2如果单价与数量的乘积和总价不一致，以单价为准，修正总价及开标一览表；当单价小数点有明显的错位时，评委会将以总价为准，并修正其单价；投标的数量与招标的数量不一致时，以招标数量为准。</w:t>
      </w:r>
    </w:p>
    <w:p w14:paraId="023B27E0">
      <w:pPr>
        <w:spacing w:line="500" w:lineRule="exact"/>
        <w:ind w:right="36" w:rightChars="17" w:firstLine="403" w:firstLineChars="192"/>
        <w:jc w:val="left"/>
        <w:rPr>
          <w:rFonts w:ascii="宋体" w:hAnsi="宋体" w:cs="宋体"/>
          <w:color w:val="auto"/>
          <w:szCs w:val="21"/>
        </w:rPr>
      </w:pPr>
      <w:r>
        <w:rPr>
          <w:rFonts w:hint="eastAsia" w:ascii="宋体" w:hAnsi="宋体" w:cs="宋体"/>
          <w:color w:val="auto"/>
          <w:szCs w:val="21"/>
        </w:rPr>
        <w:t xml:space="preserve"> 5.4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bookmarkEnd w:id="62"/>
    <w:p w14:paraId="0EF8C6F4">
      <w:pPr>
        <w:spacing w:beforeLines="50" w:afterLines="50"/>
        <w:jc w:val="center"/>
        <w:outlineLvl w:val="1"/>
        <w:rPr>
          <w:rFonts w:ascii="宋体"/>
          <w:b/>
          <w:color w:val="auto"/>
          <w:sz w:val="28"/>
          <w:szCs w:val="28"/>
        </w:rPr>
      </w:pPr>
      <w:bookmarkStart w:id="71" w:name="_Toc3630"/>
      <w:bookmarkStart w:id="72" w:name="_Toc58430320"/>
      <w:bookmarkStart w:id="73" w:name="_Toc449028880"/>
      <w:bookmarkStart w:id="74" w:name="_Hlk101517174"/>
      <w:r>
        <w:rPr>
          <w:rFonts w:hint="eastAsia" w:ascii="宋体"/>
          <w:b/>
          <w:color w:val="auto"/>
          <w:sz w:val="28"/>
          <w:szCs w:val="28"/>
        </w:rPr>
        <w:t>四、比较与评价</w:t>
      </w:r>
      <w:bookmarkEnd w:id="71"/>
      <w:bookmarkEnd w:id="72"/>
      <w:bookmarkEnd w:id="73"/>
    </w:p>
    <w:p w14:paraId="52174A82">
      <w:pPr>
        <w:spacing w:line="500" w:lineRule="exact"/>
        <w:ind w:right="36" w:rightChars="17" w:firstLine="417" w:firstLineChars="198"/>
        <w:jc w:val="left"/>
        <w:rPr>
          <w:rFonts w:ascii="宋体" w:hAnsi="宋体" w:cs="宋体"/>
          <w:b/>
          <w:color w:val="auto"/>
          <w:szCs w:val="21"/>
        </w:rPr>
      </w:pPr>
      <w:r>
        <w:rPr>
          <w:rFonts w:hint="eastAsia" w:ascii="宋体" w:hAnsi="宋体" w:cs="宋体"/>
          <w:b/>
          <w:color w:val="auto"/>
          <w:szCs w:val="21"/>
        </w:rPr>
        <w:t xml:space="preserve"> 6.</w:t>
      </w:r>
      <w:bookmarkStart w:id="75" w:name="_Toc362983805"/>
      <w:r>
        <w:rPr>
          <w:rFonts w:hint="eastAsia" w:ascii="宋体" w:hAnsi="宋体" w:cs="宋体"/>
          <w:b/>
          <w:color w:val="auto"/>
          <w:szCs w:val="21"/>
        </w:rPr>
        <w:t>详细评审即按招标文件中规定的评标方法和标准，评标委员会将对通过初审的投标文件，进行资信、技术和商务部分评估、综合比较与评价。</w:t>
      </w:r>
    </w:p>
    <w:p w14:paraId="063381AF">
      <w:pPr>
        <w:spacing w:line="500" w:lineRule="exact"/>
        <w:jc w:val="left"/>
        <w:rPr>
          <w:rFonts w:ascii="宋体" w:hAnsi="宋体" w:cs="宋体"/>
          <w:b/>
          <w:bCs/>
          <w:color w:val="auto"/>
          <w:szCs w:val="21"/>
        </w:rPr>
      </w:pPr>
      <w:r>
        <w:rPr>
          <w:rFonts w:hint="eastAsia" w:ascii="宋体" w:hAnsi="宋体" w:cs="宋体"/>
          <w:b/>
          <w:bCs/>
          <w:color w:val="auto"/>
          <w:szCs w:val="21"/>
        </w:rPr>
        <w:t>6.1资信标评分细则（</w:t>
      </w:r>
      <w:r>
        <w:rPr>
          <w:rFonts w:hint="eastAsia" w:ascii="宋体" w:hAnsi="宋体" w:cs="宋体"/>
          <w:b/>
          <w:bCs/>
          <w:color w:val="auto"/>
          <w:szCs w:val="21"/>
          <w:lang w:val="en-US" w:eastAsia="zh-CN"/>
        </w:rPr>
        <w:t>43</w:t>
      </w:r>
      <w:r>
        <w:rPr>
          <w:rFonts w:hint="eastAsia" w:ascii="宋体" w:hAnsi="宋体" w:cs="宋体"/>
          <w:b/>
          <w:bCs/>
          <w:color w:val="auto"/>
          <w:szCs w:val="21"/>
        </w:rPr>
        <w:t>分）</w:t>
      </w:r>
    </w:p>
    <w:tbl>
      <w:tblPr>
        <w:tblStyle w:val="35"/>
        <w:tblW w:w="1019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45"/>
        <w:gridCol w:w="900"/>
        <w:gridCol w:w="7350"/>
      </w:tblGrid>
      <w:tr w14:paraId="035E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4EDDBDCF">
            <w:pPr>
              <w:spacing w:line="500" w:lineRule="exact"/>
              <w:jc w:val="center"/>
              <w:rPr>
                <w:rFonts w:ascii="宋体" w:hAnsi="宋体" w:cs="宋体"/>
                <w:b/>
                <w:bCs/>
                <w:color w:val="auto"/>
                <w:szCs w:val="21"/>
              </w:rPr>
            </w:pPr>
            <w:r>
              <w:rPr>
                <w:rFonts w:hint="eastAsia" w:ascii="宋体" w:hAnsi="宋体" w:cs="宋体"/>
                <w:b/>
                <w:bCs/>
                <w:color w:val="auto"/>
                <w:szCs w:val="21"/>
              </w:rPr>
              <w:t>序号</w:t>
            </w:r>
          </w:p>
        </w:tc>
        <w:tc>
          <w:tcPr>
            <w:tcW w:w="1245" w:type="dxa"/>
            <w:vAlign w:val="center"/>
          </w:tcPr>
          <w:p w14:paraId="5C2F01E3">
            <w:pPr>
              <w:spacing w:line="500" w:lineRule="exact"/>
              <w:jc w:val="center"/>
              <w:rPr>
                <w:rFonts w:ascii="宋体" w:hAnsi="宋体" w:cs="宋体"/>
                <w:b/>
                <w:bCs/>
                <w:color w:val="auto"/>
                <w:szCs w:val="21"/>
              </w:rPr>
            </w:pPr>
            <w:r>
              <w:rPr>
                <w:rFonts w:hint="eastAsia" w:ascii="宋体" w:hAnsi="宋体" w:cs="宋体"/>
                <w:b/>
                <w:bCs/>
                <w:color w:val="auto"/>
                <w:szCs w:val="21"/>
              </w:rPr>
              <w:t>评分因素</w:t>
            </w:r>
          </w:p>
        </w:tc>
        <w:tc>
          <w:tcPr>
            <w:tcW w:w="900" w:type="dxa"/>
            <w:vAlign w:val="center"/>
          </w:tcPr>
          <w:p w14:paraId="06071A15">
            <w:pPr>
              <w:spacing w:line="500" w:lineRule="exact"/>
              <w:jc w:val="center"/>
              <w:rPr>
                <w:rFonts w:ascii="宋体" w:hAnsi="宋体" w:cs="宋体"/>
                <w:b/>
                <w:bCs/>
                <w:color w:val="auto"/>
                <w:szCs w:val="21"/>
              </w:rPr>
            </w:pPr>
            <w:r>
              <w:rPr>
                <w:rFonts w:hint="eastAsia" w:ascii="宋体" w:hAnsi="宋体" w:cs="宋体"/>
                <w:b/>
                <w:bCs/>
                <w:color w:val="auto"/>
                <w:szCs w:val="21"/>
              </w:rPr>
              <w:t>分值</w:t>
            </w:r>
          </w:p>
        </w:tc>
        <w:tc>
          <w:tcPr>
            <w:tcW w:w="7350" w:type="dxa"/>
            <w:vAlign w:val="center"/>
          </w:tcPr>
          <w:p w14:paraId="673F96E5">
            <w:pPr>
              <w:spacing w:line="500" w:lineRule="exact"/>
              <w:jc w:val="center"/>
              <w:rPr>
                <w:rFonts w:ascii="宋体" w:hAnsi="宋体" w:cs="宋体"/>
                <w:b/>
                <w:bCs/>
                <w:color w:val="auto"/>
                <w:szCs w:val="21"/>
              </w:rPr>
            </w:pPr>
            <w:r>
              <w:rPr>
                <w:rFonts w:hint="eastAsia" w:ascii="宋体" w:hAnsi="宋体" w:cs="宋体"/>
                <w:b/>
                <w:bCs/>
                <w:color w:val="auto"/>
                <w:szCs w:val="21"/>
              </w:rPr>
              <w:t>评审细则</w:t>
            </w:r>
          </w:p>
        </w:tc>
      </w:tr>
      <w:tr w14:paraId="0E21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0F5429D3">
            <w:pPr>
              <w:pStyle w:val="17"/>
              <w:spacing w:line="500" w:lineRule="exact"/>
              <w:jc w:val="center"/>
              <w:rPr>
                <w:rFonts w:ascii="宋体" w:hAnsi="宋体" w:cs="宋体"/>
                <w:color w:val="auto"/>
              </w:rPr>
            </w:pPr>
            <w:r>
              <w:rPr>
                <w:rFonts w:hint="eastAsia" w:ascii="宋体" w:hAnsi="宋体" w:cs="宋体"/>
                <w:color w:val="auto"/>
              </w:rPr>
              <w:t>1</w:t>
            </w:r>
          </w:p>
        </w:tc>
        <w:tc>
          <w:tcPr>
            <w:tcW w:w="1245" w:type="dxa"/>
            <w:vAlign w:val="center"/>
          </w:tcPr>
          <w:p w14:paraId="0088E6A7">
            <w:pPr>
              <w:spacing w:line="500" w:lineRule="exact"/>
              <w:jc w:val="center"/>
              <w:rPr>
                <w:rFonts w:ascii="宋体" w:hAnsi="宋体" w:cs="宋体"/>
                <w:b/>
                <w:bCs/>
                <w:color w:val="auto"/>
                <w:szCs w:val="21"/>
              </w:rPr>
            </w:pPr>
            <w:r>
              <w:rPr>
                <w:rFonts w:hint="eastAsia" w:ascii="宋体" w:hAnsi="宋体" w:cs="宋体"/>
                <w:b/>
                <w:bCs/>
                <w:color w:val="auto"/>
                <w:szCs w:val="21"/>
              </w:rPr>
              <w:t>企业业绩</w:t>
            </w:r>
          </w:p>
        </w:tc>
        <w:tc>
          <w:tcPr>
            <w:tcW w:w="900" w:type="dxa"/>
            <w:vAlign w:val="center"/>
          </w:tcPr>
          <w:p w14:paraId="16504C93">
            <w:pPr>
              <w:spacing w:line="500" w:lineRule="exact"/>
              <w:jc w:val="center"/>
              <w:rPr>
                <w:rFonts w:ascii="宋体" w:hAnsi="宋体" w:cs="宋体"/>
                <w:b/>
                <w:bCs/>
                <w:color w:val="auto"/>
                <w:szCs w:val="21"/>
              </w:rPr>
            </w:pPr>
            <w:r>
              <w:rPr>
                <w:rFonts w:hint="eastAsia" w:ascii="宋体" w:hAnsi="宋体" w:cs="宋体"/>
                <w:b/>
                <w:bCs/>
                <w:color w:val="auto"/>
                <w:szCs w:val="21"/>
              </w:rPr>
              <w:t>10分</w:t>
            </w:r>
          </w:p>
        </w:tc>
        <w:tc>
          <w:tcPr>
            <w:tcW w:w="7350" w:type="dxa"/>
            <w:vAlign w:val="center"/>
          </w:tcPr>
          <w:p w14:paraId="01FC005C">
            <w:pPr>
              <w:spacing w:line="500" w:lineRule="exact"/>
              <w:jc w:val="left"/>
              <w:rPr>
                <w:rFonts w:ascii="宋体" w:hAnsi="宋体" w:cs="宋体"/>
                <w:b/>
                <w:bCs/>
                <w:color w:val="auto"/>
              </w:rPr>
            </w:pPr>
            <w:r>
              <w:rPr>
                <w:rFonts w:hint="eastAsia" w:ascii="宋体" w:hAnsi="宋体" w:cs="宋体"/>
                <w:color w:val="auto"/>
                <w:szCs w:val="21"/>
              </w:rPr>
              <w:t>2022年1月1日至投标截止时间，投标人具有供水企业的机械水表供货业绩，每提供1项得5分，满分为10分。</w:t>
            </w:r>
          </w:p>
          <w:p w14:paraId="0D669FF9">
            <w:pPr>
              <w:spacing w:line="500" w:lineRule="exact"/>
              <w:jc w:val="left"/>
              <w:rPr>
                <w:rFonts w:ascii="宋体" w:hAnsi="宋体" w:cs="宋体"/>
                <w:color w:val="auto"/>
              </w:rPr>
            </w:pPr>
            <w:r>
              <w:rPr>
                <w:rFonts w:hint="eastAsia" w:ascii="宋体" w:hAnsi="宋体" w:cs="宋体"/>
                <w:b/>
                <w:bCs/>
                <w:color w:val="auto"/>
              </w:rPr>
              <w:t>注：同时提供发票（字迹清晰可见，合计金额不可遮挡，否则视为未提供）、中标通知书和合同。业绩有效时间以合同为准。</w:t>
            </w:r>
          </w:p>
        </w:tc>
      </w:tr>
      <w:tr w14:paraId="79DB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697" w:type="dxa"/>
            <w:vAlign w:val="center"/>
          </w:tcPr>
          <w:p w14:paraId="4C10CA56">
            <w:pPr>
              <w:pStyle w:val="17"/>
              <w:spacing w:line="500" w:lineRule="exact"/>
              <w:jc w:val="center"/>
              <w:rPr>
                <w:rFonts w:ascii="宋体" w:hAnsi="宋体" w:cs="宋体"/>
                <w:color w:val="auto"/>
              </w:rPr>
            </w:pPr>
            <w:r>
              <w:rPr>
                <w:rFonts w:hint="eastAsia" w:ascii="宋体" w:hAnsi="宋体" w:cs="宋体"/>
                <w:color w:val="auto"/>
              </w:rPr>
              <w:t>2</w:t>
            </w:r>
          </w:p>
        </w:tc>
        <w:tc>
          <w:tcPr>
            <w:tcW w:w="1245" w:type="dxa"/>
            <w:vAlign w:val="center"/>
          </w:tcPr>
          <w:p w14:paraId="75181F64">
            <w:pPr>
              <w:spacing w:line="500" w:lineRule="exact"/>
              <w:jc w:val="center"/>
              <w:rPr>
                <w:rFonts w:ascii="宋体" w:hAnsi="宋体" w:cs="宋体"/>
                <w:b/>
                <w:bCs/>
                <w:color w:val="auto"/>
                <w:szCs w:val="21"/>
              </w:rPr>
            </w:pPr>
            <w:r>
              <w:rPr>
                <w:rFonts w:hint="eastAsia" w:ascii="宋体" w:hAnsi="宋体" w:cs="宋体"/>
                <w:b/>
                <w:bCs/>
                <w:color w:val="auto"/>
                <w:szCs w:val="21"/>
              </w:rPr>
              <w:t>企业认证</w:t>
            </w:r>
          </w:p>
        </w:tc>
        <w:tc>
          <w:tcPr>
            <w:tcW w:w="900" w:type="dxa"/>
            <w:vAlign w:val="center"/>
          </w:tcPr>
          <w:p w14:paraId="08FE306A">
            <w:pPr>
              <w:spacing w:line="500" w:lineRule="exact"/>
              <w:jc w:val="center"/>
              <w:rPr>
                <w:rFonts w:ascii="宋体" w:hAnsi="宋体" w:cs="宋体"/>
                <w:b/>
                <w:bCs/>
                <w:color w:val="auto"/>
                <w:szCs w:val="21"/>
              </w:rPr>
            </w:pPr>
            <w:r>
              <w:rPr>
                <w:rFonts w:hint="eastAsia" w:ascii="宋体" w:hAnsi="宋体" w:cs="宋体"/>
                <w:b/>
                <w:bCs/>
                <w:color w:val="auto"/>
                <w:szCs w:val="21"/>
              </w:rPr>
              <w:t>22分</w:t>
            </w:r>
          </w:p>
        </w:tc>
        <w:tc>
          <w:tcPr>
            <w:tcW w:w="7350" w:type="dxa"/>
            <w:vAlign w:val="center"/>
          </w:tcPr>
          <w:p w14:paraId="289384A8">
            <w:pPr>
              <w:spacing w:line="500" w:lineRule="exact"/>
              <w:jc w:val="left"/>
              <w:rPr>
                <w:rFonts w:ascii="宋体" w:hAnsi="宋体" w:cs="宋体"/>
                <w:color w:val="auto"/>
              </w:rPr>
            </w:pPr>
            <w:r>
              <w:rPr>
                <w:rFonts w:hint="eastAsia" w:ascii="宋体" w:hAnsi="宋体" w:cs="宋体"/>
                <w:color w:val="auto"/>
              </w:rPr>
              <w:t>1.投标人具有党政机关或事业单位颁发的国家认定企业技术中心的得3分，满分3分。</w:t>
            </w:r>
          </w:p>
          <w:p w14:paraId="03845B45">
            <w:pPr>
              <w:spacing w:line="500" w:lineRule="exact"/>
              <w:jc w:val="left"/>
              <w:rPr>
                <w:rFonts w:ascii="宋体" w:hAnsi="宋体" w:cs="宋体"/>
                <w:b/>
                <w:bCs/>
                <w:color w:val="auto"/>
              </w:rPr>
            </w:pPr>
            <w:r>
              <w:rPr>
                <w:rFonts w:hint="eastAsia" w:ascii="宋体" w:hAnsi="宋体" w:cs="宋体"/>
                <w:b/>
                <w:bCs/>
                <w:color w:val="auto"/>
              </w:rPr>
              <w:t>注：同时提供牌匾（或证书）扫描件和政府官方网站公布企业技术中心的公示截图（须显示投标人名称）（或政府公示文件（须显示投标人名称）））</w:t>
            </w:r>
          </w:p>
          <w:p w14:paraId="1F7CDBDD">
            <w:pPr>
              <w:spacing w:line="500" w:lineRule="exact"/>
              <w:jc w:val="left"/>
              <w:rPr>
                <w:rFonts w:ascii="宋体" w:hAnsi="宋体" w:cs="宋体"/>
                <w:color w:val="auto"/>
              </w:rPr>
            </w:pPr>
            <w:r>
              <w:rPr>
                <w:rFonts w:hint="eastAsia" w:ascii="宋体" w:hAnsi="宋体" w:cs="宋体"/>
                <w:color w:val="auto"/>
              </w:rPr>
              <w:t>2.投标人具有经中国国家认证认可监督管理委员会认可的认证机构颁发的五星级或以上售后服务认证证书，得3分。</w:t>
            </w:r>
          </w:p>
          <w:p w14:paraId="184A1872">
            <w:pPr>
              <w:spacing w:line="500" w:lineRule="exact"/>
              <w:jc w:val="left"/>
              <w:rPr>
                <w:rFonts w:ascii="宋体" w:hAnsi="宋体" w:cs="宋体"/>
                <w:b/>
                <w:bCs/>
                <w:color w:val="auto"/>
              </w:rPr>
            </w:pPr>
            <w:r>
              <w:rPr>
                <w:rFonts w:hint="eastAsia" w:ascii="宋体" w:hAnsi="宋体" w:cs="宋体"/>
                <w:b/>
                <w:bCs/>
                <w:color w:val="auto"/>
              </w:rPr>
              <w:t>注：提供证书（证书获得单位名称必须与投标单位完全一致，并在有效期内）扫描件和在国家认证认可监督管理委员会网站全国认证认可信息公共服务平台的查询截图作为评审依据。</w:t>
            </w:r>
          </w:p>
          <w:p w14:paraId="39AA3A4D">
            <w:pPr>
              <w:spacing w:line="500" w:lineRule="exact"/>
              <w:jc w:val="left"/>
              <w:rPr>
                <w:rFonts w:ascii="宋体" w:hAnsi="宋体" w:cs="宋体"/>
                <w:color w:val="auto"/>
              </w:rPr>
            </w:pPr>
            <w:r>
              <w:rPr>
                <w:rFonts w:hint="eastAsia" w:ascii="宋体" w:hAnsi="宋体" w:cs="宋体"/>
                <w:color w:val="auto"/>
              </w:rPr>
              <w:t>3.投标人具有党政机关或事业单位颁发的服务型制造示范企业的得3分，满分3分。</w:t>
            </w:r>
          </w:p>
          <w:p w14:paraId="4E3D82C2">
            <w:pPr>
              <w:spacing w:line="500" w:lineRule="exact"/>
              <w:jc w:val="left"/>
              <w:rPr>
                <w:rFonts w:ascii="宋体" w:hAnsi="宋体" w:cs="宋体"/>
                <w:b/>
                <w:bCs/>
                <w:color w:val="auto"/>
              </w:rPr>
            </w:pPr>
            <w:r>
              <w:rPr>
                <w:rFonts w:hint="eastAsia" w:ascii="宋体" w:hAnsi="宋体" w:cs="宋体"/>
                <w:b/>
                <w:bCs/>
                <w:color w:val="auto"/>
              </w:rPr>
              <w:t>注：同时提供证书（或牌匾）扫描件和政府官方网站公示截图（须显示投标人名称）（或政府公示文件（须显示投标人名称））</w:t>
            </w:r>
          </w:p>
          <w:p w14:paraId="7F35F2A4">
            <w:pPr>
              <w:spacing w:line="440" w:lineRule="exact"/>
              <w:jc w:val="left"/>
              <w:rPr>
                <w:rFonts w:ascii="宋体" w:hAnsi="宋体" w:cs="宋体"/>
                <w:color w:val="auto"/>
                <w:kern w:val="0"/>
                <w:szCs w:val="21"/>
              </w:rPr>
            </w:pPr>
            <w:r>
              <w:rPr>
                <w:rFonts w:hint="eastAsia" w:ascii="宋体" w:hAnsi="宋体" w:cs="宋体"/>
                <w:color w:val="auto"/>
                <w:kern w:val="0"/>
                <w:szCs w:val="21"/>
              </w:rPr>
              <w:t>4.投标人具有党政机关或事业单位颁发的智能制造试点示范的得4分，满分4分。</w:t>
            </w:r>
          </w:p>
          <w:p w14:paraId="5AC7A811">
            <w:pPr>
              <w:spacing w:line="440" w:lineRule="exact"/>
              <w:jc w:val="left"/>
              <w:rPr>
                <w:rFonts w:ascii="宋体" w:hAnsi="宋体" w:cs="宋体"/>
                <w:b/>
                <w:bCs/>
                <w:color w:val="auto"/>
              </w:rPr>
            </w:pPr>
            <w:r>
              <w:rPr>
                <w:rFonts w:hint="eastAsia" w:ascii="宋体" w:hAnsi="宋体" w:cs="宋体"/>
                <w:b/>
                <w:bCs/>
                <w:color w:val="auto"/>
                <w:kern w:val="0"/>
                <w:szCs w:val="21"/>
              </w:rPr>
              <w:t>注：同时提供证书（或牌匾）和政府官方网站公示截图（须显示投标人名称）（或政府公示文件（须显示投标人名称））。</w:t>
            </w:r>
          </w:p>
          <w:p w14:paraId="4A97D07B">
            <w:pPr>
              <w:spacing w:line="500" w:lineRule="exact"/>
              <w:jc w:val="left"/>
              <w:rPr>
                <w:rFonts w:ascii="宋体" w:hAnsi="宋体" w:cs="宋体"/>
                <w:b/>
                <w:bCs/>
                <w:color w:val="auto"/>
              </w:rPr>
            </w:pPr>
            <w:r>
              <w:rPr>
                <w:rFonts w:hint="eastAsia" w:ascii="宋体" w:hAnsi="宋体" w:cs="宋体"/>
                <w:color w:val="auto"/>
              </w:rPr>
              <w:t>5.投标人具有专精特新或专精特新“小巨人”称号的得3分。</w:t>
            </w:r>
            <w:r>
              <w:rPr>
                <w:rFonts w:hint="eastAsia" w:ascii="宋体" w:hAnsi="宋体" w:cs="宋体"/>
                <w:b/>
                <w:bCs/>
                <w:color w:val="auto"/>
              </w:rPr>
              <w:t>注：提供证书扫描件或</w:t>
            </w:r>
            <w:r>
              <w:rPr>
                <w:rFonts w:hint="eastAsia" w:ascii="宋体" w:hAnsi="宋体" w:cs="宋体"/>
                <w:b/>
                <w:bCs/>
                <w:color w:val="auto"/>
                <w:lang w:val="en-US" w:eastAsia="zh-CN"/>
              </w:rPr>
              <w:t>红头文件扫描件或</w:t>
            </w:r>
            <w:r>
              <w:rPr>
                <w:rFonts w:hint="eastAsia" w:ascii="宋体" w:hAnsi="宋体" w:cs="宋体"/>
                <w:b/>
                <w:bCs/>
                <w:color w:val="auto"/>
              </w:rPr>
              <w:t>网站公示名单截图（显示网址）。</w:t>
            </w:r>
          </w:p>
          <w:p w14:paraId="741E3996">
            <w:pPr>
              <w:spacing w:line="500" w:lineRule="exact"/>
              <w:jc w:val="left"/>
              <w:rPr>
                <w:rFonts w:ascii="宋体" w:hAnsi="宋体" w:cs="宋体"/>
                <w:b/>
                <w:bCs/>
                <w:color w:val="auto"/>
                <w:highlight w:val="cyan"/>
              </w:rPr>
            </w:pPr>
            <w:r>
              <w:rPr>
                <w:rFonts w:hint="eastAsia" w:ascii="宋体" w:hAnsi="宋体" w:cs="宋体"/>
                <w:color w:val="auto"/>
              </w:rPr>
              <w:t>6.投标人具有两化融合管理体系认证的得3分。</w:t>
            </w:r>
            <w:r>
              <w:rPr>
                <w:rFonts w:hint="eastAsia" w:ascii="宋体" w:hAnsi="宋体" w:cs="宋体"/>
                <w:b/>
                <w:bCs/>
                <w:color w:val="auto"/>
              </w:rPr>
              <w:t>注：提供证书扫描件。</w:t>
            </w:r>
          </w:p>
          <w:p w14:paraId="4B72F66B">
            <w:pPr>
              <w:spacing w:line="500" w:lineRule="exact"/>
              <w:jc w:val="left"/>
              <w:rPr>
                <w:rFonts w:ascii="宋体" w:hAnsi="宋体" w:cs="宋体"/>
                <w:color w:val="auto"/>
              </w:rPr>
            </w:pPr>
            <w:r>
              <w:rPr>
                <w:rFonts w:hint="eastAsia" w:ascii="宋体" w:hAnsi="宋体" w:cs="宋体"/>
                <w:color w:val="auto"/>
              </w:rPr>
              <w:t>7.投标人具有中国合格评定国家认可委员会实验室认可证书的得3分。</w:t>
            </w:r>
          </w:p>
          <w:p w14:paraId="060F93BD">
            <w:pPr>
              <w:spacing w:line="500" w:lineRule="exact"/>
              <w:jc w:val="left"/>
              <w:rPr>
                <w:rFonts w:ascii="宋体" w:hAnsi="宋体" w:cs="宋体"/>
                <w:b/>
                <w:bCs/>
                <w:color w:val="auto"/>
              </w:rPr>
            </w:pPr>
            <w:r>
              <w:rPr>
                <w:rFonts w:hint="eastAsia" w:ascii="宋体" w:hAnsi="宋体" w:cs="宋体"/>
                <w:b/>
                <w:bCs/>
                <w:color w:val="auto"/>
              </w:rPr>
              <w:t>注：提供证书扫描件。</w:t>
            </w:r>
          </w:p>
        </w:tc>
      </w:tr>
      <w:tr w14:paraId="7367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Align w:val="center"/>
          </w:tcPr>
          <w:p w14:paraId="6BA85A4D">
            <w:pPr>
              <w:pStyle w:val="17"/>
              <w:spacing w:line="500" w:lineRule="exact"/>
              <w:jc w:val="center"/>
              <w:rPr>
                <w:rFonts w:ascii="宋体" w:hAnsi="宋体" w:cs="宋体"/>
                <w:color w:val="auto"/>
              </w:rPr>
            </w:pPr>
            <w:r>
              <w:rPr>
                <w:rFonts w:hint="eastAsia" w:ascii="宋体" w:hAnsi="宋体" w:cs="宋体"/>
                <w:color w:val="auto"/>
              </w:rPr>
              <w:t>3</w:t>
            </w:r>
          </w:p>
        </w:tc>
        <w:tc>
          <w:tcPr>
            <w:tcW w:w="1245" w:type="dxa"/>
            <w:vAlign w:val="center"/>
          </w:tcPr>
          <w:p w14:paraId="4DD35739">
            <w:pPr>
              <w:spacing w:line="500" w:lineRule="exact"/>
              <w:jc w:val="center"/>
              <w:rPr>
                <w:rFonts w:ascii="宋体" w:hAnsi="宋体" w:cs="宋体"/>
                <w:b/>
                <w:bCs/>
                <w:color w:val="auto"/>
                <w:szCs w:val="21"/>
              </w:rPr>
            </w:pPr>
            <w:r>
              <w:rPr>
                <w:rFonts w:hint="eastAsia" w:ascii="宋体" w:hAnsi="宋体" w:cs="宋体"/>
                <w:b/>
                <w:bCs/>
                <w:color w:val="auto"/>
                <w:szCs w:val="21"/>
              </w:rPr>
              <w:t>产品实力</w:t>
            </w:r>
          </w:p>
        </w:tc>
        <w:tc>
          <w:tcPr>
            <w:tcW w:w="900" w:type="dxa"/>
            <w:vAlign w:val="center"/>
          </w:tcPr>
          <w:p w14:paraId="2BCD8519">
            <w:pPr>
              <w:spacing w:line="500" w:lineRule="exact"/>
              <w:jc w:val="center"/>
              <w:rPr>
                <w:rFonts w:ascii="宋体" w:hAnsi="宋体" w:cs="宋体"/>
                <w:b/>
                <w:bCs/>
                <w:color w:val="auto"/>
                <w:szCs w:val="21"/>
              </w:rPr>
            </w:pPr>
            <w:r>
              <w:rPr>
                <w:rFonts w:hint="eastAsia" w:ascii="宋体" w:hAnsi="宋体" w:cs="宋体"/>
                <w:b/>
                <w:bCs/>
                <w:color w:val="auto"/>
                <w:szCs w:val="21"/>
                <w:lang w:val="en-US" w:eastAsia="zh-CN"/>
              </w:rPr>
              <w:t>6</w:t>
            </w:r>
            <w:r>
              <w:rPr>
                <w:rFonts w:hint="eastAsia" w:ascii="宋体" w:hAnsi="宋体" w:cs="宋体"/>
                <w:b/>
                <w:bCs/>
                <w:color w:val="auto"/>
                <w:szCs w:val="21"/>
              </w:rPr>
              <w:t>分</w:t>
            </w:r>
          </w:p>
        </w:tc>
        <w:tc>
          <w:tcPr>
            <w:tcW w:w="7350" w:type="dxa"/>
            <w:vAlign w:val="center"/>
          </w:tcPr>
          <w:p w14:paraId="2732C8E4">
            <w:pPr>
              <w:spacing w:line="440" w:lineRule="exact"/>
              <w:ind w:right="6"/>
              <w:jc w:val="left"/>
              <w:rPr>
                <w:rFonts w:ascii="宋体" w:hAnsi="宋体" w:cs="宋体"/>
                <w:b/>
                <w:bCs/>
                <w:color w:val="auto"/>
                <w:kern w:val="0"/>
                <w:szCs w:val="21"/>
              </w:rPr>
            </w:pPr>
            <w:r>
              <w:rPr>
                <w:rFonts w:hint="eastAsia" w:ascii="宋体" w:hAnsi="宋体" w:cs="宋体"/>
                <w:color w:val="auto"/>
                <w:kern w:val="0"/>
                <w:szCs w:val="21"/>
              </w:rPr>
              <w:t>1.投标人所投产具有实用新型专利证书的得3分；</w:t>
            </w:r>
            <w:r>
              <w:rPr>
                <w:rFonts w:hint="eastAsia" w:ascii="宋体" w:hAnsi="宋体" w:cs="宋体"/>
                <w:b/>
                <w:bCs/>
                <w:color w:val="auto"/>
                <w:kern w:val="0"/>
                <w:szCs w:val="21"/>
              </w:rPr>
              <w:t>提供证书扫描，检验电子标书，否则不得分。</w:t>
            </w:r>
          </w:p>
          <w:p w14:paraId="51A5A363">
            <w:pPr>
              <w:spacing w:line="440" w:lineRule="exact"/>
              <w:rPr>
                <w:rFonts w:ascii="宋体" w:hAnsi="宋体" w:cs="宋体"/>
                <w:b/>
                <w:bCs/>
                <w:color w:val="auto"/>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 xml:space="preserve">.投标人所投产品具有2020年1月1日（以检测报告出具时间为准）以来经 CMA（或 </w:t>
            </w:r>
            <w:r>
              <w:rPr>
                <w:rFonts w:ascii="宋体" w:hAnsi="宋体" w:cs="宋体"/>
                <w:color w:val="auto"/>
                <w:kern w:val="0"/>
                <w:szCs w:val="21"/>
              </w:rPr>
              <w:t>CNAS</w:t>
            </w:r>
            <w:r>
              <w:rPr>
                <w:rFonts w:hint="eastAsia" w:ascii="宋体" w:hAnsi="宋体" w:cs="宋体"/>
                <w:color w:val="auto"/>
                <w:kern w:val="0"/>
                <w:szCs w:val="21"/>
              </w:rPr>
              <w:t>）认证的第三方检测机构出具的检测报告扫描件</w:t>
            </w:r>
            <w:r>
              <w:rPr>
                <w:rFonts w:hint="eastAsia" w:ascii="宋体" w:hAnsi="宋体" w:cs="宋体"/>
                <w:color w:val="auto"/>
                <w:kern w:val="0"/>
                <w:szCs w:val="21"/>
                <w:lang w:val="en-US" w:eastAsia="zh-CN"/>
              </w:rPr>
              <w:t>,</w:t>
            </w:r>
            <w:r>
              <w:rPr>
                <w:rFonts w:hint="eastAsia" w:ascii="宋体" w:hAnsi="宋体" w:cs="宋体"/>
                <w:color w:val="auto"/>
                <w:kern w:val="0"/>
                <w:szCs w:val="21"/>
              </w:rPr>
              <w:t>所投</w:t>
            </w:r>
            <w:r>
              <w:rPr>
                <w:rFonts w:ascii="宋体" w:hAnsi="宋体" w:cs="宋体"/>
                <w:color w:val="auto"/>
                <w:kern w:val="0"/>
                <w:szCs w:val="21"/>
              </w:rPr>
              <w:t>DN15</w:t>
            </w:r>
            <w:r>
              <w:rPr>
                <w:rFonts w:hint="eastAsia" w:ascii="宋体" w:hAnsi="宋体" w:cs="宋体"/>
                <w:color w:val="auto"/>
                <w:kern w:val="0"/>
                <w:szCs w:val="21"/>
              </w:rPr>
              <w:t>机械水表耐压等级≥</w:t>
            </w:r>
            <w:r>
              <w:rPr>
                <w:rFonts w:ascii="宋体" w:hAnsi="宋体" w:cs="宋体"/>
                <w:color w:val="auto"/>
                <w:kern w:val="0"/>
                <w:szCs w:val="21"/>
              </w:rPr>
              <w:t>1.6 MPa</w:t>
            </w:r>
            <w:r>
              <w:rPr>
                <w:rFonts w:hint="eastAsia" w:ascii="宋体" w:hAnsi="宋体" w:cs="宋体"/>
                <w:color w:val="auto"/>
                <w:kern w:val="0"/>
                <w:szCs w:val="21"/>
              </w:rPr>
              <w:t>，得3分，满分3分。</w:t>
            </w:r>
          </w:p>
        </w:tc>
      </w:tr>
      <w:tr w14:paraId="7A38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4ACADF27">
            <w:pPr>
              <w:pStyle w:val="17"/>
              <w:spacing w:line="500" w:lineRule="exact"/>
              <w:jc w:val="center"/>
              <w:rPr>
                <w:rFonts w:ascii="宋体" w:hAnsi="宋体" w:cs="宋体"/>
                <w:color w:val="auto"/>
              </w:rPr>
            </w:pPr>
            <w:r>
              <w:rPr>
                <w:rFonts w:hint="eastAsia" w:ascii="宋体" w:hAnsi="宋体" w:cs="宋体"/>
                <w:color w:val="auto"/>
              </w:rPr>
              <w:t>4</w:t>
            </w:r>
          </w:p>
        </w:tc>
        <w:tc>
          <w:tcPr>
            <w:tcW w:w="1245" w:type="dxa"/>
            <w:vAlign w:val="center"/>
          </w:tcPr>
          <w:p w14:paraId="567F3217">
            <w:pPr>
              <w:spacing w:line="440" w:lineRule="exact"/>
              <w:jc w:val="center"/>
              <w:rPr>
                <w:rFonts w:ascii="宋体" w:hAnsi="宋体" w:cs="宋体"/>
                <w:b/>
                <w:bCs/>
                <w:color w:val="auto"/>
                <w:szCs w:val="21"/>
              </w:rPr>
            </w:pPr>
            <w:r>
              <w:rPr>
                <w:rFonts w:hint="eastAsia" w:ascii="宋体" w:hAnsi="宋体" w:cs="宋体"/>
                <w:b/>
                <w:bCs/>
                <w:color w:val="auto"/>
                <w:szCs w:val="21"/>
              </w:rPr>
              <w:t>故障响应时间</w:t>
            </w:r>
          </w:p>
        </w:tc>
        <w:tc>
          <w:tcPr>
            <w:tcW w:w="900" w:type="dxa"/>
            <w:vAlign w:val="center"/>
          </w:tcPr>
          <w:p w14:paraId="343F67FD">
            <w:pPr>
              <w:spacing w:line="440" w:lineRule="exact"/>
              <w:jc w:val="center"/>
              <w:rPr>
                <w:rFonts w:ascii="宋体" w:hAnsi="宋体" w:cs="宋体"/>
                <w:b/>
                <w:bCs/>
                <w:color w:val="auto"/>
                <w:szCs w:val="21"/>
              </w:rPr>
            </w:pPr>
            <w:r>
              <w:rPr>
                <w:rFonts w:hint="eastAsia" w:ascii="宋体" w:hAnsi="宋体" w:cs="宋体"/>
                <w:b/>
                <w:bCs/>
                <w:color w:val="auto"/>
                <w:szCs w:val="21"/>
              </w:rPr>
              <w:t>3分</w:t>
            </w:r>
          </w:p>
        </w:tc>
        <w:tc>
          <w:tcPr>
            <w:tcW w:w="7350" w:type="dxa"/>
            <w:vAlign w:val="center"/>
          </w:tcPr>
          <w:p w14:paraId="493E0D77">
            <w:pPr>
              <w:spacing w:line="440" w:lineRule="exact"/>
              <w:rPr>
                <w:rFonts w:ascii="宋体" w:hAnsi="宋体" w:cs="宋体"/>
                <w:color w:val="auto"/>
                <w:kern w:val="0"/>
                <w:szCs w:val="21"/>
              </w:rPr>
            </w:pPr>
            <w:r>
              <w:rPr>
                <w:rFonts w:hint="eastAsia" w:ascii="宋体" w:hAnsi="宋体" w:cs="宋体"/>
                <w:color w:val="auto"/>
                <w:kern w:val="0"/>
                <w:szCs w:val="21"/>
              </w:rPr>
              <w:t>投标人自行承诺中标后所投产品机械水表出现故障时，48小时内予以更换或维修，得基本分1分；12小时内予以更换或维修完毕，得2分；4小时内予以更换或维修，得3分。投标单位须自行承诺(格式自拟),不提供不得分。</w:t>
            </w:r>
          </w:p>
        </w:tc>
      </w:tr>
      <w:tr w14:paraId="0B39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0E94BDCC">
            <w:pPr>
              <w:pStyle w:val="17"/>
              <w:spacing w:line="500" w:lineRule="exact"/>
              <w:jc w:val="center"/>
              <w:rPr>
                <w:rFonts w:ascii="宋体" w:hAnsi="宋体" w:cs="宋体"/>
                <w:color w:val="auto"/>
              </w:rPr>
            </w:pPr>
            <w:r>
              <w:rPr>
                <w:rFonts w:hint="eastAsia" w:ascii="宋体" w:hAnsi="宋体" w:cs="宋体"/>
                <w:b/>
                <w:bCs/>
                <w:color w:val="auto"/>
                <w:szCs w:val="21"/>
              </w:rPr>
              <w:t>5</w:t>
            </w:r>
          </w:p>
        </w:tc>
        <w:tc>
          <w:tcPr>
            <w:tcW w:w="1245" w:type="dxa"/>
            <w:vAlign w:val="center"/>
          </w:tcPr>
          <w:p w14:paraId="13508CAB">
            <w:pPr>
              <w:spacing w:line="500" w:lineRule="exact"/>
              <w:jc w:val="center"/>
              <w:rPr>
                <w:rFonts w:ascii="宋体" w:hAnsi="宋体" w:cs="宋体"/>
                <w:b/>
                <w:bCs/>
                <w:color w:val="auto"/>
                <w:szCs w:val="21"/>
              </w:rPr>
            </w:pPr>
            <w:r>
              <w:rPr>
                <w:rFonts w:hint="eastAsia" w:ascii="宋体" w:hAnsi="宋体" w:cs="宋体"/>
                <w:b/>
                <w:bCs/>
                <w:color w:val="auto"/>
                <w:szCs w:val="21"/>
              </w:rPr>
              <w:t>质保期</w:t>
            </w:r>
          </w:p>
        </w:tc>
        <w:tc>
          <w:tcPr>
            <w:tcW w:w="900" w:type="dxa"/>
            <w:vAlign w:val="center"/>
          </w:tcPr>
          <w:p w14:paraId="558C3054">
            <w:pPr>
              <w:spacing w:line="500" w:lineRule="exact"/>
              <w:jc w:val="center"/>
              <w:rPr>
                <w:rFonts w:ascii="宋体" w:hAnsi="宋体" w:cs="宋体"/>
                <w:b/>
                <w:bCs/>
                <w:color w:val="auto"/>
                <w:szCs w:val="21"/>
              </w:rPr>
            </w:pPr>
            <w:r>
              <w:rPr>
                <w:rFonts w:hint="eastAsia" w:ascii="宋体" w:hAnsi="宋体" w:cs="宋体"/>
                <w:b/>
                <w:bCs/>
                <w:color w:val="auto"/>
                <w:szCs w:val="21"/>
              </w:rPr>
              <w:t>2分</w:t>
            </w:r>
          </w:p>
        </w:tc>
        <w:tc>
          <w:tcPr>
            <w:tcW w:w="7350" w:type="dxa"/>
            <w:vAlign w:val="center"/>
          </w:tcPr>
          <w:p w14:paraId="441044AD">
            <w:pPr>
              <w:spacing w:line="440" w:lineRule="exact"/>
              <w:rPr>
                <w:rFonts w:ascii="宋体" w:hAnsi="宋体" w:cs="宋体"/>
                <w:color w:val="auto"/>
                <w:kern w:val="0"/>
                <w:szCs w:val="21"/>
              </w:rPr>
            </w:pPr>
            <w:r>
              <w:rPr>
                <w:rFonts w:hint="eastAsia" w:ascii="宋体" w:hAnsi="宋体" w:cs="宋体"/>
                <w:color w:val="auto"/>
                <w:kern w:val="0"/>
                <w:szCs w:val="21"/>
              </w:rPr>
              <w:t>投标人在满足本项目2年免费质保期要求的前提下，自行承诺所投产品机械水表免费质保期增加一年的得1分，1年按365天计，增加不足1年的不计分，本项最高得2分。</w:t>
            </w:r>
            <w:r>
              <w:rPr>
                <w:rFonts w:hint="eastAsia" w:ascii="宋体" w:hAnsi="宋体" w:cs="宋体"/>
                <w:b/>
                <w:bCs/>
                <w:color w:val="auto"/>
                <w:kern w:val="0"/>
                <w:szCs w:val="21"/>
              </w:rPr>
              <w:t>投标人须自行承诺(格式自拟),不提供不得分，在合同履行过程中的所涉及到的质保期时间均按自行承诺的期限执行。</w:t>
            </w:r>
          </w:p>
        </w:tc>
      </w:tr>
      <w:bookmarkEnd w:id="74"/>
    </w:tbl>
    <w:p w14:paraId="3E947C90">
      <w:pPr>
        <w:adjustRightInd w:val="0"/>
        <w:snapToGrid w:val="0"/>
        <w:spacing w:line="500" w:lineRule="exact"/>
        <w:ind w:firstLine="422" w:firstLineChars="200"/>
        <w:jc w:val="left"/>
        <w:rPr>
          <w:rFonts w:ascii="宋体" w:hAnsi="宋体" w:cs="宋体"/>
          <w:b/>
          <w:bCs/>
          <w:color w:val="auto"/>
          <w:szCs w:val="21"/>
        </w:rPr>
      </w:pPr>
      <w:r>
        <w:rPr>
          <w:rFonts w:hint="eastAsia" w:ascii="宋体" w:hAnsi="宋体" w:cs="宋体"/>
          <w:b/>
          <w:bCs/>
          <w:color w:val="auto"/>
          <w:szCs w:val="21"/>
        </w:rPr>
        <w:t>6.2技术标评审细则（20分）</w:t>
      </w:r>
    </w:p>
    <w:tbl>
      <w:tblPr>
        <w:tblStyle w:val="35"/>
        <w:tblW w:w="1019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45"/>
        <w:gridCol w:w="900"/>
        <w:gridCol w:w="7350"/>
      </w:tblGrid>
      <w:tr w14:paraId="25E8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3FECA773">
            <w:pPr>
              <w:spacing w:line="500" w:lineRule="exact"/>
              <w:jc w:val="center"/>
              <w:rPr>
                <w:rFonts w:ascii="宋体" w:hAnsi="宋体" w:cs="宋体"/>
                <w:b/>
                <w:bCs/>
                <w:color w:val="auto"/>
                <w:szCs w:val="21"/>
              </w:rPr>
            </w:pPr>
            <w:r>
              <w:rPr>
                <w:rFonts w:hint="eastAsia" w:ascii="宋体" w:hAnsi="宋体" w:cs="宋体"/>
                <w:b/>
                <w:bCs/>
                <w:color w:val="auto"/>
                <w:szCs w:val="21"/>
              </w:rPr>
              <w:t>序号</w:t>
            </w:r>
          </w:p>
        </w:tc>
        <w:tc>
          <w:tcPr>
            <w:tcW w:w="1245" w:type="dxa"/>
            <w:vAlign w:val="center"/>
          </w:tcPr>
          <w:p w14:paraId="4E93F01A">
            <w:pPr>
              <w:spacing w:line="500" w:lineRule="exact"/>
              <w:jc w:val="center"/>
              <w:rPr>
                <w:rFonts w:ascii="宋体" w:hAnsi="宋体" w:cs="宋体"/>
                <w:b/>
                <w:bCs/>
                <w:color w:val="auto"/>
                <w:szCs w:val="21"/>
              </w:rPr>
            </w:pPr>
            <w:r>
              <w:rPr>
                <w:rFonts w:hint="eastAsia" w:ascii="宋体" w:hAnsi="宋体" w:cs="宋体"/>
                <w:b/>
                <w:bCs/>
                <w:color w:val="auto"/>
                <w:szCs w:val="21"/>
              </w:rPr>
              <w:t>评分因素</w:t>
            </w:r>
          </w:p>
        </w:tc>
        <w:tc>
          <w:tcPr>
            <w:tcW w:w="900" w:type="dxa"/>
            <w:vAlign w:val="center"/>
          </w:tcPr>
          <w:p w14:paraId="103756A1">
            <w:pPr>
              <w:spacing w:line="500" w:lineRule="exact"/>
              <w:jc w:val="center"/>
              <w:rPr>
                <w:rFonts w:ascii="宋体" w:hAnsi="宋体" w:cs="宋体"/>
                <w:b/>
                <w:bCs/>
                <w:color w:val="auto"/>
                <w:szCs w:val="21"/>
              </w:rPr>
            </w:pPr>
            <w:r>
              <w:rPr>
                <w:rFonts w:hint="eastAsia" w:ascii="宋体" w:hAnsi="宋体" w:cs="宋体"/>
                <w:b/>
                <w:bCs/>
                <w:color w:val="auto"/>
                <w:szCs w:val="21"/>
              </w:rPr>
              <w:t>分值</w:t>
            </w:r>
          </w:p>
        </w:tc>
        <w:tc>
          <w:tcPr>
            <w:tcW w:w="7350" w:type="dxa"/>
            <w:vAlign w:val="center"/>
          </w:tcPr>
          <w:p w14:paraId="119AB06B">
            <w:pPr>
              <w:spacing w:line="500" w:lineRule="exact"/>
              <w:jc w:val="center"/>
              <w:rPr>
                <w:rFonts w:ascii="宋体" w:hAnsi="宋体" w:cs="宋体"/>
                <w:b/>
                <w:bCs/>
                <w:color w:val="auto"/>
                <w:szCs w:val="21"/>
              </w:rPr>
            </w:pPr>
            <w:r>
              <w:rPr>
                <w:rFonts w:hint="eastAsia" w:ascii="宋体" w:hAnsi="宋体" w:cs="宋体"/>
                <w:b/>
                <w:bCs/>
                <w:color w:val="auto"/>
                <w:szCs w:val="21"/>
              </w:rPr>
              <w:t>评审细则</w:t>
            </w:r>
          </w:p>
        </w:tc>
      </w:tr>
      <w:tr w14:paraId="451D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6E08784C">
            <w:pPr>
              <w:pStyle w:val="17"/>
              <w:spacing w:after="0" w:line="500" w:lineRule="exact"/>
              <w:jc w:val="center"/>
              <w:rPr>
                <w:rFonts w:ascii="宋体" w:hAnsi="宋体" w:cs="宋体"/>
                <w:color w:val="auto"/>
                <w:szCs w:val="21"/>
              </w:rPr>
            </w:pPr>
            <w:r>
              <w:rPr>
                <w:rFonts w:hint="eastAsia" w:ascii="宋体" w:hAnsi="宋体" w:cs="宋体"/>
                <w:color w:val="auto"/>
                <w:szCs w:val="21"/>
              </w:rPr>
              <w:t>1</w:t>
            </w:r>
          </w:p>
        </w:tc>
        <w:tc>
          <w:tcPr>
            <w:tcW w:w="1245" w:type="dxa"/>
            <w:vAlign w:val="center"/>
          </w:tcPr>
          <w:p w14:paraId="5141FFA0">
            <w:pPr>
              <w:widowControl/>
              <w:spacing w:line="440" w:lineRule="exact"/>
              <w:jc w:val="left"/>
              <w:rPr>
                <w:rFonts w:ascii="宋体" w:hAnsi="宋体" w:cs="宋体"/>
                <w:b/>
                <w:bCs/>
                <w:color w:val="auto"/>
                <w:szCs w:val="21"/>
              </w:rPr>
            </w:pPr>
            <w:r>
              <w:rPr>
                <w:rFonts w:hint="eastAsia" w:ascii="宋体" w:hAnsi="宋体" w:cs="宋体"/>
                <w:b/>
                <w:bCs/>
                <w:color w:val="auto"/>
                <w:kern w:val="0"/>
                <w:szCs w:val="21"/>
              </w:rPr>
              <w:t>生产能力</w:t>
            </w:r>
          </w:p>
        </w:tc>
        <w:tc>
          <w:tcPr>
            <w:tcW w:w="900" w:type="dxa"/>
            <w:vAlign w:val="center"/>
          </w:tcPr>
          <w:p w14:paraId="06639F75">
            <w:pPr>
              <w:spacing w:line="500" w:lineRule="exact"/>
              <w:jc w:val="center"/>
              <w:rPr>
                <w:rFonts w:ascii="宋体" w:hAnsi="宋体" w:cs="宋体"/>
                <w:b/>
                <w:bCs/>
                <w:color w:val="auto"/>
                <w:szCs w:val="21"/>
              </w:rPr>
            </w:pPr>
            <w:r>
              <w:rPr>
                <w:rFonts w:hint="eastAsia" w:ascii="宋体" w:hAnsi="宋体" w:cs="宋体"/>
                <w:b/>
                <w:bCs/>
                <w:color w:val="auto"/>
                <w:szCs w:val="21"/>
              </w:rPr>
              <w:t>10分</w:t>
            </w:r>
          </w:p>
        </w:tc>
        <w:tc>
          <w:tcPr>
            <w:tcW w:w="7350" w:type="dxa"/>
            <w:vAlign w:val="center"/>
          </w:tcPr>
          <w:p w14:paraId="01499949">
            <w:pPr>
              <w:spacing w:line="500" w:lineRule="exact"/>
              <w:jc w:val="left"/>
              <w:rPr>
                <w:rFonts w:ascii="宋体" w:hAnsi="宋体" w:cs="宋体"/>
                <w:color w:val="auto"/>
                <w:szCs w:val="21"/>
              </w:rPr>
            </w:pPr>
            <w:r>
              <w:rPr>
                <w:rFonts w:hint="eastAsia" w:ascii="宋体" w:hAnsi="宋体" w:cs="宋体"/>
                <w:color w:val="auto"/>
                <w:kern w:val="0"/>
                <w:szCs w:val="21"/>
              </w:rPr>
              <w:t xml:space="preserve">投标人具有规范化生产、规模化生产工艺流程等，有生先进的生产线、生产设备等。评委根据各投标人提供的内容进行横向比较打分，优秀得10分，良好得9分，一般得8分，合格得7分，不合格或未提供或差的不得分。 </w:t>
            </w:r>
          </w:p>
        </w:tc>
      </w:tr>
      <w:tr w14:paraId="35A2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97" w:type="dxa"/>
            <w:vAlign w:val="center"/>
          </w:tcPr>
          <w:p w14:paraId="23CD9DD6">
            <w:pPr>
              <w:pStyle w:val="17"/>
              <w:spacing w:after="0" w:line="500" w:lineRule="exact"/>
              <w:jc w:val="center"/>
              <w:rPr>
                <w:rFonts w:ascii="宋体" w:hAnsi="宋体" w:cs="宋体"/>
                <w:color w:val="auto"/>
                <w:szCs w:val="21"/>
              </w:rPr>
            </w:pPr>
            <w:r>
              <w:rPr>
                <w:rFonts w:hint="eastAsia" w:ascii="宋体" w:hAnsi="宋体" w:cs="宋体"/>
                <w:color w:val="auto"/>
                <w:szCs w:val="21"/>
              </w:rPr>
              <w:t>2</w:t>
            </w:r>
          </w:p>
        </w:tc>
        <w:tc>
          <w:tcPr>
            <w:tcW w:w="1245" w:type="dxa"/>
            <w:vAlign w:val="center"/>
          </w:tcPr>
          <w:p w14:paraId="0EA8D6AE">
            <w:pPr>
              <w:widowControl/>
              <w:spacing w:line="440" w:lineRule="exact"/>
              <w:jc w:val="left"/>
              <w:rPr>
                <w:rFonts w:ascii="宋体" w:hAnsi="宋体" w:cs="宋体"/>
                <w:b/>
                <w:bCs/>
                <w:color w:val="auto"/>
                <w:szCs w:val="21"/>
              </w:rPr>
            </w:pPr>
            <w:r>
              <w:rPr>
                <w:rFonts w:hint="eastAsia" w:ascii="宋体" w:hAnsi="宋体" w:cs="宋体"/>
                <w:b/>
                <w:bCs/>
                <w:color w:val="auto"/>
                <w:kern w:val="0"/>
                <w:szCs w:val="21"/>
              </w:rPr>
              <w:t>售后服务方案</w:t>
            </w:r>
          </w:p>
        </w:tc>
        <w:tc>
          <w:tcPr>
            <w:tcW w:w="900" w:type="dxa"/>
            <w:vAlign w:val="center"/>
          </w:tcPr>
          <w:p w14:paraId="67F867D1">
            <w:pPr>
              <w:spacing w:line="500" w:lineRule="exact"/>
              <w:jc w:val="center"/>
              <w:rPr>
                <w:rFonts w:ascii="宋体" w:hAnsi="宋体" w:cs="宋体"/>
                <w:b/>
                <w:bCs/>
                <w:color w:val="auto"/>
                <w:szCs w:val="21"/>
              </w:rPr>
            </w:pPr>
            <w:r>
              <w:rPr>
                <w:rFonts w:hint="eastAsia" w:ascii="宋体" w:hAnsi="宋体" w:cs="宋体"/>
                <w:b/>
                <w:bCs/>
                <w:color w:val="auto"/>
                <w:szCs w:val="21"/>
              </w:rPr>
              <w:t>10分</w:t>
            </w:r>
          </w:p>
        </w:tc>
        <w:tc>
          <w:tcPr>
            <w:tcW w:w="7350" w:type="dxa"/>
            <w:vAlign w:val="center"/>
          </w:tcPr>
          <w:p w14:paraId="7167AC9F">
            <w:pPr>
              <w:widowControl/>
              <w:spacing w:line="440" w:lineRule="exact"/>
              <w:jc w:val="left"/>
              <w:rPr>
                <w:rFonts w:ascii="宋体" w:hAnsi="宋体" w:cs="宋体"/>
                <w:color w:val="auto"/>
                <w:szCs w:val="21"/>
              </w:rPr>
            </w:pPr>
            <w:r>
              <w:rPr>
                <w:rFonts w:hint="eastAsia" w:ascii="宋体" w:hAnsi="宋体" w:cs="宋体"/>
                <w:color w:val="auto"/>
                <w:kern w:val="0"/>
                <w:szCs w:val="21"/>
              </w:rPr>
              <w:t xml:space="preserve">根据投标人提供的售后服务体系、服务与维保方案，由评标委员会进行综合评分，投标文件中未提供的不得分； </w:t>
            </w:r>
          </w:p>
          <w:p w14:paraId="352DC26E">
            <w:pPr>
              <w:widowControl/>
              <w:spacing w:line="440" w:lineRule="exact"/>
              <w:jc w:val="left"/>
              <w:rPr>
                <w:rFonts w:ascii="宋体" w:hAnsi="宋体" w:cs="宋体"/>
                <w:color w:val="auto"/>
                <w:szCs w:val="21"/>
              </w:rPr>
            </w:pPr>
            <w:r>
              <w:rPr>
                <w:rFonts w:hint="eastAsia" w:ascii="宋体" w:hAnsi="宋体" w:cs="宋体"/>
                <w:color w:val="auto"/>
                <w:kern w:val="0"/>
                <w:szCs w:val="21"/>
              </w:rPr>
              <w:t xml:space="preserve">1.有完善的售后服务措施，并有切实可行的售后服务计划以及服务承诺等， </w:t>
            </w:r>
          </w:p>
          <w:p w14:paraId="5441442F">
            <w:pPr>
              <w:widowControl/>
              <w:spacing w:line="440" w:lineRule="exact"/>
              <w:jc w:val="left"/>
              <w:rPr>
                <w:rFonts w:ascii="宋体" w:hAnsi="宋体" w:cs="宋体"/>
                <w:color w:val="auto"/>
                <w:szCs w:val="21"/>
              </w:rPr>
            </w:pPr>
            <w:r>
              <w:rPr>
                <w:rFonts w:hint="eastAsia" w:ascii="宋体" w:hAnsi="宋体" w:cs="宋体"/>
                <w:color w:val="auto"/>
                <w:kern w:val="0"/>
                <w:szCs w:val="21"/>
              </w:rPr>
              <w:t xml:space="preserve">优秀得4分，良好得3.6分，一般得3.2分，合格得2.8分，不合格或未提供或差的不得分。 </w:t>
            </w:r>
          </w:p>
          <w:p w14:paraId="2095024C">
            <w:pPr>
              <w:widowControl/>
              <w:spacing w:line="440" w:lineRule="exact"/>
              <w:jc w:val="left"/>
              <w:rPr>
                <w:rFonts w:ascii="宋体" w:hAnsi="宋体" w:cs="宋体"/>
                <w:color w:val="auto"/>
                <w:szCs w:val="21"/>
              </w:rPr>
            </w:pPr>
            <w:r>
              <w:rPr>
                <w:rFonts w:hint="eastAsia" w:ascii="宋体" w:hAnsi="宋体" w:cs="宋体"/>
                <w:color w:val="auto"/>
                <w:kern w:val="0"/>
                <w:szCs w:val="21"/>
              </w:rPr>
              <w:t xml:space="preserve">2.服务队伍建设规范，技术工程师项目经验丰富，熟悉类似项目和维护经验 </w:t>
            </w:r>
          </w:p>
          <w:p w14:paraId="0BC79E38">
            <w:pPr>
              <w:widowControl/>
              <w:spacing w:line="440" w:lineRule="exact"/>
              <w:jc w:val="left"/>
              <w:rPr>
                <w:rFonts w:ascii="宋体" w:hAnsi="宋体" w:cs="宋体"/>
                <w:color w:val="auto"/>
                <w:szCs w:val="21"/>
              </w:rPr>
            </w:pPr>
            <w:r>
              <w:rPr>
                <w:rFonts w:hint="eastAsia" w:ascii="宋体" w:hAnsi="宋体" w:cs="宋体"/>
                <w:color w:val="auto"/>
                <w:kern w:val="0"/>
                <w:szCs w:val="21"/>
              </w:rPr>
              <w:t xml:space="preserve">等，优秀得3分，良好得2.7分，一般得2.4分，合格得2.1分，不合格或未提供或差的不得分。 </w:t>
            </w:r>
          </w:p>
          <w:p w14:paraId="38E86A2B">
            <w:pPr>
              <w:widowControl/>
              <w:spacing w:line="440" w:lineRule="exact"/>
              <w:jc w:val="left"/>
              <w:rPr>
                <w:rFonts w:ascii="宋体" w:hAnsi="宋体" w:cs="宋体"/>
                <w:color w:val="auto"/>
                <w:szCs w:val="21"/>
              </w:rPr>
            </w:pPr>
            <w:r>
              <w:rPr>
                <w:rFonts w:hint="eastAsia" w:ascii="宋体" w:hAnsi="宋体" w:cs="宋体"/>
                <w:color w:val="auto"/>
                <w:kern w:val="0"/>
                <w:szCs w:val="21"/>
              </w:rPr>
              <w:t xml:space="preserve">3.能够保证本地化服务，有切实的本地化服务措施， 提供本地化技术支持等，优秀得3分，良好得2.7分，一般得2.4分，合格得2.1分，不合格或未提供或差的不得分。 </w:t>
            </w:r>
          </w:p>
          <w:p w14:paraId="5B7692DF">
            <w:pPr>
              <w:spacing w:line="500" w:lineRule="exact"/>
              <w:rPr>
                <w:rFonts w:ascii="宋体" w:hAnsi="宋体" w:cs="宋体"/>
                <w:color w:val="auto"/>
                <w:szCs w:val="21"/>
              </w:rPr>
            </w:pPr>
            <w:r>
              <w:rPr>
                <w:rFonts w:hint="eastAsia" w:ascii="宋体" w:hAnsi="宋体" w:cs="宋体"/>
                <w:b/>
                <w:bCs/>
                <w:color w:val="auto"/>
                <w:kern w:val="0"/>
                <w:szCs w:val="21"/>
              </w:rPr>
              <w:t>注：以上 1、2、3 项提供详细方案描述作为评审依据，否则不得分。</w:t>
            </w:r>
          </w:p>
        </w:tc>
      </w:tr>
      <w:tr w14:paraId="4B07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192" w:type="dxa"/>
            <w:gridSpan w:val="4"/>
            <w:vAlign w:val="center"/>
          </w:tcPr>
          <w:p w14:paraId="2C4C9339">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注：1.该项由专家评委评审打分，取所有评委评分中分别去掉一个最高和最低评分后的平均值为最终得分，保留两位小数点，第三位四舍五入。</w:t>
            </w:r>
          </w:p>
          <w:p w14:paraId="5662BD99">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2.该项目技术标为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该评分点作零分处理。</w:t>
            </w:r>
          </w:p>
          <w:p w14:paraId="23294304">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2.1 技术标暗标不设空白页。技术标投标文件封面不出现投标人、法定代表人签章内容，格式以系统设置为准。正文必须按招标文件要求的顺序进行排版；</w:t>
            </w:r>
          </w:p>
          <w:p w14:paraId="21FCAFEF">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2.2技术标暗标正文文字排版统一使用中文宋体字体，文字为白底黑色，图表采用黑白灰色（不得采用彩色）；文字部分不得插入任何图表（可以用“见附图x”或“见附表x”说明）。所有附图、附表必须依次附在各章对应评分点内容的文末，计算在页数要求内；</w:t>
            </w:r>
          </w:p>
          <w:p w14:paraId="241C1049">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2.3 正文采用宋体四号常规字，字符间距设为标准值，行距为单倍行距，不勾选“如果定义了文档网格，则对齐到网格”；正文统一设为左对齐，章、节标题、及段落首行缩进2个汉字，段落前后不设空行；正文版面不加页眉、页脚、边框、下划线等标志，正文页码用小五号阿拉伯数字，居中。单位符号中有上下角标要求的，必须在相应位置做角标；</w:t>
            </w:r>
          </w:p>
          <w:p w14:paraId="489DF803">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3.技术标暗标文件的格式、制作不符合上述要求的，每一分项扣0.2分。技术标实行暗标的，对技术标（暗标）部分不予澄清、说明或者补正。</w:t>
            </w:r>
          </w:p>
          <w:p w14:paraId="2459598C">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4.技术标的</w:t>
            </w:r>
            <w:r>
              <w:rPr>
                <w:rFonts w:hint="eastAsia" w:ascii="宋体" w:hAnsi="宋体" w:cs="宋体"/>
                <w:color w:val="auto"/>
                <w:kern w:val="0"/>
                <w:szCs w:val="21"/>
                <w:lang w:val="en-US" w:eastAsia="zh-CN"/>
              </w:rPr>
              <w:t>每个评分点</w:t>
            </w:r>
            <w:r>
              <w:rPr>
                <w:rFonts w:hint="eastAsia" w:ascii="宋体" w:hAnsi="宋体" w:cs="宋体"/>
                <w:color w:val="auto"/>
                <w:kern w:val="0"/>
                <w:szCs w:val="21"/>
              </w:rPr>
              <w:t>页数不多于10页。</w:t>
            </w:r>
            <w:r>
              <w:rPr>
                <w:rFonts w:hint="eastAsia" w:ascii="宋体" w:hAnsi="宋体"/>
                <w:color w:val="auto"/>
                <w:szCs w:val="21"/>
              </w:rPr>
              <w:t>具体篇幅(字数)要求及扣分标准（扣分值为0.2分）。偏离规定标准的，评标委员会应酌情扣分。</w:t>
            </w:r>
          </w:p>
          <w:p w14:paraId="221A5AB5">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5.</w:t>
            </w:r>
            <w:r>
              <w:rPr>
                <w:rFonts w:hint="eastAsia" w:ascii="宋体" w:hAnsi="宋体" w:cs="宋体"/>
                <w:color w:val="auto"/>
                <w:szCs w:val="21"/>
              </w:rPr>
              <w:t>暗标评审仅限评标环节。评标结束后，如出现质疑、投诉、举报等，经认定评标错误的，由评标委员会纠正错误或重新评分，此时不再受暗标评审约束，但在纠正错误或重新评分中发现投标企业技术标出现可能泄露投标人单位及个人信息的文字、图片、图表（技术标不得签章）等有关表述的，对应技术标评分点仍按零分处理。</w:t>
            </w:r>
          </w:p>
          <w:p w14:paraId="1E5566D5">
            <w:pPr>
              <w:spacing w:line="500" w:lineRule="exact"/>
              <w:jc w:val="left"/>
              <w:rPr>
                <w:rFonts w:ascii="宋体" w:hAnsi="宋体" w:cs="宋体"/>
                <w:b/>
                <w:bCs/>
                <w:color w:val="auto"/>
                <w:szCs w:val="21"/>
              </w:rPr>
            </w:pPr>
            <w:r>
              <w:rPr>
                <w:rFonts w:hint="eastAsia" w:ascii="宋体" w:hAnsi="宋体" w:cs="宋体"/>
                <w:color w:val="auto"/>
                <w:kern w:val="0"/>
                <w:szCs w:val="21"/>
              </w:rPr>
              <w:t>6.</w:t>
            </w:r>
            <w:r>
              <w:rPr>
                <w:rFonts w:hint="eastAsia" w:ascii="宋体" w:hAnsi="宋体" w:cs="宋体"/>
                <w:color w:val="auto"/>
                <w:szCs w:val="21"/>
              </w:rPr>
              <w:t>如所有投标企业技术标都出现能反映企业信息等相关内容的，该项目流标。</w:t>
            </w:r>
          </w:p>
        </w:tc>
      </w:tr>
    </w:tbl>
    <w:p w14:paraId="0F9BB553">
      <w:pPr>
        <w:adjustRightInd w:val="0"/>
        <w:snapToGrid w:val="0"/>
        <w:spacing w:line="500" w:lineRule="exact"/>
        <w:jc w:val="left"/>
        <w:rPr>
          <w:rFonts w:ascii="宋体" w:hAnsi="宋体" w:cs="宋体"/>
          <w:b/>
          <w:bCs/>
          <w:color w:val="auto"/>
          <w:szCs w:val="21"/>
        </w:rPr>
      </w:pPr>
      <w:r>
        <w:rPr>
          <w:rFonts w:hint="eastAsia" w:ascii="宋体" w:hAnsi="宋体" w:cs="宋体"/>
          <w:b/>
          <w:bCs/>
          <w:color w:val="auto"/>
          <w:szCs w:val="21"/>
        </w:rPr>
        <w:t>6.3商务标评审细则（3</w:t>
      </w:r>
      <w:r>
        <w:rPr>
          <w:rFonts w:hint="eastAsia" w:ascii="宋体" w:hAnsi="宋体" w:cs="宋体"/>
          <w:b/>
          <w:bCs/>
          <w:color w:val="auto"/>
          <w:szCs w:val="21"/>
          <w:lang w:val="en-US" w:eastAsia="zh-CN"/>
        </w:rPr>
        <w:t>7</w:t>
      </w:r>
      <w:r>
        <w:rPr>
          <w:rFonts w:hint="eastAsia" w:ascii="宋体" w:hAnsi="宋体" w:cs="宋体"/>
          <w:b/>
          <w:bCs/>
          <w:color w:val="auto"/>
          <w:szCs w:val="21"/>
        </w:rPr>
        <w:t>分）</w:t>
      </w:r>
    </w:p>
    <w:tbl>
      <w:tblPr>
        <w:tblStyle w:val="35"/>
        <w:tblW w:w="9929"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584"/>
      </w:tblGrid>
      <w:tr w14:paraId="609F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14:paraId="42B08E22">
            <w:pPr>
              <w:spacing w:line="500" w:lineRule="exact"/>
              <w:jc w:val="center"/>
              <w:rPr>
                <w:rFonts w:ascii="宋体" w:hAnsi="宋体" w:cs="宋体"/>
                <w:b/>
                <w:bCs/>
                <w:color w:val="auto"/>
              </w:rPr>
            </w:pPr>
            <w:bookmarkStart w:id="76" w:name="_Toc58430321"/>
            <w:bookmarkStart w:id="77" w:name="_Toc23311"/>
            <w:bookmarkStart w:id="78" w:name="_Toc449028881"/>
            <w:r>
              <w:rPr>
                <w:rFonts w:hint="eastAsia" w:ascii="宋体" w:hAnsi="宋体" w:cs="宋体"/>
                <w:b/>
                <w:bCs/>
                <w:color w:val="auto"/>
              </w:rPr>
              <w:t>评分因素</w:t>
            </w:r>
          </w:p>
        </w:tc>
        <w:tc>
          <w:tcPr>
            <w:tcW w:w="8584" w:type="dxa"/>
            <w:vAlign w:val="center"/>
          </w:tcPr>
          <w:p w14:paraId="65B3C38C">
            <w:pPr>
              <w:spacing w:line="500" w:lineRule="exact"/>
              <w:jc w:val="center"/>
              <w:rPr>
                <w:rFonts w:ascii="宋体" w:hAnsi="宋体" w:cs="宋体"/>
                <w:b/>
                <w:bCs/>
                <w:color w:val="auto"/>
              </w:rPr>
            </w:pPr>
            <w:r>
              <w:rPr>
                <w:rFonts w:hint="eastAsia" w:ascii="宋体" w:hAnsi="宋体" w:cs="宋体"/>
                <w:b/>
                <w:bCs/>
                <w:color w:val="auto"/>
              </w:rPr>
              <w:t>评审细则</w:t>
            </w:r>
          </w:p>
        </w:tc>
      </w:tr>
      <w:tr w14:paraId="0CC4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45" w:type="dxa"/>
            <w:vAlign w:val="center"/>
          </w:tcPr>
          <w:p w14:paraId="7C699C20">
            <w:pPr>
              <w:spacing w:line="500" w:lineRule="exact"/>
              <w:jc w:val="center"/>
              <w:rPr>
                <w:rFonts w:ascii="宋体" w:hAnsi="宋体" w:cs="宋体"/>
                <w:color w:val="auto"/>
                <w:szCs w:val="21"/>
              </w:rPr>
            </w:pPr>
            <w:r>
              <w:rPr>
                <w:rFonts w:hint="eastAsia" w:ascii="宋体" w:hAnsi="宋体" w:cs="宋体"/>
                <w:color w:val="auto"/>
                <w:szCs w:val="21"/>
              </w:rPr>
              <w:t>商务标</w:t>
            </w:r>
          </w:p>
          <w:p w14:paraId="5AC233B1">
            <w:pPr>
              <w:spacing w:line="500" w:lineRule="exact"/>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37</w:t>
            </w:r>
            <w:r>
              <w:rPr>
                <w:rFonts w:hint="eastAsia" w:ascii="宋体" w:hAnsi="宋体" w:cs="宋体"/>
                <w:color w:val="auto"/>
                <w:szCs w:val="21"/>
              </w:rPr>
              <w:t>分）</w:t>
            </w:r>
          </w:p>
        </w:tc>
        <w:tc>
          <w:tcPr>
            <w:tcW w:w="8584" w:type="dxa"/>
          </w:tcPr>
          <w:p w14:paraId="4DA7EAE9">
            <w:pPr>
              <w:tabs>
                <w:tab w:val="left" w:pos="1080"/>
              </w:tabs>
              <w:spacing w:line="500" w:lineRule="exact"/>
              <w:ind w:firstLine="420" w:firstLineChars="200"/>
              <w:jc w:val="left"/>
              <w:rPr>
                <w:rFonts w:ascii="宋体" w:hAnsi="宋体" w:cs="宋体"/>
                <w:color w:val="auto"/>
                <w:szCs w:val="21"/>
              </w:rPr>
            </w:pPr>
            <w:r>
              <w:rPr>
                <w:rFonts w:hint="eastAsia" w:ascii="宋体" w:hAnsi="宋体" w:cs="宋体"/>
                <w:color w:val="auto"/>
                <w:szCs w:val="21"/>
              </w:rPr>
              <w:t>招标人设置投标报价最高限价，各投标人有效报价不得高于最高限价，否则，其投标文件按无效标处理。</w:t>
            </w:r>
          </w:p>
          <w:p w14:paraId="2B3C4012">
            <w:pPr>
              <w:tabs>
                <w:tab w:val="left" w:pos="1080"/>
              </w:tabs>
              <w:spacing w:line="500" w:lineRule="exact"/>
              <w:jc w:val="left"/>
              <w:rPr>
                <w:rFonts w:ascii="宋体" w:hAnsi="宋体" w:cs="宋体"/>
                <w:color w:val="auto"/>
                <w:szCs w:val="21"/>
              </w:rPr>
            </w:pPr>
            <w:r>
              <w:rPr>
                <w:rFonts w:hint="eastAsia" w:ascii="宋体" w:hAnsi="宋体" w:cs="宋体"/>
                <w:color w:val="auto"/>
                <w:szCs w:val="21"/>
              </w:rPr>
              <w:t>1、评审基准价=所有有效投标人的最低报价；其得分为满分；</w:t>
            </w:r>
          </w:p>
          <w:p w14:paraId="70D0C48F">
            <w:pPr>
              <w:tabs>
                <w:tab w:val="left" w:pos="1080"/>
              </w:tabs>
              <w:spacing w:line="500" w:lineRule="exact"/>
              <w:jc w:val="left"/>
              <w:rPr>
                <w:rFonts w:ascii="宋体" w:hAnsi="宋体" w:cs="宋体"/>
                <w:color w:val="auto"/>
                <w:szCs w:val="21"/>
              </w:rPr>
            </w:pPr>
            <w:r>
              <w:rPr>
                <w:rFonts w:hint="eastAsia" w:ascii="宋体" w:hAnsi="宋体" w:cs="宋体"/>
                <w:color w:val="auto"/>
                <w:szCs w:val="21"/>
              </w:rPr>
              <w:t>2、其它报价得分=评审基准价/投标报价*满分，小数点后保留两位小数，第三位四舍五入；</w:t>
            </w:r>
          </w:p>
          <w:p w14:paraId="33B79FC5">
            <w:pPr>
              <w:spacing w:line="500" w:lineRule="exact"/>
              <w:jc w:val="left"/>
              <w:rPr>
                <w:rFonts w:ascii="宋体" w:hAnsi="宋体" w:cs="宋体"/>
                <w:color w:val="auto"/>
                <w:szCs w:val="21"/>
              </w:rPr>
            </w:pPr>
            <w:r>
              <w:rPr>
                <w:rFonts w:hint="eastAsia" w:ascii="宋体" w:hAnsi="宋体" w:cs="宋体"/>
                <w:color w:val="auto"/>
                <w:szCs w:val="21"/>
              </w:rPr>
              <w:t>3、本项分值由评审委员会负责组织计算。</w:t>
            </w:r>
          </w:p>
        </w:tc>
      </w:tr>
    </w:tbl>
    <w:p w14:paraId="6F7E997E">
      <w:pPr>
        <w:spacing w:beforeLines="50" w:afterLines="50" w:line="500" w:lineRule="exact"/>
        <w:jc w:val="center"/>
        <w:outlineLvl w:val="1"/>
        <w:rPr>
          <w:rFonts w:ascii="宋体" w:hAnsi="宋体" w:cs="宋体"/>
          <w:b/>
          <w:color w:val="auto"/>
          <w:sz w:val="28"/>
          <w:szCs w:val="28"/>
        </w:rPr>
      </w:pPr>
      <w:r>
        <w:rPr>
          <w:rFonts w:hint="eastAsia" w:ascii="宋体" w:hAnsi="宋体" w:cs="宋体"/>
          <w:b/>
          <w:color w:val="auto"/>
          <w:sz w:val="28"/>
          <w:szCs w:val="28"/>
        </w:rPr>
        <w:t>五、推荐中标候选人</w:t>
      </w:r>
      <w:bookmarkEnd w:id="75"/>
      <w:bookmarkEnd w:id="76"/>
      <w:bookmarkEnd w:id="77"/>
      <w:bookmarkEnd w:id="78"/>
    </w:p>
    <w:p w14:paraId="3AB9AD19">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 xml:space="preserve">7.评标委员会按资信、技术及商务三部分得分之和从高到低按顺序，推荐3名中标候选人。 </w:t>
      </w:r>
    </w:p>
    <w:p w14:paraId="06F3F443">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7.1总得分相同的，按报价由低到高顺序排列。总得分且报价相同的并列，由招标人现场采取随机摇号的方式确定中标候选人。</w:t>
      </w:r>
    </w:p>
    <w:p w14:paraId="1C0DCCD3">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7.2在同等条件、同等价格的情况下，所投产品为节能产品、环境标志产品或节能产品、环境标志产品数量多者优先。（本项目不采用）</w:t>
      </w:r>
    </w:p>
    <w:p w14:paraId="568010D1">
      <w:pPr>
        <w:snapToGrid w:val="0"/>
        <w:spacing w:line="500" w:lineRule="exact"/>
        <w:ind w:right="-420" w:rightChars="-200" w:firstLine="422" w:firstLineChars="200"/>
        <w:rPr>
          <w:rFonts w:ascii="宋体" w:hAnsi="宋体" w:cs="宋体"/>
          <w:b/>
          <w:color w:val="auto"/>
          <w:szCs w:val="21"/>
        </w:rPr>
      </w:pPr>
      <w:r>
        <w:rPr>
          <w:rFonts w:hint="eastAsia" w:ascii="宋体" w:hAnsi="宋体" w:cs="宋体"/>
          <w:b/>
          <w:color w:val="auto"/>
          <w:szCs w:val="21"/>
        </w:rPr>
        <w:t>在专家评审结束后，根据评标委员会评审初步结论，招标人（代理机构）将对推荐的中标候选人、法定代表人及其项目负责人是否存在联合惩戒失信行为进行网上核查（网上查询要求及渠道按附件1执行）。若核查结果与投标人承诺不一致，则提交评标委员会取消其预中标候选人资格，依次替补，并再次对替补单位进行核查。核查结果不改变原评标基准值。</w:t>
      </w:r>
    </w:p>
    <w:p w14:paraId="36FAF708">
      <w:pPr>
        <w:snapToGrid w:val="0"/>
        <w:spacing w:line="500" w:lineRule="exact"/>
        <w:ind w:right="-212" w:rightChars="-101" w:firstLine="422" w:firstLineChars="200"/>
        <w:jc w:val="left"/>
        <w:rPr>
          <w:rFonts w:ascii="宋体" w:hAnsi="宋体" w:cs="宋体"/>
          <w:b/>
          <w:color w:val="auto"/>
          <w:szCs w:val="21"/>
        </w:rPr>
      </w:pPr>
      <w:r>
        <w:rPr>
          <w:rFonts w:hint="eastAsia" w:ascii="宋体" w:hAnsi="宋体" w:cs="宋体"/>
          <w:b/>
          <w:color w:val="auto"/>
          <w:szCs w:val="21"/>
        </w:rPr>
        <w:t>8.无效投标条款</w:t>
      </w:r>
    </w:p>
    <w:p w14:paraId="130990FF">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8.1投标文件有下列情形之一的,其投标文件拒收:</w:t>
      </w:r>
    </w:p>
    <w:p w14:paraId="5165CF2A">
      <w:pPr>
        <w:spacing w:line="500" w:lineRule="exact"/>
        <w:ind w:right="-212" w:rightChars="-101" w:firstLine="420" w:firstLineChars="200"/>
        <w:jc w:val="left"/>
        <w:rPr>
          <w:rFonts w:ascii="宋体" w:hAnsi="宋体" w:cs="宋体"/>
          <w:bCs/>
          <w:color w:val="auto"/>
          <w:szCs w:val="21"/>
        </w:rPr>
      </w:pPr>
      <w:r>
        <w:rPr>
          <w:rFonts w:hint="eastAsia" w:ascii="宋体" w:hAnsi="宋体" w:cs="宋体"/>
          <w:bCs/>
          <w:color w:val="auto"/>
          <w:szCs w:val="21"/>
        </w:rPr>
        <w:t>(1) 未在开标截止时间前通过网上招标投标系统递交有效电子投标文件的，开标系统不予接收，投标将被拒绝。</w:t>
      </w:r>
    </w:p>
    <w:p w14:paraId="0FE6C475">
      <w:pPr>
        <w:spacing w:line="500" w:lineRule="exact"/>
        <w:ind w:right="-212" w:rightChars="-101" w:firstLine="420" w:firstLineChars="200"/>
        <w:jc w:val="left"/>
        <w:rPr>
          <w:rFonts w:ascii="宋体" w:hAnsi="宋体" w:cs="宋体"/>
          <w:bCs/>
          <w:color w:val="auto"/>
          <w:szCs w:val="21"/>
        </w:rPr>
      </w:pPr>
      <w:r>
        <w:rPr>
          <w:rFonts w:hint="eastAsia" w:ascii="宋体" w:hAnsi="宋体" w:cs="宋体"/>
          <w:bCs/>
          <w:color w:val="auto"/>
          <w:szCs w:val="21"/>
        </w:rPr>
        <w:t>（2）投标企业接到远程解密指令后，须在规定时间内解密。因投标人自身原因导致投标文件在规定时间内未能解密、解密失败或解密超时，投标文件无效；解密时间：从本项目网上招投标系统解密倒计时开始，至完成投标文件解密时间，不得超过60分钟，否则投标文件将被拒绝。</w:t>
      </w:r>
    </w:p>
    <w:p w14:paraId="1A36FF33">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 xml:space="preserve"> 8.2投标人有下列情形之一的,资格审查后其投标作无效投标处理：</w:t>
      </w:r>
    </w:p>
    <w:p w14:paraId="45EFCD6E">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(1)投标人为本项目提供招标代理服务的；</w:t>
      </w:r>
    </w:p>
    <w:p w14:paraId="54EA7389">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(2)投标人与在本项目代理机构存在相互任职或工作的；</w:t>
      </w:r>
    </w:p>
    <w:p w14:paraId="601EB877">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(3)评标专家无法查看并检验电子投标文件中相关资料的；</w:t>
      </w:r>
    </w:p>
    <w:p w14:paraId="5E2499ED">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(4)联合体投标未提交联合体协议的；</w:t>
      </w:r>
    </w:p>
    <w:p w14:paraId="3CF309A9">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(5)被暂停营业的；</w:t>
      </w:r>
    </w:p>
    <w:p w14:paraId="3AC80866">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(6)被暂停或取消投标资格的；</w:t>
      </w:r>
    </w:p>
    <w:p w14:paraId="35930E2B">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(7)财产被接管或冻结的；</w:t>
      </w:r>
    </w:p>
    <w:p w14:paraId="632C9DC1">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(8)投标人单位负责人为同一人或者存在控股、管理关系的不同单位的；</w:t>
      </w:r>
    </w:p>
    <w:p w14:paraId="3FA8F645">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(9)保证金不按第二章“投标人须知”及其前附表要求提交投标保证金的；</w:t>
      </w:r>
    </w:p>
    <w:p w14:paraId="683E9871">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(10)投标人未办理省主体库登记入库手续的；</w:t>
      </w:r>
    </w:p>
    <w:p w14:paraId="11A931DD">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(11)投标人申请开具电子保函 MAC 地址一致的；</w:t>
      </w:r>
    </w:p>
    <w:p w14:paraId="71B40EAF">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(12)投标人基本资格条件和特定资格条件中有一项及以上不符合要求的；</w:t>
      </w:r>
    </w:p>
    <w:p w14:paraId="4EA6908E">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(13)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1D27A1D9">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(14)其它情形，经评标委员会委提出按无效投标处理，并经公共资源交易监督部门核准的；</w:t>
      </w:r>
    </w:p>
    <w:p w14:paraId="5AE98000">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(15)投标人投标MAC地址或投标人联系人或联系电话相同的，由评标委员会否决其投标，并报告监管部门作不良行为处理和进一步调查；</w:t>
      </w:r>
    </w:p>
    <w:p w14:paraId="5D824182">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(16)投标人单方面出现其他投标人材料的；</w:t>
      </w:r>
    </w:p>
    <w:p w14:paraId="62EFCAC2">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(17)招标文件规定的其它无效投标情形。</w:t>
      </w:r>
    </w:p>
    <w:p w14:paraId="0570C6F6">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 xml:space="preserve"> 8.3 投标人有下列情形之一的,符合性审查后其投标按无效投标处理：</w:t>
      </w:r>
    </w:p>
    <w:p w14:paraId="4FCDE3E5">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(1)投标文件签字、盖章不全，经评标委员会一致认定对开评标内容有实质性影响并经公共资源交易监督部门核准的；</w:t>
      </w:r>
    </w:p>
    <w:p w14:paraId="142F0696">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(2)未按规定的格式填写导致实质性内容不全以及实质上不响应，或者关键字迹模糊、无法辨认； 经公共资源交易监督部门核准的；</w:t>
      </w:r>
    </w:p>
    <w:p w14:paraId="0E724ADA">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(3)同一投标人提交两个以上不同的投标文件或者投标报价，但招标文件规定提交备选方案的除外；</w:t>
      </w:r>
    </w:p>
    <w:p w14:paraId="13196FBA">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(4)投标文件没有对招标文件的实质性要求和条件作出响应;</w:t>
      </w:r>
    </w:p>
    <w:p w14:paraId="79EAFA4E">
      <w:pPr>
        <w:spacing w:line="500" w:lineRule="exact"/>
        <w:ind w:right="-212" w:rightChars="-101" w:firstLine="420" w:firstLineChars="200"/>
        <w:jc w:val="left"/>
        <w:rPr>
          <w:rFonts w:ascii="宋体" w:hAnsi="宋体" w:cs="宋体"/>
          <w:b/>
          <w:bCs/>
          <w:color w:val="auto"/>
          <w:szCs w:val="21"/>
        </w:rPr>
      </w:pPr>
      <w:r>
        <w:rPr>
          <w:rFonts w:hint="eastAsia" w:ascii="宋体" w:hAnsi="宋体" w:cs="宋体"/>
          <w:color w:val="auto"/>
          <w:szCs w:val="21"/>
        </w:rPr>
        <w:t>(5)投标报价超出规定的投标限价或公布的采购预算的或投标人的投标报价各项单价高于招标文件给定的单价最高限价；</w:t>
      </w:r>
    </w:p>
    <w:p w14:paraId="462AFF5D">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(6)不按评标委员会要求澄清、说明或补正的，或者评标委员会根据招标文件的规定对招标文件的计算错误进行修正后，投标人不接受修正的投标报价的。</w:t>
      </w:r>
    </w:p>
    <w:p w14:paraId="06CAA607">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（7）其它情形，经评标委员会委提出按无效投标处理，并经公共资源交易监督部门核准的；</w:t>
      </w:r>
    </w:p>
    <w:p w14:paraId="45654798">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（8）投标文件含有招标人不能接受的附加条件的;</w:t>
      </w:r>
    </w:p>
    <w:p w14:paraId="38A03649">
      <w:pPr>
        <w:tabs>
          <w:tab w:val="left" w:pos="1123"/>
        </w:tabs>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（9）招标文件规定的其它无效投标情形。</w:t>
      </w:r>
    </w:p>
    <w:p w14:paraId="507D2E54">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8.4 投标人有下列情形之一的, 详细评审后其投标按无效投标处理：</w:t>
      </w:r>
    </w:p>
    <w:p w14:paraId="2297EBF5">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(1)投标产品不符合必须强制执行的国家标准的；</w:t>
      </w:r>
    </w:p>
    <w:p w14:paraId="5AE41712">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(2)投标人有串通投标、弄虚作假、行贿等违法行为；</w:t>
      </w:r>
    </w:p>
    <w:p w14:paraId="2563CFBE">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(3)投标文件含有违反国家法律、法规的内容，或附有招标人不能接受的条件的；</w:t>
      </w:r>
    </w:p>
    <w:p w14:paraId="4E720782">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（4）报价明显低于其他投标人，且不能证明报价合理性的投标无效；</w:t>
      </w:r>
    </w:p>
    <w:p w14:paraId="0FE27F1E">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（5）拒不确认评标委员会评审修正的投标无效；</w:t>
      </w:r>
    </w:p>
    <w:p w14:paraId="2CB56FEA">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（6）其它情形，经评标委员会委提出按无效投标处理，并经公共资源交易监督部门核准的；</w:t>
      </w:r>
    </w:p>
    <w:p w14:paraId="14EBBF72">
      <w:pPr>
        <w:snapToGrid w:val="0"/>
        <w:spacing w:line="500" w:lineRule="exact"/>
        <w:ind w:right="-212" w:rightChars="-101" w:firstLine="420" w:firstLineChars="200"/>
        <w:jc w:val="left"/>
        <w:rPr>
          <w:rFonts w:ascii="宋体" w:hAnsi="宋体" w:cs="宋体"/>
          <w:color w:val="auto"/>
          <w:szCs w:val="21"/>
        </w:rPr>
      </w:pPr>
      <w:r>
        <w:rPr>
          <w:rFonts w:hint="eastAsia" w:ascii="宋体" w:hAnsi="宋体" w:cs="宋体"/>
          <w:color w:val="auto"/>
          <w:szCs w:val="21"/>
        </w:rPr>
        <w:t>（8）招标文件规定的其它无效投标情形。</w:t>
      </w:r>
    </w:p>
    <w:bookmarkEnd w:id="63"/>
    <w:p w14:paraId="32B9D1CD">
      <w:pPr>
        <w:numPr>
          <w:ilvl w:val="0"/>
          <w:numId w:val="8"/>
        </w:numPr>
        <w:snapToGrid w:val="0"/>
        <w:spacing w:line="440" w:lineRule="exact"/>
        <w:ind w:left="-10" w:leftChars="-5" w:right="-334" w:rightChars="-159" w:firstLine="14"/>
        <w:jc w:val="center"/>
        <w:outlineLvl w:val="0"/>
        <w:rPr>
          <w:rFonts w:hAnsi="宋体"/>
          <w:b/>
          <w:bCs/>
          <w:color w:val="auto"/>
          <w:sz w:val="32"/>
          <w:szCs w:val="32"/>
        </w:rPr>
      </w:pPr>
      <w:bookmarkStart w:id="79" w:name="_Toc30417"/>
      <w:bookmarkStart w:id="80" w:name="_Toc449028945"/>
      <w:bookmarkStart w:id="81" w:name="_Toc22340"/>
      <w:r>
        <w:rPr>
          <w:rFonts w:hint="eastAsia" w:ascii="宋体"/>
          <w:b/>
          <w:color w:val="auto"/>
          <w:sz w:val="32"/>
          <w:szCs w:val="32"/>
        </w:rPr>
        <w:br w:type="page"/>
      </w:r>
      <w:r>
        <w:rPr>
          <w:rFonts w:hint="eastAsia" w:ascii="宋体"/>
          <w:b/>
          <w:color w:val="auto"/>
          <w:sz w:val="32"/>
          <w:szCs w:val="32"/>
        </w:rPr>
        <w:t xml:space="preserve"> </w:t>
      </w:r>
      <w:r>
        <w:rPr>
          <w:rFonts w:hint="eastAsia" w:hAnsi="宋体"/>
          <w:b/>
          <w:bCs/>
          <w:color w:val="auto"/>
          <w:sz w:val="32"/>
          <w:szCs w:val="32"/>
        </w:rPr>
        <w:t>采购内容及技术要求</w:t>
      </w:r>
      <w:bookmarkEnd w:id="79"/>
    </w:p>
    <w:p w14:paraId="39D0FBA0">
      <w:pPr>
        <w:pStyle w:val="3"/>
        <w:numPr>
          <w:ilvl w:val="0"/>
          <w:numId w:val="9"/>
        </w:numPr>
        <w:spacing w:beforeLines="30" w:afterLines="30" w:line="440" w:lineRule="exact"/>
        <w:ind w:left="11"/>
        <w:jc w:val="center"/>
        <w:rPr>
          <w:b/>
          <w:bCs/>
          <w:color w:val="auto"/>
        </w:rPr>
      </w:pPr>
      <w:r>
        <w:rPr>
          <w:rFonts w:hint="eastAsia"/>
          <w:b/>
          <w:bCs/>
          <w:color w:val="auto"/>
        </w:rPr>
        <w:t>采购内容</w:t>
      </w:r>
    </w:p>
    <w:tbl>
      <w:tblPr>
        <w:tblStyle w:val="35"/>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80"/>
        <w:gridCol w:w="1005"/>
        <w:gridCol w:w="885"/>
        <w:gridCol w:w="960"/>
        <w:gridCol w:w="1935"/>
        <w:gridCol w:w="1695"/>
        <w:gridCol w:w="1323"/>
      </w:tblGrid>
      <w:tr w14:paraId="7143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1E0D494B">
            <w:pPr>
              <w:keepNext w:val="0"/>
              <w:keepLines w:val="0"/>
              <w:pageBreakBefore w:val="0"/>
              <w:kinsoku/>
              <w:wordWrap/>
              <w:overflowPunct/>
              <w:topLinePunct w:val="0"/>
              <w:autoSpaceDE/>
              <w:autoSpaceDN/>
              <w:bidi w:val="0"/>
              <w:adjustRightInd/>
              <w:snapToGrid/>
              <w:spacing w:line="640" w:lineRule="exact"/>
              <w:ind w:left="-197" w:leftChars="-94" w:right="-313" w:rightChars="-149"/>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280" w:type="dxa"/>
            <w:vAlign w:val="center"/>
          </w:tcPr>
          <w:p w14:paraId="58B89EDD">
            <w:pPr>
              <w:keepNext w:val="0"/>
              <w:keepLines w:val="0"/>
              <w:pageBreakBefore w:val="0"/>
              <w:kinsoku/>
              <w:wordWrap/>
              <w:overflowPunct/>
              <w:topLinePunct w:val="0"/>
              <w:autoSpaceDE/>
              <w:autoSpaceDN/>
              <w:bidi w:val="0"/>
              <w:adjustRightInd/>
              <w:snapToGrid/>
              <w:spacing w:line="640" w:lineRule="exact"/>
              <w:ind w:left="-197" w:leftChars="-94" w:right="-313" w:rightChars="-149"/>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材料名称</w:t>
            </w:r>
          </w:p>
        </w:tc>
        <w:tc>
          <w:tcPr>
            <w:tcW w:w="1005" w:type="dxa"/>
            <w:vAlign w:val="center"/>
          </w:tcPr>
          <w:p w14:paraId="7C105290">
            <w:pPr>
              <w:keepNext w:val="0"/>
              <w:keepLines w:val="0"/>
              <w:pageBreakBefore w:val="0"/>
              <w:kinsoku/>
              <w:wordWrap/>
              <w:overflowPunct/>
              <w:topLinePunct w:val="0"/>
              <w:autoSpaceDE/>
              <w:autoSpaceDN/>
              <w:bidi w:val="0"/>
              <w:adjustRightInd/>
              <w:snapToGrid/>
              <w:spacing w:line="640" w:lineRule="exact"/>
              <w:ind w:left="-197" w:leftChars="-94" w:right="-313" w:rightChars="-149"/>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型号</w:t>
            </w:r>
          </w:p>
        </w:tc>
        <w:tc>
          <w:tcPr>
            <w:tcW w:w="885" w:type="dxa"/>
            <w:vAlign w:val="center"/>
          </w:tcPr>
          <w:p w14:paraId="25A5942B">
            <w:pPr>
              <w:keepNext w:val="0"/>
              <w:keepLines w:val="0"/>
              <w:pageBreakBefore w:val="0"/>
              <w:kinsoku/>
              <w:wordWrap/>
              <w:overflowPunct/>
              <w:topLinePunct w:val="0"/>
              <w:autoSpaceDE/>
              <w:autoSpaceDN/>
              <w:bidi w:val="0"/>
              <w:adjustRightInd/>
              <w:snapToGrid/>
              <w:spacing w:line="640" w:lineRule="exact"/>
              <w:ind w:left="-197" w:leftChars="-94" w:right="-313" w:rightChars="-149"/>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单位</w:t>
            </w:r>
          </w:p>
        </w:tc>
        <w:tc>
          <w:tcPr>
            <w:tcW w:w="960" w:type="dxa"/>
            <w:vAlign w:val="center"/>
          </w:tcPr>
          <w:p w14:paraId="746BEB5E">
            <w:pPr>
              <w:keepNext w:val="0"/>
              <w:keepLines w:val="0"/>
              <w:pageBreakBefore w:val="0"/>
              <w:kinsoku/>
              <w:wordWrap/>
              <w:overflowPunct/>
              <w:topLinePunct w:val="0"/>
              <w:autoSpaceDE/>
              <w:autoSpaceDN/>
              <w:bidi w:val="0"/>
              <w:adjustRightInd/>
              <w:snapToGrid/>
              <w:spacing w:line="640" w:lineRule="exact"/>
              <w:ind w:left="-197" w:leftChars="-94" w:right="-313" w:rightChars="-149"/>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1935" w:type="dxa"/>
            <w:vAlign w:val="center"/>
          </w:tcPr>
          <w:p w14:paraId="779640E5">
            <w:pPr>
              <w:keepNext w:val="0"/>
              <w:keepLines w:val="0"/>
              <w:pageBreakBefore w:val="0"/>
              <w:kinsoku/>
              <w:wordWrap/>
              <w:overflowPunct/>
              <w:topLinePunct w:val="0"/>
              <w:autoSpaceDE/>
              <w:autoSpaceDN/>
              <w:bidi w:val="0"/>
              <w:adjustRightInd/>
              <w:snapToGrid/>
              <w:spacing w:line="640" w:lineRule="exact"/>
              <w:ind w:left="-197" w:leftChars="-94" w:right="-313" w:rightChars="-149"/>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最高</w:t>
            </w:r>
            <w:r>
              <w:rPr>
                <w:rFonts w:hint="eastAsia" w:ascii="宋体" w:hAnsi="宋体" w:cs="宋体"/>
                <w:b/>
                <w:bCs/>
                <w:color w:val="auto"/>
                <w:sz w:val="21"/>
                <w:szCs w:val="21"/>
                <w:highlight w:val="none"/>
              </w:rPr>
              <w:t>综合单价（元）</w:t>
            </w:r>
          </w:p>
        </w:tc>
        <w:tc>
          <w:tcPr>
            <w:tcW w:w="1695" w:type="dxa"/>
            <w:vAlign w:val="center"/>
          </w:tcPr>
          <w:p w14:paraId="2A5E2F1B">
            <w:pPr>
              <w:keepNext w:val="0"/>
              <w:keepLines w:val="0"/>
              <w:pageBreakBefore w:val="0"/>
              <w:kinsoku/>
              <w:wordWrap/>
              <w:overflowPunct/>
              <w:topLinePunct w:val="0"/>
              <w:autoSpaceDE/>
              <w:autoSpaceDN/>
              <w:bidi w:val="0"/>
              <w:adjustRightInd/>
              <w:snapToGrid/>
              <w:spacing w:line="640" w:lineRule="exact"/>
              <w:ind w:left="-197" w:leftChars="-94" w:right="-313" w:rightChars="-149"/>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小计（元）</w:t>
            </w:r>
          </w:p>
        </w:tc>
        <w:tc>
          <w:tcPr>
            <w:tcW w:w="1323" w:type="dxa"/>
            <w:vAlign w:val="center"/>
          </w:tcPr>
          <w:p w14:paraId="7213E0E7">
            <w:pPr>
              <w:keepNext w:val="0"/>
              <w:keepLines w:val="0"/>
              <w:pageBreakBefore w:val="0"/>
              <w:kinsoku/>
              <w:wordWrap/>
              <w:overflowPunct/>
              <w:topLinePunct w:val="0"/>
              <w:autoSpaceDE/>
              <w:autoSpaceDN/>
              <w:bidi w:val="0"/>
              <w:adjustRightInd/>
              <w:snapToGrid/>
              <w:spacing w:line="640" w:lineRule="exact"/>
              <w:ind w:left="-197" w:leftChars="-94" w:right="-313" w:rightChars="-149"/>
              <w:jc w:val="center"/>
              <w:textAlignment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1E0F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17EF57E9">
            <w:pPr>
              <w:keepNext w:val="0"/>
              <w:keepLines w:val="0"/>
              <w:pageBreakBefore w:val="0"/>
              <w:widowControl/>
              <w:kinsoku/>
              <w:wordWrap/>
              <w:overflowPunct/>
              <w:topLinePunct w:val="0"/>
              <w:autoSpaceDE/>
              <w:autoSpaceDN/>
              <w:bidi w:val="0"/>
              <w:adjustRightInd/>
              <w:snapToGrid/>
              <w:spacing w:line="640" w:lineRule="exact"/>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80" w:type="dxa"/>
            <w:vAlign w:val="center"/>
          </w:tcPr>
          <w:p w14:paraId="11B5204E">
            <w:pPr>
              <w:keepNext w:val="0"/>
              <w:keepLines w:val="0"/>
              <w:pageBreakBefore w:val="0"/>
              <w:widowControl/>
              <w:kinsoku/>
              <w:wordWrap/>
              <w:overflowPunct/>
              <w:topLinePunct w:val="0"/>
              <w:autoSpaceDE/>
              <w:autoSpaceDN/>
              <w:bidi w:val="0"/>
              <w:adjustRightInd/>
              <w:snapToGrid/>
              <w:spacing w:line="640" w:lineRule="exact"/>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机械水表 </w:t>
            </w:r>
          </w:p>
        </w:tc>
        <w:tc>
          <w:tcPr>
            <w:tcW w:w="1005" w:type="dxa"/>
            <w:vAlign w:val="center"/>
          </w:tcPr>
          <w:p w14:paraId="277A14D8">
            <w:pPr>
              <w:keepNext w:val="0"/>
              <w:keepLines w:val="0"/>
              <w:pageBreakBefore w:val="0"/>
              <w:widowControl/>
              <w:kinsoku/>
              <w:wordWrap/>
              <w:overflowPunct/>
              <w:topLinePunct w:val="0"/>
              <w:autoSpaceDE/>
              <w:autoSpaceDN/>
              <w:bidi w:val="0"/>
              <w:adjustRightInd/>
              <w:snapToGrid/>
              <w:spacing w:line="640" w:lineRule="exact"/>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DN15</w:t>
            </w:r>
          </w:p>
        </w:tc>
        <w:tc>
          <w:tcPr>
            <w:tcW w:w="885" w:type="dxa"/>
            <w:vAlign w:val="center"/>
          </w:tcPr>
          <w:p w14:paraId="48A85BFC">
            <w:pPr>
              <w:keepNext w:val="0"/>
              <w:keepLines w:val="0"/>
              <w:pageBreakBefore w:val="0"/>
              <w:widowControl/>
              <w:kinsoku/>
              <w:wordWrap/>
              <w:overflowPunct/>
              <w:topLinePunct w:val="0"/>
              <w:autoSpaceDE/>
              <w:autoSpaceDN/>
              <w:bidi w:val="0"/>
              <w:adjustRightInd/>
              <w:snapToGrid/>
              <w:spacing w:line="640" w:lineRule="exact"/>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只</w:t>
            </w:r>
          </w:p>
        </w:tc>
        <w:tc>
          <w:tcPr>
            <w:tcW w:w="960" w:type="dxa"/>
            <w:vAlign w:val="center"/>
          </w:tcPr>
          <w:p w14:paraId="24E791D5">
            <w:pPr>
              <w:keepNext w:val="0"/>
              <w:keepLines w:val="0"/>
              <w:pageBreakBefore w:val="0"/>
              <w:widowControl/>
              <w:kinsoku/>
              <w:wordWrap/>
              <w:overflowPunct/>
              <w:topLinePunct w:val="0"/>
              <w:autoSpaceDE/>
              <w:autoSpaceDN/>
              <w:bidi w:val="0"/>
              <w:adjustRightInd/>
              <w:snapToGrid/>
              <w:spacing w:line="640" w:lineRule="exact"/>
              <w:jc w:val="center"/>
              <w:textAlignment w:val="center"/>
              <w:rPr>
                <w:rFonts w:ascii="宋体" w:hAnsi="宋体" w:cs="宋体"/>
                <w:bCs/>
                <w:color w:val="auto"/>
                <w:sz w:val="21"/>
                <w:szCs w:val="21"/>
                <w:highlight w:val="none"/>
              </w:rPr>
            </w:pPr>
            <w:r>
              <w:rPr>
                <w:rFonts w:hint="eastAsia" w:ascii="宋体" w:hAnsi="宋体" w:cs="宋体"/>
                <w:color w:val="auto"/>
                <w:kern w:val="0"/>
                <w:sz w:val="21"/>
                <w:szCs w:val="21"/>
                <w:highlight w:val="none"/>
              </w:rPr>
              <w:t>11000</w:t>
            </w:r>
          </w:p>
        </w:tc>
        <w:tc>
          <w:tcPr>
            <w:tcW w:w="1935" w:type="dxa"/>
            <w:vAlign w:val="center"/>
          </w:tcPr>
          <w:p w14:paraId="20027131">
            <w:pPr>
              <w:keepNext w:val="0"/>
              <w:keepLines w:val="0"/>
              <w:pageBreakBefore w:val="0"/>
              <w:widowControl/>
              <w:kinsoku/>
              <w:wordWrap/>
              <w:overflowPunct/>
              <w:topLinePunct w:val="0"/>
              <w:autoSpaceDE/>
              <w:autoSpaceDN/>
              <w:bidi w:val="0"/>
              <w:adjustRightInd/>
              <w:snapToGrid/>
              <w:spacing w:line="640" w:lineRule="exact"/>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44</w:t>
            </w:r>
          </w:p>
        </w:tc>
        <w:tc>
          <w:tcPr>
            <w:tcW w:w="1695" w:type="dxa"/>
            <w:vAlign w:val="center"/>
          </w:tcPr>
          <w:p w14:paraId="5D5EA0BA">
            <w:pPr>
              <w:keepNext w:val="0"/>
              <w:keepLines w:val="0"/>
              <w:pageBreakBefore w:val="0"/>
              <w:widowControl/>
              <w:kinsoku/>
              <w:wordWrap/>
              <w:overflowPunct/>
              <w:topLinePunct w:val="0"/>
              <w:autoSpaceDE/>
              <w:autoSpaceDN/>
              <w:bidi w:val="0"/>
              <w:adjustRightInd/>
              <w:snapToGrid/>
              <w:spacing w:line="640" w:lineRule="exact"/>
              <w:jc w:val="center"/>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484000</w:t>
            </w:r>
          </w:p>
        </w:tc>
        <w:tc>
          <w:tcPr>
            <w:tcW w:w="1323" w:type="dxa"/>
            <w:vAlign w:val="center"/>
          </w:tcPr>
          <w:p w14:paraId="052EE50B">
            <w:pPr>
              <w:keepNext w:val="0"/>
              <w:keepLines w:val="0"/>
              <w:pageBreakBefore w:val="0"/>
              <w:widowControl/>
              <w:kinsoku/>
              <w:wordWrap/>
              <w:overflowPunct/>
              <w:topLinePunct w:val="0"/>
              <w:autoSpaceDE/>
              <w:autoSpaceDN/>
              <w:bidi w:val="0"/>
              <w:adjustRightInd/>
              <w:snapToGrid/>
              <w:spacing w:line="640" w:lineRule="exact"/>
              <w:jc w:val="center"/>
              <w:textAlignment w:val="center"/>
              <w:rPr>
                <w:rFonts w:ascii="宋体" w:hAnsi="宋体" w:cs="宋体"/>
                <w:color w:val="auto"/>
                <w:kern w:val="0"/>
                <w:sz w:val="21"/>
                <w:szCs w:val="21"/>
                <w:highlight w:val="none"/>
              </w:rPr>
            </w:pPr>
          </w:p>
        </w:tc>
      </w:tr>
      <w:tr w14:paraId="3944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3" w:type="dxa"/>
            <w:gridSpan w:val="8"/>
            <w:vAlign w:val="bottom"/>
          </w:tcPr>
          <w:p w14:paraId="11D0E3B0">
            <w:pPr>
              <w:keepNext w:val="0"/>
              <w:keepLines w:val="0"/>
              <w:pageBreakBefore w:val="0"/>
              <w:widowControl/>
              <w:kinsoku/>
              <w:wordWrap/>
              <w:overflowPunct/>
              <w:topLinePunct w:val="0"/>
              <w:autoSpaceDE/>
              <w:autoSpaceDN/>
              <w:bidi w:val="0"/>
              <w:adjustRightInd/>
              <w:snapToGrid/>
              <w:spacing w:line="640" w:lineRule="exact"/>
              <w:jc w:val="left"/>
              <w:textAlignment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最高限价</w:t>
            </w:r>
            <w:r>
              <w:rPr>
                <w:rFonts w:hint="eastAsia" w:ascii="宋体" w:hAnsi="宋体" w:cs="宋体"/>
                <w:b/>
                <w:bCs/>
                <w:color w:val="auto"/>
                <w:kern w:val="0"/>
                <w:sz w:val="21"/>
                <w:szCs w:val="21"/>
                <w:highlight w:val="none"/>
              </w:rPr>
              <w:t>：（大写）肆拾捌万肆仟元整（小写）484000.00元</w:t>
            </w:r>
          </w:p>
        </w:tc>
      </w:tr>
    </w:tbl>
    <w:p w14:paraId="683F9223">
      <w:pPr>
        <w:keepNext w:val="0"/>
        <w:keepLines w:val="0"/>
        <w:pageBreakBefore w:val="0"/>
        <w:widowControl/>
        <w:kinsoku/>
        <w:wordWrap/>
        <w:overflowPunct/>
        <w:topLinePunct w:val="0"/>
        <w:autoSpaceDE w:val="0"/>
        <w:autoSpaceDN w:val="0"/>
        <w:bidi w:val="0"/>
        <w:adjustRightInd/>
        <w:snapToGrid/>
        <w:spacing w:line="440" w:lineRule="exact"/>
        <w:ind w:firstLine="422" w:firstLineChars="200"/>
        <w:jc w:val="left"/>
        <w:textAlignment w:val="baseline"/>
        <w:rPr>
          <w:rFonts w:ascii="宋体" w:hAnsi="宋体"/>
          <w:b/>
          <w:color w:val="auto"/>
          <w:kern w:val="0"/>
          <w:szCs w:val="21"/>
          <w:highlight w:val="none"/>
        </w:rPr>
      </w:pPr>
      <w:r>
        <w:rPr>
          <w:rFonts w:hint="eastAsia" w:ascii="宋体" w:hAnsi="宋体"/>
          <w:b/>
          <w:color w:val="auto"/>
          <w:kern w:val="0"/>
          <w:szCs w:val="21"/>
          <w:highlight w:val="none"/>
        </w:rPr>
        <w:t>注：1.</w:t>
      </w:r>
      <w:r>
        <w:rPr>
          <w:rFonts w:hint="eastAsia" w:ascii="宋体" w:hAnsi="宋体" w:cs="宋体"/>
          <w:b/>
          <w:bCs/>
          <w:color w:val="auto"/>
          <w:spacing w:val="5"/>
          <w:szCs w:val="21"/>
          <w:highlight w:val="none"/>
        </w:rPr>
        <w:t>以上采购数量为暂定数量，仅供评标用，实际供货与结算时有可能发生变化，实际供货以招标人通知为准，结算时以实际供货数量为准</w:t>
      </w:r>
      <w:r>
        <w:rPr>
          <w:rFonts w:hint="eastAsia" w:ascii="宋体" w:hAnsi="宋体"/>
          <w:b/>
          <w:color w:val="auto"/>
          <w:kern w:val="0"/>
          <w:szCs w:val="21"/>
          <w:highlight w:val="none"/>
        </w:rPr>
        <w:t>。投标报价均保留两位小数点。中标后所报综合单价不予调整。</w:t>
      </w:r>
    </w:p>
    <w:p w14:paraId="10128686">
      <w:pPr>
        <w:keepNext w:val="0"/>
        <w:keepLines w:val="0"/>
        <w:pageBreakBefore w:val="0"/>
        <w:widowControl/>
        <w:kinsoku/>
        <w:wordWrap/>
        <w:overflowPunct/>
        <w:topLinePunct w:val="0"/>
        <w:autoSpaceDE w:val="0"/>
        <w:autoSpaceDN w:val="0"/>
        <w:bidi w:val="0"/>
        <w:adjustRightInd/>
        <w:snapToGrid/>
        <w:spacing w:line="440" w:lineRule="exact"/>
        <w:ind w:firstLine="422" w:firstLineChars="200"/>
        <w:jc w:val="left"/>
        <w:textAlignment w:val="baseline"/>
        <w:rPr>
          <w:rFonts w:ascii="宋体" w:hAnsi="宋体"/>
          <w:b/>
          <w:color w:val="auto"/>
          <w:kern w:val="0"/>
          <w:szCs w:val="21"/>
          <w:highlight w:val="none"/>
        </w:rPr>
      </w:pPr>
      <w:r>
        <w:rPr>
          <w:rFonts w:hint="eastAsia" w:ascii="宋体" w:hAnsi="宋体"/>
          <w:b/>
          <w:color w:val="auto"/>
          <w:kern w:val="0"/>
          <w:szCs w:val="21"/>
          <w:highlight w:val="none"/>
        </w:rPr>
        <w:t>2.采购内容不含铜接头和连接螺母，免费提供配套的接口垫圈。</w:t>
      </w:r>
    </w:p>
    <w:p w14:paraId="642E016B">
      <w:pPr>
        <w:keepNext w:val="0"/>
        <w:keepLines w:val="0"/>
        <w:pageBreakBefore w:val="0"/>
        <w:kinsoku/>
        <w:wordWrap/>
        <w:overflowPunct/>
        <w:topLinePunct w:val="0"/>
        <w:bidi w:val="0"/>
        <w:adjustRightInd/>
        <w:snapToGrid/>
        <w:spacing w:line="440" w:lineRule="exact"/>
        <w:rPr>
          <w:rFonts w:ascii="宋体" w:hAnsi="宋体" w:cs="宋体"/>
          <w:b/>
          <w:bCs/>
          <w:color w:val="auto"/>
          <w:szCs w:val="21"/>
          <w:highlight w:val="none"/>
        </w:rPr>
      </w:pPr>
      <w:r>
        <w:rPr>
          <w:rFonts w:hint="eastAsia"/>
          <w:color w:val="auto"/>
          <w:highlight w:val="none"/>
        </w:rPr>
        <w:t xml:space="preserve">    </w:t>
      </w:r>
      <w:r>
        <w:rPr>
          <w:rFonts w:hint="eastAsia"/>
          <w:b/>
          <w:bCs/>
          <w:color w:val="auto"/>
          <w:highlight w:val="none"/>
        </w:rPr>
        <w:t xml:space="preserve">3. </w:t>
      </w:r>
      <w:r>
        <w:rPr>
          <w:rFonts w:hint="eastAsia" w:ascii="宋体" w:hAnsi="宋体" w:cs="宋体"/>
          <w:b/>
          <w:bCs/>
          <w:color w:val="auto"/>
          <w:szCs w:val="21"/>
          <w:highlight w:val="none"/>
        </w:rPr>
        <w:t>在水表表盘上按招标方要求印制相关字样和二维码。</w:t>
      </w:r>
    </w:p>
    <w:p w14:paraId="00D077D4">
      <w:pPr>
        <w:keepNext w:val="0"/>
        <w:keepLines w:val="0"/>
        <w:pageBreakBefore w:val="0"/>
        <w:kinsoku/>
        <w:wordWrap/>
        <w:overflowPunct/>
        <w:topLinePunct w:val="0"/>
        <w:bidi w:val="0"/>
        <w:adjustRightInd/>
        <w:snapToGrid/>
        <w:spacing w:line="440" w:lineRule="exact"/>
        <w:rPr>
          <w:b/>
          <w:bCs/>
          <w:color w:val="auto"/>
          <w:highlight w:val="none"/>
        </w:rPr>
      </w:pPr>
      <w:r>
        <w:rPr>
          <w:rFonts w:hint="eastAsia"/>
          <w:b/>
          <w:bCs/>
          <w:color w:val="auto"/>
          <w:highlight w:val="none"/>
        </w:rPr>
        <w:t>水表二维码采用AES-CBC</w:t>
      </w:r>
      <w:r>
        <w:rPr>
          <w:b/>
          <w:bCs/>
          <w:color w:val="auto"/>
          <w:highlight w:val="none"/>
        </w:rPr>
        <w:t>-PKCS7</w:t>
      </w:r>
      <w:r>
        <w:rPr>
          <w:rFonts w:hint="eastAsia"/>
          <w:b/>
          <w:bCs/>
          <w:color w:val="auto"/>
          <w:highlight w:val="none"/>
        </w:rPr>
        <w:t>加密，加密后进行base64编码，样例加密密钥以及偏移量皆为</w:t>
      </w:r>
      <w:r>
        <w:rPr>
          <w:b/>
          <w:bCs/>
          <w:color w:val="auto"/>
          <w:highlight w:val="none"/>
        </w:rPr>
        <w:t>JvqO23aE/dyb62fY</w:t>
      </w:r>
      <w:r>
        <w:rPr>
          <w:rFonts w:hint="eastAsia"/>
          <w:b/>
          <w:bCs/>
          <w:color w:val="auto"/>
          <w:highlight w:val="none"/>
        </w:rPr>
        <w:t>，明文字符串格式为：</w:t>
      </w:r>
      <w:r>
        <w:rPr>
          <w:b/>
          <w:bCs/>
          <w:color w:val="auto"/>
          <w:highlight w:val="none"/>
        </w:rPr>
        <w:t>水表ID|水表钢印号|水表口径|水表厂家|水表生产日期</w:t>
      </w:r>
      <w:r>
        <w:rPr>
          <w:rFonts w:hint="eastAsia"/>
          <w:b/>
          <w:bCs/>
          <w:color w:val="auto"/>
          <w:highlight w:val="none"/>
        </w:rPr>
        <w:t>，日期格式为yyyymmdd。以下为样例字符串明文：123456789|54231|25|水表厂家|20250818，得到密文为</w:t>
      </w:r>
      <w:r>
        <w:rPr>
          <w:b/>
          <w:bCs/>
          <w:color w:val="auto"/>
          <w:highlight w:val="none"/>
        </w:rPr>
        <w:t>KlITj/XJS13zpZU1Njm0LDZIiaf0rpwg/9n4b4qefX33VQG5ApJoR54FNliSj/M0</w:t>
      </w:r>
      <w:r>
        <w:rPr>
          <w:rFonts w:hint="eastAsia"/>
          <w:b/>
          <w:bCs/>
          <w:color w:val="auto"/>
          <w:highlight w:val="none"/>
        </w:rPr>
        <w:t>，样例</w:t>
      </w:r>
    </w:p>
    <w:p w14:paraId="15394D39">
      <w:pPr>
        <w:keepNext w:val="0"/>
        <w:keepLines w:val="0"/>
        <w:pageBreakBefore w:val="0"/>
        <w:kinsoku/>
        <w:wordWrap/>
        <w:overflowPunct/>
        <w:topLinePunct w:val="0"/>
        <w:bidi w:val="0"/>
        <w:adjustRightInd/>
        <w:snapToGrid/>
        <w:spacing w:line="440" w:lineRule="exact"/>
        <w:rPr>
          <w:b/>
          <w:bCs/>
          <w:color w:val="auto"/>
        </w:rPr>
      </w:pPr>
      <w:r>
        <w:rPr>
          <w:rFonts w:hint="eastAsia"/>
          <w:b/>
          <w:bCs/>
          <w:color w:val="auto"/>
          <w:highlight w:val="none"/>
        </w:rPr>
        <w:t>二维码由此密文生成为：</w:t>
      </w:r>
    </w:p>
    <w:p w14:paraId="4D6323B8">
      <w:pPr>
        <w:rPr>
          <w:color w:val="auto"/>
        </w:rPr>
      </w:pPr>
      <w:r>
        <w:rPr>
          <w:color w:val="auto"/>
        </w:rPr>
        <w:drawing>
          <wp:inline distT="0" distB="0" distL="0" distR="0">
            <wp:extent cx="839470" cy="839470"/>
            <wp:effectExtent l="0" t="0" r="0" b="0"/>
            <wp:docPr id="2060582839" name="图片 1" descr="QR 代码&#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82839" name="图片 1" descr="QR 代码&#10;&#10;AI 生成的内容可能不正确。"/>
                    <pic:cNvPicPr>
                      <a:picLocks noChangeAspect="1"/>
                    </pic:cNvPicPr>
                  </pic:nvPicPr>
                  <pic:blipFill>
                    <a:blip r:embed="rId9" cstate="print"/>
                    <a:stretch>
                      <a:fillRect/>
                    </a:stretch>
                  </pic:blipFill>
                  <pic:spPr>
                    <a:xfrm>
                      <a:off x="0" y="0"/>
                      <a:ext cx="894753" cy="894753"/>
                    </a:xfrm>
                    <a:prstGeom prst="rect">
                      <a:avLst/>
                    </a:prstGeom>
                  </pic:spPr>
                </pic:pic>
              </a:graphicData>
            </a:graphic>
          </wp:inline>
        </w:drawing>
      </w:r>
    </w:p>
    <w:p w14:paraId="63A99CBD">
      <w:pPr>
        <w:keepNext w:val="0"/>
        <w:keepLines w:val="0"/>
        <w:pageBreakBefore w:val="0"/>
        <w:kinsoku/>
        <w:wordWrap/>
        <w:overflowPunct/>
        <w:topLinePunct w:val="0"/>
        <w:bidi w:val="0"/>
        <w:adjustRightInd/>
        <w:snapToGrid/>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4.在后续实施过程中，如产生不在本次招标清单里的材料，由中标单位按照投标报价同比例换算，和业主双方协商确定单价。</w:t>
      </w:r>
    </w:p>
    <w:p w14:paraId="16C0B710">
      <w:pPr>
        <w:spacing w:beforeLines="30" w:afterLines="30" w:line="440" w:lineRule="exact"/>
        <w:jc w:val="center"/>
        <w:rPr>
          <w:rFonts w:hint="eastAsia" w:ascii="Times New Roman" w:hAnsi="Times New Roman" w:eastAsia="宋体" w:cs="Times New Roman"/>
          <w:b/>
          <w:bCs/>
          <w:color w:val="auto"/>
          <w:kern w:val="0"/>
          <w:sz w:val="24"/>
          <w:szCs w:val="20"/>
          <w:lang w:val="en-US" w:eastAsia="zh-CN" w:bidi="ar-SA"/>
        </w:rPr>
      </w:pPr>
      <w:r>
        <w:rPr>
          <w:rFonts w:hint="eastAsia" w:ascii="Times New Roman" w:hAnsi="Times New Roman" w:eastAsia="宋体" w:cs="Times New Roman"/>
          <w:b/>
          <w:bCs/>
          <w:color w:val="auto"/>
          <w:kern w:val="0"/>
          <w:sz w:val="24"/>
          <w:szCs w:val="20"/>
          <w:lang w:val="en-US" w:eastAsia="zh-CN" w:bidi="ar-SA"/>
        </w:rPr>
        <w:t>二、技术参数要求</w:t>
      </w:r>
    </w:p>
    <w:p w14:paraId="0697BD42">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1</w:t>
      </w:r>
      <w:r>
        <w:rPr>
          <w:rFonts w:hint="eastAsia" w:ascii="宋体" w:hAnsi="宋体" w:cs="宋体"/>
          <w:color w:val="auto"/>
          <w:spacing w:val="-1"/>
          <w:szCs w:val="21"/>
          <w:lang w:val="en-US" w:eastAsia="zh-CN"/>
        </w:rPr>
        <w:t>.</w:t>
      </w:r>
      <w:r>
        <w:rPr>
          <w:rFonts w:hint="eastAsia" w:ascii="宋体" w:hAnsi="宋体" w:cs="宋体"/>
          <w:color w:val="auto"/>
          <w:spacing w:val="-1"/>
          <w:szCs w:val="21"/>
        </w:rPr>
        <w:t>投标人所投产品应完全符合国家GB/T778-2007 《封闭满管道中水流量的测量饮用冷水水表和热 水水表》,JJG162-2009 《冷水水表检定规程》,  CJ266-2008 《饮用水冷水水表安全规则》中的冷水水表相关规定和要求。如国家颁布新标准，则后面所供货物产品要符合国家最新标准要求。</w:t>
      </w:r>
    </w:p>
    <w:p w14:paraId="23F9C815">
      <w:pPr>
        <w:keepNext w:val="0"/>
        <w:keepLines w:val="0"/>
        <w:pageBreakBefore w:val="0"/>
        <w:widowControl w:val="0"/>
        <w:kinsoku/>
        <w:wordWrap/>
        <w:overflowPunct/>
        <w:topLinePunct w:val="0"/>
        <w:autoSpaceDE/>
        <w:autoSpaceDN/>
        <w:bidi w:val="0"/>
        <w:adjustRightInd/>
        <w:snapToGrid/>
        <w:spacing w:line="440" w:lineRule="exact"/>
        <w:ind w:right="37" w:firstLine="418" w:firstLineChars="200"/>
        <w:textAlignment w:val="auto"/>
        <w:rPr>
          <w:rFonts w:ascii="宋体" w:hAnsi="宋体" w:cs="宋体"/>
          <w:b/>
          <w:bCs/>
          <w:color w:val="auto"/>
          <w:spacing w:val="-1"/>
          <w:szCs w:val="21"/>
        </w:rPr>
      </w:pPr>
      <w:r>
        <w:rPr>
          <w:rFonts w:hint="eastAsia" w:ascii="宋体" w:hAnsi="宋体" w:cs="宋体"/>
          <w:b/>
          <w:bCs/>
          <w:color w:val="auto"/>
          <w:spacing w:val="-1"/>
          <w:szCs w:val="21"/>
        </w:rPr>
        <w:t>2</w:t>
      </w:r>
      <w:r>
        <w:rPr>
          <w:rFonts w:hint="eastAsia" w:ascii="宋体" w:hAnsi="宋体" w:cs="宋体"/>
          <w:b/>
          <w:bCs/>
          <w:color w:val="auto"/>
          <w:spacing w:val="-1"/>
          <w:szCs w:val="21"/>
          <w:lang w:val="en-US" w:eastAsia="zh-CN"/>
        </w:rPr>
        <w:t>.</w:t>
      </w:r>
      <w:r>
        <w:rPr>
          <w:rFonts w:hint="eastAsia" w:ascii="宋体" w:hAnsi="宋体" w:cs="宋体"/>
          <w:b/>
          <w:bCs/>
          <w:color w:val="auto"/>
          <w:spacing w:val="-1"/>
          <w:szCs w:val="21"/>
        </w:rPr>
        <w:t>技术特性</w:t>
      </w:r>
    </w:p>
    <w:p w14:paraId="23D8914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2.1 水表口径和总尺寸</w:t>
      </w:r>
    </w:p>
    <w:p w14:paraId="64C515E1">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水表的口径以连接端的螺纹尺寸的公称通径表示。每一种水表口径均相应有一组固定的总尺寸 (水表的尺寸应符合GB/T778.1-2007 的规定),并确保能直接接入合肥地区现有管网，供货后如尺寸不符合安装要求导致无法安装水表，招标方有权要求退换货或直接终止合同。接管连接端的最大压力等于水表的最大压力，应符合 IS07005-2 和 IS07005-3的相关规定。</w:t>
      </w:r>
    </w:p>
    <w:p w14:paraId="0711495A">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2.2 压力损失</w:t>
      </w:r>
    </w:p>
    <w:p w14:paraId="75AB569E">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最大压力损失应符合下表所示压力损失等级。</w:t>
      </w:r>
    </w:p>
    <w:tbl>
      <w:tblPr>
        <w:tblStyle w:val="130"/>
        <w:tblW w:w="7550" w:type="dxa"/>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3056"/>
        <w:gridCol w:w="3071"/>
      </w:tblGrid>
      <w:tr w14:paraId="02E2B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423" w:type="dxa"/>
            <w:vMerge w:val="restart"/>
            <w:tcBorders>
              <w:bottom w:val="nil"/>
            </w:tcBorders>
          </w:tcPr>
          <w:p w14:paraId="52EDABC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rPr>
            </w:pPr>
          </w:p>
          <w:p w14:paraId="46678633">
            <w:pPr>
              <w:keepNext w:val="0"/>
              <w:keepLines w:val="0"/>
              <w:pageBreakBefore w:val="0"/>
              <w:widowControl w:val="0"/>
              <w:kinsoku/>
              <w:wordWrap/>
              <w:overflowPunct/>
              <w:topLinePunct w:val="0"/>
              <w:autoSpaceDE/>
              <w:autoSpaceDN/>
              <w:bidi w:val="0"/>
              <w:adjustRightInd/>
              <w:snapToGrid/>
              <w:spacing w:line="440" w:lineRule="exact"/>
              <w:ind w:left="495"/>
              <w:textAlignment w:val="auto"/>
              <w:rPr>
                <w:rFonts w:ascii="宋体" w:hAnsi="宋体" w:cs="宋体"/>
                <w:color w:val="auto"/>
                <w:szCs w:val="21"/>
              </w:rPr>
            </w:pPr>
            <w:r>
              <w:rPr>
                <w:rFonts w:hint="eastAsia" w:ascii="宋体" w:hAnsi="宋体" w:cs="宋体"/>
                <w:color w:val="auto"/>
                <w:spacing w:val="6"/>
                <w:szCs w:val="21"/>
              </w:rPr>
              <w:t>等级</w:t>
            </w:r>
          </w:p>
        </w:tc>
        <w:tc>
          <w:tcPr>
            <w:tcW w:w="6127" w:type="dxa"/>
            <w:gridSpan w:val="2"/>
          </w:tcPr>
          <w:p w14:paraId="2A939297">
            <w:pPr>
              <w:keepNext w:val="0"/>
              <w:keepLines w:val="0"/>
              <w:pageBreakBefore w:val="0"/>
              <w:widowControl w:val="0"/>
              <w:kinsoku/>
              <w:wordWrap/>
              <w:overflowPunct/>
              <w:topLinePunct w:val="0"/>
              <w:autoSpaceDE/>
              <w:autoSpaceDN/>
              <w:bidi w:val="0"/>
              <w:adjustRightInd/>
              <w:snapToGrid/>
              <w:spacing w:line="440" w:lineRule="exact"/>
              <w:ind w:left="2422"/>
              <w:textAlignment w:val="auto"/>
              <w:rPr>
                <w:rFonts w:ascii="宋体" w:hAnsi="宋体" w:cs="宋体"/>
                <w:color w:val="auto"/>
                <w:szCs w:val="21"/>
              </w:rPr>
            </w:pPr>
            <w:r>
              <w:rPr>
                <w:rFonts w:hint="eastAsia" w:ascii="宋体" w:hAnsi="宋体" w:cs="宋体"/>
                <w:color w:val="auto"/>
                <w:spacing w:val="1"/>
                <w:szCs w:val="21"/>
              </w:rPr>
              <w:t>最大压力损失</w:t>
            </w:r>
          </w:p>
        </w:tc>
      </w:tr>
      <w:tr w14:paraId="153CD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423" w:type="dxa"/>
            <w:vMerge w:val="continue"/>
            <w:tcBorders>
              <w:top w:val="nil"/>
            </w:tcBorders>
          </w:tcPr>
          <w:p w14:paraId="49DADB5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Cs w:val="21"/>
              </w:rPr>
            </w:pPr>
          </w:p>
        </w:tc>
        <w:tc>
          <w:tcPr>
            <w:tcW w:w="3056" w:type="dxa"/>
          </w:tcPr>
          <w:p w14:paraId="0CD35D2E">
            <w:pPr>
              <w:keepNext w:val="0"/>
              <w:keepLines w:val="0"/>
              <w:pageBreakBefore w:val="0"/>
              <w:widowControl w:val="0"/>
              <w:kinsoku/>
              <w:wordWrap/>
              <w:overflowPunct/>
              <w:topLinePunct w:val="0"/>
              <w:autoSpaceDE/>
              <w:autoSpaceDN/>
              <w:bidi w:val="0"/>
              <w:adjustRightInd/>
              <w:snapToGrid/>
              <w:spacing w:line="440" w:lineRule="exact"/>
              <w:ind w:left="1362"/>
              <w:textAlignment w:val="auto"/>
              <w:rPr>
                <w:rFonts w:ascii="宋体" w:hAnsi="宋体" w:cs="宋体"/>
                <w:color w:val="auto"/>
                <w:szCs w:val="21"/>
              </w:rPr>
            </w:pPr>
            <w:r>
              <w:rPr>
                <w:rFonts w:hint="eastAsia" w:ascii="宋体" w:hAnsi="宋体" w:cs="宋体"/>
                <w:color w:val="auto"/>
                <w:spacing w:val="-1"/>
                <w:szCs w:val="21"/>
              </w:rPr>
              <w:t>MPa</w:t>
            </w:r>
          </w:p>
        </w:tc>
        <w:tc>
          <w:tcPr>
            <w:tcW w:w="3071" w:type="dxa"/>
          </w:tcPr>
          <w:p w14:paraId="3F5007A0">
            <w:pPr>
              <w:keepNext w:val="0"/>
              <w:keepLines w:val="0"/>
              <w:pageBreakBefore w:val="0"/>
              <w:widowControl w:val="0"/>
              <w:kinsoku/>
              <w:wordWrap/>
              <w:overflowPunct/>
              <w:topLinePunct w:val="0"/>
              <w:autoSpaceDE/>
              <w:autoSpaceDN/>
              <w:bidi w:val="0"/>
              <w:adjustRightInd/>
              <w:snapToGrid/>
              <w:spacing w:line="440" w:lineRule="exact"/>
              <w:ind w:left="1366"/>
              <w:textAlignment w:val="auto"/>
              <w:rPr>
                <w:rFonts w:ascii="宋体" w:hAnsi="宋体" w:cs="宋体"/>
                <w:color w:val="auto"/>
                <w:szCs w:val="21"/>
              </w:rPr>
            </w:pPr>
            <w:r>
              <w:rPr>
                <w:rFonts w:hint="eastAsia" w:ascii="宋体" w:hAnsi="宋体" w:cs="宋体"/>
                <w:color w:val="auto"/>
                <w:spacing w:val="-2"/>
                <w:szCs w:val="21"/>
              </w:rPr>
              <w:t>bar</w:t>
            </w:r>
          </w:p>
        </w:tc>
      </w:tr>
      <w:tr w14:paraId="64DD1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423" w:type="dxa"/>
          </w:tcPr>
          <w:p w14:paraId="18314253">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s="宋体"/>
                <w:color w:val="auto"/>
                <w:szCs w:val="21"/>
              </w:rPr>
            </w:pPr>
            <w:r>
              <w:rPr>
                <w:rFonts w:hint="eastAsia" w:ascii="宋体" w:hAnsi="宋体" w:cs="宋体"/>
                <w:color w:val="auto"/>
                <w:spacing w:val="-3"/>
                <w:szCs w:val="21"/>
              </w:rPr>
              <w:t>△p63</w:t>
            </w:r>
          </w:p>
        </w:tc>
        <w:tc>
          <w:tcPr>
            <w:tcW w:w="3056" w:type="dxa"/>
          </w:tcPr>
          <w:p w14:paraId="7119AB36">
            <w:pPr>
              <w:keepNext w:val="0"/>
              <w:keepLines w:val="0"/>
              <w:pageBreakBefore w:val="0"/>
              <w:widowControl w:val="0"/>
              <w:kinsoku/>
              <w:wordWrap/>
              <w:overflowPunct/>
              <w:topLinePunct w:val="0"/>
              <w:autoSpaceDE/>
              <w:autoSpaceDN/>
              <w:bidi w:val="0"/>
              <w:adjustRightInd/>
              <w:snapToGrid/>
              <w:spacing w:line="440" w:lineRule="exact"/>
              <w:ind w:left="1252"/>
              <w:textAlignment w:val="auto"/>
              <w:rPr>
                <w:rFonts w:ascii="宋体" w:hAnsi="宋体" w:cs="宋体"/>
                <w:color w:val="auto"/>
                <w:szCs w:val="21"/>
              </w:rPr>
            </w:pPr>
            <w:r>
              <w:rPr>
                <w:rFonts w:hint="eastAsia" w:ascii="宋体" w:hAnsi="宋体" w:cs="宋体"/>
                <w:color w:val="auto"/>
                <w:spacing w:val="-2"/>
                <w:szCs w:val="21"/>
              </w:rPr>
              <w:t>0.063</w:t>
            </w:r>
          </w:p>
        </w:tc>
        <w:tc>
          <w:tcPr>
            <w:tcW w:w="3071" w:type="dxa"/>
          </w:tcPr>
          <w:p w14:paraId="4FFC1617">
            <w:pPr>
              <w:keepNext w:val="0"/>
              <w:keepLines w:val="0"/>
              <w:pageBreakBefore w:val="0"/>
              <w:widowControl w:val="0"/>
              <w:kinsoku/>
              <w:wordWrap/>
              <w:overflowPunct/>
              <w:topLinePunct w:val="0"/>
              <w:autoSpaceDE/>
              <w:autoSpaceDN/>
              <w:bidi w:val="0"/>
              <w:adjustRightInd/>
              <w:snapToGrid/>
              <w:spacing w:line="440" w:lineRule="exact"/>
              <w:ind w:left="1316"/>
              <w:textAlignment w:val="auto"/>
              <w:rPr>
                <w:rFonts w:ascii="宋体" w:hAnsi="宋体" w:cs="宋体"/>
                <w:color w:val="auto"/>
                <w:szCs w:val="21"/>
              </w:rPr>
            </w:pPr>
            <w:r>
              <w:rPr>
                <w:rFonts w:hint="eastAsia" w:ascii="宋体" w:hAnsi="宋体" w:cs="宋体"/>
                <w:color w:val="auto"/>
                <w:spacing w:val="-2"/>
                <w:szCs w:val="21"/>
              </w:rPr>
              <w:t>0.63</w:t>
            </w:r>
          </w:p>
        </w:tc>
      </w:tr>
      <w:tr w14:paraId="22B4A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423" w:type="dxa"/>
          </w:tcPr>
          <w:p w14:paraId="63AE12EE">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s="宋体"/>
                <w:color w:val="auto"/>
                <w:szCs w:val="21"/>
              </w:rPr>
            </w:pPr>
            <w:r>
              <w:rPr>
                <w:rFonts w:hint="eastAsia" w:ascii="宋体" w:hAnsi="宋体" w:cs="宋体"/>
                <w:color w:val="auto"/>
                <w:spacing w:val="-3"/>
                <w:szCs w:val="21"/>
              </w:rPr>
              <w:t>△p40</w:t>
            </w:r>
          </w:p>
        </w:tc>
        <w:tc>
          <w:tcPr>
            <w:tcW w:w="3056" w:type="dxa"/>
          </w:tcPr>
          <w:p w14:paraId="11C0BD16">
            <w:pPr>
              <w:keepNext w:val="0"/>
              <w:keepLines w:val="0"/>
              <w:pageBreakBefore w:val="0"/>
              <w:widowControl w:val="0"/>
              <w:kinsoku/>
              <w:wordWrap/>
              <w:overflowPunct/>
              <w:topLinePunct w:val="0"/>
              <w:autoSpaceDE/>
              <w:autoSpaceDN/>
              <w:bidi w:val="0"/>
              <w:adjustRightInd/>
              <w:snapToGrid/>
              <w:spacing w:line="440" w:lineRule="exact"/>
              <w:ind w:left="1252"/>
              <w:textAlignment w:val="auto"/>
              <w:rPr>
                <w:rFonts w:ascii="宋体" w:hAnsi="宋体" w:cs="宋体"/>
                <w:color w:val="auto"/>
                <w:szCs w:val="21"/>
              </w:rPr>
            </w:pPr>
            <w:r>
              <w:rPr>
                <w:rFonts w:hint="eastAsia" w:ascii="宋体" w:hAnsi="宋体" w:cs="宋体"/>
                <w:color w:val="auto"/>
                <w:spacing w:val="-2"/>
                <w:szCs w:val="21"/>
              </w:rPr>
              <w:t>0.040</w:t>
            </w:r>
          </w:p>
        </w:tc>
        <w:tc>
          <w:tcPr>
            <w:tcW w:w="3071" w:type="dxa"/>
          </w:tcPr>
          <w:p w14:paraId="0673E5FC">
            <w:pPr>
              <w:keepNext w:val="0"/>
              <w:keepLines w:val="0"/>
              <w:pageBreakBefore w:val="0"/>
              <w:widowControl w:val="0"/>
              <w:kinsoku/>
              <w:wordWrap/>
              <w:overflowPunct/>
              <w:topLinePunct w:val="0"/>
              <w:autoSpaceDE/>
              <w:autoSpaceDN/>
              <w:bidi w:val="0"/>
              <w:adjustRightInd/>
              <w:snapToGrid/>
              <w:spacing w:line="440" w:lineRule="exact"/>
              <w:ind w:left="1316"/>
              <w:textAlignment w:val="auto"/>
              <w:rPr>
                <w:rFonts w:ascii="宋体" w:hAnsi="宋体" w:cs="宋体"/>
                <w:color w:val="auto"/>
                <w:szCs w:val="21"/>
              </w:rPr>
            </w:pPr>
            <w:r>
              <w:rPr>
                <w:rFonts w:hint="eastAsia" w:ascii="宋体" w:hAnsi="宋体" w:cs="宋体"/>
                <w:color w:val="auto"/>
                <w:spacing w:val="-2"/>
                <w:szCs w:val="21"/>
              </w:rPr>
              <w:t>0.40</w:t>
            </w:r>
          </w:p>
        </w:tc>
      </w:tr>
      <w:tr w14:paraId="2907C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23" w:type="dxa"/>
          </w:tcPr>
          <w:p w14:paraId="0EBBFB31">
            <w:pPr>
              <w:keepNext w:val="0"/>
              <w:keepLines w:val="0"/>
              <w:pageBreakBefore w:val="0"/>
              <w:widowControl w:val="0"/>
              <w:kinsoku/>
              <w:wordWrap/>
              <w:overflowPunct/>
              <w:topLinePunct w:val="0"/>
              <w:autoSpaceDE/>
              <w:autoSpaceDN/>
              <w:bidi w:val="0"/>
              <w:adjustRightInd/>
              <w:snapToGrid/>
              <w:spacing w:line="440" w:lineRule="exact"/>
              <w:ind w:left="495"/>
              <w:textAlignment w:val="auto"/>
              <w:rPr>
                <w:rFonts w:ascii="宋体" w:hAnsi="宋体" w:cs="宋体"/>
                <w:color w:val="auto"/>
                <w:szCs w:val="21"/>
              </w:rPr>
            </w:pPr>
            <w:r>
              <w:rPr>
                <w:rFonts w:hint="eastAsia" w:ascii="宋体" w:hAnsi="宋体" w:cs="宋体"/>
                <w:color w:val="auto"/>
                <w:spacing w:val="-1"/>
                <w:szCs w:val="21"/>
              </w:rPr>
              <w:t>Ap25</w:t>
            </w:r>
          </w:p>
        </w:tc>
        <w:tc>
          <w:tcPr>
            <w:tcW w:w="3056" w:type="dxa"/>
          </w:tcPr>
          <w:p w14:paraId="69D382E8">
            <w:pPr>
              <w:keepNext w:val="0"/>
              <w:keepLines w:val="0"/>
              <w:pageBreakBefore w:val="0"/>
              <w:widowControl w:val="0"/>
              <w:kinsoku/>
              <w:wordWrap/>
              <w:overflowPunct/>
              <w:topLinePunct w:val="0"/>
              <w:autoSpaceDE/>
              <w:autoSpaceDN/>
              <w:bidi w:val="0"/>
              <w:adjustRightInd/>
              <w:snapToGrid/>
              <w:spacing w:line="440" w:lineRule="exact"/>
              <w:ind w:left="1252"/>
              <w:textAlignment w:val="auto"/>
              <w:rPr>
                <w:rFonts w:ascii="宋体" w:hAnsi="宋体" w:cs="宋体"/>
                <w:color w:val="auto"/>
                <w:szCs w:val="21"/>
              </w:rPr>
            </w:pPr>
            <w:r>
              <w:rPr>
                <w:rFonts w:hint="eastAsia" w:ascii="宋体" w:hAnsi="宋体" w:cs="宋体"/>
                <w:color w:val="auto"/>
                <w:spacing w:val="-2"/>
                <w:szCs w:val="21"/>
              </w:rPr>
              <w:t>0.025</w:t>
            </w:r>
          </w:p>
        </w:tc>
        <w:tc>
          <w:tcPr>
            <w:tcW w:w="3071" w:type="dxa"/>
          </w:tcPr>
          <w:p w14:paraId="450D6902">
            <w:pPr>
              <w:keepNext w:val="0"/>
              <w:keepLines w:val="0"/>
              <w:pageBreakBefore w:val="0"/>
              <w:widowControl w:val="0"/>
              <w:kinsoku/>
              <w:wordWrap/>
              <w:overflowPunct/>
              <w:topLinePunct w:val="0"/>
              <w:autoSpaceDE/>
              <w:autoSpaceDN/>
              <w:bidi w:val="0"/>
              <w:adjustRightInd/>
              <w:snapToGrid/>
              <w:spacing w:line="440" w:lineRule="exact"/>
              <w:ind w:left="1316"/>
              <w:textAlignment w:val="auto"/>
              <w:rPr>
                <w:rFonts w:ascii="宋体" w:hAnsi="宋体" w:cs="宋体"/>
                <w:color w:val="auto"/>
                <w:szCs w:val="21"/>
              </w:rPr>
            </w:pPr>
            <w:r>
              <w:rPr>
                <w:rFonts w:hint="eastAsia" w:ascii="宋体" w:hAnsi="宋体" w:cs="宋体"/>
                <w:color w:val="auto"/>
                <w:spacing w:val="-2"/>
                <w:szCs w:val="21"/>
              </w:rPr>
              <w:t>0.25</w:t>
            </w:r>
          </w:p>
        </w:tc>
      </w:tr>
      <w:tr w14:paraId="78E60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23" w:type="dxa"/>
          </w:tcPr>
          <w:p w14:paraId="45EE0E44">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s="宋体"/>
                <w:color w:val="auto"/>
                <w:szCs w:val="21"/>
              </w:rPr>
            </w:pPr>
            <w:r>
              <w:rPr>
                <w:rFonts w:hint="eastAsia" w:ascii="宋体" w:hAnsi="宋体" w:cs="宋体"/>
                <w:color w:val="auto"/>
                <w:spacing w:val="-3"/>
                <w:szCs w:val="21"/>
              </w:rPr>
              <w:t>△p16</w:t>
            </w:r>
          </w:p>
        </w:tc>
        <w:tc>
          <w:tcPr>
            <w:tcW w:w="3056" w:type="dxa"/>
          </w:tcPr>
          <w:p w14:paraId="06016BD4">
            <w:pPr>
              <w:keepNext w:val="0"/>
              <w:keepLines w:val="0"/>
              <w:pageBreakBefore w:val="0"/>
              <w:widowControl w:val="0"/>
              <w:kinsoku/>
              <w:wordWrap/>
              <w:overflowPunct/>
              <w:topLinePunct w:val="0"/>
              <w:autoSpaceDE/>
              <w:autoSpaceDN/>
              <w:bidi w:val="0"/>
              <w:adjustRightInd/>
              <w:snapToGrid/>
              <w:spacing w:line="440" w:lineRule="exact"/>
              <w:ind w:left="1252"/>
              <w:textAlignment w:val="auto"/>
              <w:rPr>
                <w:rFonts w:ascii="宋体" w:hAnsi="宋体" w:cs="宋体"/>
                <w:color w:val="auto"/>
                <w:szCs w:val="21"/>
              </w:rPr>
            </w:pPr>
            <w:r>
              <w:rPr>
                <w:rFonts w:hint="eastAsia" w:ascii="宋体" w:hAnsi="宋体" w:cs="宋体"/>
                <w:color w:val="auto"/>
                <w:spacing w:val="-2"/>
                <w:szCs w:val="21"/>
              </w:rPr>
              <w:t>0.016</w:t>
            </w:r>
          </w:p>
        </w:tc>
        <w:tc>
          <w:tcPr>
            <w:tcW w:w="3071" w:type="dxa"/>
          </w:tcPr>
          <w:p w14:paraId="4FE22E2F">
            <w:pPr>
              <w:keepNext w:val="0"/>
              <w:keepLines w:val="0"/>
              <w:pageBreakBefore w:val="0"/>
              <w:widowControl w:val="0"/>
              <w:kinsoku/>
              <w:wordWrap/>
              <w:overflowPunct/>
              <w:topLinePunct w:val="0"/>
              <w:autoSpaceDE/>
              <w:autoSpaceDN/>
              <w:bidi w:val="0"/>
              <w:adjustRightInd/>
              <w:snapToGrid/>
              <w:spacing w:line="440" w:lineRule="exact"/>
              <w:ind w:left="1316"/>
              <w:textAlignment w:val="auto"/>
              <w:rPr>
                <w:rFonts w:ascii="宋体" w:hAnsi="宋体" w:cs="宋体"/>
                <w:color w:val="auto"/>
                <w:szCs w:val="21"/>
              </w:rPr>
            </w:pPr>
            <w:r>
              <w:rPr>
                <w:rFonts w:hint="eastAsia" w:ascii="宋体" w:hAnsi="宋体" w:cs="宋体"/>
                <w:color w:val="auto"/>
                <w:spacing w:val="-2"/>
                <w:szCs w:val="21"/>
              </w:rPr>
              <w:t>0.16</w:t>
            </w:r>
          </w:p>
        </w:tc>
      </w:tr>
      <w:tr w14:paraId="5BAED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423" w:type="dxa"/>
          </w:tcPr>
          <w:p w14:paraId="7590BE93">
            <w:pPr>
              <w:keepNext w:val="0"/>
              <w:keepLines w:val="0"/>
              <w:pageBreakBefore w:val="0"/>
              <w:widowControl w:val="0"/>
              <w:kinsoku/>
              <w:wordWrap/>
              <w:overflowPunct/>
              <w:topLinePunct w:val="0"/>
              <w:autoSpaceDE/>
              <w:autoSpaceDN/>
              <w:bidi w:val="0"/>
              <w:adjustRightInd/>
              <w:snapToGrid/>
              <w:spacing w:line="440" w:lineRule="exact"/>
              <w:ind w:left="435"/>
              <w:textAlignment w:val="auto"/>
              <w:rPr>
                <w:rFonts w:ascii="宋体" w:hAnsi="宋体" w:cs="宋体"/>
                <w:color w:val="auto"/>
                <w:szCs w:val="21"/>
              </w:rPr>
            </w:pPr>
            <w:r>
              <w:rPr>
                <w:rFonts w:hint="eastAsia" w:ascii="宋体" w:hAnsi="宋体" w:cs="宋体"/>
                <w:color w:val="auto"/>
                <w:spacing w:val="-3"/>
                <w:szCs w:val="21"/>
              </w:rPr>
              <w:t>△p10</w:t>
            </w:r>
          </w:p>
        </w:tc>
        <w:tc>
          <w:tcPr>
            <w:tcW w:w="3056" w:type="dxa"/>
          </w:tcPr>
          <w:p w14:paraId="5EE2032C">
            <w:pPr>
              <w:keepNext w:val="0"/>
              <w:keepLines w:val="0"/>
              <w:pageBreakBefore w:val="0"/>
              <w:widowControl w:val="0"/>
              <w:kinsoku/>
              <w:wordWrap/>
              <w:overflowPunct/>
              <w:topLinePunct w:val="0"/>
              <w:autoSpaceDE/>
              <w:autoSpaceDN/>
              <w:bidi w:val="0"/>
              <w:adjustRightInd/>
              <w:snapToGrid/>
              <w:spacing w:line="440" w:lineRule="exact"/>
              <w:ind w:left="1252"/>
              <w:textAlignment w:val="auto"/>
              <w:rPr>
                <w:rFonts w:ascii="宋体" w:hAnsi="宋体" w:cs="宋体"/>
                <w:color w:val="auto"/>
                <w:szCs w:val="21"/>
              </w:rPr>
            </w:pPr>
            <w:r>
              <w:rPr>
                <w:rFonts w:hint="eastAsia" w:ascii="宋体" w:hAnsi="宋体" w:cs="宋体"/>
                <w:color w:val="auto"/>
                <w:spacing w:val="-2"/>
                <w:szCs w:val="21"/>
              </w:rPr>
              <w:t>0.010</w:t>
            </w:r>
          </w:p>
        </w:tc>
        <w:tc>
          <w:tcPr>
            <w:tcW w:w="3071" w:type="dxa"/>
          </w:tcPr>
          <w:p w14:paraId="70658F7A">
            <w:pPr>
              <w:keepNext w:val="0"/>
              <w:keepLines w:val="0"/>
              <w:pageBreakBefore w:val="0"/>
              <w:widowControl w:val="0"/>
              <w:kinsoku/>
              <w:wordWrap/>
              <w:overflowPunct/>
              <w:topLinePunct w:val="0"/>
              <w:autoSpaceDE/>
              <w:autoSpaceDN/>
              <w:bidi w:val="0"/>
              <w:adjustRightInd/>
              <w:snapToGrid/>
              <w:spacing w:line="440" w:lineRule="exact"/>
              <w:ind w:left="1316"/>
              <w:textAlignment w:val="auto"/>
              <w:rPr>
                <w:rFonts w:ascii="宋体" w:hAnsi="宋体" w:cs="宋体"/>
                <w:color w:val="auto"/>
                <w:szCs w:val="21"/>
              </w:rPr>
            </w:pPr>
            <w:r>
              <w:rPr>
                <w:rFonts w:hint="eastAsia" w:ascii="宋体" w:hAnsi="宋体" w:cs="宋体"/>
                <w:color w:val="auto"/>
                <w:spacing w:val="-2"/>
                <w:szCs w:val="21"/>
              </w:rPr>
              <w:t>0.10</w:t>
            </w:r>
          </w:p>
        </w:tc>
      </w:tr>
    </w:tbl>
    <w:p w14:paraId="032577AA">
      <w:pPr>
        <w:keepNext w:val="0"/>
        <w:keepLines w:val="0"/>
        <w:pageBreakBefore w:val="0"/>
        <w:widowControl w:val="0"/>
        <w:kinsoku/>
        <w:wordWrap/>
        <w:overflowPunct/>
        <w:topLinePunct w:val="0"/>
        <w:autoSpaceDE/>
        <w:autoSpaceDN/>
        <w:bidi w:val="0"/>
        <w:adjustRightInd/>
        <w:snapToGrid/>
        <w:spacing w:line="440" w:lineRule="exact"/>
        <w:ind w:left="413"/>
        <w:textAlignment w:val="auto"/>
        <w:outlineLvl w:val="6"/>
        <w:rPr>
          <w:rFonts w:ascii="宋体" w:hAnsi="宋体" w:cs="宋体"/>
          <w:color w:val="auto"/>
          <w:szCs w:val="21"/>
        </w:rPr>
      </w:pPr>
      <w:r>
        <w:rPr>
          <w:rFonts w:hint="eastAsia" w:ascii="宋体" w:hAnsi="宋体" w:cs="宋体"/>
          <w:b/>
          <w:bCs/>
          <w:color w:val="auto"/>
          <w:spacing w:val="-6"/>
          <w:szCs w:val="21"/>
        </w:rPr>
        <w:t>3</w:t>
      </w:r>
      <w:r>
        <w:rPr>
          <w:rFonts w:hint="eastAsia" w:ascii="宋体" w:hAnsi="宋体" w:cs="宋体"/>
          <w:b/>
          <w:bCs/>
          <w:color w:val="auto"/>
          <w:spacing w:val="-6"/>
          <w:szCs w:val="21"/>
          <w:lang w:val="en-US" w:eastAsia="zh-CN"/>
        </w:rPr>
        <w:t>.</w:t>
      </w:r>
      <w:r>
        <w:rPr>
          <w:rFonts w:hint="eastAsia" w:ascii="宋体" w:hAnsi="宋体" w:cs="宋体"/>
          <w:b/>
          <w:bCs/>
          <w:color w:val="auto"/>
          <w:spacing w:val="-6"/>
          <w:szCs w:val="21"/>
        </w:rPr>
        <w:t>计量要求</w:t>
      </w:r>
    </w:p>
    <w:p w14:paraId="43E4B0ED">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3.1 准确度等级和最大允许误差</w:t>
      </w:r>
    </w:p>
    <w:p w14:paraId="7C1EED4D">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3.1.1 准确度等级为2级</w:t>
      </w:r>
    </w:p>
    <w:p w14:paraId="528AFBEC">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3.1.2 最大允许误差：在水温0.1℃至30℃范围内，水表的最大允许误差在高区(Q2≤Q≤Q4)为</w:t>
      </w:r>
    </w:p>
    <w:p w14:paraId="3A9E106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±2%,低区 (Q1≤Q&lt;Q2) 为±5%。</w:t>
      </w:r>
    </w:p>
    <w:p w14:paraId="36999BC0">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3.1.3 计量特性</w:t>
      </w:r>
    </w:p>
    <w:p w14:paraId="72E65A54">
      <w:pPr>
        <w:keepNext w:val="0"/>
        <w:keepLines w:val="0"/>
        <w:pageBreakBefore w:val="0"/>
        <w:widowControl w:val="0"/>
        <w:kinsoku/>
        <w:wordWrap/>
        <w:overflowPunct/>
        <w:topLinePunct w:val="0"/>
        <w:autoSpaceDE/>
        <w:autoSpaceDN/>
        <w:bidi w:val="0"/>
        <w:adjustRightInd/>
        <w:snapToGrid/>
        <w:spacing w:line="440" w:lineRule="exact"/>
        <w:ind w:right="37" w:firstLine="420" w:firstLineChars="200"/>
        <w:textAlignment w:val="auto"/>
        <w:rPr>
          <w:rFonts w:ascii="宋体" w:hAnsi="宋体" w:cs="宋体"/>
          <w:color w:val="auto"/>
          <w:spacing w:val="-1"/>
          <w:szCs w:val="21"/>
        </w:rPr>
      </w:pPr>
      <w:r>
        <w:rPr>
          <w:color w:val="auto"/>
        </w:rPr>
        <w:fldChar w:fldCharType="begin"/>
      </w:r>
      <w:r>
        <w:rPr>
          <w:color w:val="auto"/>
        </w:rPr>
        <w:instrText xml:space="preserve"> HYPERLINK "https://3.1.3.1" </w:instrText>
      </w:r>
      <w:r>
        <w:rPr>
          <w:color w:val="auto"/>
        </w:rPr>
        <w:fldChar w:fldCharType="separate"/>
      </w:r>
      <w:r>
        <w:rPr>
          <w:rFonts w:hint="eastAsia" w:ascii="宋体" w:hAnsi="宋体" w:cs="宋体"/>
          <w:color w:val="auto"/>
          <w:spacing w:val="-1"/>
          <w:szCs w:val="21"/>
        </w:rPr>
        <w:t>3.1.3.1</w:t>
      </w:r>
      <w:r>
        <w:rPr>
          <w:rFonts w:hint="eastAsia" w:ascii="宋体" w:hAnsi="宋体" w:cs="宋体"/>
          <w:color w:val="auto"/>
          <w:spacing w:val="-1"/>
          <w:szCs w:val="21"/>
        </w:rPr>
        <w:fldChar w:fldCharType="end"/>
      </w:r>
      <w:r>
        <w:rPr>
          <w:rFonts w:hint="eastAsia" w:ascii="宋体" w:hAnsi="宋体" w:cs="宋体"/>
          <w:color w:val="auto"/>
          <w:spacing w:val="-1"/>
          <w:szCs w:val="21"/>
        </w:rPr>
        <w:t xml:space="preserve"> 常用流量(Q3)</w:t>
      </w:r>
    </w:p>
    <w:p w14:paraId="168B66F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水表常用流量Q3(m3/h) 的数值应从GB/T 321—2005的R5系列中选取。</w:t>
      </w:r>
    </w:p>
    <w:p w14:paraId="2AB51A85">
      <w:pPr>
        <w:keepNext w:val="0"/>
        <w:keepLines w:val="0"/>
        <w:pageBreakBefore w:val="0"/>
        <w:widowControl w:val="0"/>
        <w:kinsoku/>
        <w:wordWrap/>
        <w:overflowPunct/>
        <w:topLinePunct w:val="0"/>
        <w:autoSpaceDE/>
        <w:autoSpaceDN/>
        <w:bidi w:val="0"/>
        <w:adjustRightInd/>
        <w:snapToGrid/>
        <w:spacing w:line="440" w:lineRule="exact"/>
        <w:ind w:right="37" w:firstLine="420" w:firstLineChars="200"/>
        <w:textAlignment w:val="auto"/>
        <w:rPr>
          <w:rFonts w:ascii="宋体" w:hAnsi="宋体" w:cs="宋体"/>
          <w:color w:val="auto"/>
          <w:spacing w:val="-1"/>
          <w:szCs w:val="21"/>
        </w:rPr>
      </w:pPr>
      <w:r>
        <w:rPr>
          <w:color w:val="auto"/>
        </w:rPr>
        <w:fldChar w:fldCharType="begin"/>
      </w:r>
      <w:r>
        <w:rPr>
          <w:color w:val="auto"/>
        </w:rPr>
        <w:instrText xml:space="preserve"> HYPERLINK "https://3.1.3.2" </w:instrText>
      </w:r>
      <w:r>
        <w:rPr>
          <w:color w:val="auto"/>
        </w:rPr>
        <w:fldChar w:fldCharType="separate"/>
      </w:r>
      <w:r>
        <w:rPr>
          <w:rFonts w:hint="eastAsia" w:ascii="宋体" w:hAnsi="宋体" w:cs="宋体"/>
          <w:color w:val="auto"/>
          <w:spacing w:val="-1"/>
          <w:szCs w:val="21"/>
        </w:rPr>
        <w:t>3.1.3.2</w:t>
      </w:r>
      <w:r>
        <w:rPr>
          <w:rFonts w:hint="eastAsia" w:ascii="宋体" w:hAnsi="宋体" w:cs="宋体"/>
          <w:color w:val="auto"/>
          <w:spacing w:val="-1"/>
          <w:szCs w:val="21"/>
        </w:rPr>
        <w:fldChar w:fldCharType="end"/>
      </w:r>
      <w:r>
        <w:rPr>
          <w:rFonts w:hint="eastAsia" w:ascii="宋体" w:hAnsi="宋体" w:cs="宋体"/>
          <w:color w:val="auto"/>
          <w:spacing w:val="-1"/>
          <w:szCs w:val="21"/>
        </w:rPr>
        <w:t xml:space="preserve"> 测量范围</w:t>
      </w:r>
    </w:p>
    <w:p w14:paraId="38675D04">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流量测量范围由Q3/Q1 的比值确定。其数值应从GB/T 321—2005的R10系列中选取。常用流量Q3、 测量范围Q3/Q1 如下表，其数值与系数可以比表中所列更优，始动流量仅供参考。</w:t>
      </w:r>
    </w:p>
    <w:tbl>
      <w:tblPr>
        <w:tblStyle w:val="130"/>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2257"/>
        <w:gridCol w:w="2267"/>
        <w:gridCol w:w="2712"/>
      </w:tblGrid>
      <w:tr w14:paraId="3782A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583" w:type="dxa"/>
          </w:tcPr>
          <w:p w14:paraId="18FD4290">
            <w:pPr>
              <w:keepNext w:val="0"/>
              <w:keepLines w:val="0"/>
              <w:pageBreakBefore w:val="0"/>
              <w:widowControl w:val="0"/>
              <w:kinsoku/>
              <w:wordWrap/>
              <w:overflowPunct/>
              <w:topLinePunct w:val="0"/>
              <w:autoSpaceDE/>
              <w:autoSpaceDN/>
              <w:bidi w:val="0"/>
              <w:adjustRightInd/>
              <w:snapToGrid/>
              <w:spacing w:line="440" w:lineRule="exact"/>
              <w:ind w:left="345"/>
              <w:textAlignment w:val="auto"/>
              <w:rPr>
                <w:rFonts w:ascii="宋体" w:hAnsi="宋体" w:cs="宋体"/>
                <w:color w:val="auto"/>
                <w:szCs w:val="21"/>
              </w:rPr>
            </w:pPr>
            <w:r>
              <w:rPr>
                <w:rFonts w:hint="eastAsia" w:ascii="宋体" w:hAnsi="宋体" w:cs="宋体"/>
                <w:color w:val="auto"/>
                <w:spacing w:val="2"/>
                <w:szCs w:val="21"/>
              </w:rPr>
              <w:t>水表口径</w:t>
            </w:r>
          </w:p>
        </w:tc>
        <w:tc>
          <w:tcPr>
            <w:tcW w:w="2257" w:type="dxa"/>
          </w:tcPr>
          <w:p w14:paraId="39B6799B">
            <w:pPr>
              <w:keepNext w:val="0"/>
              <w:keepLines w:val="0"/>
              <w:pageBreakBefore w:val="0"/>
              <w:widowControl w:val="0"/>
              <w:kinsoku/>
              <w:wordWrap/>
              <w:overflowPunct/>
              <w:topLinePunct w:val="0"/>
              <w:autoSpaceDE/>
              <w:autoSpaceDN/>
              <w:bidi w:val="0"/>
              <w:adjustRightInd/>
              <w:snapToGrid/>
              <w:spacing w:line="440" w:lineRule="exact"/>
              <w:ind w:left="461"/>
              <w:textAlignment w:val="auto"/>
              <w:rPr>
                <w:rFonts w:ascii="宋体" w:hAnsi="宋体" w:cs="宋体"/>
                <w:color w:val="auto"/>
                <w:szCs w:val="21"/>
              </w:rPr>
            </w:pPr>
            <w:r>
              <w:rPr>
                <w:rFonts w:hint="eastAsia" w:ascii="宋体" w:hAnsi="宋体" w:cs="宋体"/>
                <w:color w:val="auto"/>
                <w:spacing w:val="-2"/>
                <w:szCs w:val="21"/>
              </w:rPr>
              <w:t>始动流量(L/h</w:t>
            </w:r>
          </w:p>
        </w:tc>
        <w:tc>
          <w:tcPr>
            <w:tcW w:w="2267" w:type="dxa"/>
          </w:tcPr>
          <w:p w14:paraId="022344A5">
            <w:pPr>
              <w:keepNext w:val="0"/>
              <w:keepLines w:val="0"/>
              <w:pageBreakBefore w:val="0"/>
              <w:widowControl w:val="0"/>
              <w:kinsoku/>
              <w:wordWrap/>
              <w:overflowPunct/>
              <w:topLinePunct w:val="0"/>
              <w:autoSpaceDE/>
              <w:autoSpaceDN/>
              <w:bidi w:val="0"/>
              <w:adjustRightInd/>
              <w:snapToGrid/>
              <w:spacing w:line="440" w:lineRule="exact"/>
              <w:ind w:left="684"/>
              <w:textAlignment w:val="auto"/>
              <w:rPr>
                <w:rFonts w:ascii="宋体" w:hAnsi="宋体" w:cs="宋体"/>
                <w:color w:val="auto"/>
                <w:szCs w:val="21"/>
              </w:rPr>
            </w:pPr>
            <w:r>
              <w:rPr>
                <w:rFonts w:hint="eastAsia" w:ascii="宋体" w:hAnsi="宋体" w:cs="宋体"/>
                <w:color w:val="auto"/>
                <w:spacing w:val="-1"/>
                <w:szCs w:val="21"/>
              </w:rPr>
              <w:t>Q(m³/h)</w:t>
            </w:r>
          </w:p>
        </w:tc>
        <w:tc>
          <w:tcPr>
            <w:tcW w:w="2712" w:type="dxa"/>
          </w:tcPr>
          <w:p w14:paraId="4F0DDBEE">
            <w:pPr>
              <w:keepNext w:val="0"/>
              <w:keepLines w:val="0"/>
              <w:pageBreakBefore w:val="0"/>
              <w:widowControl w:val="0"/>
              <w:kinsoku/>
              <w:wordWrap/>
              <w:overflowPunct/>
              <w:topLinePunct w:val="0"/>
              <w:autoSpaceDE/>
              <w:autoSpaceDN/>
              <w:bidi w:val="0"/>
              <w:adjustRightInd/>
              <w:snapToGrid/>
              <w:spacing w:line="440" w:lineRule="exact"/>
              <w:ind w:left="1127"/>
              <w:textAlignment w:val="auto"/>
              <w:rPr>
                <w:rFonts w:ascii="宋体" w:hAnsi="宋体" w:cs="宋体"/>
                <w:color w:val="auto"/>
                <w:szCs w:val="21"/>
              </w:rPr>
            </w:pPr>
            <w:r>
              <w:rPr>
                <w:rFonts w:hint="eastAsia" w:ascii="宋体" w:hAnsi="宋体" w:cs="宋体"/>
                <w:color w:val="auto"/>
                <w:spacing w:val="-2"/>
                <w:szCs w:val="21"/>
              </w:rPr>
              <w:t>Q3/Q</w:t>
            </w:r>
          </w:p>
        </w:tc>
      </w:tr>
      <w:tr w14:paraId="7C0F5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583" w:type="dxa"/>
          </w:tcPr>
          <w:p w14:paraId="16577FAE">
            <w:pPr>
              <w:keepNext w:val="0"/>
              <w:keepLines w:val="0"/>
              <w:pageBreakBefore w:val="0"/>
              <w:widowControl w:val="0"/>
              <w:kinsoku/>
              <w:wordWrap/>
              <w:overflowPunct/>
              <w:topLinePunct w:val="0"/>
              <w:autoSpaceDE/>
              <w:autoSpaceDN/>
              <w:bidi w:val="0"/>
              <w:adjustRightInd/>
              <w:snapToGrid/>
              <w:spacing w:line="440" w:lineRule="exact"/>
              <w:ind w:left="565"/>
              <w:textAlignment w:val="auto"/>
              <w:rPr>
                <w:rFonts w:ascii="宋体" w:hAnsi="宋体" w:cs="宋体"/>
                <w:color w:val="auto"/>
                <w:szCs w:val="21"/>
              </w:rPr>
            </w:pPr>
            <w:r>
              <w:rPr>
                <w:rFonts w:hint="eastAsia" w:ascii="宋体" w:hAnsi="宋体" w:cs="宋体"/>
                <w:color w:val="auto"/>
                <w:spacing w:val="-1"/>
                <w:szCs w:val="21"/>
              </w:rPr>
              <w:t>DN15</w:t>
            </w:r>
          </w:p>
        </w:tc>
        <w:tc>
          <w:tcPr>
            <w:tcW w:w="2257" w:type="dxa"/>
          </w:tcPr>
          <w:p w14:paraId="2A6FCFD7">
            <w:pPr>
              <w:keepNext w:val="0"/>
              <w:keepLines w:val="0"/>
              <w:pageBreakBefore w:val="0"/>
              <w:widowControl w:val="0"/>
              <w:kinsoku/>
              <w:wordWrap/>
              <w:overflowPunct/>
              <w:topLinePunct w:val="0"/>
              <w:autoSpaceDE/>
              <w:autoSpaceDN/>
              <w:bidi w:val="0"/>
              <w:adjustRightInd/>
              <w:snapToGrid/>
              <w:spacing w:line="440" w:lineRule="exact"/>
              <w:ind w:left="1061"/>
              <w:textAlignment w:val="auto"/>
              <w:rPr>
                <w:rFonts w:ascii="宋体" w:hAnsi="宋体" w:cs="宋体"/>
                <w:color w:val="auto"/>
                <w:szCs w:val="21"/>
              </w:rPr>
            </w:pPr>
            <w:r>
              <w:rPr>
                <w:rFonts w:hint="eastAsia" w:ascii="宋体" w:hAnsi="宋体" w:cs="宋体"/>
                <w:color w:val="auto"/>
                <w:szCs w:val="21"/>
              </w:rPr>
              <w:t>2</w:t>
            </w:r>
          </w:p>
        </w:tc>
        <w:tc>
          <w:tcPr>
            <w:tcW w:w="2267" w:type="dxa"/>
          </w:tcPr>
          <w:p w14:paraId="5911C4CA">
            <w:pPr>
              <w:keepNext w:val="0"/>
              <w:keepLines w:val="0"/>
              <w:pageBreakBefore w:val="0"/>
              <w:widowControl w:val="0"/>
              <w:kinsoku/>
              <w:wordWrap/>
              <w:overflowPunct/>
              <w:topLinePunct w:val="0"/>
              <w:autoSpaceDE/>
              <w:autoSpaceDN/>
              <w:bidi w:val="0"/>
              <w:adjustRightInd/>
              <w:snapToGrid/>
              <w:spacing w:line="440" w:lineRule="exact"/>
              <w:ind w:left="964"/>
              <w:textAlignment w:val="auto"/>
              <w:rPr>
                <w:rFonts w:ascii="宋体" w:hAnsi="宋体" w:cs="宋体"/>
                <w:color w:val="auto"/>
                <w:szCs w:val="21"/>
              </w:rPr>
            </w:pPr>
            <w:r>
              <w:rPr>
                <w:rFonts w:hint="eastAsia" w:ascii="宋体" w:hAnsi="宋体" w:cs="宋体"/>
                <w:color w:val="auto"/>
                <w:spacing w:val="-3"/>
                <w:position w:val="-3"/>
                <w:szCs w:val="21"/>
              </w:rPr>
              <w:t>2.5</w:t>
            </w:r>
          </w:p>
        </w:tc>
        <w:tc>
          <w:tcPr>
            <w:tcW w:w="2712" w:type="dxa"/>
          </w:tcPr>
          <w:p w14:paraId="5FCF1DA0">
            <w:pPr>
              <w:keepNext w:val="0"/>
              <w:keepLines w:val="0"/>
              <w:pageBreakBefore w:val="0"/>
              <w:widowControl w:val="0"/>
              <w:kinsoku/>
              <w:wordWrap/>
              <w:overflowPunct/>
              <w:topLinePunct w:val="0"/>
              <w:autoSpaceDE/>
              <w:autoSpaceDN/>
              <w:bidi w:val="0"/>
              <w:adjustRightInd/>
              <w:snapToGrid/>
              <w:spacing w:line="440" w:lineRule="exact"/>
              <w:ind w:left="1238"/>
              <w:textAlignment w:val="auto"/>
              <w:rPr>
                <w:rFonts w:ascii="宋体" w:hAnsi="宋体" w:cs="宋体"/>
                <w:color w:val="auto"/>
                <w:szCs w:val="21"/>
              </w:rPr>
            </w:pPr>
            <w:r>
              <w:rPr>
                <w:rFonts w:hint="eastAsia" w:ascii="宋体" w:hAnsi="宋体" w:cs="宋体"/>
                <w:color w:val="auto"/>
                <w:spacing w:val="-3"/>
                <w:position w:val="-2"/>
                <w:szCs w:val="21"/>
              </w:rPr>
              <w:t>80</w:t>
            </w:r>
          </w:p>
        </w:tc>
      </w:tr>
      <w:tr w14:paraId="1849C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583" w:type="dxa"/>
          </w:tcPr>
          <w:p w14:paraId="64659FF1">
            <w:pPr>
              <w:keepNext w:val="0"/>
              <w:keepLines w:val="0"/>
              <w:pageBreakBefore w:val="0"/>
              <w:widowControl w:val="0"/>
              <w:kinsoku/>
              <w:wordWrap/>
              <w:overflowPunct/>
              <w:topLinePunct w:val="0"/>
              <w:autoSpaceDE/>
              <w:autoSpaceDN/>
              <w:bidi w:val="0"/>
              <w:adjustRightInd/>
              <w:snapToGrid/>
              <w:spacing w:line="440" w:lineRule="exact"/>
              <w:ind w:left="565"/>
              <w:textAlignment w:val="auto"/>
              <w:rPr>
                <w:rFonts w:ascii="宋体" w:hAnsi="宋体" w:cs="宋体"/>
                <w:color w:val="auto"/>
                <w:szCs w:val="21"/>
              </w:rPr>
            </w:pPr>
            <w:r>
              <w:rPr>
                <w:rFonts w:hint="eastAsia" w:ascii="宋体" w:hAnsi="宋体" w:cs="宋体"/>
                <w:color w:val="auto"/>
                <w:spacing w:val="-1"/>
                <w:szCs w:val="21"/>
              </w:rPr>
              <w:t>DN20</w:t>
            </w:r>
          </w:p>
        </w:tc>
        <w:tc>
          <w:tcPr>
            <w:tcW w:w="2257" w:type="dxa"/>
          </w:tcPr>
          <w:p w14:paraId="018BFD08">
            <w:pPr>
              <w:keepNext w:val="0"/>
              <w:keepLines w:val="0"/>
              <w:pageBreakBefore w:val="0"/>
              <w:widowControl w:val="0"/>
              <w:kinsoku/>
              <w:wordWrap/>
              <w:overflowPunct/>
              <w:topLinePunct w:val="0"/>
              <w:autoSpaceDE/>
              <w:autoSpaceDN/>
              <w:bidi w:val="0"/>
              <w:adjustRightInd/>
              <w:snapToGrid/>
              <w:spacing w:line="440" w:lineRule="exact"/>
              <w:ind w:left="1061"/>
              <w:textAlignment w:val="auto"/>
              <w:rPr>
                <w:rFonts w:ascii="宋体" w:hAnsi="宋体" w:cs="宋体"/>
                <w:color w:val="auto"/>
                <w:szCs w:val="21"/>
              </w:rPr>
            </w:pPr>
            <w:r>
              <w:rPr>
                <w:rFonts w:hint="eastAsia" w:ascii="宋体" w:hAnsi="宋体" w:cs="宋体"/>
                <w:color w:val="auto"/>
                <w:szCs w:val="21"/>
              </w:rPr>
              <w:t>2</w:t>
            </w:r>
          </w:p>
        </w:tc>
        <w:tc>
          <w:tcPr>
            <w:tcW w:w="2267" w:type="dxa"/>
          </w:tcPr>
          <w:p w14:paraId="1521FC62">
            <w:pPr>
              <w:keepNext w:val="0"/>
              <w:keepLines w:val="0"/>
              <w:pageBreakBefore w:val="0"/>
              <w:widowControl w:val="0"/>
              <w:kinsoku/>
              <w:wordWrap/>
              <w:overflowPunct/>
              <w:topLinePunct w:val="0"/>
              <w:autoSpaceDE/>
              <w:autoSpaceDN/>
              <w:bidi w:val="0"/>
              <w:adjustRightInd/>
              <w:snapToGrid/>
              <w:spacing w:line="440" w:lineRule="exact"/>
              <w:ind w:left="964"/>
              <w:textAlignment w:val="auto"/>
              <w:rPr>
                <w:rFonts w:ascii="宋体" w:hAnsi="宋体" w:cs="宋体"/>
                <w:color w:val="auto"/>
                <w:szCs w:val="21"/>
              </w:rPr>
            </w:pPr>
            <w:r>
              <w:rPr>
                <w:rFonts w:hint="eastAsia" w:ascii="宋体" w:hAnsi="宋体" w:cs="宋体"/>
                <w:color w:val="auto"/>
                <w:spacing w:val="-2"/>
                <w:position w:val="-2"/>
                <w:szCs w:val="21"/>
              </w:rPr>
              <w:t>4.0</w:t>
            </w:r>
          </w:p>
        </w:tc>
        <w:tc>
          <w:tcPr>
            <w:tcW w:w="2712" w:type="dxa"/>
          </w:tcPr>
          <w:p w14:paraId="34B66038">
            <w:pPr>
              <w:keepNext w:val="0"/>
              <w:keepLines w:val="0"/>
              <w:pageBreakBefore w:val="0"/>
              <w:widowControl w:val="0"/>
              <w:kinsoku/>
              <w:wordWrap/>
              <w:overflowPunct/>
              <w:topLinePunct w:val="0"/>
              <w:autoSpaceDE/>
              <w:autoSpaceDN/>
              <w:bidi w:val="0"/>
              <w:adjustRightInd/>
              <w:snapToGrid/>
              <w:spacing w:line="440" w:lineRule="exact"/>
              <w:ind w:left="1238"/>
              <w:textAlignment w:val="auto"/>
              <w:rPr>
                <w:rFonts w:ascii="宋体" w:hAnsi="宋体" w:cs="宋体"/>
                <w:color w:val="auto"/>
                <w:szCs w:val="21"/>
              </w:rPr>
            </w:pPr>
            <w:r>
              <w:rPr>
                <w:rFonts w:hint="eastAsia" w:ascii="宋体" w:hAnsi="宋体" w:cs="宋体"/>
                <w:color w:val="auto"/>
                <w:spacing w:val="-3"/>
                <w:szCs w:val="21"/>
              </w:rPr>
              <w:t>80</w:t>
            </w:r>
          </w:p>
        </w:tc>
      </w:tr>
      <w:tr w14:paraId="3AF6C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583" w:type="dxa"/>
          </w:tcPr>
          <w:p w14:paraId="0190FE7D">
            <w:pPr>
              <w:keepNext w:val="0"/>
              <w:keepLines w:val="0"/>
              <w:pageBreakBefore w:val="0"/>
              <w:widowControl w:val="0"/>
              <w:kinsoku/>
              <w:wordWrap/>
              <w:overflowPunct/>
              <w:topLinePunct w:val="0"/>
              <w:autoSpaceDE/>
              <w:autoSpaceDN/>
              <w:bidi w:val="0"/>
              <w:adjustRightInd/>
              <w:snapToGrid/>
              <w:spacing w:line="440" w:lineRule="exact"/>
              <w:ind w:left="565"/>
              <w:textAlignment w:val="auto"/>
              <w:rPr>
                <w:rFonts w:ascii="宋体" w:hAnsi="宋体" w:cs="宋体"/>
                <w:color w:val="auto"/>
                <w:szCs w:val="21"/>
              </w:rPr>
            </w:pPr>
            <w:r>
              <w:rPr>
                <w:rFonts w:hint="eastAsia" w:ascii="宋体" w:hAnsi="宋体" w:cs="宋体"/>
                <w:color w:val="auto"/>
                <w:spacing w:val="-1"/>
                <w:szCs w:val="21"/>
              </w:rPr>
              <w:t>DN25</w:t>
            </w:r>
          </w:p>
        </w:tc>
        <w:tc>
          <w:tcPr>
            <w:tcW w:w="2257" w:type="dxa"/>
          </w:tcPr>
          <w:p w14:paraId="7B5E5775">
            <w:pPr>
              <w:keepNext w:val="0"/>
              <w:keepLines w:val="0"/>
              <w:pageBreakBefore w:val="0"/>
              <w:widowControl w:val="0"/>
              <w:kinsoku/>
              <w:wordWrap/>
              <w:overflowPunct/>
              <w:topLinePunct w:val="0"/>
              <w:autoSpaceDE/>
              <w:autoSpaceDN/>
              <w:bidi w:val="0"/>
              <w:adjustRightInd/>
              <w:snapToGrid/>
              <w:spacing w:line="440" w:lineRule="exact"/>
              <w:ind w:left="1061"/>
              <w:textAlignment w:val="auto"/>
              <w:rPr>
                <w:rFonts w:ascii="宋体" w:hAnsi="宋体" w:cs="宋体"/>
                <w:color w:val="auto"/>
                <w:szCs w:val="21"/>
              </w:rPr>
            </w:pPr>
            <w:r>
              <w:rPr>
                <w:rFonts w:hint="eastAsia" w:ascii="宋体" w:hAnsi="宋体" w:cs="宋体"/>
                <w:color w:val="auto"/>
                <w:szCs w:val="21"/>
              </w:rPr>
              <w:t>4</w:t>
            </w:r>
          </w:p>
        </w:tc>
        <w:tc>
          <w:tcPr>
            <w:tcW w:w="2267" w:type="dxa"/>
          </w:tcPr>
          <w:p w14:paraId="58E97551">
            <w:pPr>
              <w:keepNext w:val="0"/>
              <w:keepLines w:val="0"/>
              <w:pageBreakBefore w:val="0"/>
              <w:widowControl w:val="0"/>
              <w:kinsoku/>
              <w:wordWrap/>
              <w:overflowPunct/>
              <w:topLinePunct w:val="0"/>
              <w:autoSpaceDE/>
              <w:autoSpaceDN/>
              <w:bidi w:val="0"/>
              <w:adjustRightInd/>
              <w:snapToGrid/>
              <w:spacing w:line="440" w:lineRule="exact"/>
              <w:ind w:left="964"/>
              <w:textAlignment w:val="auto"/>
              <w:rPr>
                <w:rFonts w:ascii="宋体" w:hAnsi="宋体" w:cs="宋体"/>
                <w:color w:val="auto"/>
                <w:szCs w:val="21"/>
              </w:rPr>
            </w:pPr>
            <w:r>
              <w:rPr>
                <w:rFonts w:hint="eastAsia" w:ascii="宋体" w:hAnsi="宋体" w:cs="宋体"/>
                <w:color w:val="auto"/>
                <w:spacing w:val="-3"/>
                <w:position w:val="-2"/>
                <w:szCs w:val="21"/>
              </w:rPr>
              <w:t>6.3</w:t>
            </w:r>
          </w:p>
        </w:tc>
        <w:tc>
          <w:tcPr>
            <w:tcW w:w="2712" w:type="dxa"/>
          </w:tcPr>
          <w:p w14:paraId="56387104">
            <w:pPr>
              <w:keepNext w:val="0"/>
              <w:keepLines w:val="0"/>
              <w:pageBreakBefore w:val="0"/>
              <w:widowControl w:val="0"/>
              <w:kinsoku/>
              <w:wordWrap/>
              <w:overflowPunct/>
              <w:topLinePunct w:val="0"/>
              <w:autoSpaceDE/>
              <w:autoSpaceDN/>
              <w:bidi w:val="0"/>
              <w:adjustRightInd/>
              <w:snapToGrid/>
              <w:spacing w:line="440" w:lineRule="exact"/>
              <w:ind w:left="1238"/>
              <w:textAlignment w:val="auto"/>
              <w:rPr>
                <w:rFonts w:ascii="宋体" w:hAnsi="宋体" w:cs="宋体"/>
                <w:color w:val="auto"/>
                <w:szCs w:val="21"/>
              </w:rPr>
            </w:pPr>
            <w:r>
              <w:rPr>
                <w:rFonts w:hint="eastAsia" w:ascii="宋体" w:hAnsi="宋体" w:cs="宋体"/>
                <w:color w:val="auto"/>
                <w:spacing w:val="-3"/>
                <w:szCs w:val="21"/>
              </w:rPr>
              <w:t>80</w:t>
            </w:r>
          </w:p>
        </w:tc>
      </w:tr>
      <w:tr w14:paraId="1A4F0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583" w:type="dxa"/>
          </w:tcPr>
          <w:p w14:paraId="7E14BD8C">
            <w:pPr>
              <w:keepNext w:val="0"/>
              <w:keepLines w:val="0"/>
              <w:pageBreakBefore w:val="0"/>
              <w:widowControl w:val="0"/>
              <w:kinsoku/>
              <w:wordWrap/>
              <w:overflowPunct/>
              <w:topLinePunct w:val="0"/>
              <w:autoSpaceDE/>
              <w:autoSpaceDN/>
              <w:bidi w:val="0"/>
              <w:adjustRightInd/>
              <w:snapToGrid/>
              <w:spacing w:line="440" w:lineRule="exact"/>
              <w:ind w:left="565"/>
              <w:textAlignment w:val="auto"/>
              <w:rPr>
                <w:rFonts w:ascii="宋体" w:hAnsi="宋体" w:cs="宋体"/>
                <w:color w:val="auto"/>
                <w:szCs w:val="21"/>
              </w:rPr>
            </w:pPr>
            <w:r>
              <w:rPr>
                <w:rFonts w:hint="eastAsia" w:ascii="宋体" w:hAnsi="宋体" w:cs="宋体"/>
                <w:color w:val="auto"/>
                <w:spacing w:val="-1"/>
                <w:position w:val="-2"/>
                <w:szCs w:val="21"/>
              </w:rPr>
              <w:t>DN40</w:t>
            </w:r>
          </w:p>
        </w:tc>
        <w:tc>
          <w:tcPr>
            <w:tcW w:w="2257" w:type="dxa"/>
          </w:tcPr>
          <w:p w14:paraId="3578A6FD">
            <w:pPr>
              <w:keepNext w:val="0"/>
              <w:keepLines w:val="0"/>
              <w:pageBreakBefore w:val="0"/>
              <w:widowControl w:val="0"/>
              <w:kinsoku/>
              <w:wordWrap/>
              <w:overflowPunct/>
              <w:topLinePunct w:val="0"/>
              <w:autoSpaceDE/>
              <w:autoSpaceDN/>
              <w:bidi w:val="0"/>
              <w:adjustRightInd/>
              <w:snapToGrid/>
              <w:spacing w:line="440" w:lineRule="exact"/>
              <w:ind w:left="1011"/>
              <w:textAlignment w:val="auto"/>
              <w:rPr>
                <w:rFonts w:ascii="宋体" w:hAnsi="宋体" w:cs="宋体"/>
                <w:color w:val="auto"/>
                <w:szCs w:val="21"/>
              </w:rPr>
            </w:pPr>
            <w:r>
              <w:rPr>
                <w:rFonts w:hint="eastAsia" w:ascii="宋体" w:hAnsi="宋体" w:cs="宋体"/>
                <w:color w:val="auto"/>
                <w:spacing w:val="-7"/>
                <w:szCs w:val="21"/>
              </w:rPr>
              <w:t>12</w:t>
            </w:r>
          </w:p>
        </w:tc>
        <w:tc>
          <w:tcPr>
            <w:tcW w:w="2267" w:type="dxa"/>
          </w:tcPr>
          <w:p w14:paraId="74028068">
            <w:pPr>
              <w:keepNext w:val="0"/>
              <w:keepLines w:val="0"/>
              <w:pageBreakBefore w:val="0"/>
              <w:widowControl w:val="0"/>
              <w:kinsoku/>
              <w:wordWrap/>
              <w:overflowPunct/>
              <w:topLinePunct w:val="0"/>
              <w:autoSpaceDE/>
              <w:autoSpaceDN/>
              <w:bidi w:val="0"/>
              <w:adjustRightInd/>
              <w:snapToGrid/>
              <w:spacing w:line="440" w:lineRule="exact"/>
              <w:ind w:left="1014"/>
              <w:textAlignment w:val="auto"/>
              <w:rPr>
                <w:rFonts w:ascii="宋体" w:hAnsi="宋体" w:cs="宋体"/>
                <w:color w:val="auto"/>
                <w:szCs w:val="21"/>
              </w:rPr>
            </w:pPr>
            <w:r>
              <w:rPr>
                <w:rFonts w:hint="eastAsia" w:ascii="宋体" w:hAnsi="宋体" w:cs="宋体"/>
                <w:color w:val="auto"/>
                <w:spacing w:val="-7"/>
                <w:szCs w:val="21"/>
              </w:rPr>
              <w:t>10</w:t>
            </w:r>
          </w:p>
        </w:tc>
        <w:tc>
          <w:tcPr>
            <w:tcW w:w="2712" w:type="dxa"/>
          </w:tcPr>
          <w:p w14:paraId="73DB6CB0">
            <w:pPr>
              <w:keepNext w:val="0"/>
              <w:keepLines w:val="0"/>
              <w:pageBreakBefore w:val="0"/>
              <w:widowControl w:val="0"/>
              <w:kinsoku/>
              <w:wordWrap/>
              <w:overflowPunct/>
              <w:topLinePunct w:val="0"/>
              <w:autoSpaceDE/>
              <w:autoSpaceDN/>
              <w:bidi w:val="0"/>
              <w:adjustRightInd/>
              <w:snapToGrid/>
              <w:spacing w:line="440" w:lineRule="exact"/>
              <w:ind w:left="1238"/>
              <w:textAlignment w:val="auto"/>
              <w:rPr>
                <w:rFonts w:ascii="宋体" w:hAnsi="宋体" w:cs="宋体"/>
                <w:color w:val="auto"/>
                <w:szCs w:val="21"/>
              </w:rPr>
            </w:pPr>
            <w:r>
              <w:rPr>
                <w:rFonts w:hint="eastAsia" w:ascii="宋体" w:hAnsi="宋体" w:cs="宋体"/>
                <w:color w:val="auto"/>
                <w:spacing w:val="-4"/>
                <w:position w:val="-2"/>
                <w:szCs w:val="21"/>
              </w:rPr>
              <w:t>50</w:t>
            </w:r>
          </w:p>
        </w:tc>
      </w:tr>
      <w:tr w14:paraId="09E78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583" w:type="dxa"/>
          </w:tcPr>
          <w:p w14:paraId="5EAF5AAA">
            <w:pPr>
              <w:keepNext w:val="0"/>
              <w:keepLines w:val="0"/>
              <w:pageBreakBefore w:val="0"/>
              <w:widowControl w:val="0"/>
              <w:kinsoku/>
              <w:wordWrap/>
              <w:overflowPunct/>
              <w:topLinePunct w:val="0"/>
              <w:autoSpaceDE/>
              <w:autoSpaceDN/>
              <w:bidi w:val="0"/>
              <w:adjustRightInd/>
              <w:snapToGrid/>
              <w:spacing w:line="440" w:lineRule="exact"/>
              <w:ind w:left="565"/>
              <w:textAlignment w:val="auto"/>
              <w:rPr>
                <w:rFonts w:ascii="宋体" w:hAnsi="宋体" w:cs="宋体"/>
                <w:color w:val="auto"/>
                <w:szCs w:val="21"/>
              </w:rPr>
            </w:pPr>
            <w:r>
              <w:rPr>
                <w:rFonts w:hint="eastAsia" w:ascii="宋体" w:hAnsi="宋体" w:cs="宋体"/>
                <w:color w:val="auto"/>
                <w:spacing w:val="-1"/>
                <w:szCs w:val="21"/>
              </w:rPr>
              <w:t>DN50</w:t>
            </w:r>
          </w:p>
        </w:tc>
        <w:tc>
          <w:tcPr>
            <w:tcW w:w="2257" w:type="dxa"/>
          </w:tcPr>
          <w:p w14:paraId="1F92F1FB">
            <w:pPr>
              <w:keepNext w:val="0"/>
              <w:keepLines w:val="0"/>
              <w:pageBreakBefore w:val="0"/>
              <w:widowControl w:val="0"/>
              <w:kinsoku/>
              <w:wordWrap/>
              <w:overflowPunct/>
              <w:topLinePunct w:val="0"/>
              <w:autoSpaceDE/>
              <w:autoSpaceDN/>
              <w:bidi w:val="0"/>
              <w:adjustRightInd/>
              <w:snapToGrid/>
              <w:spacing w:line="440" w:lineRule="exact"/>
              <w:ind w:left="1011"/>
              <w:textAlignment w:val="auto"/>
              <w:rPr>
                <w:rFonts w:ascii="宋体" w:hAnsi="宋体" w:cs="宋体"/>
                <w:color w:val="auto"/>
                <w:szCs w:val="21"/>
              </w:rPr>
            </w:pPr>
            <w:r>
              <w:rPr>
                <w:rFonts w:hint="eastAsia" w:ascii="宋体" w:hAnsi="宋体" w:cs="宋体"/>
                <w:color w:val="auto"/>
                <w:spacing w:val="-7"/>
                <w:szCs w:val="21"/>
              </w:rPr>
              <w:t>12</w:t>
            </w:r>
          </w:p>
        </w:tc>
        <w:tc>
          <w:tcPr>
            <w:tcW w:w="2267" w:type="dxa"/>
          </w:tcPr>
          <w:p w14:paraId="5CCD84BF">
            <w:pPr>
              <w:keepNext w:val="0"/>
              <w:keepLines w:val="0"/>
              <w:pageBreakBefore w:val="0"/>
              <w:widowControl w:val="0"/>
              <w:kinsoku/>
              <w:wordWrap/>
              <w:overflowPunct/>
              <w:topLinePunct w:val="0"/>
              <w:autoSpaceDE/>
              <w:autoSpaceDN/>
              <w:bidi w:val="0"/>
              <w:adjustRightInd/>
              <w:snapToGrid/>
              <w:spacing w:line="440" w:lineRule="exact"/>
              <w:ind w:left="1014"/>
              <w:textAlignment w:val="auto"/>
              <w:rPr>
                <w:rFonts w:ascii="宋体" w:hAnsi="宋体" w:cs="宋体"/>
                <w:color w:val="auto"/>
                <w:szCs w:val="21"/>
              </w:rPr>
            </w:pPr>
            <w:r>
              <w:rPr>
                <w:rFonts w:hint="eastAsia" w:ascii="宋体" w:hAnsi="宋体" w:cs="宋体"/>
                <w:color w:val="auto"/>
                <w:spacing w:val="-7"/>
                <w:szCs w:val="21"/>
              </w:rPr>
              <w:t>16</w:t>
            </w:r>
          </w:p>
        </w:tc>
        <w:tc>
          <w:tcPr>
            <w:tcW w:w="2712" w:type="dxa"/>
          </w:tcPr>
          <w:p w14:paraId="5D2E9434">
            <w:pPr>
              <w:keepNext w:val="0"/>
              <w:keepLines w:val="0"/>
              <w:pageBreakBefore w:val="0"/>
              <w:widowControl w:val="0"/>
              <w:kinsoku/>
              <w:wordWrap/>
              <w:overflowPunct/>
              <w:topLinePunct w:val="0"/>
              <w:autoSpaceDE/>
              <w:autoSpaceDN/>
              <w:bidi w:val="0"/>
              <w:adjustRightInd/>
              <w:snapToGrid/>
              <w:spacing w:line="440" w:lineRule="exact"/>
              <w:ind w:left="1238"/>
              <w:textAlignment w:val="auto"/>
              <w:rPr>
                <w:rFonts w:ascii="宋体" w:hAnsi="宋体" w:cs="宋体"/>
                <w:color w:val="auto"/>
                <w:szCs w:val="21"/>
              </w:rPr>
            </w:pPr>
            <w:r>
              <w:rPr>
                <w:rFonts w:hint="eastAsia" w:ascii="宋体" w:hAnsi="宋体" w:cs="宋体"/>
                <w:color w:val="auto"/>
                <w:spacing w:val="-4"/>
                <w:szCs w:val="21"/>
              </w:rPr>
              <w:t>50</w:t>
            </w:r>
          </w:p>
        </w:tc>
      </w:tr>
    </w:tbl>
    <w:p w14:paraId="3E5FF699">
      <w:pPr>
        <w:keepNext w:val="0"/>
        <w:keepLines w:val="0"/>
        <w:pageBreakBefore w:val="0"/>
        <w:widowControl w:val="0"/>
        <w:kinsoku/>
        <w:wordWrap/>
        <w:overflowPunct/>
        <w:topLinePunct w:val="0"/>
        <w:autoSpaceDE/>
        <w:autoSpaceDN/>
        <w:bidi w:val="0"/>
        <w:adjustRightInd/>
        <w:snapToGrid/>
        <w:spacing w:line="440" w:lineRule="exact"/>
        <w:ind w:right="37" w:firstLine="420" w:firstLineChars="200"/>
        <w:textAlignment w:val="auto"/>
        <w:rPr>
          <w:rFonts w:ascii="宋体" w:hAnsi="宋体" w:cs="宋体"/>
          <w:color w:val="auto"/>
          <w:spacing w:val="-1"/>
          <w:szCs w:val="21"/>
        </w:rPr>
      </w:pPr>
      <w:r>
        <w:rPr>
          <w:color w:val="auto"/>
        </w:rPr>
        <w:fldChar w:fldCharType="begin"/>
      </w:r>
      <w:r>
        <w:rPr>
          <w:color w:val="auto"/>
        </w:rPr>
        <w:instrText xml:space="preserve"> HYPERLINK "https://3.1.3.3" </w:instrText>
      </w:r>
      <w:r>
        <w:rPr>
          <w:color w:val="auto"/>
        </w:rPr>
        <w:fldChar w:fldCharType="separate"/>
      </w:r>
      <w:r>
        <w:rPr>
          <w:rFonts w:hint="eastAsia" w:ascii="宋体" w:hAnsi="宋体" w:cs="宋体"/>
          <w:color w:val="auto"/>
          <w:spacing w:val="-1"/>
          <w:szCs w:val="21"/>
        </w:rPr>
        <w:t>3.1.3.3</w:t>
      </w:r>
      <w:r>
        <w:rPr>
          <w:rFonts w:hint="eastAsia" w:ascii="宋体" w:hAnsi="宋体" w:cs="宋体"/>
          <w:color w:val="auto"/>
          <w:spacing w:val="-1"/>
          <w:szCs w:val="21"/>
        </w:rPr>
        <w:fldChar w:fldCharType="end"/>
      </w:r>
      <w:r>
        <w:rPr>
          <w:rFonts w:hint="eastAsia" w:ascii="宋体" w:hAnsi="宋体" w:cs="宋体"/>
          <w:color w:val="auto"/>
          <w:spacing w:val="-1"/>
          <w:szCs w:val="21"/>
        </w:rPr>
        <w:t xml:space="preserve"> 常用流量(Q3)与过载流量(Q4)的关系</w:t>
      </w:r>
    </w:p>
    <w:p w14:paraId="1496938B">
      <w:pPr>
        <w:keepNext w:val="0"/>
        <w:keepLines w:val="0"/>
        <w:pageBreakBefore w:val="0"/>
        <w:widowControl w:val="0"/>
        <w:kinsoku/>
        <w:wordWrap/>
        <w:overflowPunct/>
        <w:topLinePunct w:val="0"/>
        <w:autoSpaceDE/>
        <w:autoSpaceDN/>
        <w:bidi w:val="0"/>
        <w:adjustRightInd/>
        <w:snapToGrid/>
        <w:spacing w:line="440" w:lineRule="exact"/>
        <w:ind w:right="37" w:firstLine="1040" w:firstLineChars="500"/>
        <w:textAlignment w:val="auto"/>
        <w:rPr>
          <w:rFonts w:ascii="宋体" w:hAnsi="宋体" w:cs="宋体"/>
          <w:color w:val="auto"/>
          <w:spacing w:val="-1"/>
          <w:szCs w:val="21"/>
        </w:rPr>
      </w:pPr>
      <w:r>
        <w:rPr>
          <w:rFonts w:hint="eastAsia" w:ascii="宋体" w:hAnsi="宋体" w:cs="宋体"/>
          <w:color w:val="auto"/>
          <w:spacing w:val="-1"/>
          <w:szCs w:val="21"/>
        </w:rPr>
        <w:t>Q4/Q3=1.25</w:t>
      </w:r>
    </w:p>
    <w:p w14:paraId="1BF05408">
      <w:pPr>
        <w:keepNext w:val="0"/>
        <w:keepLines w:val="0"/>
        <w:pageBreakBefore w:val="0"/>
        <w:widowControl w:val="0"/>
        <w:kinsoku/>
        <w:wordWrap/>
        <w:overflowPunct/>
        <w:topLinePunct w:val="0"/>
        <w:autoSpaceDE/>
        <w:autoSpaceDN/>
        <w:bidi w:val="0"/>
        <w:adjustRightInd/>
        <w:snapToGrid/>
        <w:spacing w:line="440" w:lineRule="exact"/>
        <w:ind w:right="37" w:firstLine="420" w:firstLineChars="200"/>
        <w:textAlignment w:val="auto"/>
        <w:rPr>
          <w:rFonts w:ascii="宋体" w:hAnsi="宋体" w:cs="宋体"/>
          <w:color w:val="auto"/>
          <w:spacing w:val="-1"/>
          <w:szCs w:val="21"/>
        </w:rPr>
      </w:pPr>
      <w:r>
        <w:rPr>
          <w:color w:val="auto"/>
        </w:rPr>
        <w:fldChar w:fldCharType="begin"/>
      </w:r>
      <w:r>
        <w:rPr>
          <w:color w:val="auto"/>
        </w:rPr>
        <w:instrText xml:space="preserve"> HYPERLINK "https://3.1.3.4" </w:instrText>
      </w:r>
      <w:r>
        <w:rPr>
          <w:color w:val="auto"/>
        </w:rPr>
        <w:fldChar w:fldCharType="separate"/>
      </w:r>
      <w:r>
        <w:rPr>
          <w:rFonts w:hint="eastAsia" w:ascii="宋体" w:hAnsi="宋体" w:cs="宋体"/>
          <w:color w:val="auto"/>
          <w:spacing w:val="-1"/>
          <w:szCs w:val="21"/>
        </w:rPr>
        <w:t>3.1.3.4</w:t>
      </w:r>
      <w:r>
        <w:rPr>
          <w:rFonts w:hint="eastAsia" w:ascii="宋体" w:hAnsi="宋体" w:cs="宋体"/>
          <w:color w:val="auto"/>
          <w:spacing w:val="-1"/>
          <w:szCs w:val="21"/>
        </w:rPr>
        <w:fldChar w:fldCharType="end"/>
      </w:r>
      <w:r>
        <w:rPr>
          <w:rFonts w:hint="eastAsia" w:ascii="宋体" w:hAnsi="宋体" w:cs="宋体"/>
          <w:color w:val="auto"/>
          <w:spacing w:val="-1"/>
          <w:szCs w:val="21"/>
        </w:rPr>
        <w:t xml:space="preserve"> 分界流量(Q2)与最小流量(Q1)的关系</w:t>
      </w:r>
    </w:p>
    <w:p w14:paraId="09097637">
      <w:pPr>
        <w:keepNext w:val="0"/>
        <w:keepLines w:val="0"/>
        <w:pageBreakBefore w:val="0"/>
        <w:widowControl w:val="0"/>
        <w:kinsoku/>
        <w:wordWrap/>
        <w:overflowPunct/>
        <w:topLinePunct w:val="0"/>
        <w:autoSpaceDE/>
        <w:autoSpaceDN/>
        <w:bidi w:val="0"/>
        <w:adjustRightInd/>
        <w:snapToGrid/>
        <w:spacing w:line="440" w:lineRule="exact"/>
        <w:ind w:right="37" w:firstLine="832" w:firstLineChars="400"/>
        <w:textAlignment w:val="auto"/>
        <w:rPr>
          <w:rFonts w:ascii="宋体" w:hAnsi="宋体" w:cs="宋体"/>
          <w:color w:val="auto"/>
          <w:spacing w:val="-1"/>
          <w:szCs w:val="21"/>
        </w:rPr>
      </w:pPr>
      <w:r>
        <w:rPr>
          <w:rFonts w:hint="eastAsia" w:ascii="宋体" w:hAnsi="宋体" w:cs="宋体"/>
          <w:color w:val="auto"/>
          <w:spacing w:val="-1"/>
          <w:szCs w:val="21"/>
        </w:rPr>
        <w:t xml:space="preserve"> Q2/Q1 符合GB/T778.1-2007的规定</w:t>
      </w:r>
    </w:p>
    <w:p w14:paraId="43E50391">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3.1.4 逆流</w:t>
      </w:r>
    </w:p>
    <w:p w14:paraId="44B93E74">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制造厂应指明水表是否可以计量逆流(在投标文件中应说明)。如果可以计量逆流，正向流量 与反向流量应分开记录，且正向流和逆流的最大允许误差应符合国家规定要求。不能计量逆流的水表应能防止逆流，或者能承受意外逆流而不致造成正向流计量性能发生任何下降或变化。</w:t>
      </w:r>
    </w:p>
    <w:p w14:paraId="2273C5F2">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3.1.5 禁止为了降低水表的始动流量，在Q1以下使用提高水表流速的加速装置及其他影响计量</w:t>
      </w:r>
    </w:p>
    <w:p w14:paraId="426EC645">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的装置。</w:t>
      </w:r>
    </w:p>
    <w:p w14:paraId="35F08197">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3.1.6 温度和压力变化的最大允许误差要求</w:t>
      </w:r>
    </w:p>
    <w:p w14:paraId="3C69229A">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温度和压力的变化在水表额定工作条件范围内时，水表应符合相关的最大允许误差要求。</w:t>
      </w:r>
    </w:p>
    <w:p w14:paraId="1D10B817">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3.1.7 额定工作条件</w:t>
      </w:r>
    </w:p>
    <w:p w14:paraId="681F4784">
      <w:pPr>
        <w:keepNext w:val="0"/>
        <w:keepLines w:val="0"/>
        <w:pageBreakBefore w:val="0"/>
        <w:widowControl w:val="0"/>
        <w:kinsoku/>
        <w:wordWrap/>
        <w:overflowPunct/>
        <w:topLinePunct w:val="0"/>
        <w:autoSpaceDE/>
        <w:autoSpaceDN/>
        <w:bidi w:val="0"/>
        <w:adjustRightInd/>
        <w:snapToGrid/>
        <w:spacing w:line="440" w:lineRule="exact"/>
        <w:ind w:right="37" w:firstLine="420" w:firstLineChars="200"/>
        <w:textAlignment w:val="auto"/>
        <w:rPr>
          <w:rFonts w:ascii="宋体" w:hAnsi="宋体" w:cs="宋体"/>
          <w:color w:val="auto"/>
          <w:spacing w:val="-1"/>
          <w:szCs w:val="21"/>
        </w:rPr>
      </w:pPr>
      <w:r>
        <w:rPr>
          <w:color w:val="auto"/>
        </w:rPr>
        <w:fldChar w:fldCharType="begin"/>
      </w:r>
      <w:r>
        <w:rPr>
          <w:color w:val="auto"/>
        </w:rPr>
        <w:instrText xml:space="preserve"> HYPERLINK "https://3.1.7.1" </w:instrText>
      </w:r>
      <w:r>
        <w:rPr>
          <w:color w:val="auto"/>
        </w:rPr>
        <w:fldChar w:fldCharType="separate"/>
      </w:r>
      <w:r>
        <w:rPr>
          <w:rFonts w:hint="eastAsia" w:ascii="宋体" w:hAnsi="宋体" w:cs="宋体"/>
          <w:color w:val="auto"/>
          <w:spacing w:val="-1"/>
          <w:szCs w:val="21"/>
        </w:rPr>
        <w:t>3.1.7.1</w:t>
      </w:r>
      <w:r>
        <w:rPr>
          <w:rFonts w:hint="eastAsia" w:ascii="宋体" w:hAnsi="宋体" w:cs="宋体"/>
          <w:color w:val="auto"/>
          <w:spacing w:val="-1"/>
          <w:szCs w:val="21"/>
        </w:rPr>
        <w:fldChar w:fldCharType="end"/>
      </w:r>
      <w:r>
        <w:rPr>
          <w:rFonts w:hint="eastAsia" w:ascii="宋体" w:hAnsi="宋体" w:cs="宋体"/>
          <w:color w:val="auto"/>
          <w:spacing w:val="-1"/>
          <w:szCs w:val="21"/>
        </w:rPr>
        <w:t xml:space="preserve"> 水表的温度等级</w:t>
      </w:r>
    </w:p>
    <w:p w14:paraId="1F1B0398">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水表应按水温范围分级，应按GB/T 778.1—2007的表5选择水温范围。</w:t>
      </w:r>
    </w:p>
    <w:p w14:paraId="139F47BE">
      <w:pPr>
        <w:keepNext w:val="0"/>
        <w:keepLines w:val="0"/>
        <w:pageBreakBefore w:val="0"/>
        <w:widowControl w:val="0"/>
        <w:kinsoku/>
        <w:wordWrap/>
        <w:overflowPunct/>
        <w:topLinePunct w:val="0"/>
        <w:autoSpaceDE/>
        <w:autoSpaceDN/>
        <w:bidi w:val="0"/>
        <w:adjustRightInd/>
        <w:snapToGrid/>
        <w:spacing w:line="440" w:lineRule="exact"/>
        <w:ind w:right="37" w:firstLine="420" w:firstLineChars="200"/>
        <w:textAlignment w:val="auto"/>
        <w:rPr>
          <w:rFonts w:ascii="宋体" w:hAnsi="宋体" w:cs="宋体"/>
          <w:color w:val="auto"/>
          <w:spacing w:val="-1"/>
          <w:szCs w:val="21"/>
        </w:rPr>
      </w:pPr>
      <w:r>
        <w:rPr>
          <w:color w:val="auto"/>
        </w:rPr>
        <w:fldChar w:fldCharType="begin"/>
      </w:r>
      <w:r>
        <w:rPr>
          <w:color w:val="auto"/>
        </w:rPr>
        <w:instrText xml:space="preserve"> HYPERLINK "https://3.1.7.2" </w:instrText>
      </w:r>
      <w:r>
        <w:rPr>
          <w:color w:val="auto"/>
        </w:rPr>
        <w:fldChar w:fldCharType="separate"/>
      </w:r>
      <w:r>
        <w:rPr>
          <w:rFonts w:hint="eastAsia" w:ascii="宋体" w:hAnsi="宋体" w:cs="宋体"/>
          <w:color w:val="auto"/>
          <w:spacing w:val="-1"/>
          <w:szCs w:val="21"/>
        </w:rPr>
        <w:t>3.1.7.2</w:t>
      </w:r>
      <w:r>
        <w:rPr>
          <w:rFonts w:hint="eastAsia" w:ascii="宋体" w:hAnsi="宋体" w:cs="宋体"/>
          <w:color w:val="auto"/>
          <w:spacing w:val="-1"/>
          <w:szCs w:val="21"/>
        </w:rPr>
        <w:fldChar w:fldCharType="end"/>
      </w:r>
      <w:r>
        <w:rPr>
          <w:rFonts w:hint="eastAsia" w:ascii="宋体" w:hAnsi="宋体" w:cs="宋体"/>
          <w:color w:val="auto"/>
          <w:spacing w:val="-1"/>
          <w:szCs w:val="21"/>
        </w:rPr>
        <w:t xml:space="preserve"> 水表的压力等级</w:t>
      </w:r>
    </w:p>
    <w:p w14:paraId="0961E2FA">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水表的最高允许压力等级对应于ISO系列的各种最高允许工作压力值，应按GB/T 778.1—2007</w:t>
      </w:r>
    </w:p>
    <w:p w14:paraId="4CE84180">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的表6选定压力等级，但至少应达到MAP10等级。</w:t>
      </w:r>
    </w:p>
    <w:p w14:paraId="75D7F445">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w:t>
      </w:r>
      <w:r>
        <w:rPr>
          <w:rFonts w:hint="eastAsia" w:ascii="宋体" w:hAnsi="宋体" w:cs="宋体"/>
          <w:color w:val="auto"/>
          <w:spacing w:val="-1"/>
          <w:szCs w:val="21"/>
          <w:lang w:val="en-US" w:eastAsia="zh-CN"/>
        </w:rPr>
        <w:t>.</w:t>
      </w:r>
      <w:r>
        <w:rPr>
          <w:rFonts w:hint="eastAsia" w:ascii="宋体" w:hAnsi="宋体" w:cs="宋体"/>
          <w:color w:val="auto"/>
          <w:spacing w:val="-1"/>
          <w:szCs w:val="21"/>
        </w:rPr>
        <w:t>技术要求</w:t>
      </w:r>
    </w:p>
    <w:p w14:paraId="16B018B9">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4.1 水表的材料和结构要求。</w:t>
      </w:r>
    </w:p>
    <w:p w14:paraId="3D77440B">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4.1.1 水表的制造材料的强度和耐用度应满足水表的特定使用要求(应符合现行国家规定及 CJ266-2008饮用水冷水水表安全规则),表壳材质为球墨铸铁或铜。螺母和铜罩材质为ZCuZn40Pb2铅黄铜，含铜量不低于58%(符合GB/T1176 标准),机芯组件、叶轮采用高强度ABS材质，顶尖采用碳纤维耐磨材质，调节螺钉为不锈钢材料，玻璃采用钢化玻璃。水表铜格林包括铜管接头、铜连接 螺母和硅胶密封垫圈，铜接管外形为多边形，方便安装和拆卸，尺寸和重量应完全符合国家最新标准，全铜水表和螺母连接方式应为反丝，需提供《主要配件材质一览表》。</w:t>
      </w:r>
    </w:p>
    <w:p w14:paraId="56E25E34">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4.1.2 水表的制造材料应不受工作温度范围内水温变化的不利影响。</w:t>
      </w:r>
    </w:p>
    <w:p w14:paraId="4D132E0E">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4.1.3 水表内所有接触水的零部件应采用通常认为是无毒、无污染、无生物活性的材料制造，</w:t>
      </w:r>
    </w:p>
    <w:p w14:paraId="1186EC1D">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应符合GB/T17219-1998标准。</w:t>
      </w:r>
    </w:p>
    <w:p w14:paraId="296ECF09">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4.1.4 整体水表的制造材料应能抗内、外部腐蚀，或进行适当的表面防护处理。</w:t>
      </w:r>
    </w:p>
    <w:p w14:paraId="0395036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4.1.5 水表的指示装置应采用模拟和数字组合式指示装置，数字的可见高度≥4mm, 数字可见</w:t>
      </w:r>
    </w:p>
    <w:p w14:paraId="3AF2F97E">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宽度至少为2mm。</w:t>
      </w:r>
    </w:p>
    <w:p w14:paraId="139E5F2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4.1.6 若水表指示装置透明窗内侧有可能形成冷凝，水表可安装消除冷凝或防冷凝的装置。</w:t>
      </w:r>
    </w:p>
    <w:p w14:paraId="71559234">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4.1.7 水表可安装有相关保护计量，如防滴漏设备，并具备字码指示装置，保持清晰易读。</w:t>
      </w:r>
    </w:p>
    <w:p w14:paraId="3E6740F0">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4.2 耐久性</w:t>
      </w:r>
    </w:p>
    <w:p w14:paraId="598CDC63">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应根据水表的常用流量Q3和过载流量Q4模拟GB/T778.3—2007 的表1中列出的工作条件，证明水表能够满足相应的耐久性要求(型式评价报告中体现)。</w:t>
      </w:r>
    </w:p>
    <w:p w14:paraId="3577A0BA">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4.3 水表的调整</w:t>
      </w:r>
    </w:p>
    <w:p w14:paraId="5175838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水表应配备调整装置，平行移动误差曲线，使误差保持在最大允许误差范围之内。如果调整装置装在水表外，应采取铅封措施(见3.4)</w:t>
      </w:r>
    </w:p>
    <w:p w14:paraId="4078374D">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4.4检定标记和防护装置</w:t>
      </w:r>
    </w:p>
    <w:p w14:paraId="461D3BB6">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水表上应留出位置设置重要检定标记。检定标记应设在明处，无需拆卸水表即能看到。水表应 配置可以封印的防护装置，以保证在正确安装水表前和安装后，在不损坏防护装置的情况下无法拆卸或者改动水表和(或)调整装置或校正装置。</w:t>
      </w:r>
    </w:p>
    <w:p w14:paraId="086ABA00">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4.5 指示装置</w:t>
      </w:r>
    </w:p>
    <w:p w14:paraId="1C2267A3">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4.5.1 功能</w:t>
      </w:r>
    </w:p>
    <w:p w14:paraId="32C58864">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水表的指示装置应提供易读、可靠、明确、直观的指示体积字码示值。</w:t>
      </w:r>
    </w:p>
    <w:p w14:paraId="25F15AF2">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指示装置应包含测试和校准用的观察工具。指示装置可附加元件，供采用其他方法进行测试和校准，例如自动测试和校准。</w:t>
      </w:r>
    </w:p>
    <w:p w14:paraId="5D4C0844">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4.5.2 测量单位、符号及其位置</w:t>
      </w:r>
    </w:p>
    <w:p w14:paraId="040B133A">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指示的水体积应以立方米表示。单位m³应紧接着显示数字标在度盘上。</w:t>
      </w:r>
    </w:p>
    <w:p w14:paraId="2CDCB2C7">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4.5.3 指示范围</w:t>
      </w:r>
    </w:p>
    <w:p w14:paraId="7D64C33A">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zCs w:val="21"/>
        </w:rPr>
      </w:pPr>
      <w:r>
        <w:rPr>
          <w:rFonts w:hint="eastAsia" w:ascii="宋体" w:hAnsi="宋体" w:cs="宋体"/>
          <w:color w:val="auto"/>
          <w:spacing w:val="-1"/>
          <w:szCs w:val="21"/>
        </w:rPr>
        <w:t>水表的指示范围应符合下表的要求。</w:t>
      </w:r>
    </w:p>
    <w:tbl>
      <w:tblPr>
        <w:tblStyle w:val="130"/>
        <w:tblW w:w="7510" w:type="dxa"/>
        <w:tblInd w:w="3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70"/>
        <w:gridCol w:w="3940"/>
      </w:tblGrid>
      <w:tr w14:paraId="26955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570" w:type="dxa"/>
          </w:tcPr>
          <w:p w14:paraId="4517A66D">
            <w:pPr>
              <w:keepNext w:val="0"/>
              <w:keepLines w:val="0"/>
              <w:pageBreakBefore w:val="0"/>
              <w:widowControl w:val="0"/>
              <w:kinsoku/>
              <w:wordWrap/>
              <w:overflowPunct/>
              <w:topLinePunct w:val="0"/>
              <w:autoSpaceDE/>
              <w:autoSpaceDN/>
              <w:bidi w:val="0"/>
              <w:adjustRightInd/>
              <w:snapToGrid/>
              <w:spacing w:line="440" w:lineRule="exact"/>
              <w:ind w:left="1285"/>
              <w:textAlignment w:val="auto"/>
              <w:rPr>
                <w:rFonts w:ascii="宋体" w:hAnsi="宋体" w:cs="宋体"/>
                <w:color w:val="auto"/>
                <w:szCs w:val="21"/>
              </w:rPr>
            </w:pPr>
            <w:r>
              <w:rPr>
                <w:rFonts w:hint="eastAsia" w:ascii="宋体" w:hAnsi="宋体" w:cs="宋体"/>
                <w:color w:val="auto"/>
                <w:spacing w:val="-1"/>
                <w:szCs w:val="21"/>
              </w:rPr>
              <w:t>Q3/(m3/h)</w:t>
            </w:r>
          </w:p>
        </w:tc>
        <w:tc>
          <w:tcPr>
            <w:tcW w:w="3940" w:type="dxa"/>
          </w:tcPr>
          <w:p w14:paraId="76F0F8A6">
            <w:pPr>
              <w:keepNext w:val="0"/>
              <w:keepLines w:val="0"/>
              <w:pageBreakBefore w:val="0"/>
              <w:widowControl w:val="0"/>
              <w:kinsoku/>
              <w:wordWrap/>
              <w:overflowPunct/>
              <w:topLinePunct w:val="0"/>
              <w:autoSpaceDE/>
              <w:autoSpaceDN/>
              <w:bidi w:val="0"/>
              <w:adjustRightInd/>
              <w:snapToGrid/>
              <w:spacing w:line="440" w:lineRule="exact"/>
              <w:ind w:left="975"/>
              <w:textAlignment w:val="auto"/>
              <w:rPr>
                <w:rFonts w:ascii="宋体" w:hAnsi="宋体" w:cs="宋体"/>
                <w:color w:val="auto"/>
                <w:szCs w:val="21"/>
              </w:rPr>
            </w:pPr>
            <w:r>
              <w:rPr>
                <w:rFonts w:hint="eastAsia" w:ascii="宋体" w:hAnsi="宋体" w:cs="宋体"/>
                <w:color w:val="auto"/>
                <w:spacing w:val="9"/>
                <w:szCs w:val="21"/>
              </w:rPr>
              <w:t>指示范围(最小值)m3</w:t>
            </w:r>
          </w:p>
        </w:tc>
      </w:tr>
      <w:tr w14:paraId="12276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3570" w:type="dxa"/>
          </w:tcPr>
          <w:p w14:paraId="40DCD4D0">
            <w:pPr>
              <w:keepNext w:val="0"/>
              <w:keepLines w:val="0"/>
              <w:pageBreakBefore w:val="0"/>
              <w:widowControl w:val="0"/>
              <w:kinsoku/>
              <w:wordWrap/>
              <w:overflowPunct/>
              <w:topLinePunct w:val="0"/>
              <w:autoSpaceDE/>
              <w:autoSpaceDN/>
              <w:bidi w:val="0"/>
              <w:adjustRightInd/>
              <w:snapToGrid/>
              <w:spacing w:line="440" w:lineRule="exact"/>
              <w:ind w:left="1395"/>
              <w:textAlignment w:val="auto"/>
              <w:rPr>
                <w:rFonts w:ascii="宋体" w:hAnsi="宋体" w:cs="宋体"/>
                <w:color w:val="auto"/>
                <w:szCs w:val="21"/>
              </w:rPr>
            </w:pPr>
            <w:r>
              <w:rPr>
                <w:rFonts w:hint="eastAsia" w:ascii="宋体" w:hAnsi="宋体" w:cs="宋体"/>
                <w:color w:val="auto"/>
                <w:spacing w:val="10"/>
                <w:szCs w:val="21"/>
              </w:rPr>
              <w:t>Q3≤6.3</w:t>
            </w:r>
          </w:p>
        </w:tc>
        <w:tc>
          <w:tcPr>
            <w:tcW w:w="3940" w:type="dxa"/>
          </w:tcPr>
          <w:p w14:paraId="0CF39913">
            <w:pPr>
              <w:keepNext w:val="0"/>
              <w:keepLines w:val="0"/>
              <w:pageBreakBefore w:val="0"/>
              <w:widowControl w:val="0"/>
              <w:kinsoku/>
              <w:wordWrap/>
              <w:overflowPunct/>
              <w:topLinePunct w:val="0"/>
              <w:autoSpaceDE/>
              <w:autoSpaceDN/>
              <w:bidi w:val="0"/>
              <w:adjustRightInd/>
              <w:snapToGrid/>
              <w:spacing w:line="440" w:lineRule="exact"/>
              <w:ind w:left="1745"/>
              <w:textAlignment w:val="auto"/>
              <w:rPr>
                <w:rFonts w:ascii="宋体" w:hAnsi="宋体" w:cs="宋体"/>
                <w:color w:val="auto"/>
                <w:szCs w:val="21"/>
              </w:rPr>
            </w:pPr>
            <w:r>
              <w:rPr>
                <w:rFonts w:hint="eastAsia" w:ascii="宋体" w:hAnsi="宋体" w:cs="宋体"/>
                <w:color w:val="auto"/>
                <w:spacing w:val="-2"/>
                <w:position w:val="-3"/>
                <w:szCs w:val="21"/>
              </w:rPr>
              <w:t>9999</w:t>
            </w:r>
          </w:p>
        </w:tc>
      </w:tr>
      <w:tr w14:paraId="59FA9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3570" w:type="dxa"/>
          </w:tcPr>
          <w:p w14:paraId="77E19426">
            <w:pPr>
              <w:keepNext w:val="0"/>
              <w:keepLines w:val="0"/>
              <w:pageBreakBefore w:val="0"/>
              <w:widowControl w:val="0"/>
              <w:kinsoku/>
              <w:wordWrap/>
              <w:overflowPunct/>
              <w:topLinePunct w:val="0"/>
              <w:autoSpaceDE/>
              <w:autoSpaceDN/>
              <w:bidi w:val="0"/>
              <w:adjustRightInd/>
              <w:snapToGrid/>
              <w:spacing w:line="440" w:lineRule="exact"/>
              <w:ind w:left="1225"/>
              <w:textAlignment w:val="auto"/>
              <w:rPr>
                <w:rFonts w:ascii="宋体" w:hAnsi="宋体" w:cs="宋体"/>
                <w:color w:val="auto"/>
                <w:szCs w:val="21"/>
              </w:rPr>
            </w:pPr>
            <w:r>
              <w:rPr>
                <w:rFonts w:hint="eastAsia" w:ascii="宋体" w:hAnsi="宋体" w:cs="宋体"/>
                <w:color w:val="auto"/>
                <w:spacing w:val="-1"/>
                <w:szCs w:val="21"/>
              </w:rPr>
              <w:t>6.3&lt;Q3≤63</w:t>
            </w:r>
          </w:p>
        </w:tc>
        <w:tc>
          <w:tcPr>
            <w:tcW w:w="3940" w:type="dxa"/>
          </w:tcPr>
          <w:p w14:paraId="79BD96CF">
            <w:pPr>
              <w:keepNext w:val="0"/>
              <w:keepLines w:val="0"/>
              <w:pageBreakBefore w:val="0"/>
              <w:widowControl w:val="0"/>
              <w:kinsoku/>
              <w:wordWrap/>
              <w:overflowPunct/>
              <w:topLinePunct w:val="0"/>
              <w:autoSpaceDE/>
              <w:autoSpaceDN/>
              <w:bidi w:val="0"/>
              <w:adjustRightInd/>
              <w:snapToGrid/>
              <w:spacing w:line="440" w:lineRule="exact"/>
              <w:ind w:left="1685"/>
              <w:textAlignment w:val="auto"/>
              <w:rPr>
                <w:rFonts w:ascii="宋体" w:hAnsi="宋体" w:cs="宋体"/>
                <w:color w:val="auto"/>
                <w:szCs w:val="21"/>
              </w:rPr>
            </w:pPr>
            <w:r>
              <w:rPr>
                <w:rFonts w:hint="eastAsia" w:ascii="宋体" w:hAnsi="宋体" w:cs="宋体"/>
                <w:color w:val="auto"/>
                <w:spacing w:val="-2"/>
                <w:szCs w:val="21"/>
              </w:rPr>
              <w:t>99999</w:t>
            </w:r>
          </w:p>
        </w:tc>
      </w:tr>
    </w:tbl>
    <w:p w14:paraId="15201CDF">
      <w:pPr>
        <w:keepNext w:val="0"/>
        <w:keepLines w:val="0"/>
        <w:pageBreakBefore w:val="0"/>
        <w:widowControl w:val="0"/>
        <w:kinsoku/>
        <w:wordWrap/>
        <w:overflowPunct/>
        <w:topLinePunct w:val="0"/>
        <w:autoSpaceDE/>
        <w:autoSpaceDN/>
        <w:bidi w:val="0"/>
        <w:adjustRightInd/>
        <w:snapToGrid/>
        <w:spacing w:line="440" w:lineRule="exact"/>
        <w:ind w:left="419"/>
        <w:textAlignment w:val="auto"/>
        <w:rPr>
          <w:rFonts w:ascii="宋体" w:hAnsi="宋体" w:cs="宋体"/>
          <w:color w:val="auto"/>
          <w:szCs w:val="21"/>
        </w:rPr>
      </w:pPr>
      <w:r>
        <w:rPr>
          <w:rFonts w:hint="eastAsia" w:ascii="宋体" w:hAnsi="宋体" w:cs="宋体"/>
          <w:color w:val="auto"/>
          <w:szCs w:val="21"/>
        </w:rPr>
        <w:t>4.5.4</w:t>
      </w:r>
      <w:r>
        <w:rPr>
          <w:rFonts w:hint="eastAsia" w:ascii="宋体" w:hAnsi="宋体" w:cs="宋体"/>
          <w:color w:val="auto"/>
          <w:spacing w:val="-8"/>
          <w:szCs w:val="21"/>
        </w:rPr>
        <w:t xml:space="preserve"> </w:t>
      </w:r>
      <w:r>
        <w:rPr>
          <w:rFonts w:hint="eastAsia" w:ascii="宋体" w:hAnsi="宋体" w:cs="宋体"/>
          <w:color w:val="auto"/>
          <w:szCs w:val="21"/>
        </w:rPr>
        <w:t>指示装置的颜色标志</w:t>
      </w:r>
    </w:p>
    <w:p w14:paraId="379292E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立方米及其倍数最好用黑色显示。</w:t>
      </w:r>
    </w:p>
    <w:p w14:paraId="335FEEEA">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立方米的约数最好用红色显示。</w:t>
      </w:r>
    </w:p>
    <w:p w14:paraId="2F7E1BBC">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指针、指示标记、数字、字轮、字盘、度盘或开孔框都应使用这两种颜色。</w:t>
      </w:r>
    </w:p>
    <w:p w14:paraId="536FC5ED">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只要能明确区分示值和备用显示(例如用于检定和测试的约数),也可以采用其他方式显示立方</w:t>
      </w:r>
    </w:p>
    <w:p w14:paraId="67559D07">
      <w:pPr>
        <w:keepNext w:val="0"/>
        <w:keepLines w:val="0"/>
        <w:pageBreakBefore w:val="0"/>
        <w:widowControl w:val="0"/>
        <w:kinsoku/>
        <w:wordWrap/>
        <w:overflowPunct/>
        <w:topLinePunct w:val="0"/>
        <w:autoSpaceDE/>
        <w:autoSpaceDN/>
        <w:bidi w:val="0"/>
        <w:adjustRightInd/>
        <w:snapToGrid/>
        <w:spacing w:line="440" w:lineRule="exact"/>
        <w:ind w:right="37"/>
        <w:textAlignment w:val="auto"/>
        <w:rPr>
          <w:rFonts w:ascii="宋体" w:hAnsi="宋体" w:cs="宋体"/>
          <w:color w:val="auto"/>
          <w:spacing w:val="-1"/>
          <w:szCs w:val="21"/>
        </w:rPr>
      </w:pPr>
      <w:r>
        <w:rPr>
          <w:rFonts w:hint="eastAsia" w:ascii="宋体" w:hAnsi="宋体" w:cs="宋体"/>
          <w:color w:val="auto"/>
          <w:spacing w:val="-1"/>
          <w:szCs w:val="21"/>
        </w:rPr>
        <w:t>米、立方米的倍数和约数。</w:t>
      </w:r>
    </w:p>
    <w:p w14:paraId="287DD93E">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4.5.5 指示装置的类型</w:t>
      </w:r>
    </w:p>
    <w:p w14:paraId="0BF4680C">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应符合GB/T 778.1—2007有关指示装置类型的要求。</w:t>
      </w:r>
    </w:p>
    <w:p w14:paraId="090DACD7">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4.6 说明性标志</w:t>
      </w:r>
    </w:p>
    <w:p w14:paraId="604FE319">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水表上应明显、永久地标志以下信息。这些信息可以集中或分散标志在水表的外壳、指示装置</w:t>
      </w:r>
    </w:p>
    <w:p w14:paraId="56D8D487">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的度盘、铭牌或不可分离的水表表盖上。</w:t>
      </w:r>
    </w:p>
    <w:p w14:paraId="32CF551A">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——测量单位：立方米(m³)(见3.5.2);</w:t>
      </w:r>
    </w:p>
    <w:p w14:paraId="6F451806">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——Q</w:t>
      </w:r>
      <w:r>
        <w:rPr>
          <w:rFonts w:hint="eastAsia" w:ascii="宋体" w:hAnsi="宋体" w:cs="宋体"/>
          <w:color w:val="auto"/>
          <w:spacing w:val="-1"/>
          <w:szCs w:val="21"/>
          <w:vertAlign w:val="subscript"/>
        </w:rPr>
        <w:t>3</w:t>
      </w:r>
      <w:r>
        <w:rPr>
          <w:rFonts w:hint="eastAsia" w:ascii="宋体" w:hAnsi="宋体" w:cs="宋体"/>
          <w:color w:val="auto"/>
          <w:spacing w:val="-1"/>
          <w:szCs w:val="21"/>
        </w:rPr>
        <w:t>值， Q₃/Q</w:t>
      </w:r>
      <w:r>
        <w:rPr>
          <w:rFonts w:hint="eastAsia" w:ascii="宋体" w:hAnsi="宋体" w:cs="宋体"/>
          <w:color w:val="auto"/>
          <w:spacing w:val="-1"/>
          <w:szCs w:val="21"/>
          <w:vertAlign w:val="subscript"/>
        </w:rPr>
        <w:t xml:space="preserve">1 </w:t>
      </w:r>
      <w:r>
        <w:rPr>
          <w:rFonts w:hint="eastAsia" w:ascii="宋体" w:hAnsi="宋体" w:cs="宋体"/>
          <w:color w:val="auto"/>
          <w:spacing w:val="-1"/>
          <w:szCs w:val="21"/>
        </w:rPr>
        <w:t>和Q2/Q</w:t>
      </w:r>
      <w:r>
        <w:rPr>
          <w:rFonts w:hint="eastAsia" w:ascii="宋体" w:hAnsi="宋体" w:cs="宋体"/>
          <w:color w:val="auto"/>
          <w:spacing w:val="-1"/>
          <w:szCs w:val="21"/>
          <w:vertAlign w:val="subscript"/>
        </w:rPr>
        <w:t>1</w:t>
      </w:r>
      <w:r>
        <w:rPr>
          <w:rFonts w:hint="eastAsia" w:ascii="宋体" w:hAnsi="宋体" w:cs="宋体"/>
          <w:color w:val="auto"/>
          <w:spacing w:val="-1"/>
          <w:szCs w:val="21"/>
        </w:rPr>
        <w:t>的比值(如果不等于1.6)和压力损失等级[如果不同于△p=0.063</w:t>
      </w:r>
    </w:p>
    <w:p w14:paraId="3C24BB37">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MPa(0.63 bar)], 应标明；</w:t>
      </w:r>
    </w:p>
    <w:p w14:paraId="09D3A9B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——制造厂厂名或商标；</w:t>
      </w:r>
    </w:p>
    <w:p w14:paraId="417EC69F">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——制造年份和编号(尽可能靠近指示装置);</w:t>
      </w:r>
    </w:p>
    <w:p w14:paraId="787F4195">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——流动方向(标志在水表壳体的两侧，如果在任何情况下都能很容易看到流动方向指示箭头，</w:t>
      </w:r>
    </w:p>
    <w:p w14:paraId="6C890BC2">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也可只标志在一侧);</w:t>
      </w:r>
    </w:p>
    <w:p w14:paraId="5A27BDC9">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——最大允许压力，如果超过1Mpa应标明；</w:t>
      </w:r>
    </w:p>
    <w:p w14:paraId="49389894">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——安装方式：如果只能水平或垂直安装，应标明(H代表水平安装， V代表垂直安装);</w:t>
      </w:r>
    </w:p>
    <w:p w14:paraId="1FC56495">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——温度等级，除T30外；</w:t>
      </w:r>
    </w:p>
    <w:p w14:paraId="0C2CDB03">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——型式批准标志，按国家规定。</w:t>
      </w:r>
    </w:p>
    <w:p w14:paraId="6D52E5BD">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textAlignment w:val="auto"/>
        <w:rPr>
          <w:rFonts w:ascii="宋体" w:hAnsi="宋体" w:cs="宋体"/>
          <w:color w:val="auto"/>
          <w:spacing w:val="-1"/>
          <w:szCs w:val="21"/>
        </w:rPr>
      </w:pPr>
      <w:r>
        <w:rPr>
          <w:rFonts w:hint="eastAsia" w:ascii="宋体" w:hAnsi="宋体" w:cs="宋体"/>
          <w:color w:val="auto"/>
          <w:spacing w:val="-1"/>
          <w:szCs w:val="21"/>
        </w:rPr>
        <w:t>4.7 其他要求</w:t>
      </w:r>
    </w:p>
    <w:p w14:paraId="1E25F82E">
      <w:pPr>
        <w:keepNext w:val="0"/>
        <w:keepLines w:val="0"/>
        <w:pageBreakBefore w:val="0"/>
        <w:widowControl w:val="0"/>
        <w:kinsoku/>
        <w:wordWrap/>
        <w:overflowPunct/>
        <w:topLinePunct w:val="0"/>
        <w:autoSpaceDE/>
        <w:autoSpaceDN/>
        <w:bidi w:val="0"/>
        <w:adjustRightInd/>
        <w:snapToGrid/>
        <w:spacing w:line="440" w:lineRule="exact"/>
        <w:ind w:right="37" w:firstLine="416" w:firstLineChars="200"/>
        <w:jc w:val="left"/>
        <w:textAlignment w:val="auto"/>
        <w:rPr>
          <w:rFonts w:ascii="宋体" w:hAnsi="宋体" w:cs="宋体"/>
          <w:color w:val="auto"/>
          <w:spacing w:val="-1"/>
          <w:szCs w:val="21"/>
        </w:rPr>
      </w:pPr>
      <w:r>
        <w:rPr>
          <w:rFonts w:hint="eastAsia" w:ascii="宋体" w:hAnsi="宋体" w:cs="宋体"/>
          <w:color w:val="auto"/>
          <w:spacing w:val="-1"/>
          <w:szCs w:val="21"/>
        </w:rPr>
        <w:t>要求产品按国家最新标准进行生产，所有产品出厂都有检验合格证，优等品等级和说明书资料。 厂商中标后，应按招标方要求给予免费喷涂颜色、表盘刻字标识、表罩雕刻编号等。每批产品送货 时相同型号要求编号连续，同时提供编号清单。产品在格林、螺帽需有预留位置，供招标方在产品上增加特制铅封、标牌等附属物。</w:t>
      </w:r>
    </w:p>
    <w:p w14:paraId="05BD92DB">
      <w:pPr>
        <w:pStyle w:val="3"/>
        <w:numPr>
          <w:ilvl w:val="1"/>
          <w:numId w:val="0"/>
        </w:numPr>
        <w:spacing w:beforeLines="30" w:afterLines="30" w:line="440" w:lineRule="exact"/>
        <w:ind w:left="11"/>
        <w:jc w:val="center"/>
        <w:rPr>
          <w:b/>
          <w:bCs/>
          <w:color w:val="auto"/>
        </w:rPr>
      </w:pPr>
      <w:r>
        <w:rPr>
          <w:rFonts w:hint="eastAsia"/>
          <w:b/>
          <w:bCs/>
          <w:color w:val="auto"/>
        </w:rPr>
        <w:t>三、商务要求</w:t>
      </w:r>
    </w:p>
    <w:p w14:paraId="6301B0F9">
      <w:pPr>
        <w:keepNext w:val="0"/>
        <w:keepLines w:val="0"/>
        <w:pageBreakBefore w:val="0"/>
        <w:widowControl w:val="0"/>
        <w:tabs>
          <w:tab w:val="left" w:pos="2127"/>
        </w:tabs>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（一）货物的生产、安装、维修、检验、验收等按照以下原则执行：有国家标准的执行国家标准；无国家标准的执行行业标准；无行业标准的执行地方标准；无地方标准的执行企业标准。</w:t>
      </w:r>
    </w:p>
    <w:p w14:paraId="48E849C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bCs/>
          <w:color w:val="auto"/>
          <w:szCs w:val="21"/>
        </w:rPr>
      </w:pPr>
      <w:r>
        <w:rPr>
          <w:rFonts w:hint="eastAsia" w:ascii="宋体" w:hAnsi="宋体" w:cs="宋体"/>
          <w:bCs/>
          <w:color w:val="auto"/>
          <w:szCs w:val="21"/>
        </w:rPr>
        <w:t>（二）如果在技术参数或配置中标明了品牌或产地，则仅供参考，并非指定，但投标人提供的货物必须满足主要技术参数及配置要求，投标人可以选用替代的方案，但这种替代整体上要优于或相当于招标文件的相关要求，必须由详实的相关证明材料支撑。</w:t>
      </w:r>
    </w:p>
    <w:p w14:paraId="0EC0C46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b/>
          <w:color w:val="auto"/>
          <w:szCs w:val="21"/>
        </w:rPr>
      </w:pPr>
      <w:r>
        <w:rPr>
          <w:rFonts w:hint="eastAsia" w:ascii="宋体" w:hAnsi="宋体" w:cs="宋体"/>
          <w:color w:val="auto"/>
          <w:szCs w:val="21"/>
        </w:rPr>
        <w:t>（三）</w:t>
      </w:r>
      <w:r>
        <w:rPr>
          <w:rFonts w:hint="eastAsia" w:ascii="宋体" w:hAnsi="宋体" w:cs="宋体"/>
          <w:b/>
          <w:color w:val="auto"/>
          <w:szCs w:val="21"/>
        </w:rPr>
        <w:t>供货时</w:t>
      </w:r>
      <w:r>
        <w:rPr>
          <w:rFonts w:hint="eastAsia" w:ascii="宋体" w:hAnsi="宋体" w:cs="宋体"/>
          <w:bCs/>
          <w:color w:val="auto"/>
          <w:szCs w:val="21"/>
        </w:rPr>
        <w:t>所有货物</w:t>
      </w:r>
      <w:r>
        <w:rPr>
          <w:rFonts w:hint="eastAsia" w:ascii="宋体" w:hAnsi="宋体" w:cs="宋体"/>
          <w:color w:val="auto"/>
          <w:szCs w:val="21"/>
        </w:rPr>
        <w:t>（包括零部件）</w:t>
      </w:r>
      <w:r>
        <w:rPr>
          <w:rFonts w:hint="eastAsia" w:ascii="宋体" w:hAnsi="宋体" w:cs="宋体"/>
          <w:bCs/>
          <w:color w:val="auto"/>
          <w:szCs w:val="21"/>
        </w:rPr>
        <w:t>须为</w:t>
      </w:r>
      <w:r>
        <w:rPr>
          <w:rFonts w:hint="eastAsia" w:ascii="宋体" w:hAnsi="宋体" w:cs="宋体"/>
          <w:color w:val="auto"/>
          <w:szCs w:val="21"/>
        </w:rPr>
        <w:t>全新的、未使用过的</w:t>
      </w:r>
      <w:r>
        <w:rPr>
          <w:rFonts w:hint="eastAsia" w:ascii="宋体" w:hAnsi="宋体" w:cs="宋体"/>
          <w:bCs/>
          <w:color w:val="auto"/>
          <w:szCs w:val="21"/>
        </w:rPr>
        <w:t>原装正品，</w:t>
      </w:r>
      <w:r>
        <w:rPr>
          <w:rFonts w:hint="eastAsia" w:ascii="宋体" w:hAnsi="宋体" w:cs="宋体"/>
          <w:color w:val="auto"/>
          <w:szCs w:val="21"/>
        </w:rPr>
        <w:t>并完全符合国家质量标准，</w:t>
      </w:r>
      <w:r>
        <w:rPr>
          <w:rFonts w:hint="eastAsia" w:ascii="宋体" w:hAnsi="宋体" w:cs="宋体"/>
          <w:bCs/>
          <w:color w:val="auto"/>
          <w:szCs w:val="21"/>
        </w:rPr>
        <w:t>提供厂家出具的合格证书、有国家强制性认证要求的产品须提供相应证书，</w:t>
      </w:r>
      <w:r>
        <w:rPr>
          <w:rFonts w:hint="eastAsia" w:ascii="宋体" w:hAnsi="宋体" w:cs="宋体"/>
          <w:color w:val="auto"/>
          <w:szCs w:val="21"/>
        </w:rPr>
        <w:t xml:space="preserve">货物的技术参数及配置情况必须由投标人提供国家相关检测机构出具的检验报告、生产厂家公开发布的印刷资料等技术资料予以支持。没有技术资料支持的技术参数及配置不能视为响应。 </w:t>
      </w:r>
      <w:r>
        <w:rPr>
          <w:rFonts w:hint="eastAsia" w:ascii="宋体" w:hAnsi="宋体" w:cs="宋体"/>
          <w:b/>
          <w:color w:val="auto"/>
          <w:szCs w:val="21"/>
        </w:rPr>
        <w:t>(厂家出具的合格证书供货时提供)</w:t>
      </w:r>
    </w:p>
    <w:p w14:paraId="6C596D5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（四）技术支持</w:t>
      </w:r>
    </w:p>
    <w:p w14:paraId="24C3E80D">
      <w:pPr>
        <w:keepNext w:val="0"/>
        <w:keepLines w:val="0"/>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中标供应商应向采购人提供全方位、及时而有效的技术支持和服务。</w:t>
      </w:r>
    </w:p>
    <w:p w14:paraId="1C5B0D11">
      <w:pPr>
        <w:keepNext w:val="0"/>
        <w:keepLines w:val="0"/>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中标供应商负责供货、安装、调试。</w:t>
      </w:r>
    </w:p>
    <w:p w14:paraId="2A1CD0EE">
      <w:pPr>
        <w:keepNext w:val="0"/>
        <w:keepLines w:val="0"/>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中标供应商负责将货物的全部有关技术文件（外文应提供中文翻译资料，下同）、施工图纸、资料、测试、验收报告等汇集成册交付采购人，涉及进口的产品或部件配件软件等须提供中国海关进口货物报关单、完税证明及商检证明等材料。</w:t>
      </w:r>
    </w:p>
    <w:p w14:paraId="2D2B401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（五）质保及售后服务：</w:t>
      </w:r>
    </w:p>
    <w:p w14:paraId="7E95EE5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中标供应商须至少提供两年(质保期从合同最后一批货验收合格起开始计算，质保期具体以标书中自行承诺的期限为准)的免费质保服务，所有质保费用均已包含在投标报价中，质保期满后，应提供优先的有偿售后服务及按不高于投标文件中主要配件、易损件清单所报价格供应原厂零配件等。软件终身免费升级服务。</w:t>
      </w:r>
    </w:p>
    <w:p w14:paraId="180B46C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中标供应商须设有维修服务电话，负责解答用户在货物使用中遇到的问题，及时提出解决问题的建议和操作方法。</w:t>
      </w:r>
    </w:p>
    <w:p w14:paraId="12B55D5D">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培训：中标供应商应免费对相关专业人员进行专门培训，并提供培训资料。培训的时间安排和培训内容应由招标人确认，培训发生的全部费用及在培训期间货物出现任何损坏均由中标供应商承担。</w:t>
      </w:r>
    </w:p>
    <w:p w14:paraId="2B6743D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lang w:eastAsia="zh-CN"/>
        </w:rPr>
      </w:pPr>
      <w:r>
        <w:rPr>
          <w:rFonts w:hint="eastAsia" w:ascii="宋体" w:hAnsi="宋体" w:cs="宋体"/>
          <w:color w:val="auto"/>
          <w:szCs w:val="21"/>
        </w:rPr>
        <w:t>（七）交货期</w:t>
      </w:r>
      <w:r>
        <w:rPr>
          <w:rFonts w:hint="eastAsia" w:ascii="宋体" w:hAnsi="宋体" w:cs="宋体"/>
          <w:color w:val="auto"/>
          <w:szCs w:val="21"/>
          <w:lang w:eastAsia="zh-CN"/>
        </w:rPr>
        <w:t>：</w:t>
      </w:r>
      <w:r>
        <w:rPr>
          <w:rFonts w:hint="eastAsia" w:ascii="宋体" w:hAnsi="宋体" w:cs="宋体"/>
          <w:color w:val="auto"/>
          <w:szCs w:val="21"/>
        </w:rPr>
        <w:t>本项目分批次供货，中标人收到招标人供货通知之日起7个历天内完成供货</w:t>
      </w:r>
      <w:r>
        <w:rPr>
          <w:rFonts w:hint="eastAsia" w:ascii="宋体" w:hAnsi="宋体" w:cs="宋体"/>
          <w:color w:val="auto"/>
          <w:szCs w:val="21"/>
          <w:lang w:eastAsia="zh-CN"/>
        </w:rPr>
        <w:t>。</w:t>
      </w:r>
    </w:p>
    <w:p w14:paraId="68FB8D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 xml:space="preserve">（八）交货地点：招标人指定地点 </w:t>
      </w:r>
    </w:p>
    <w:p w14:paraId="763BFB4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（九）验收：</w:t>
      </w:r>
    </w:p>
    <w:p w14:paraId="1F05599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招标人和相关部门按照国家规定标准验收，没有国家标准的按行业标准验收，无行业标准的按地方或企业标准验收，中标供应商予以配合。涉及安全、消防、环保等其他需要由质检或行业主管部门验收的项目，采购人须约请相关部门和专家参加项目验收。</w:t>
      </w:r>
    </w:p>
    <w:p w14:paraId="0D469C54">
      <w:pPr>
        <w:keepNext w:val="0"/>
        <w:keepLines w:val="0"/>
        <w:pageBreakBefore w:val="0"/>
        <w:widowControl w:val="0"/>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22D4969E">
      <w:pPr>
        <w:keepNext w:val="0"/>
        <w:keepLines w:val="0"/>
        <w:pageBreakBefore w:val="0"/>
        <w:widowControl w:val="0"/>
        <w:kinsoku/>
        <w:wordWrap/>
        <w:overflowPunct/>
        <w:topLinePunct w:val="0"/>
        <w:autoSpaceDE/>
        <w:autoSpaceDN/>
        <w:bidi w:val="0"/>
        <w:adjustRightInd/>
        <w:snapToGrid/>
        <w:spacing w:line="440" w:lineRule="exact"/>
        <w:ind w:firstLine="315" w:firstLineChars="150"/>
        <w:jc w:val="left"/>
        <w:textAlignment w:val="auto"/>
        <w:rPr>
          <w:rFonts w:hint="default" w:ascii="宋体" w:hAnsi="宋体" w:eastAsia="宋体" w:cs="宋体"/>
          <w:color w:val="auto"/>
          <w:szCs w:val="21"/>
          <w:lang w:val="en-US" w:eastAsia="zh-CN"/>
        </w:rPr>
        <w:sectPr>
          <w:footerReference r:id="rId5" w:type="default"/>
          <w:pgSz w:w="11910" w:h="16840"/>
          <w:pgMar w:top="1234" w:right="1416" w:bottom="1145" w:left="1410" w:header="0" w:footer="996" w:gutter="0"/>
          <w:pgNumType w:fmt="numberInDash" w:start="1"/>
          <w:cols w:space="720" w:num="1"/>
        </w:sectPr>
      </w:pPr>
      <w:r>
        <w:rPr>
          <w:rFonts w:hint="eastAsia" w:ascii="宋体" w:hAnsi="宋体" w:cs="宋体"/>
          <w:color w:val="auto"/>
          <w:szCs w:val="21"/>
          <w:lang w:val="en-US" w:eastAsia="zh-CN"/>
        </w:rPr>
        <w:t>3.材料运至指定地点后，招标人将组织验收，若所供货物质量、规格、参数等任意一项与招标文件不符的，将扣除质保金的50%作为违约金；第二次随机抽样后发现仍有不合格的，质保金将不予支付，同时招标人有权单方解除合同，并报送滁州市公共资源交易监督管理局加入滁州市招投标黑名单。</w:t>
      </w:r>
    </w:p>
    <w:p w14:paraId="7994FA03">
      <w:pPr>
        <w:spacing w:line="440" w:lineRule="exact"/>
        <w:ind w:firstLine="542" w:firstLineChars="150"/>
        <w:jc w:val="center"/>
        <w:rPr>
          <w:rFonts w:ascii="宋体"/>
          <w:color w:val="auto"/>
          <w:szCs w:val="32"/>
        </w:rPr>
      </w:pPr>
      <w:r>
        <w:rPr>
          <w:rFonts w:hint="eastAsia" w:ascii="宋体"/>
          <w:b/>
          <w:bCs/>
          <w:color w:val="auto"/>
          <w:sz w:val="36"/>
          <w:szCs w:val="52"/>
        </w:rPr>
        <w:t>第五章  合同条款及格式</w:t>
      </w:r>
      <w:bookmarkEnd w:id="80"/>
      <w:bookmarkEnd w:id="81"/>
    </w:p>
    <w:p w14:paraId="46BE5F00">
      <w:pPr>
        <w:pStyle w:val="3"/>
        <w:numPr>
          <w:ilvl w:val="0"/>
          <w:numId w:val="11"/>
        </w:numPr>
        <w:ind w:left="1260" w:hanging="420"/>
        <w:jc w:val="center"/>
        <w:rPr>
          <w:b/>
          <w:bCs/>
          <w:color w:val="auto"/>
          <w:szCs w:val="24"/>
        </w:rPr>
      </w:pPr>
      <w:bookmarkStart w:id="82" w:name="_Toc29433"/>
      <w:bookmarkStart w:id="83" w:name="_Toc4982"/>
      <w:bookmarkStart w:id="84" w:name="_Toc11690"/>
      <w:bookmarkStart w:id="85" w:name="_Toc449028948"/>
      <w:r>
        <w:rPr>
          <w:rFonts w:hint="eastAsia"/>
          <w:b/>
          <w:bCs/>
          <w:color w:val="auto"/>
          <w:szCs w:val="24"/>
        </w:rPr>
        <w:t>合同协议书（格式）</w:t>
      </w:r>
      <w:bookmarkEnd w:id="82"/>
      <w:bookmarkEnd w:id="83"/>
      <w:bookmarkEnd w:id="84"/>
    </w:p>
    <w:p w14:paraId="76EC9619">
      <w:pPr>
        <w:rPr>
          <w:color w:val="auto"/>
        </w:rPr>
      </w:pPr>
    </w:p>
    <w:p w14:paraId="08208097">
      <w:pPr>
        <w:spacing w:line="440" w:lineRule="exact"/>
        <w:ind w:firstLine="2932" w:firstLineChars="1043"/>
        <w:rPr>
          <w:rFonts w:ascii="宋体" w:hAnsi="宋体" w:cs="宋体"/>
          <w:color w:val="auto"/>
          <w:sz w:val="24"/>
        </w:rPr>
      </w:pPr>
      <w:r>
        <w:rPr>
          <w:rFonts w:hint="eastAsia" w:ascii="宋体" w:hAnsi="宋体" w:cs="宋体"/>
          <w:b/>
          <w:color w:val="auto"/>
          <w:sz w:val="28"/>
          <w:szCs w:val="28"/>
        </w:rPr>
        <w:t xml:space="preserve">合同名称 </w:t>
      </w:r>
      <w:r>
        <w:rPr>
          <w:rFonts w:hint="eastAsia" w:ascii="宋体" w:hAnsi="宋体" w:cs="宋体"/>
          <w:b/>
          <w:color w:val="auto"/>
          <w:sz w:val="24"/>
        </w:rPr>
        <w:t xml:space="preserve">  </w:t>
      </w:r>
      <w:r>
        <w:rPr>
          <w:rFonts w:hint="eastAsia" w:ascii="宋体" w:hAnsi="宋体" w:cs="宋体"/>
          <w:color w:val="auto"/>
          <w:sz w:val="24"/>
        </w:rPr>
        <w:t xml:space="preserve">          编号</w:t>
      </w:r>
    </w:p>
    <w:p w14:paraId="1AFD006B">
      <w:pPr>
        <w:spacing w:line="440" w:lineRule="exact"/>
        <w:ind w:firstLine="420" w:firstLineChars="200"/>
        <w:rPr>
          <w:rFonts w:ascii="宋体" w:hAnsi="宋体" w:cs="宋体"/>
          <w:color w:val="auto"/>
          <w:szCs w:val="21"/>
        </w:rPr>
      </w:pPr>
      <w:bookmarkStart w:id="86" w:name="_Toc246996996"/>
      <w:bookmarkStart w:id="87" w:name="_Toc246996253"/>
      <w:bookmarkStart w:id="88" w:name="_Toc179632628"/>
      <w:bookmarkStart w:id="89" w:name="_Toc296602498"/>
      <w:bookmarkStart w:id="90" w:name="_Toc152045610"/>
      <w:bookmarkStart w:id="91" w:name="_Toc469495742"/>
      <w:bookmarkStart w:id="92" w:name="_Toc144974578"/>
      <w:bookmarkStart w:id="93" w:name="_Toc152042388"/>
      <w:bookmarkStart w:id="94" w:name="_Toc247085768"/>
      <w:r>
        <w:rPr>
          <w:rFonts w:hint="eastAsia" w:ascii="宋体" w:hAnsi="宋体" w:cs="宋体"/>
          <w:color w:val="auto"/>
          <w:szCs w:val="21"/>
        </w:rPr>
        <w:t>买    方：                                   卖    方：</w:t>
      </w:r>
    </w:p>
    <w:p w14:paraId="1673ED2B">
      <w:pPr>
        <w:spacing w:line="440" w:lineRule="exact"/>
        <w:ind w:firstLine="420" w:firstLineChars="200"/>
        <w:rPr>
          <w:rFonts w:ascii="宋体" w:hAnsi="宋体" w:cs="宋体"/>
          <w:color w:val="auto"/>
          <w:szCs w:val="21"/>
        </w:rPr>
      </w:pPr>
      <w:r>
        <w:rPr>
          <w:rFonts w:hint="eastAsia" w:ascii="宋体" w:hAnsi="宋体" w:cs="宋体"/>
          <w:color w:val="auto"/>
          <w:szCs w:val="21"/>
        </w:rPr>
        <w:t>电    话：                                   电    话：</w:t>
      </w:r>
    </w:p>
    <w:p w14:paraId="728E6964">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住    所：                                   住    所：                       </w:t>
      </w:r>
    </w:p>
    <w:p w14:paraId="63CA737C">
      <w:pPr>
        <w:spacing w:line="440" w:lineRule="exact"/>
        <w:ind w:firstLine="420" w:firstLineChars="200"/>
        <w:rPr>
          <w:rFonts w:ascii="宋体" w:hAnsi="宋体" w:cs="宋体"/>
          <w:color w:val="auto"/>
          <w:szCs w:val="21"/>
        </w:rPr>
      </w:pPr>
      <w:r>
        <w:rPr>
          <w:rFonts w:hint="eastAsia" w:ascii="宋体" w:hAnsi="宋体" w:cs="宋体"/>
          <w:color w:val="auto"/>
          <w:szCs w:val="21"/>
          <w:u w:val="single"/>
        </w:rPr>
        <w:t>（买方）</w:t>
      </w:r>
      <w:r>
        <w:rPr>
          <w:rFonts w:hint="eastAsia" w:ascii="宋体" w:hAnsi="宋体" w:cs="宋体"/>
          <w:color w:val="auto"/>
          <w:szCs w:val="21"/>
        </w:rPr>
        <w:t>的</w:t>
      </w:r>
      <w:r>
        <w:rPr>
          <w:rFonts w:hint="eastAsia" w:ascii="宋体" w:hAnsi="宋体" w:cs="宋体"/>
          <w:color w:val="auto"/>
          <w:szCs w:val="21"/>
          <w:u w:val="single"/>
        </w:rPr>
        <w:t>（项目名称）</w:t>
      </w:r>
      <w:r>
        <w:rPr>
          <w:rFonts w:hint="eastAsia" w:ascii="宋体" w:hAnsi="宋体" w:cs="宋体"/>
          <w:color w:val="auto"/>
          <w:szCs w:val="21"/>
        </w:rPr>
        <w:t>中所需</w:t>
      </w:r>
      <w:r>
        <w:rPr>
          <w:rFonts w:hint="eastAsia" w:ascii="宋体" w:hAnsi="宋体" w:cs="宋体"/>
          <w:color w:val="auto"/>
          <w:szCs w:val="21"/>
          <w:u w:val="single"/>
        </w:rPr>
        <w:t>（产品名称）</w:t>
      </w:r>
      <w:r>
        <w:rPr>
          <w:rFonts w:hint="eastAsia" w:ascii="宋体" w:hAnsi="宋体" w:cs="宋体"/>
          <w:color w:val="auto"/>
          <w:szCs w:val="21"/>
        </w:rPr>
        <w:t xml:space="preserve"> 经公开招标，确定</w:t>
      </w:r>
      <w:r>
        <w:rPr>
          <w:rFonts w:hint="eastAsia" w:ascii="宋体" w:hAnsi="宋体" w:cs="宋体"/>
          <w:color w:val="auto"/>
          <w:szCs w:val="21"/>
          <w:u w:val="single"/>
        </w:rPr>
        <w:t>（卖方）</w:t>
      </w:r>
      <w:r>
        <w:rPr>
          <w:rFonts w:hint="eastAsia" w:ascii="宋体" w:hAnsi="宋体" w:cs="宋体"/>
          <w:color w:val="auto"/>
          <w:szCs w:val="21"/>
        </w:rPr>
        <w:t>为中标人。按照《中华人民共和国民法典》的规定，买卖双方同意按照下述的条款和条件，签署本合同。</w:t>
      </w:r>
    </w:p>
    <w:p w14:paraId="5BA48AC5">
      <w:pPr>
        <w:spacing w:line="44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本合同文件</w:t>
      </w:r>
    </w:p>
    <w:p w14:paraId="773149D8">
      <w:pPr>
        <w:spacing w:line="440" w:lineRule="exact"/>
        <w:ind w:firstLine="420" w:firstLineChars="200"/>
        <w:rPr>
          <w:rFonts w:ascii="宋体" w:hAnsi="宋体" w:cs="宋体"/>
          <w:color w:val="auto"/>
          <w:szCs w:val="21"/>
        </w:rPr>
      </w:pPr>
      <w:r>
        <w:rPr>
          <w:rFonts w:hint="eastAsia" w:ascii="宋体" w:hAnsi="宋体" w:cs="宋体"/>
          <w:color w:val="auto"/>
          <w:szCs w:val="21"/>
        </w:rPr>
        <w:t>下列每一文件均应作为合同的组成部分进行阅读和解释：</w:t>
      </w:r>
    </w:p>
    <w:p w14:paraId="632CF4F2">
      <w:pPr>
        <w:numPr>
          <w:ilvl w:val="0"/>
          <w:numId w:val="12"/>
        </w:numPr>
        <w:spacing w:line="440" w:lineRule="exact"/>
        <w:ind w:firstLine="210" w:firstLineChars="100"/>
        <w:rPr>
          <w:rFonts w:ascii="宋体" w:hAnsi="宋体" w:cs="宋体"/>
          <w:color w:val="auto"/>
          <w:szCs w:val="21"/>
        </w:rPr>
      </w:pPr>
      <w:r>
        <w:rPr>
          <w:rFonts w:hint="eastAsia" w:ascii="宋体" w:hAnsi="宋体" w:cs="宋体"/>
          <w:color w:val="auto"/>
          <w:szCs w:val="21"/>
        </w:rPr>
        <w:t>招标文件；</w:t>
      </w:r>
    </w:p>
    <w:p w14:paraId="3E5B99B8">
      <w:pPr>
        <w:numPr>
          <w:ilvl w:val="0"/>
          <w:numId w:val="12"/>
        </w:numPr>
        <w:spacing w:line="440" w:lineRule="exact"/>
        <w:ind w:firstLine="210" w:firstLineChars="100"/>
        <w:rPr>
          <w:rFonts w:ascii="宋体" w:hAnsi="宋体" w:cs="宋体"/>
          <w:color w:val="auto"/>
          <w:szCs w:val="21"/>
        </w:rPr>
      </w:pPr>
      <w:r>
        <w:rPr>
          <w:rFonts w:hint="eastAsia" w:ascii="宋体" w:hAnsi="宋体" w:cs="宋体"/>
          <w:color w:val="auto"/>
          <w:szCs w:val="21"/>
        </w:rPr>
        <w:t>投标文件；</w:t>
      </w:r>
    </w:p>
    <w:p w14:paraId="0345DDE2">
      <w:pPr>
        <w:numPr>
          <w:ilvl w:val="0"/>
          <w:numId w:val="12"/>
        </w:numPr>
        <w:spacing w:line="440" w:lineRule="exact"/>
        <w:ind w:firstLine="210" w:firstLineChars="100"/>
        <w:rPr>
          <w:rFonts w:ascii="宋体" w:hAnsi="宋体" w:cs="宋体"/>
          <w:color w:val="auto"/>
          <w:szCs w:val="21"/>
        </w:rPr>
      </w:pPr>
      <w:r>
        <w:rPr>
          <w:rFonts w:hint="eastAsia" w:ascii="宋体" w:hAnsi="宋体" w:cs="宋体"/>
          <w:color w:val="auto"/>
          <w:szCs w:val="21"/>
        </w:rPr>
        <w:t>中标通知书；</w:t>
      </w:r>
    </w:p>
    <w:p w14:paraId="710E3226">
      <w:pPr>
        <w:spacing w:line="440" w:lineRule="exact"/>
        <w:ind w:left="210" w:leftChars="100"/>
        <w:rPr>
          <w:rFonts w:ascii="宋体" w:hAnsi="宋体" w:cs="宋体"/>
          <w:color w:val="auto"/>
          <w:szCs w:val="21"/>
        </w:rPr>
      </w:pPr>
      <w:r>
        <w:rPr>
          <w:rFonts w:hint="eastAsia" w:ascii="宋体" w:hAnsi="宋体" w:cs="宋体"/>
          <w:color w:val="auto"/>
          <w:szCs w:val="21"/>
        </w:rPr>
        <w:t>（4）经双方确认进入合同的其它文件、补充条款或说明。</w:t>
      </w:r>
    </w:p>
    <w:p w14:paraId="3DEED827">
      <w:pPr>
        <w:spacing w:line="44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采购标的、数量、质量要求</w:t>
      </w:r>
    </w:p>
    <w:p w14:paraId="3C2996E5">
      <w:pPr>
        <w:spacing w:line="44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综合单价合同</w:t>
      </w:r>
    </w:p>
    <w:p w14:paraId="6D83FB0D">
      <w:pPr>
        <w:spacing w:line="348" w:lineRule="auto"/>
        <w:ind w:firstLine="420" w:firstLineChars="200"/>
        <w:rPr>
          <w:rFonts w:ascii="宋体" w:hAnsi="宋体" w:cs="宋体"/>
          <w:color w:val="auto"/>
          <w:szCs w:val="21"/>
        </w:rPr>
      </w:pPr>
      <w:r>
        <w:rPr>
          <w:rFonts w:hint="eastAsia" w:ascii="宋体" w:hAnsi="宋体" w:cs="宋体"/>
          <w:color w:val="auto"/>
          <w:szCs w:val="21"/>
        </w:rPr>
        <w:t xml:space="preserve">合同总价为 </w:t>
      </w:r>
      <w:r>
        <w:rPr>
          <w:rFonts w:hint="eastAsia" w:ascii="宋体" w:hAnsi="宋体" w:cs="宋体"/>
          <w:color w:val="auto"/>
          <w:szCs w:val="21"/>
          <w:u w:val="single"/>
        </w:rPr>
        <w:t xml:space="preserve">              </w:t>
      </w:r>
      <w:r>
        <w:rPr>
          <w:rFonts w:hint="eastAsia" w:ascii="宋体" w:hAnsi="宋体" w:cs="宋体"/>
          <w:color w:val="auto"/>
          <w:szCs w:val="21"/>
        </w:rPr>
        <w:t>元人民币。</w:t>
      </w:r>
    </w:p>
    <w:p w14:paraId="5A8D62BD">
      <w:pPr>
        <w:spacing w:line="440" w:lineRule="exact"/>
        <w:ind w:firstLine="422" w:firstLineChars="200"/>
        <w:jc w:val="left"/>
        <w:rPr>
          <w:rFonts w:ascii="宋体" w:hAnsi="宋体" w:cs="宋体"/>
          <w:b/>
          <w:bCs/>
          <w:color w:val="auto"/>
          <w:szCs w:val="21"/>
        </w:rPr>
      </w:pPr>
      <w:r>
        <w:rPr>
          <w:rFonts w:hint="eastAsia" w:ascii="宋体" w:hAnsi="宋体" w:cs="宋体"/>
          <w:b/>
          <w:bCs/>
          <w:color w:val="auto"/>
          <w:szCs w:val="21"/>
        </w:rPr>
        <w:t>注：1）实际供货与结算时有可能发生变化，实际供货以采购人通知数量，结算时以实际供货数量为准，请供应商在报价时考虑，供货期内中标综合单价不予调整。</w:t>
      </w:r>
    </w:p>
    <w:p w14:paraId="3FF1A0B5">
      <w:pPr>
        <w:numPr>
          <w:ilvl w:val="0"/>
          <w:numId w:val="13"/>
        </w:numPr>
        <w:spacing w:line="440" w:lineRule="exact"/>
        <w:ind w:firstLine="422" w:firstLineChars="200"/>
        <w:jc w:val="left"/>
        <w:rPr>
          <w:rFonts w:ascii="宋体" w:hAnsi="宋体" w:cs="宋体"/>
          <w:b/>
          <w:bCs/>
          <w:color w:val="auto"/>
          <w:szCs w:val="21"/>
        </w:rPr>
      </w:pPr>
      <w:r>
        <w:rPr>
          <w:rFonts w:hint="eastAsia" w:ascii="宋体" w:hAnsi="宋体" w:cs="宋体"/>
          <w:b/>
          <w:bCs/>
          <w:color w:val="auto"/>
          <w:szCs w:val="21"/>
        </w:rPr>
        <w:t>在后续实施过程中，如产生不在本次招标清单里的材料，由中标单位按比例核算和业主双方协商确定单价。</w:t>
      </w:r>
    </w:p>
    <w:p w14:paraId="43AC975D">
      <w:pPr>
        <w:spacing w:line="440" w:lineRule="exact"/>
        <w:ind w:firstLine="420" w:firstLineChars="200"/>
        <w:jc w:val="left"/>
        <w:rPr>
          <w:rFonts w:ascii="宋体" w:hAnsi="宋体" w:cs="宋体"/>
          <w:b/>
          <w:bCs/>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付款方式</w:t>
      </w:r>
      <w:r>
        <w:rPr>
          <w:rFonts w:hint="eastAsia" w:ascii="宋体" w:hAnsi="宋体" w:cs="宋体"/>
          <w:b/>
          <w:bCs/>
          <w:color w:val="auto"/>
          <w:szCs w:val="21"/>
        </w:rPr>
        <w:t>：合同履行期间，中标人将货物运至指定地点并验收合格后，招标人将于90个工作日内支付验收合格且入库货物货款的100%。本项目供货完成后履约保证金直接转为质保金，质保期从合同最后一批货验收合格起开始计算，质保期具体以标书中自行承诺的期限为准，质保期满后一个月内一次性付清。</w:t>
      </w:r>
    </w:p>
    <w:p w14:paraId="7EEB2C51">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合同供货期限：本项目分批次供货，中标人收到招标人供货通知之日起7个历天内完成供货。</w:t>
      </w:r>
    </w:p>
    <w:p w14:paraId="3CAEBCA1">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供货地点：货物运至招标人指定地点。</w:t>
      </w:r>
    </w:p>
    <w:p w14:paraId="53C0AC80">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验收要求及违约责任：</w:t>
      </w:r>
    </w:p>
    <w:p w14:paraId="3D4550E1">
      <w:pPr>
        <w:spacing w:line="440" w:lineRule="exact"/>
        <w:ind w:firstLine="420" w:firstLineChars="200"/>
        <w:rPr>
          <w:rFonts w:ascii="宋体" w:hAnsi="宋体" w:cs="宋体"/>
          <w:color w:val="auto"/>
          <w:szCs w:val="21"/>
        </w:rPr>
      </w:pPr>
      <w:r>
        <w:rPr>
          <w:rFonts w:hint="eastAsia" w:ascii="宋体" w:hAnsi="宋体" w:cs="宋体"/>
          <w:color w:val="auto"/>
          <w:szCs w:val="21"/>
          <w:lang w:val="en-US" w:eastAsia="zh-CN"/>
        </w:rPr>
        <w:t>8.</w:t>
      </w:r>
      <w:r>
        <w:rPr>
          <w:rFonts w:hint="eastAsia" w:ascii="宋体" w:cs="宋体"/>
          <w:color w:val="auto"/>
          <w:szCs w:val="21"/>
        </w:rPr>
        <w:t>违约责任及解决争议方法</w:t>
      </w:r>
    </w:p>
    <w:p w14:paraId="6BFEE5DA">
      <w:pPr>
        <w:spacing w:line="440" w:lineRule="exact"/>
        <w:ind w:firstLine="420" w:firstLineChars="200"/>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合同的生效</w:t>
      </w:r>
    </w:p>
    <w:p w14:paraId="61C8FB7B">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合同经双方授权代表签署，买卖双方加盖印章之后生效。</w:t>
      </w:r>
    </w:p>
    <w:p w14:paraId="1771E5CB">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本合同一式     份，双方各执     份。</w:t>
      </w:r>
    </w:p>
    <w:p w14:paraId="7099CB2E">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买  方：                          卖  方：</w:t>
      </w:r>
    </w:p>
    <w:p w14:paraId="614978B9">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名  称：（盖章）                   名  称：（盖章）</w:t>
      </w:r>
    </w:p>
    <w:p w14:paraId="64C000EC">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法定代表人（或委托代理人）：       法定代表人（或委托代理人）：</w:t>
      </w:r>
    </w:p>
    <w:p w14:paraId="562F15F6">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（签字）                        （签字）</w:t>
      </w:r>
    </w:p>
    <w:p w14:paraId="736DBA57">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地    址：                        地    址：</w:t>
      </w:r>
    </w:p>
    <w:p w14:paraId="215E784C">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邮政编码：                        邮政编码：</w:t>
      </w:r>
    </w:p>
    <w:p w14:paraId="6E71591C">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电    话：                        电    话：</w:t>
      </w:r>
    </w:p>
    <w:p w14:paraId="741E43EE">
      <w:pPr>
        <w:pStyle w:val="13"/>
        <w:spacing w:after="0" w:line="440" w:lineRule="exact"/>
        <w:ind w:left="0" w:leftChars="0"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开户银行：                        开户银行：</w:t>
      </w:r>
    </w:p>
    <w:p w14:paraId="09F6DA91">
      <w:pPr>
        <w:pStyle w:val="13"/>
        <w:spacing w:after="0" w:line="440" w:lineRule="exact"/>
        <w:ind w:left="0" w:leftChars="0" w:firstLine="420" w:firstLineChars="200"/>
        <w:rPr>
          <w:rFonts w:ascii="宋体" w:hAnsi="宋体" w:cs="宋体"/>
          <w:b/>
          <w:color w:val="auto"/>
          <w:sz w:val="30"/>
          <w:szCs w:val="30"/>
        </w:rPr>
      </w:pPr>
      <w:r>
        <w:rPr>
          <w:rFonts w:hint="eastAsia" w:ascii="宋体" w:hAnsi="宋体" w:cs="宋体"/>
          <w:color w:val="auto"/>
          <w:kern w:val="0"/>
          <w:szCs w:val="21"/>
          <w:u w:color="000000"/>
        </w:rPr>
        <w:t>帐    号：                        帐    号：</w:t>
      </w:r>
    </w:p>
    <w:p w14:paraId="3AC0870F">
      <w:pPr>
        <w:rPr>
          <w:color w:val="auto"/>
        </w:rPr>
      </w:pPr>
      <w:r>
        <w:rPr>
          <w:rFonts w:hint="eastAsia"/>
          <w:color w:val="auto"/>
        </w:rPr>
        <w:br w:type="page"/>
      </w:r>
    </w:p>
    <w:p w14:paraId="547944AB">
      <w:pPr>
        <w:pStyle w:val="3"/>
        <w:numPr>
          <w:ilvl w:val="0"/>
          <w:numId w:val="11"/>
        </w:numPr>
        <w:ind w:left="1260" w:hanging="420"/>
        <w:jc w:val="center"/>
        <w:rPr>
          <w:b/>
          <w:bCs/>
          <w:color w:val="auto"/>
          <w:szCs w:val="24"/>
        </w:rPr>
      </w:pPr>
      <w:bookmarkStart w:id="95" w:name="_Toc16580"/>
      <w:bookmarkStart w:id="96" w:name="_Toc4456"/>
      <w:bookmarkStart w:id="97" w:name="_Toc8755"/>
      <w:r>
        <w:rPr>
          <w:rFonts w:hint="eastAsia"/>
          <w:b/>
          <w:bCs/>
          <w:color w:val="auto"/>
          <w:szCs w:val="24"/>
        </w:rPr>
        <w:t>合同条款</w:t>
      </w:r>
      <w:bookmarkEnd w:id="86"/>
      <w:bookmarkEnd w:id="87"/>
      <w:bookmarkEnd w:id="88"/>
      <w:bookmarkEnd w:id="89"/>
      <w:bookmarkEnd w:id="90"/>
      <w:bookmarkEnd w:id="91"/>
      <w:bookmarkEnd w:id="92"/>
      <w:bookmarkEnd w:id="93"/>
      <w:bookmarkEnd w:id="94"/>
      <w:bookmarkEnd w:id="95"/>
      <w:bookmarkEnd w:id="96"/>
      <w:bookmarkEnd w:id="97"/>
    </w:p>
    <w:p w14:paraId="3AC3FD74">
      <w:pPr>
        <w:spacing w:line="440" w:lineRule="exact"/>
        <w:rPr>
          <w:rFonts w:ascii="宋体" w:hAnsi="宋体" w:cs="宋体"/>
          <w:b/>
          <w:color w:val="auto"/>
          <w:szCs w:val="21"/>
        </w:rPr>
      </w:pPr>
      <w:r>
        <w:rPr>
          <w:rFonts w:hint="eastAsia" w:ascii="宋体" w:hAnsi="宋体" w:cs="宋体"/>
          <w:b/>
          <w:color w:val="auto"/>
          <w:szCs w:val="21"/>
        </w:rPr>
        <w:t>一.  合同文件</w:t>
      </w:r>
    </w:p>
    <w:p w14:paraId="45577FB1">
      <w:pPr>
        <w:spacing w:line="440" w:lineRule="exact"/>
        <w:rPr>
          <w:rFonts w:ascii="宋体" w:hAnsi="宋体" w:cs="宋体"/>
          <w:color w:val="auto"/>
          <w:szCs w:val="21"/>
        </w:rPr>
      </w:pPr>
      <w:r>
        <w:rPr>
          <w:rFonts w:hint="eastAsia" w:ascii="宋体" w:hAnsi="宋体" w:cs="宋体"/>
          <w:color w:val="auto"/>
          <w:szCs w:val="21"/>
        </w:rPr>
        <w:t>1、合同文件适用法律</w:t>
      </w:r>
    </w:p>
    <w:p w14:paraId="14935B43">
      <w:pPr>
        <w:spacing w:line="440" w:lineRule="exact"/>
        <w:rPr>
          <w:rFonts w:ascii="宋体" w:hAnsi="宋体" w:cs="宋体"/>
          <w:color w:val="auto"/>
          <w:szCs w:val="21"/>
        </w:rPr>
      </w:pPr>
      <w:r>
        <w:rPr>
          <w:rFonts w:hint="eastAsia" w:ascii="宋体" w:hAnsi="宋体" w:cs="宋体"/>
          <w:color w:val="auto"/>
          <w:szCs w:val="21"/>
        </w:rPr>
        <w:t>适用于合同文件的法律是中华人民共和国现行法律、法规及招标人所在地的地方性法规。</w:t>
      </w:r>
    </w:p>
    <w:p w14:paraId="036F270F">
      <w:pPr>
        <w:spacing w:line="440" w:lineRule="exact"/>
        <w:rPr>
          <w:rFonts w:ascii="宋体" w:hAnsi="宋体" w:cs="宋体"/>
          <w:color w:val="auto"/>
          <w:szCs w:val="21"/>
        </w:rPr>
      </w:pPr>
      <w:r>
        <w:rPr>
          <w:rFonts w:hint="eastAsia" w:ascii="宋体" w:hAnsi="宋体" w:cs="宋体"/>
          <w:color w:val="auto"/>
          <w:szCs w:val="21"/>
        </w:rPr>
        <w:t>2、合同文件组成和解释顺序</w:t>
      </w:r>
    </w:p>
    <w:p w14:paraId="1B1C4577">
      <w:pPr>
        <w:spacing w:line="440" w:lineRule="exact"/>
        <w:rPr>
          <w:rFonts w:ascii="宋体" w:hAnsi="宋体" w:cs="宋体"/>
          <w:color w:val="auto"/>
          <w:szCs w:val="21"/>
        </w:rPr>
      </w:pPr>
      <w:r>
        <w:rPr>
          <w:rFonts w:hint="eastAsia" w:ascii="宋体" w:hAnsi="宋体" w:cs="宋体"/>
          <w:color w:val="auto"/>
          <w:szCs w:val="21"/>
        </w:rPr>
        <w:t>(1)合同文件的组成和解释顺序如下：</w:t>
      </w:r>
    </w:p>
    <w:p w14:paraId="30C37F25">
      <w:pPr>
        <w:spacing w:line="440" w:lineRule="exact"/>
        <w:rPr>
          <w:rFonts w:ascii="宋体" w:hAnsi="宋体" w:cs="宋体"/>
          <w:color w:val="auto"/>
          <w:szCs w:val="21"/>
        </w:rPr>
      </w:pPr>
      <w:r>
        <w:rPr>
          <w:rFonts w:hint="eastAsia" w:ascii="宋体" w:hAnsi="宋体" w:cs="宋体"/>
          <w:color w:val="auto"/>
          <w:szCs w:val="21"/>
        </w:rPr>
        <w:t>&lt;1&gt;合同的主要条款；</w:t>
      </w:r>
    </w:p>
    <w:p w14:paraId="3A676D2D">
      <w:pPr>
        <w:spacing w:line="440" w:lineRule="exact"/>
        <w:rPr>
          <w:rFonts w:ascii="宋体" w:hAnsi="宋体" w:cs="宋体"/>
          <w:color w:val="auto"/>
          <w:szCs w:val="21"/>
        </w:rPr>
      </w:pPr>
      <w:r>
        <w:rPr>
          <w:rFonts w:hint="eastAsia" w:ascii="宋体" w:hAnsi="宋体" w:cs="宋体"/>
          <w:color w:val="auto"/>
          <w:szCs w:val="21"/>
        </w:rPr>
        <w:t>&lt;2&gt;合同的一般性条款；</w:t>
      </w:r>
    </w:p>
    <w:p w14:paraId="2DEAB0E7">
      <w:pPr>
        <w:spacing w:line="440" w:lineRule="exact"/>
        <w:rPr>
          <w:rFonts w:ascii="宋体" w:hAnsi="宋体" w:cs="宋体"/>
          <w:color w:val="auto"/>
          <w:szCs w:val="21"/>
        </w:rPr>
      </w:pPr>
      <w:r>
        <w:rPr>
          <w:rFonts w:hint="eastAsia" w:ascii="宋体" w:hAnsi="宋体" w:cs="宋体"/>
          <w:color w:val="auto"/>
          <w:szCs w:val="21"/>
        </w:rPr>
        <w:t>&lt;3&gt;洽商、变更等明确双方权利义务的纪要、协议；</w:t>
      </w:r>
    </w:p>
    <w:p w14:paraId="433B972A">
      <w:pPr>
        <w:spacing w:line="440" w:lineRule="exact"/>
        <w:rPr>
          <w:rFonts w:ascii="宋体" w:hAnsi="宋体" w:cs="宋体"/>
          <w:color w:val="auto"/>
          <w:szCs w:val="21"/>
        </w:rPr>
      </w:pPr>
      <w:r>
        <w:rPr>
          <w:rFonts w:hint="eastAsia" w:ascii="宋体" w:hAnsi="宋体" w:cs="宋体"/>
          <w:color w:val="auto"/>
          <w:szCs w:val="21"/>
        </w:rPr>
        <w:t>&lt;4&gt;中标通知书、投标文件和招标文件；</w:t>
      </w:r>
    </w:p>
    <w:p w14:paraId="735717C0">
      <w:pPr>
        <w:spacing w:line="440" w:lineRule="exact"/>
        <w:rPr>
          <w:rFonts w:ascii="宋体" w:hAnsi="宋体" w:cs="宋体"/>
          <w:color w:val="auto"/>
          <w:szCs w:val="21"/>
        </w:rPr>
      </w:pPr>
      <w:r>
        <w:rPr>
          <w:rFonts w:hint="eastAsia" w:ascii="宋体" w:hAnsi="宋体" w:cs="宋体"/>
          <w:color w:val="auto"/>
          <w:szCs w:val="21"/>
        </w:rPr>
        <w:t>&lt;5&gt;有关图纸、标准、规范和其它有关技术资料、技术要求。</w:t>
      </w:r>
    </w:p>
    <w:p w14:paraId="66E21A6A">
      <w:pPr>
        <w:spacing w:line="440" w:lineRule="exact"/>
        <w:rPr>
          <w:rFonts w:ascii="宋体" w:hAnsi="宋体" w:cs="宋体"/>
          <w:color w:val="auto"/>
          <w:szCs w:val="21"/>
        </w:rPr>
      </w:pPr>
      <w:r>
        <w:rPr>
          <w:rFonts w:hint="eastAsia" w:ascii="宋体" w:hAnsi="宋体" w:cs="宋体"/>
          <w:color w:val="auto"/>
          <w:szCs w:val="21"/>
        </w:rPr>
        <w:t>&lt;6&gt;合同的主要条款的效力优于合同的一般性条款的效力。</w:t>
      </w:r>
    </w:p>
    <w:p w14:paraId="77A57EE6">
      <w:pPr>
        <w:spacing w:line="440" w:lineRule="exact"/>
        <w:rPr>
          <w:rFonts w:ascii="宋体" w:hAnsi="宋体" w:cs="宋体"/>
          <w:color w:val="auto"/>
          <w:szCs w:val="21"/>
        </w:rPr>
      </w:pPr>
      <w:r>
        <w:rPr>
          <w:rFonts w:hint="eastAsia" w:ascii="宋体" w:hAnsi="宋体" w:cs="宋体"/>
          <w:color w:val="auto"/>
          <w:szCs w:val="21"/>
        </w:rPr>
        <w:t>3、合同文件使用文字</w:t>
      </w:r>
    </w:p>
    <w:p w14:paraId="18899E71">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(1)合同文件使用中文书写、解释和说明。</w:t>
      </w:r>
    </w:p>
    <w:p w14:paraId="48E0F491">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 xml:space="preserve">(2)合同文件使用技术性条款约定的为国家标准和规范；国家没有相应标准、规范时，可使用行业标准、规范。非标货物应按约定的技术性条款的标准和规范。 </w:t>
      </w:r>
    </w:p>
    <w:p w14:paraId="57A6EBE9">
      <w:pPr>
        <w:spacing w:line="440" w:lineRule="exact"/>
        <w:rPr>
          <w:rFonts w:ascii="宋体" w:hAnsi="宋体" w:cs="宋体"/>
          <w:b/>
          <w:color w:val="auto"/>
          <w:szCs w:val="21"/>
        </w:rPr>
      </w:pPr>
      <w:r>
        <w:rPr>
          <w:rFonts w:hint="eastAsia" w:ascii="宋体" w:hAnsi="宋体" w:cs="宋体"/>
          <w:b/>
          <w:color w:val="auto"/>
          <w:szCs w:val="21"/>
        </w:rPr>
        <w:t>二.  标的物的一般条款</w:t>
      </w:r>
    </w:p>
    <w:p w14:paraId="25036C81">
      <w:pPr>
        <w:spacing w:line="440" w:lineRule="exact"/>
        <w:rPr>
          <w:rFonts w:ascii="宋体" w:hAnsi="宋体" w:cs="宋体"/>
          <w:color w:val="auto"/>
          <w:szCs w:val="21"/>
        </w:rPr>
      </w:pPr>
      <w:r>
        <w:rPr>
          <w:rFonts w:hint="eastAsia" w:ascii="宋体" w:hAnsi="宋体" w:cs="宋体"/>
          <w:color w:val="auto"/>
          <w:szCs w:val="21"/>
        </w:rPr>
        <w:t>4、完整物权</w:t>
      </w:r>
    </w:p>
    <w:p w14:paraId="70AACB39">
      <w:pPr>
        <w:tabs>
          <w:tab w:val="left" w:pos="660"/>
        </w:tabs>
        <w:spacing w:line="440" w:lineRule="exact"/>
        <w:rPr>
          <w:rFonts w:ascii="宋体" w:hAnsi="宋体" w:cs="宋体"/>
          <w:color w:val="auto"/>
          <w:szCs w:val="21"/>
        </w:rPr>
      </w:pPr>
      <w:r>
        <w:rPr>
          <w:rFonts w:hint="eastAsia" w:ascii="宋体" w:hAnsi="宋体" w:cs="宋体"/>
          <w:color w:val="auto"/>
          <w:szCs w:val="21"/>
        </w:rPr>
        <w:t>对于出卖的标的物，卖方应当拥有完整物权，并且卖方负有保证第三人不得向买方主张任何权利（包括知识产权）的义务。</w:t>
      </w:r>
    </w:p>
    <w:p w14:paraId="50524EEE">
      <w:pPr>
        <w:spacing w:line="440" w:lineRule="exact"/>
        <w:rPr>
          <w:rFonts w:ascii="宋体" w:hAnsi="宋体" w:cs="宋体"/>
          <w:color w:val="auto"/>
          <w:szCs w:val="21"/>
        </w:rPr>
      </w:pPr>
      <w:r>
        <w:rPr>
          <w:rFonts w:hint="eastAsia" w:ascii="宋体" w:hAnsi="宋体" w:cs="宋体"/>
          <w:color w:val="auto"/>
          <w:szCs w:val="21"/>
        </w:rPr>
        <w:t>5、质量保证</w:t>
      </w:r>
    </w:p>
    <w:p w14:paraId="27299131">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14FC8E1">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2188F4F7">
      <w:pPr>
        <w:pStyle w:val="11"/>
        <w:tabs>
          <w:tab w:val="left" w:pos="900"/>
        </w:tabs>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13C78BB2">
      <w:pPr>
        <w:spacing w:line="440" w:lineRule="exact"/>
        <w:rPr>
          <w:rFonts w:ascii="宋体" w:hAnsi="宋体" w:cs="宋体"/>
          <w:color w:val="auto"/>
          <w:szCs w:val="21"/>
        </w:rPr>
      </w:pPr>
      <w:r>
        <w:rPr>
          <w:rFonts w:hint="eastAsia" w:ascii="宋体" w:hAnsi="宋体" w:cs="宋体"/>
          <w:color w:val="auto"/>
          <w:szCs w:val="21"/>
        </w:rPr>
        <w:t>6、包装</w:t>
      </w:r>
    </w:p>
    <w:p w14:paraId="16B7CC10">
      <w:pPr>
        <w:pStyle w:val="11"/>
        <w:tabs>
          <w:tab w:val="left" w:pos="900"/>
        </w:tabs>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5AD37571">
      <w:pPr>
        <w:spacing w:line="440" w:lineRule="exact"/>
        <w:rPr>
          <w:rFonts w:ascii="宋体" w:hAnsi="宋体" w:cs="宋体"/>
          <w:color w:val="auto"/>
          <w:szCs w:val="21"/>
        </w:rPr>
      </w:pPr>
      <w:r>
        <w:rPr>
          <w:rFonts w:hint="eastAsia" w:ascii="宋体" w:hAnsi="宋体" w:cs="宋体"/>
          <w:color w:val="auto"/>
          <w:szCs w:val="21"/>
        </w:rPr>
        <w:t>7、伴随服务</w:t>
      </w:r>
    </w:p>
    <w:p w14:paraId="7856D604">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(1)卖方除应履行按期按量交付合格标的物的义务之外，还应提供下列服务：</w:t>
      </w:r>
    </w:p>
    <w:p w14:paraId="2115F85F">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&lt;1&gt;标的物的现场安装或指导安装、启动、调试、监督（如果必须安装、调试的话）；</w:t>
      </w:r>
    </w:p>
    <w:p w14:paraId="12B04126">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&lt;2&gt;提供标的物组装和一般维修所必须的工具；</w:t>
      </w:r>
    </w:p>
    <w:p w14:paraId="7575FF87">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&lt;3&gt;在合同规定的期限内对所提供标的物实行运行监督、维修服务的前提条件是该服务并不能免除卖方在质量保证期内所承担的义务；</w:t>
      </w:r>
    </w:p>
    <w:p w14:paraId="7D140D59">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&lt;4&gt;对买方技术人员的技术指导或培训。</w:t>
      </w:r>
    </w:p>
    <w:p w14:paraId="4F12EBF4">
      <w:pPr>
        <w:pStyle w:val="11"/>
        <w:numPr>
          <w:ilvl w:val="0"/>
          <w:numId w:val="14"/>
        </w:numPr>
        <w:overflowPunct w:val="0"/>
        <w:spacing w:line="440" w:lineRule="exact"/>
        <w:ind w:firstLine="0"/>
        <w:rPr>
          <w:color w:val="auto"/>
        </w:rPr>
      </w:pPr>
      <w:r>
        <w:rPr>
          <w:rFonts w:hint="eastAsia" w:ascii="宋体" w:hAnsi="宋体" w:cs="宋体"/>
          <w:color w:val="auto"/>
          <w:sz w:val="21"/>
          <w:szCs w:val="21"/>
          <w:u w:color="000000"/>
        </w:rPr>
        <w:t>除合同另有规定之外，伴随服务的费用均已含在合同价款中，买方不再另行进行支付。</w:t>
      </w:r>
    </w:p>
    <w:p w14:paraId="2D37308F">
      <w:pPr>
        <w:spacing w:line="440" w:lineRule="exact"/>
        <w:rPr>
          <w:rFonts w:ascii="宋体" w:hAnsi="宋体" w:cs="宋体"/>
          <w:b/>
          <w:color w:val="auto"/>
          <w:szCs w:val="21"/>
        </w:rPr>
      </w:pPr>
      <w:r>
        <w:rPr>
          <w:rFonts w:hint="eastAsia" w:ascii="宋体" w:hAnsi="宋体" w:cs="宋体"/>
          <w:b/>
          <w:color w:val="auto"/>
          <w:szCs w:val="21"/>
        </w:rPr>
        <w:t>三.  标的物的交付、检验和验收</w:t>
      </w:r>
    </w:p>
    <w:p w14:paraId="5A1C635B">
      <w:pPr>
        <w:spacing w:line="440" w:lineRule="exact"/>
        <w:rPr>
          <w:rFonts w:ascii="宋体" w:hAnsi="宋体" w:cs="宋体"/>
          <w:color w:val="auto"/>
          <w:szCs w:val="21"/>
        </w:rPr>
      </w:pPr>
      <w:r>
        <w:rPr>
          <w:rFonts w:hint="eastAsia" w:ascii="宋体" w:hAnsi="宋体" w:cs="宋体"/>
          <w:color w:val="auto"/>
          <w:szCs w:val="21"/>
        </w:rPr>
        <w:t>8、标的物的交付</w:t>
      </w:r>
    </w:p>
    <w:p w14:paraId="170DCA95">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(1)标的物的所有权自标的物交付时转移。</w:t>
      </w:r>
    </w:p>
    <w:p w14:paraId="66C5F588">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(2)卖方应当按照约定的期限和约定的地点交付符合招标文件要求的标的物。</w:t>
      </w:r>
    </w:p>
    <w:p w14:paraId="77AEDF22">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(3)卖方应当按照约定或者交易习惯向招标人交付提取标的物单证以外的有关单证和资料。</w:t>
      </w:r>
    </w:p>
    <w:p w14:paraId="17112715">
      <w:pPr>
        <w:spacing w:line="440" w:lineRule="exact"/>
        <w:rPr>
          <w:rFonts w:ascii="宋体" w:hAnsi="宋体" w:cs="宋体"/>
          <w:color w:val="auto"/>
          <w:szCs w:val="21"/>
        </w:rPr>
      </w:pPr>
      <w:r>
        <w:rPr>
          <w:rFonts w:hint="eastAsia" w:ascii="宋体" w:hAnsi="宋体" w:cs="宋体"/>
          <w:color w:val="auto"/>
          <w:szCs w:val="21"/>
        </w:rPr>
        <w:t>9、检验和验收</w:t>
      </w:r>
    </w:p>
    <w:p w14:paraId="078D932D">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78C001CA">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(2)买方根据合同规定的内容和验收标准进行验收，经检验无误后出具验收合格证明，该证明作为最终付款所需文件的组成部分。</w:t>
      </w:r>
    </w:p>
    <w:p w14:paraId="479F1271">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(3)验收期限自标的物交付之日起三十天内。特殊情况需延长的，双方应在合同条款中约定。</w:t>
      </w:r>
    </w:p>
    <w:p w14:paraId="2E6FCFA5">
      <w:pPr>
        <w:spacing w:line="440" w:lineRule="exact"/>
        <w:rPr>
          <w:rFonts w:ascii="宋体" w:hAnsi="宋体" w:cs="宋体"/>
          <w:b/>
          <w:color w:val="auto"/>
          <w:szCs w:val="21"/>
        </w:rPr>
      </w:pPr>
      <w:r>
        <w:rPr>
          <w:rFonts w:hint="eastAsia" w:ascii="宋体" w:hAnsi="宋体" w:cs="宋体"/>
          <w:b/>
          <w:color w:val="auto"/>
          <w:szCs w:val="21"/>
        </w:rPr>
        <w:t>四. 对标的物提出异议的时间和办法</w:t>
      </w:r>
    </w:p>
    <w:p w14:paraId="7F103945">
      <w:pPr>
        <w:spacing w:line="440" w:lineRule="exact"/>
        <w:rPr>
          <w:rFonts w:ascii="宋体" w:hAnsi="宋体" w:cs="宋体"/>
          <w:color w:val="auto"/>
          <w:szCs w:val="21"/>
        </w:rPr>
      </w:pPr>
      <w:r>
        <w:rPr>
          <w:rFonts w:hint="eastAsia" w:ascii="宋体" w:hAnsi="宋体" w:cs="宋体"/>
          <w:color w:val="auto"/>
          <w:szCs w:val="21"/>
        </w:rPr>
        <w:t xml:space="preserve">10、对标的物提出异议的时间和办法 </w:t>
      </w:r>
    </w:p>
    <w:p w14:paraId="3484A6AB">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(1)买方在验收过程中，应当于双方约定的检验期间内将标的物的数量或质量不符合约定的情形及处理方式以书面形式通知卖方。</w:t>
      </w:r>
    </w:p>
    <w:p w14:paraId="366B564B">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(2)如买方在验收期满后既不出具验收合格证明又未提出书面异议的视为卖方所交标的物符合合同规定。</w:t>
      </w:r>
    </w:p>
    <w:p w14:paraId="4DDE9218">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(3)卖方应在收到买方书面异议后七天内负责处理问题，否则将视为默认买方提出的异议和处理意见。</w:t>
      </w:r>
    </w:p>
    <w:p w14:paraId="40BB648B">
      <w:pPr>
        <w:spacing w:line="440" w:lineRule="exact"/>
        <w:rPr>
          <w:rFonts w:ascii="宋体" w:hAnsi="宋体" w:cs="宋体"/>
          <w:b/>
          <w:color w:val="auto"/>
          <w:szCs w:val="21"/>
        </w:rPr>
      </w:pPr>
      <w:r>
        <w:rPr>
          <w:rFonts w:hint="eastAsia" w:ascii="宋体" w:hAnsi="宋体" w:cs="宋体"/>
          <w:b/>
          <w:color w:val="auto"/>
          <w:szCs w:val="21"/>
        </w:rPr>
        <w:t>五. 合同价款和支付</w:t>
      </w:r>
    </w:p>
    <w:p w14:paraId="32D454C4">
      <w:pPr>
        <w:spacing w:line="440" w:lineRule="exact"/>
        <w:rPr>
          <w:rFonts w:ascii="宋体" w:hAnsi="宋体" w:cs="宋体"/>
          <w:color w:val="auto"/>
          <w:szCs w:val="21"/>
        </w:rPr>
      </w:pPr>
      <w:r>
        <w:rPr>
          <w:rFonts w:hint="eastAsia" w:ascii="宋体" w:hAnsi="宋体" w:cs="宋体"/>
          <w:color w:val="auto"/>
          <w:szCs w:val="21"/>
        </w:rPr>
        <w:t>11、合同价款和支付</w:t>
      </w:r>
    </w:p>
    <w:p w14:paraId="341A4338">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(1)本合同的结算货币为人民币，单位元。</w:t>
      </w:r>
    </w:p>
    <w:p w14:paraId="12D64859">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(2)卖方应按照双方签订的合同规定交货并在合同主要条款规定的期限内持下列单据结算货款：</w:t>
      </w:r>
    </w:p>
    <w:p w14:paraId="5255FFDF">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&lt;1&gt;合格的销售发票；</w:t>
      </w:r>
    </w:p>
    <w:p w14:paraId="61B4C0B2">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&lt;2&gt;买方盖章签收后的送货回单和验收合格证明。</w:t>
      </w:r>
    </w:p>
    <w:p w14:paraId="556AE216">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(3)买方应按合同主要条款规定的期限和方式付款。</w:t>
      </w:r>
    </w:p>
    <w:p w14:paraId="2333A29C">
      <w:pPr>
        <w:pStyle w:val="11"/>
        <w:tabs>
          <w:tab w:val="left" w:pos="540"/>
        </w:tabs>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(4)根据现行税法对买方征收的与本合同有关的一切税费均由买方承担；根据现行税法对卖方征收的与本合同有关的一切税费均由卖方承担。</w:t>
      </w:r>
    </w:p>
    <w:p w14:paraId="78DC1903">
      <w:pPr>
        <w:spacing w:line="440" w:lineRule="exact"/>
        <w:rPr>
          <w:rFonts w:ascii="宋体" w:hAnsi="宋体" w:cs="宋体"/>
          <w:b/>
          <w:color w:val="auto"/>
          <w:szCs w:val="21"/>
        </w:rPr>
      </w:pPr>
      <w:r>
        <w:rPr>
          <w:rFonts w:hint="eastAsia" w:ascii="宋体" w:hAnsi="宋体" w:cs="宋体"/>
          <w:b/>
          <w:color w:val="auto"/>
          <w:szCs w:val="21"/>
        </w:rPr>
        <w:t>六. 违约责任</w:t>
      </w:r>
    </w:p>
    <w:p w14:paraId="24D621C9">
      <w:pPr>
        <w:spacing w:line="440" w:lineRule="exact"/>
        <w:rPr>
          <w:rFonts w:ascii="宋体" w:hAnsi="宋体" w:cs="宋体"/>
          <w:color w:val="auto"/>
          <w:szCs w:val="21"/>
        </w:rPr>
      </w:pPr>
      <w:r>
        <w:rPr>
          <w:rFonts w:hint="eastAsia" w:ascii="宋体" w:hAnsi="宋体" w:cs="宋体"/>
          <w:color w:val="auto"/>
          <w:szCs w:val="21"/>
        </w:rPr>
        <w:t>12、违约责任</w:t>
      </w:r>
    </w:p>
    <w:p w14:paraId="1EEC38D9">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合同一方不履行合同义务或者履行合同义务不符合约定的，应当承担继续履行、采取补救措施或者赔偿损失等违约责任。</w:t>
      </w:r>
    </w:p>
    <w:p w14:paraId="09525063">
      <w:pPr>
        <w:spacing w:line="440" w:lineRule="exact"/>
        <w:rPr>
          <w:rFonts w:ascii="宋体" w:hAnsi="宋体" w:cs="宋体"/>
          <w:color w:val="auto"/>
          <w:szCs w:val="21"/>
        </w:rPr>
      </w:pPr>
      <w:r>
        <w:rPr>
          <w:rFonts w:hint="eastAsia" w:ascii="宋体" w:hAnsi="宋体" w:cs="宋体"/>
          <w:color w:val="auto"/>
          <w:szCs w:val="21"/>
        </w:rPr>
        <w:t>13、买方违约责任</w:t>
      </w:r>
    </w:p>
    <w:p w14:paraId="7CF197F5">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(1)在合同生效后，买方要求退货的，应向卖方偿付合同总价款的5%，作为违约金，违约金不足以补偿损失的，卖方有权要求甲方补足。</w:t>
      </w:r>
    </w:p>
    <w:p w14:paraId="041164B1">
      <w:pPr>
        <w:pStyle w:val="11"/>
        <w:overflowPunct w:val="0"/>
        <w:spacing w:line="440" w:lineRule="exact"/>
        <w:ind w:right="-334" w:rightChars="-159" w:firstLine="0"/>
        <w:rPr>
          <w:rFonts w:ascii="宋体" w:hAnsi="宋体" w:cs="宋体"/>
          <w:color w:val="auto"/>
          <w:sz w:val="21"/>
          <w:szCs w:val="21"/>
          <w:u w:color="000000"/>
        </w:rPr>
      </w:pPr>
      <w:r>
        <w:rPr>
          <w:rFonts w:hint="eastAsia" w:ascii="宋体" w:hAnsi="宋体" w:cs="宋体"/>
          <w:color w:val="auto"/>
          <w:sz w:val="21"/>
          <w:szCs w:val="21"/>
          <w:u w:color="000000"/>
        </w:rPr>
        <w:t>(2)买方逾期付款的应按照逾期付款金额的每天万分之四支付逾期付款违约金。</w:t>
      </w:r>
    </w:p>
    <w:p w14:paraId="16B16D41">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(3)买方违反合同规定，拒绝接收卖方交付的符合招标文件要求的合格标的物，应当承担卖方由此造成的损失。</w:t>
      </w:r>
    </w:p>
    <w:p w14:paraId="2398A807">
      <w:pPr>
        <w:spacing w:line="440" w:lineRule="exact"/>
        <w:rPr>
          <w:rFonts w:ascii="宋体" w:hAnsi="宋体" w:cs="宋体"/>
          <w:color w:val="auto"/>
          <w:szCs w:val="21"/>
        </w:rPr>
      </w:pPr>
      <w:r>
        <w:rPr>
          <w:rFonts w:hint="eastAsia" w:ascii="宋体" w:hAnsi="宋体" w:cs="宋体"/>
          <w:color w:val="auto"/>
          <w:szCs w:val="21"/>
        </w:rPr>
        <w:t>14、卖方违约责任</w:t>
      </w:r>
    </w:p>
    <w:p w14:paraId="78CD3298">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(1)卖方不能交货（逾期超过五天视为不能交货），或交货不合格从而影响买方按期正常使用的，应向买方偿付合同总价款5%的违约金，违约金不足以补偿损失的，买方有权要求卖方补足。</w:t>
      </w:r>
    </w:p>
    <w:p w14:paraId="2FA6423B">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7193E14E">
      <w:pPr>
        <w:spacing w:line="440" w:lineRule="exact"/>
        <w:rPr>
          <w:rFonts w:ascii="宋体" w:hAnsi="宋体" w:cs="宋体"/>
          <w:color w:val="auto"/>
          <w:szCs w:val="21"/>
        </w:rPr>
      </w:pPr>
      <w:r>
        <w:rPr>
          <w:rFonts w:hint="eastAsia" w:ascii="宋体" w:hAnsi="宋体" w:cs="宋体"/>
          <w:color w:val="auto"/>
          <w:szCs w:val="21"/>
        </w:rPr>
        <w:t>15、不可抗力</w:t>
      </w:r>
    </w:p>
    <w:p w14:paraId="66201601">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(1)因水灾、火灾、地震、战争等不可抗力不能履行合同的，根据不可抗力的影响，部分或者全部免除责任。但合同一方迟延履行后发生不可抗力的，不能免除责任。</w:t>
      </w:r>
    </w:p>
    <w:p w14:paraId="207C2696">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(2)合同一方因不可抗力不能履行合同的，应当及时通知对方，以减轻可能给对方造成的损失，并应当在合理期限内提供证明。</w:t>
      </w:r>
    </w:p>
    <w:p w14:paraId="06A115DA">
      <w:pPr>
        <w:spacing w:line="440" w:lineRule="exact"/>
        <w:rPr>
          <w:rFonts w:ascii="宋体" w:hAnsi="宋体" w:cs="宋体"/>
          <w:b/>
          <w:color w:val="auto"/>
          <w:szCs w:val="21"/>
        </w:rPr>
      </w:pPr>
      <w:r>
        <w:rPr>
          <w:rFonts w:hint="eastAsia" w:ascii="宋体" w:hAnsi="宋体" w:cs="宋体"/>
          <w:b/>
          <w:color w:val="auto"/>
          <w:szCs w:val="21"/>
        </w:rPr>
        <w:t>七. 索赔</w:t>
      </w:r>
    </w:p>
    <w:p w14:paraId="1381E900">
      <w:pPr>
        <w:spacing w:line="440" w:lineRule="exact"/>
        <w:rPr>
          <w:rFonts w:ascii="宋体" w:hAnsi="宋体" w:cs="宋体"/>
          <w:color w:val="auto"/>
          <w:szCs w:val="21"/>
        </w:rPr>
      </w:pPr>
      <w:r>
        <w:rPr>
          <w:rFonts w:hint="eastAsia" w:ascii="宋体" w:hAnsi="宋体" w:cs="宋体"/>
          <w:color w:val="auto"/>
          <w:szCs w:val="21"/>
        </w:rPr>
        <w:t>16、索赔</w:t>
      </w:r>
    </w:p>
    <w:p w14:paraId="10968043">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(1)买方有权根据当地产品质量检验机构或其它有权威部门出具的检验证书向卖方提出索赔。</w:t>
      </w:r>
    </w:p>
    <w:p w14:paraId="40B8CF96">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(2)在本合同规定的检验期和质量保证期内，如果卖方对买方提出的索赔或差异有责任，则卖方应按买方同意的下列一种或多种方式解决索赔事宜：</w:t>
      </w:r>
    </w:p>
    <w:p w14:paraId="2130484C">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0F60098B">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&lt;2&gt;根据标的物的低劣程度、损坏程度以及甲方遭受损失的数额，经双方协商确定降低标的物的价格；</w:t>
      </w:r>
    </w:p>
    <w:p w14:paraId="57DEBCAD">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51B0CB0">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229261CF">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(4)买方提出索赔的书面材料应报当地政府采购管理部门备案。卖方同意的索赔方案应报当地政府采购管理部门审核。</w:t>
      </w:r>
    </w:p>
    <w:p w14:paraId="6274EA9A">
      <w:pPr>
        <w:spacing w:line="440" w:lineRule="exact"/>
        <w:rPr>
          <w:rFonts w:ascii="宋体" w:hAnsi="宋体" w:cs="宋体"/>
          <w:b/>
          <w:color w:val="auto"/>
          <w:szCs w:val="21"/>
        </w:rPr>
      </w:pPr>
      <w:r>
        <w:rPr>
          <w:rFonts w:hint="eastAsia" w:ascii="宋体" w:hAnsi="宋体" w:cs="宋体"/>
          <w:b/>
          <w:color w:val="auto"/>
          <w:szCs w:val="21"/>
        </w:rPr>
        <w:t>八. 履约保证金</w:t>
      </w:r>
    </w:p>
    <w:p w14:paraId="3409F370">
      <w:pPr>
        <w:spacing w:line="440" w:lineRule="exact"/>
        <w:rPr>
          <w:rFonts w:ascii="宋体" w:hAnsi="宋体" w:cs="宋体"/>
          <w:color w:val="auto"/>
          <w:szCs w:val="21"/>
        </w:rPr>
      </w:pPr>
      <w:r>
        <w:rPr>
          <w:rFonts w:hint="eastAsia" w:ascii="宋体" w:hAnsi="宋体" w:cs="宋体"/>
          <w:color w:val="auto"/>
          <w:szCs w:val="21"/>
        </w:rPr>
        <w:t>17、履约保证金</w:t>
      </w:r>
    </w:p>
    <w:p w14:paraId="6B11C362">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(1)卖方应在本合同签订时，按招标文件的约定提供相应的履约保证金，保证金的有效期应不低于合同有效期。</w:t>
      </w:r>
    </w:p>
    <w:p w14:paraId="64D0789E">
      <w:pPr>
        <w:pStyle w:val="11"/>
        <w:overflowPunct w:val="0"/>
        <w:spacing w:line="440" w:lineRule="exact"/>
        <w:ind w:right="-334" w:rightChars="-159" w:firstLine="0"/>
        <w:rPr>
          <w:rFonts w:ascii="宋体" w:hAnsi="宋体" w:cs="宋体"/>
          <w:color w:val="auto"/>
          <w:sz w:val="21"/>
          <w:szCs w:val="21"/>
          <w:u w:color="000000"/>
        </w:rPr>
      </w:pPr>
      <w:r>
        <w:rPr>
          <w:rFonts w:hint="eastAsia" w:ascii="宋体" w:hAnsi="宋体" w:cs="宋体"/>
          <w:color w:val="auto"/>
          <w:sz w:val="21"/>
          <w:szCs w:val="21"/>
          <w:u w:color="000000"/>
        </w:rPr>
        <w:t>(2)如果卖方未能履行合同规定的任何义务，买方有权从履约保证金中取得补偿。</w:t>
      </w:r>
    </w:p>
    <w:p w14:paraId="02012356">
      <w:pPr>
        <w:spacing w:line="440" w:lineRule="exact"/>
        <w:rPr>
          <w:rFonts w:ascii="宋体" w:hAnsi="宋体" w:cs="宋体"/>
          <w:b/>
          <w:color w:val="auto"/>
          <w:szCs w:val="21"/>
        </w:rPr>
      </w:pPr>
      <w:r>
        <w:rPr>
          <w:rFonts w:hint="eastAsia" w:ascii="宋体" w:hAnsi="宋体" w:cs="宋体"/>
          <w:b/>
          <w:color w:val="auto"/>
          <w:szCs w:val="21"/>
        </w:rPr>
        <w:t>九.  合同的解除和转让</w:t>
      </w:r>
    </w:p>
    <w:p w14:paraId="59ACEB27">
      <w:pPr>
        <w:spacing w:line="440" w:lineRule="exact"/>
        <w:rPr>
          <w:rFonts w:ascii="宋体" w:hAnsi="宋体" w:cs="宋体"/>
          <w:color w:val="auto"/>
          <w:szCs w:val="21"/>
        </w:rPr>
      </w:pPr>
      <w:r>
        <w:rPr>
          <w:rFonts w:hint="eastAsia" w:ascii="宋体" w:hAnsi="宋体" w:cs="宋体"/>
          <w:color w:val="auto"/>
          <w:szCs w:val="21"/>
        </w:rPr>
        <w:t>18、合同的解除</w:t>
      </w:r>
    </w:p>
    <w:p w14:paraId="51816433">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(1)买方和卖方协商一致，可以解除合同。</w:t>
      </w:r>
    </w:p>
    <w:p w14:paraId="5F5F910B">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(2)有下列情形之一，合同一方可以解除合同：</w:t>
      </w:r>
    </w:p>
    <w:p w14:paraId="31E7566B">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&lt;1&gt;因不可抗力致使不能实现合同目的，未受不可抗力影响的一方有权解除合同；</w:t>
      </w:r>
    </w:p>
    <w:p w14:paraId="2BA41451">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&lt;2&gt;因合同一方违约导致合同不能履行，另一方有权解除合同。</w:t>
      </w:r>
    </w:p>
    <w:p w14:paraId="5E3DBF81">
      <w:pPr>
        <w:pStyle w:val="11"/>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(3)有权解除合同的一方，应当在违约事实或不可抗力发生之后三十天内书面通知对方以主张解除合同，合同在书面通知到达对方时解除。</w:t>
      </w:r>
    </w:p>
    <w:p w14:paraId="48363D3F">
      <w:pPr>
        <w:spacing w:line="440" w:lineRule="exact"/>
        <w:rPr>
          <w:rFonts w:ascii="宋体" w:hAnsi="宋体" w:cs="宋体"/>
          <w:color w:val="auto"/>
          <w:szCs w:val="21"/>
        </w:rPr>
      </w:pPr>
      <w:r>
        <w:rPr>
          <w:rFonts w:hint="eastAsia" w:ascii="宋体" w:hAnsi="宋体" w:cs="宋体"/>
          <w:color w:val="auto"/>
          <w:szCs w:val="21"/>
        </w:rPr>
        <w:t>19、合同的转让</w:t>
      </w:r>
    </w:p>
    <w:p w14:paraId="6B8EAABF">
      <w:pPr>
        <w:spacing w:line="440" w:lineRule="exact"/>
        <w:rPr>
          <w:rFonts w:ascii="宋体" w:hAnsi="宋体" w:cs="宋体"/>
          <w:color w:val="auto"/>
          <w:szCs w:val="21"/>
        </w:rPr>
      </w:pPr>
      <w:r>
        <w:rPr>
          <w:rFonts w:hint="eastAsia" w:ascii="宋体" w:hAnsi="宋体" w:cs="宋体"/>
          <w:color w:val="auto"/>
          <w:szCs w:val="21"/>
        </w:rPr>
        <w:t xml:space="preserve"> 合同的部分和全部都不得转让。</w:t>
      </w:r>
    </w:p>
    <w:p w14:paraId="58371F5C">
      <w:pPr>
        <w:spacing w:line="440" w:lineRule="exact"/>
        <w:rPr>
          <w:rFonts w:ascii="宋体" w:hAnsi="宋体" w:cs="宋体"/>
          <w:b/>
          <w:color w:val="auto"/>
          <w:szCs w:val="21"/>
        </w:rPr>
      </w:pPr>
      <w:r>
        <w:rPr>
          <w:rFonts w:hint="eastAsia" w:ascii="宋体" w:hAnsi="宋体" w:cs="宋体"/>
          <w:b/>
          <w:color w:val="auto"/>
          <w:szCs w:val="21"/>
        </w:rPr>
        <w:t>十. 合同的生效</w:t>
      </w:r>
    </w:p>
    <w:p w14:paraId="06DF6FBD">
      <w:pPr>
        <w:spacing w:line="440" w:lineRule="exact"/>
        <w:rPr>
          <w:rFonts w:ascii="宋体" w:hAnsi="宋体" w:cs="宋体"/>
          <w:color w:val="auto"/>
          <w:szCs w:val="21"/>
        </w:rPr>
      </w:pPr>
      <w:r>
        <w:rPr>
          <w:rFonts w:hint="eastAsia" w:ascii="宋体" w:hAnsi="宋体" w:cs="宋体"/>
          <w:color w:val="auto"/>
          <w:szCs w:val="21"/>
        </w:rPr>
        <w:t>20、合同的生效</w:t>
      </w:r>
    </w:p>
    <w:p w14:paraId="278607FE">
      <w:pPr>
        <w:spacing w:line="440" w:lineRule="exact"/>
        <w:rPr>
          <w:rFonts w:ascii="宋体" w:hAnsi="宋体" w:cs="宋体"/>
          <w:color w:val="auto"/>
          <w:szCs w:val="21"/>
        </w:rPr>
      </w:pPr>
      <w:r>
        <w:rPr>
          <w:rFonts w:hint="eastAsia" w:ascii="宋体" w:hAnsi="宋体" w:cs="宋体"/>
          <w:color w:val="auto"/>
          <w:szCs w:val="21"/>
        </w:rPr>
        <w:t>本合同在双方签字盖章并在招标人收到中标人提交的履约保证金后，经招标采购管理部门备案后生效。</w:t>
      </w:r>
    </w:p>
    <w:p w14:paraId="096E5E3C">
      <w:pPr>
        <w:spacing w:line="440" w:lineRule="exact"/>
        <w:rPr>
          <w:rFonts w:ascii="宋体" w:hAnsi="宋体" w:cs="宋体"/>
          <w:b/>
          <w:color w:val="auto"/>
          <w:szCs w:val="21"/>
        </w:rPr>
      </w:pPr>
      <w:r>
        <w:rPr>
          <w:rFonts w:hint="eastAsia" w:ascii="宋体" w:hAnsi="宋体" w:cs="宋体"/>
          <w:b/>
          <w:color w:val="auto"/>
          <w:szCs w:val="21"/>
        </w:rPr>
        <w:t>十一. 争议解决</w:t>
      </w:r>
    </w:p>
    <w:p w14:paraId="20B14A22">
      <w:pPr>
        <w:spacing w:line="440" w:lineRule="exact"/>
        <w:rPr>
          <w:rFonts w:ascii="宋体" w:hAnsi="宋体" w:cs="宋体"/>
          <w:color w:val="auto"/>
          <w:szCs w:val="21"/>
        </w:rPr>
      </w:pPr>
      <w:r>
        <w:rPr>
          <w:rFonts w:hint="eastAsia" w:ascii="宋体" w:hAnsi="宋体" w:cs="宋体"/>
          <w:color w:val="auto"/>
          <w:szCs w:val="21"/>
        </w:rPr>
        <w:t>21、争议解决</w:t>
      </w:r>
    </w:p>
    <w:p w14:paraId="73D876D8">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 xml:space="preserve"> 买卖双方因合同发生争议，进行调解，协商不成，可选择：</w:t>
      </w:r>
    </w:p>
    <w:p w14:paraId="47EEBE1E">
      <w:pPr>
        <w:pStyle w:val="11"/>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(1)双方同时申请仲裁；</w:t>
      </w:r>
    </w:p>
    <w:p w14:paraId="06841103">
      <w:pPr>
        <w:pStyle w:val="11"/>
        <w:tabs>
          <w:tab w:val="left" w:pos="900"/>
        </w:tabs>
        <w:overflowPunct w:val="0"/>
        <w:spacing w:line="440" w:lineRule="exact"/>
        <w:ind w:firstLine="0"/>
        <w:rPr>
          <w:rFonts w:ascii="宋体" w:hAnsi="宋体" w:cs="宋体"/>
          <w:color w:val="auto"/>
          <w:sz w:val="21"/>
          <w:szCs w:val="21"/>
          <w:u w:color="000000"/>
        </w:rPr>
      </w:pPr>
      <w:r>
        <w:rPr>
          <w:rFonts w:hint="eastAsia" w:ascii="宋体" w:hAnsi="宋体" w:cs="宋体"/>
          <w:color w:val="auto"/>
          <w:sz w:val="21"/>
          <w:szCs w:val="21"/>
          <w:u w:color="000000"/>
        </w:rPr>
        <w:t>(2)向买方所在地人民法院提起诉讼。</w:t>
      </w:r>
    </w:p>
    <w:p w14:paraId="5553D930">
      <w:pPr>
        <w:spacing w:line="440" w:lineRule="exact"/>
        <w:rPr>
          <w:rFonts w:ascii="宋体" w:hAnsi="宋体" w:cs="宋体"/>
          <w:b/>
          <w:color w:val="auto"/>
          <w:szCs w:val="21"/>
        </w:rPr>
      </w:pPr>
      <w:r>
        <w:rPr>
          <w:rFonts w:hint="eastAsia" w:ascii="宋体" w:hAnsi="宋体" w:cs="宋体"/>
          <w:b/>
          <w:color w:val="auto"/>
          <w:szCs w:val="21"/>
        </w:rPr>
        <w:t>十二 .附则</w:t>
      </w:r>
    </w:p>
    <w:p w14:paraId="277215EB">
      <w:pPr>
        <w:spacing w:line="440" w:lineRule="exact"/>
        <w:rPr>
          <w:rFonts w:ascii="宋体" w:hAnsi="宋体" w:cs="宋体"/>
          <w:color w:val="auto"/>
          <w:szCs w:val="21"/>
        </w:rPr>
      </w:pPr>
      <w:r>
        <w:rPr>
          <w:rFonts w:hint="eastAsia" w:ascii="宋体" w:hAnsi="宋体" w:cs="宋体"/>
          <w:color w:val="auto"/>
          <w:szCs w:val="21"/>
        </w:rPr>
        <w:t>22、合同份数。</w:t>
      </w:r>
    </w:p>
    <w:p w14:paraId="0D3334D6">
      <w:pPr>
        <w:spacing w:line="440" w:lineRule="exact"/>
        <w:rPr>
          <w:rFonts w:ascii="宋体" w:hAnsi="宋体" w:cs="宋体"/>
          <w:color w:val="auto"/>
          <w:szCs w:val="21"/>
        </w:rPr>
      </w:pPr>
      <w:r>
        <w:rPr>
          <w:rFonts w:hint="eastAsia" w:ascii="宋体" w:hAnsi="宋体" w:cs="宋体"/>
          <w:color w:val="auto"/>
          <w:szCs w:val="21"/>
        </w:rPr>
        <w:t>本合同一式陆份，买卖双方各执二份，招标代理机构一份，招标采购管理部门一份。</w:t>
      </w:r>
    </w:p>
    <w:p w14:paraId="4A68CE59">
      <w:pPr>
        <w:spacing w:line="440" w:lineRule="exact"/>
        <w:jc w:val="left"/>
        <w:rPr>
          <w:rFonts w:ascii="宋体" w:hAnsi="宋体" w:cs="宋体"/>
          <w:color w:val="auto"/>
          <w:szCs w:val="21"/>
        </w:rPr>
      </w:pPr>
      <w:r>
        <w:rPr>
          <w:rFonts w:hint="eastAsia" w:ascii="宋体" w:hAnsi="宋体" w:cs="宋体"/>
          <w:color w:val="auto"/>
          <w:szCs w:val="21"/>
        </w:rPr>
        <w:t>23、未尽事宜</w:t>
      </w:r>
    </w:p>
    <w:p w14:paraId="448DCBB3">
      <w:pPr>
        <w:spacing w:line="440" w:lineRule="exact"/>
        <w:jc w:val="left"/>
        <w:rPr>
          <w:rFonts w:ascii="宋体" w:hAnsi="宋体" w:cs="宋体"/>
          <w:color w:val="auto"/>
          <w:szCs w:val="21"/>
        </w:rPr>
      </w:pPr>
      <w:r>
        <w:rPr>
          <w:rFonts w:hint="eastAsia" w:ascii="宋体" w:hAnsi="宋体" w:cs="宋体"/>
          <w:color w:val="auto"/>
          <w:szCs w:val="21"/>
        </w:rPr>
        <w:t>本合同未尽事宜应按《中华人民共和国招标投标法》、《中华人民共和国民法典》、《中华人民共和国产品质量法》之规定解释。</w:t>
      </w:r>
    </w:p>
    <w:p w14:paraId="1DD3DCEE">
      <w:pPr>
        <w:rPr>
          <w:color w:val="auto"/>
        </w:rPr>
      </w:pPr>
      <w:r>
        <w:rPr>
          <w:rFonts w:hint="eastAsia"/>
          <w:color w:val="auto"/>
        </w:rPr>
        <w:br w:type="page"/>
      </w:r>
    </w:p>
    <w:p w14:paraId="4B8B61E9">
      <w:pPr>
        <w:pStyle w:val="2"/>
        <w:rPr>
          <w:color w:val="auto"/>
        </w:rPr>
      </w:pPr>
      <w:bookmarkStart w:id="98" w:name="_Toc8628"/>
      <w:r>
        <w:rPr>
          <w:rFonts w:hint="eastAsia"/>
          <w:color w:val="auto"/>
        </w:rPr>
        <w:t>第六章  投标文件格式</w:t>
      </w:r>
      <w:bookmarkEnd w:id="85"/>
      <w:bookmarkEnd w:id="98"/>
    </w:p>
    <w:p w14:paraId="2F3ECE03">
      <w:pPr>
        <w:jc w:val="center"/>
        <w:rPr>
          <w:rFonts w:ascii="宋体" w:hAnsi="宋体"/>
          <w:b/>
          <w:color w:val="auto"/>
          <w:sz w:val="28"/>
          <w:szCs w:val="28"/>
          <w:bdr w:val="single" w:color="auto" w:sz="4" w:space="0"/>
        </w:rPr>
      </w:pPr>
      <w:r>
        <w:rPr>
          <w:rFonts w:hint="eastAsia" w:ascii="宋体" w:hAnsi="宋体"/>
          <w:b/>
          <w:color w:val="auto"/>
          <w:sz w:val="28"/>
          <w:szCs w:val="28"/>
        </w:rPr>
        <w:t>一、资信证明格式文件</w:t>
      </w:r>
    </w:p>
    <w:p w14:paraId="3F39163B">
      <w:pPr>
        <w:jc w:val="center"/>
        <w:rPr>
          <w:rFonts w:eastAsia="黑体"/>
          <w:color w:val="auto"/>
          <w:sz w:val="20"/>
        </w:rPr>
      </w:pPr>
    </w:p>
    <w:p w14:paraId="0C64D765">
      <w:pPr>
        <w:rPr>
          <w:rFonts w:eastAsia="黑体"/>
          <w:color w:val="auto"/>
          <w:sz w:val="20"/>
        </w:rPr>
      </w:pPr>
    </w:p>
    <w:p w14:paraId="47C3C2C8">
      <w:pPr>
        <w:jc w:val="center"/>
        <w:rPr>
          <w:rFonts w:ascii="宋体"/>
          <w:b/>
          <w:color w:val="auto"/>
          <w:sz w:val="44"/>
          <w:szCs w:val="44"/>
        </w:rPr>
      </w:pPr>
      <w:bookmarkStart w:id="99" w:name="_Toc350698753"/>
      <w:bookmarkStart w:id="100" w:name="_Toc449028949"/>
      <w:r>
        <w:rPr>
          <w:rFonts w:hint="eastAsia" w:ascii="宋体"/>
          <w:b/>
          <w:color w:val="auto"/>
          <w:sz w:val="44"/>
          <w:szCs w:val="44"/>
        </w:rPr>
        <w:t>资信证明文件</w:t>
      </w:r>
      <w:bookmarkEnd w:id="99"/>
      <w:bookmarkEnd w:id="100"/>
    </w:p>
    <w:p w14:paraId="2B23B304">
      <w:pPr>
        <w:jc w:val="center"/>
        <w:rPr>
          <w:rFonts w:ascii="宋体"/>
          <w:color w:val="auto"/>
          <w:sz w:val="32"/>
          <w:szCs w:val="32"/>
        </w:rPr>
      </w:pPr>
      <w:r>
        <w:rPr>
          <w:rFonts w:hint="eastAsia" w:ascii="宋体"/>
          <w:color w:val="auto"/>
          <w:sz w:val="32"/>
          <w:szCs w:val="32"/>
        </w:rPr>
        <w:t>（投标文件一）</w:t>
      </w:r>
    </w:p>
    <w:p w14:paraId="1F908BE7">
      <w:pPr>
        <w:jc w:val="center"/>
        <w:rPr>
          <w:rFonts w:eastAsia="黑体"/>
          <w:color w:val="auto"/>
          <w:sz w:val="44"/>
          <w:szCs w:val="44"/>
        </w:rPr>
      </w:pPr>
    </w:p>
    <w:p w14:paraId="50FA55E3">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w:t>
      </w:r>
    </w:p>
    <w:p w14:paraId="6CEDA27A">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14:paraId="352D2CB3">
      <w:pPr>
        <w:rPr>
          <w:rFonts w:ascii="宋体"/>
          <w:color w:val="auto"/>
          <w:sz w:val="28"/>
          <w:szCs w:val="28"/>
        </w:rPr>
      </w:pPr>
    </w:p>
    <w:p w14:paraId="4FC5A753">
      <w:pPr>
        <w:rPr>
          <w:rFonts w:ascii="宋体"/>
          <w:color w:val="auto"/>
          <w:sz w:val="28"/>
          <w:szCs w:val="28"/>
        </w:rPr>
      </w:pPr>
    </w:p>
    <w:p w14:paraId="26198A86">
      <w:pPr>
        <w:rPr>
          <w:rFonts w:ascii="宋体"/>
          <w:color w:val="auto"/>
          <w:sz w:val="28"/>
          <w:szCs w:val="28"/>
        </w:rPr>
      </w:pPr>
    </w:p>
    <w:p w14:paraId="54DD1591">
      <w:pPr>
        <w:rPr>
          <w:rFonts w:ascii="宋体"/>
          <w:color w:val="auto"/>
          <w:sz w:val="28"/>
          <w:szCs w:val="28"/>
        </w:rPr>
      </w:pPr>
    </w:p>
    <w:p w14:paraId="2CE33B46">
      <w:pPr>
        <w:rPr>
          <w:rFonts w:ascii="宋体"/>
          <w:color w:val="auto"/>
          <w:sz w:val="28"/>
          <w:szCs w:val="28"/>
        </w:rPr>
      </w:pPr>
    </w:p>
    <w:p w14:paraId="562597AD">
      <w:pPr>
        <w:rPr>
          <w:rFonts w:ascii="宋体"/>
          <w:color w:val="auto"/>
          <w:sz w:val="28"/>
          <w:szCs w:val="28"/>
        </w:rPr>
      </w:pPr>
    </w:p>
    <w:p w14:paraId="4DF176C3">
      <w:pPr>
        <w:rPr>
          <w:rFonts w:ascii="宋体"/>
          <w:color w:val="auto"/>
          <w:sz w:val="28"/>
          <w:szCs w:val="28"/>
        </w:rPr>
      </w:pPr>
    </w:p>
    <w:p w14:paraId="14FE95C4">
      <w:pPr>
        <w:jc w:val="center"/>
        <w:rPr>
          <w:rFonts w:ascii="宋体"/>
          <w:color w:val="auto"/>
          <w:sz w:val="28"/>
          <w:szCs w:val="28"/>
          <w:u w:val="single"/>
        </w:rPr>
      </w:pPr>
      <w:r>
        <w:rPr>
          <w:rFonts w:hint="eastAsia" w:ascii="宋体"/>
          <w:color w:val="auto"/>
          <w:sz w:val="28"/>
          <w:szCs w:val="28"/>
        </w:rPr>
        <w:t>投标人：</w:t>
      </w:r>
      <w:r>
        <w:rPr>
          <w:rFonts w:hint="eastAsia" w:ascii="宋体"/>
          <w:color w:val="auto"/>
          <w:sz w:val="28"/>
          <w:szCs w:val="28"/>
          <w:u w:val="single"/>
        </w:rPr>
        <w:t xml:space="preserve">                              </w:t>
      </w:r>
      <w:r>
        <w:rPr>
          <w:rFonts w:hint="eastAsia" w:ascii="宋体"/>
          <w:color w:val="auto"/>
          <w:sz w:val="28"/>
          <w:szCs w:val="28"/>
        </w:rPr>
        <w:t>（盖单位章）</w:t>
      </w:r>
    </w:p>
    <w:p w14:paraId="1C42B740">
      <w:pPr>
        <w:ind w:firstLine="560" w:firstLineChars="200"/>
        <w:rPr>
          <w:rFonts w:ascii="宋体"/>
          <w:color w:val="auto"/>
          <w:sz w:val="28"/>
          <w:szCs w:val="28"/>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（签章）</w:t>
      </w:r>
    </w:p>
    <w:p w14:paraId="794E2F68">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14:paraId="36053E0B">
      <w:pPr>
        <w:spacing w:line="720" w:lineRule="auto"/>
        <w:jc w:val="center"/>
        <w:rPr>
          <w:rFonts w:ascii="宋体"/>
          <w:b/>
          <w:color w:val="auto"/>
          <w:sz w:val="36"/>
          <w:szCs w:val="36"/>
        </w:rPr>
      </w:pPr>
    </w:p>
    <w:p w14:paraId="5DCA0A8E">
      <w:pPr>
        <w:spacing w:line="400" w:lineRule="exact"/>
        <w:ind w:firstLine="4130" w:firstLineChars="935"/>
        <w:rPr>
          <w:b/>
          <w:color w:val="auto"/>
          <w:sz w:val="44"/>
          <w:szCs w:val="44"/>
        </w:rPr>
      </w:pPr>
    </w:p>
    <w:p w14:paraId="4D492B39">
      <w:pPr>
        <w:pStyle w:val="34"/>
        <w:ind w:firstLine="210"/>
        <w:rPr>
          <w:color w:val="auto"/>
        </w:rPr>
      </w:pPr>
    </w:p>
    <w:p w14:paraId="188F7BCB">
      <w:pPr>
        <w:jc w:val="center"/>
        <w:rPr>
          <w:b/>
          <w:color w:val="auto"/>
          <w:sz w:val="44"/>
          <w:szCs w:val="44"/>
        </w:rPr>
      </w:pPr>
      <w:r>
        <w:rPr>
          <w:rFonts w:hint="eastAsia"/>
          <w:b/>
          <w:color w:val="auto"/>
          <w:sz w:val="36"/>
          <w:szCs w:val="36"/>
        </w:rPr>
        <w:t>目   录</w:t>
      </w:r>
    </w:p>
    <w:p w14:paraId="00773A97">
      <w:pPr>
        <w:spacing w:line="400" w:lineRule="exact"/>
        <w:ind w:firstLine="562" w:firstLineChars="200"/>
        <w:rPr>
          <w:b/>
          <w:color w:val="auto"/>
          <w:sz w:val="28"/>
          <w:szCs w:val="28"/>
        </w:rPr>
      </w:pPr>
    </w:p>
    <w:p w14:paraId="7B4CE8D5">
      <w:pPr>
        <w:spacing w:line="440" w:lineRule="exact"/>
        <w:jc w:val="left"/>
        <w:rPr>
          <w:rFonts w:ascii="宋体" w:hAnsi="宋体" w:cs="宋体"/>
          <w:bCs/>
          <w:color w:val="auto"/>
          <w:szCs w:val="21"/>
        </w:rPr>
      </w:pPr>
      <w:r>
        <w:rPr>
          <w:rFonts w:hint="eastAsia" w:ascii="宋体" w:hAnsi="宋体" w:cs="宋体"/>
          <w:bCs/>
          <w:color w:val="auto"/>
          <w:szCs w:val="21"/>
        </w:rPr>
        <w:t>（1）法定代表人身份证明及其有效身份证（或法定代表人授权委托书及其有效身份证）（格式见附件）；</w:t>
      </w:r>
    </w:p>
    <w:p w14:paraId="6ABC3A8C">
      <w:pPr>
        <w:spacing w:line="440" w:lineRule="exact"/>
        <w:jc w:val="left"/>
        <w:rPr>
          <w:rFonts w:ascii="宋体" w:hAnsi="宋体" w:cs="宋体"/>
          <w:bCs/>
          <w:color w:val="auto"/>
          <w:szCs w:val="21"/>
        </w:rPr>
      </w:pPr>
      <w:r>
        <w:rPr>
          <w:rFonts w:hint="eastAsia" w:ascii="宋体" w:hAnsi="宋体" w:cs="宋体"/>
          <w:bCs/>
          <w:color w:val="auto"/>
          <w:szCs w:val="21"/>
        </w:rPr>
        <w:t>（2）投标人有效的营业执照、税务登记证、组织机构代码证（或三合一证书）；</w:t>
      </w:r>
    </w:p>
    <w:p w14:paraId="64CECD03">
      <w:pPr>
        <w:spacing w:line="440" w:lineRule="exact"/>
        <w:jc w:val="left"/>
        <w:rPr>
          <w:rFonts w:ascii="宋体" w:hAnsi="宋体" w:cs="宋体"/>
          <w:bCs/>
          <w:color w:val="auto"/>
          <w:szCs w:val="21"/>
          <w:highlight w:val="none"/>
        </w:rPr>
      </w:pPr>
      <w:r>
        <w:rPr>
          <w:rFonts w:hint="eastAsia" w:ascii="宋体" w:hAnsi="宋体" w:cs="宋体"/>
          <w:bCs/>
          <w:color w:val="auto"/>
          <w:szCs w:val="21"/>
        </w:rPr>
        <w:t>（</w:t>
      </w:r>
      <w:r>
        <w:rPr>
          <w:rFonts w:hint="eastAsia" w:ascii="宋体" w:hAnsi="宋体" w:cs="宋体"/>
          <w:bCs/>
          <w:color w:val="auto"/>
          <w:szCs w:val="21"/>
          <w:highlight w:val="none"/>
        </w:rPr>
        <w:t>3）具有省级及以上卫生主管部门颁发的涉及饮用水卫生安全产品的有效卫生许可批件或省级及以上疾病预防控制中心出具的涉及饮用水卫生安全产品检验报告；</w:t>
      </w:r>
    </w:p>
    <w:p w14:paraId="5D9F8042">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4）具有省级或省级以上计量部门出具的产品制造计量器具许可证或有效的计量器具型式批准证书（审批权限造成无法提供上述资料的可提供市级计量部门出具的产品制造计量器具许可证或有效的计量器具型式批准证书同时须附有关人民政府发布的相关政府文件）；</w:t>
      </w:r>
    </w:p>
    <w:p w14:paraId="429DC2FB">
      <w:pPr>
        <w:spacing w:line="440" w:lineRule="exact"/>
        <w:jc w:val="left"/>
        <w:rPr>
          <w:rFonts w:ascii="宋体" w:hAnsi="宋体" w:cs="宋体"/>
          <w:bCs/>
          <w:color w:val="auto"/>
          <w:szCs w:val="21"/>
        </w:rPr>
      </w:pPr>
      <w:r>
        <w:rPr>
          <w:rFonts w:hint="eastAsia" w:ascii="宋体" w:hAnsi="宋体" w:cs="宋体"/>
          <w:bCs/>
          <w:color w:val="auto"/>
          <w:szCs w:val="21"/>
          <w:highlight w:val="none"/>
        </w:rPr>
        <w:t>（5）</w:t>
      </w:r>
      <w:r>
        <w:rPr>
          <w:rFonts w:hint="eastAsia" w:ascii="宋体" w:hAnsi="宋体" w:cs="宋体"/>
          <w:color w:val="auto"/>
          <w:szCs w:val="21"/>
          <w:highlight w:val="none"/>
        </w:rPr>
        <w:t>诚信投标承诺书（格式见附件）或公共信用信息报告（无违法违规证明版</w:t>
      </w:r>
      <w:r>
        <w:rPr>
          <w:rFonts w:hint="eastAsia" w:ascii="宋体" w:hAnsi="宋体" w:cs="宋体"/>
          <w:color w:val="auto"/>
          <w:szCs w:val="21"/>
        </w:rPr>
        <w:t>或核查版）</w:t>
      </w:r>
      <w:r>
        <w:rPr>
          <w:rFonts w:hint="eastAsia" w:ascii="宋体" w:hAnsi="宋体" w:cs="宋体"/>
          <w:bCs/>
          <w:color w:val="auto"/>
          <w:szCs w:val="21"/>
        </w:rPr>
        <w:t>；</w:t>
      </w:r>
    </w:p>
    <w:p w14:paraId="761506A8">
      <w:pPr>
        <w:spacing w:line="440" w:lineRule="exact"/>
        <w:jc w:val="left"/>
        <w:rPr>
          <w:rFonts w:ascii="宋体" w:hAnsi="宋体" w:cs="宋体"/>
          <w:bCs/>
          <w:color w:val="auto"/>
          <w:szCs w:val="21"/>
        </w:rPr>
      </w:pPr>
      <w:r>
        <w:rPr>
          <w:rFonts w:hint="eastAsia" w:ascii="宋体" w:hAnsi="宋体" w:cs="宋体"/>
          <w:bCs/>
          <w:color w:val="auto"/>
          <w:szCs w:val="21"/>
        </w:rPr>
        <w:t>（6）详细的货物名称、规格、技术参数等【附技术参数响应表、货物的详细配置清单，格式见附件】；</w:t>
      </w:r>
    </w:p>
    <w:p w14:paraId="658D5A8A">
      <w:pPr>
        <w:spacing w:line="440" w:lineRule="exact"/>
        <w:jc w:val="left"/>
        <w:rPr>
          <w:rFonts w:ascii="宋体" w:hAnsi="宋体" w:cs="宋体"/>
          <w:bCs/>
          <w:color w:val="auto"/>
          <w:szCs w:val="21"/>
        </w:rPr>
      </w:pPr>
      <w:r>
        <w:rPr>
          <w:rFonts w:hint="eastAsia" w:ascii="宋体" w:hAnsi="宋体" w:cs="宋体"/>
          <w:bCs/>
          <w:color w:val="auto"/>
          <w:szCs w:val="21"/>
        </w:rPr>
        <w:t>（7）服务承诺：是否响应招标文件要求的书面说明和服务承诺书（格式见附件）</w:t>
      </w:r>
    </w:p>
    <w:p w14:paraId="1052AE67">
      <w:pPr>
        <w:spacing w:line="440" w:lineRule="exact"/>
        <w:jc w:val="left"/>
        <w:rPr>
          <w:rFonts w:ascii="宋体" w:hAnsi="宋体" w:cs="宋体"/>
          <w:bCs/>
          <w:color w:val="auto"/>
          <w:szCs w:val="21"/>
        </w:rPr>
      </w:pPr>
      <w:r>
        <w:rPr>
          <w:rFonts w:hint="eastAsia" w:ascii="宋体" w:hAnsi="宋体" w:cs="宋体"/>
          <w:bCs/>
          <w:color w:val="auto"/>
          <w:szCs w:val="21"/>
        </w:rPr>
        <w:t>（</w:t>
      </w:r>
      <w:r>
        <w:rPr>
          <w:rFonts w:hint="eastAsia" w:ascii="宋体" w:hAnsi="宋体" w:cs="宋体"/>
          <w:bCs/>
          <w:color w:val="auto"/>
          <w:szCs w:val="21"/>
          <w:lang w:val="en-US" w:eastAsia="zh-CN"/>
        </w:rPr>
        <w:t>8</w:t>
      </w:r>
      <w:r>
        <w:rPr>
          <w:rFonts w:hint="eastAsia" w:ascii="宋体" w:hAnsi="宋体" w:cs="宋体"/>
          <w:bCs/>
          <w:color w:val="auto"/>
          <w:szCs w:val="21"/>
        </w:rPr>
        <w:t>）招标文件中要求的资信标评审及其他支持资料</w:t>
      </w:r>
    </w:p>
    <w:p w14:paraId="1A732646">
      <w:pPr>
        <w:spacing w:line="400" w:lineRule="exact"/>
        <w:ind w:firstLine="562" w:firstLineChars="200"/>
        <w:rPr>
          <w:b/>
          <w:color w:val="auto"/>
          <w:sz w:val="28"/>
          <w:szCs w:val="28"/>
        </w:rPr>
      </w:pPr>
    </w:p>
    <w:p w14:paraId="1217EE06">
      <w:pPr>
        <w:spacing w:line="400" w:lineRule="exact"/>
        <w:ind w:firstLine="562" w:firstLineChars="200"/>
        <w:rPr>
          <w:b/>
          <w:color w:val="auto"/>
          <w:sz w:val="28"/>
          <w:szCs w:val="28"/>
        </w:rPr>
      </w:pPr>
    </w:p>
    <w:p w14:paraId="1AC9D31B">
      <w:pPr>
        <w:spacing w:line="400" w:lineRule="exact"/>
        <w:ind w:firstLine="562" w:firstLineChars="200"/>
        <w:rPr>
          <w:b/>
          <w:color w:val="auto"/>
          <w:sz w:val="28"/>
          <w:szCs w:val="28"/>
        </w:rPr>
      </w:pPr>
    </w:p>
    <w:p w14:paraId="7ACC4C61">
      <w:pPr>
        <w:spacing w:line="400" w:lineRule="exact"/>
        <w:ind w:firstLine="562" w:firstLineChars="200"/>
        <w:rPr>
          <w:b/>
          <w:color w:val="auto"/>
          <w:sz w:val="28"/>
          <w:szCs w:val="28"/>
        </w:rPr>
      </w:pPr>
    </w:p>
    <w:p w14:paraId="0F1ED68A">
      <w:pPr>
        <w:spacing w:line="400" w:lineRule="exact"/>
        <w:rPr>
          <w:b/>
          <w:color w:val="auto"/>
          <w:sz w:val="28"/>
          <w:szCs w:val="28"/>
        </w:rPr>
        <w:sectPr>
          <w:headerReference r:id="rId6" w:type="default"/>
          <w:footerReference r:id="rId7" w:type="default"/>
          <w:pgSz w:w="11906" w:h="16838"/>
          <w:pgMar w:top="1440" w:right="1417" w:bottom="1417" w:left="1417" w:header="851" w:footer="992" w:gutter="0"/>
          <w:pgNumType w:fmt="numberInDash"/>
          <w:cols w:space="720" w:num="1"/>
          <w:docGrid w:type="lines" w:linePitch="312" w:charSpace="0"/>
        </w:sectPr>
      </w:pPr>
    </w:p>
    <w:p w14:paraId="1CC8963C">
      <w:pPr>
        <w:spacing w:line="360" w:lineRule="auto"/>
        <w:rPr>
          <w:b/>
          <w:color w:val="auto"/>
          <w:sz w:val="28"/>
          <w:szCs w:val="28"/>
        </w:rPr>
      </w:pPr>
      <w:r>
        <w:rPr>
          <w:rFonts w:hint="eastAsia"/>
          <w:b/>
          <w:color w:val="auto"/>
          <w:sz w:val="28"/>
          <w:szCs w:val="28"/>
        </w:rPr>
        <w:t>附件1</w:t>
      </w:r>
    </w:p>
    <w:p w14:paraId="7DE805B1">
      <w:pPr>
        <w:spacing w:line="360" w:lineRule="auto"/>
        <w:ind w:left="720"/>
        <w:jc w:val="center"/>
        <w:rPr>
          <w:rFonts w:ascii="宋体"/>
          <w:b/>
          <w:color w:val="auto"/>
          <w:sz w:val="28"/>
          <w:szCs w:val="28"/>
        </w:rPr>
      </w:pPr>
      <w:r>
        <w:rPr>
          <w:rFonts w:hint="eastAsia"/>
          <w:b/>
          <w:color w:val="auto"/>
          <w:sz w:val="28"/>
          <w:szCs w:val="28"/>
        </w:rPr>
        <w:t>法定代表人身份证明或授权委托书</w:t>
      </w:r>
    </w:p>
    <w:p w14:paraId="40902BE5">
      <w:pPr>
        <w:pStyle w:val="103"/>
        <w:spacing w:beforeLines="100" w:afterLines="100" w:line="480" w:lineRule="exact"/>
        <w:ind w:firstLine="180" w:firstLineChars="75"/>
        <w:rPr>
          <w:rFonts w:ascii="宋体"/>
          <w:b/>
          <w:color w:val="auto"/>
          <w:sz w:val="24"/>
          <w:szCs w:val="24"/>
        </w:rPr>
      </w:pPr>
      <w:r>
        <w:rPr>
          <w:rFonts w:hint="eastAsia" w:ascii="宋体"/>
          <w:color w:val="auto"/>
          <w:sz w:val="24"/>
          <w:szCs w:val="24"/>
        </w:rPr>
        <w:t>1.法定代表人身份证明</w:t>
      </w:r>
    </w:p>
    <w:p w14:paraId="752263EB">
      <w:pPr>
        <w:spacing w:line="480" w:lineRule="exact"/>
        <w:ind w:firstLine="480" w:firstLineChars="200"/>
        <w:rPr>
          <w:rFonts w:ascii="宋体"/>
          <w:color w:val="auto"/>
          <w:sz w:val="24"/>
        </w:rPr>
      </w:pPr>
      <w:r>
        <w:rPr>
          <w:rFonts w:hint="eastAsia" w:ascii="宋体"/>
          <w:color w:val="auto"/>
          <w:sz w:val="24"/>
        </w:rPr>
        <w:t>投标人名称：</w:t>
      </w:r>
      <w:r>
        <w:rPr>
          <w:rFonts w:hint="eastAsia" w:ascii="宋体"/>
          <w:color w:val="auto"/>
          <w:sz w:val="24"/>
          <w:u w:val="single"/>
        </w:rPr>
        <w:t xml:space="preserve">                                </w:t>
      </w:r>
      <w:r>
        <w:rPr>
          <w:rFonts w:hint="eastAsia" w:ascii="宋体"/>
          <w:color w:val="auto"/>
          <w:sz w:val="24"/>
        </w:rPr>
        <w:t xml:space="preserve"> </w:t>
      </w:r>
    </w:p>
    <w:p w14:paraId="2572523A">
      <w:pPr>
        <w:spacing w:line="480" w:lineRule="exact"/>
        <w:ind w:firstLine="480" w:firstLineChars="200"/>
        <w:rPr>
          <w:rFonts w:ascii="宋体"/>
          <w:color w:val="auto"/>
          <w:sz w:val="24"/>
        </w:rPr>
      </w:pPr>
      <w:r>
        <w:rPr>
          <w:rFonts w:hint="eastAsia" w:ascii="宋体"/>
          <w:color w:val="auto"/>
          <w:sz w:val="24"/>
        </w:rPr>
        <w:t xml:space="preserve">单位性质： </w:t>
      </w:r>
      <w:r>
        <w:rPr>
          <w:rFonts w:hint="eastAsia" w:ascii="宋体"/>
          <w:color w:val="auto"/>
          <w:sz w:val="24"/>
          <w:u w:val="single"/>
        </w:rPr>
        <w:t xml:space="preserve">                                  </w:t>
      </w:r>
      <w:r>
        <w:rPr>
          <w:rFonts w:hint="eastAsia" w:ascii="宋体"/>
          <w:color w:val="auto"/>
          <w:sz w:val="24"/>
        </w:rPr>
        <w:t xml:space="preserve"> </w:t>
      </w:r>
    </w:p>
    <w:p w14:paraId="1482C208">
      <w:pPr>
        <w:spacing w:line="480" w:lineRule="exact"/>
        <w:ind w:firstLine="480" w:firstLineChars="200"/>
        <w:rPr>
          <w:rFonts w:ascii="宋体"/>
          <w:color w:val="auto"/>
          <w:sz w:val="24"/>
        </w:rPr>
      </w:pPr>
      <w:r>
        <w:rPr>
          <w:rFonts w:hint="eastAsia" w:ascii="宋体"/>
          <w:color w:val="auto"/>
          <w:sz w:val="24"/>
        </w:rPr>
        <w:t>地    址：</w:t>
      </w:r>
      <w:r>
        <w:rPr>
          <w:rFonts w:hint="eastAsia" w:ascii="宋体"/>
          <w:color w:val="auto"/>
          <w:sz w:val="24"/>
          <w:u w:val="single"/>
        </w:rPr>
        <w:t xml:space="preserve">                                   </w:t>
      </w:r>
      <w:r>
        <w:rPr>
          <w:rFonts w:hint="eastAsia" w:ascii="宋体"/>
          <w:color w:val="auto"/>
          <w:sz w:val="24"/>
        </w:rPr>
        <w:t xml:space="preserve"> </w:t>
      </w:r>
    </w:p>
    <w:p w14:paraId="764296D5">
      <w:pPr>
        <w:spacing w:line="480" w:lineRule="exact"/>
        <w:ind w:firstLine="480" w:firstLineChars="200"/>
        <w:rPr>
          <w:rFonts w:ascii="宋体"/>
          <w:color w:val="auto"/>
          <w:sz w:val="24"/>
        </w:rPr>
      </w:pPr>
      <w:r>
        <w:rPr>
          <w:rFonts w:hint="eastAsia" w:ascii="宋体"/>
          <w:color w:val="auto"/>
          <w:sz w:val="24"/>
        </w:rPr>
        <w:t>成立时间：</w:t>
      </w:r>
      <w:r>
        <w:rPr>
          <w:rFonts w:hint="eastAsia" w:ascii="宋体"/>
          <w:color w:val="auto"/>
          <w:sz w:val="24"/>
          <w:u w:val="single"/>
        </w:rPr>
        <w:t xml:space="preserve">        </w:t>
      </w:r>
      <w:r>
        <w:rPr>
          <w:rFonts w:hint="eastAsia" w:ascii="宋体"/>
          <w:color w:val="auto"/>
          <w:sz w:val="24"/>
        </w:rPr>
        <w:t>年</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日</w:t>
      </w:r>
    </w:p>
    <w:p w14:paraId="52F6D72D">
      <w:pPr>
        <w:spacing w:line="480" w:lineRule="exact"/>
        <w:ind w:firstLine="480" w:firstLineChars="200"/>
        <w:rPr>
          <w:rFonts w:ascii="宋体"/>
          <w:color w:val="auto"/>
          <w:sz w:val="24"/>
        </w:rPr>
      </w:pPr>
      <w:r>
        <w:rPr>
          <w:rFonts w:hint="eastAsia" w:ascii="宋体"/>
          <w:color w:val="auto"/>
          <w:sz w:val="24"/>
        </w:rPr>
        <w:t>经营期限：</w:t>
      </w:r>
      <w:r>
        <w:rPr>
          <w:rFonts w:hint="eastAsia" w:ascii="宋体"/>
          <w:color w:val="auto"/>
          <w:sz w:val="24"/>
          <w:u w:val="single"/>
        </w:rPr>
        <w:t xml:space="preserve">                                </w:t>
      </w:r>
      <w:r>
        <w:rPr>
          <w:rFonts w:hint="eastAsia" w:ascii="宋体"/>
          <w:color w:val="auto"/>
          <w:sz w:val="24"/>
        </w:rPr>
        <w:t xml:space="preserve"> </w:t>
      </w:r>
    </w:p>
    <w:p w14:paraId="7F6D6611">
      <w:pPr>
        <w:spacing w:line="480" w:lineRule="exact"/>
        <w:ind w:firstLine="1440" w:firstLineChars="200"/>
        <w:rPr>
          <w:rFonts w:ascii="宋体"/>
          <w:color w:val="auto"/>
          <w:sz w:val="24"/>
        </w:rPr>
      </w:pPr>
      <w:r>
        <w:rPr>
          <w:rFonts w:hint="eastAsia" w:ascii="宋体"/>
          <w:color w:val="auto"/>
          <w:spacing w:val="240"/>
          <w:sz w:val="24"/>
        </w:rPr>
        <w:t>姓</w:t>
      </w:r>
      <w:r>
        <w:rPr>
          <w:rFonts w:hint="eastAsia" w:ascii="宋体"/>
          <w:color w:val="auto"/>
          <w:sz w:val="24"/>
        </w:rPr>
        <w:t>名：</w:t>
      </w:r>
      <w:r>
        <w:rPr>
          <w:rFonts w:hint="eastAsia" w:ascii="宋体"/>
          <w:color w:val="auto"/>
          <w:sz w:val="24"/>
          <w:u w:val="single"/>
        </w:rPr>
        <w:t xml:space="preserve">          </w:t>
      </w:r>
      <w:r>
        <w:rPr>
          <w:rFonts w:hint="eastAsia" w:ascii="宋体"/>
          <w:color w:val="auto"/>
          <w:sz w:val="24"/>
        </w:rPr>
        <w:t>性别：</w:t>
      </w:r>
      <w:r>
        <w:rPr>
          <w:rFonts w:hint="eastAsia" w:ascii="宋体"/>
          <w:color w:val="auto"/>
          <w:sz w:val="24"/>
          <w:u w:val="single"/>
        </w:rPr>
        <w:t xml:space="preserve">        </w:t>
      </w:r>
      <w:r>
        <w:rPr>
          <w:rFonts w:hint="eastAsia" w:ascii="宋体"/>
          <w:color w:val="auto"/>
          <w:sz w:val="24"/>
        </w:rPr>
        <w:t>年龄：</w:t>
      </w:r>
      <w:r>
        <w:rPr>
          <w:rFonts w:hint="eastAsia" w:ascii="宋体"/>
          <w:color w:val="auto"/>
          <w:sz w:val="24"/>
          <w:u w:val="single"/>
        </w:rPr>
        <w:t xml:space="preserve">       </w:t>
      </w:r>
      <w:r>
        <w:rPr>
          <w:rFonts w:hint="eastAsia" w:ascii="宋体"/>
          <w:color w:val="auto"/>
          <w:sz w:val="24"/>
        </w:rPr>
        <w:t>职务：</w:t>
      </w:r>
      <w:r>
        <w:rPr>
          <w:rFonts w:hint="eastAsia" w:ascii="宋体"/>
          <w:color w:val="auto"/>
          <w:sz w:val="24"/>
          <w:u w:val="single"/>
        </w:rPr>
        <w:t xml:space="preserve">       </w:t>
      </w:r>
      <w:r>
        <w:rPr>
          <w:rFonts w:hint="eastAsia" w:ascii="宋体"/>
          <w:color w:val="auto"/>
          <w:sz w:val="24"/>
        </w:rPr>
        <w:t>_</w:t>
      </w:r>
    </w:p>
    <w:p w14:paraId="1DF80ADB">
      <w:pPr>
        <w:spacing w:line="480" w:lineRule="exact"/>
        <w:ind w:firstLine="480" w:firstLineChars="200"/>
        <w:rPr>
          <w:rFonts w:ascii="宋体"/>
          <w:color w:val="auto"/>
          <w:sz w:val="24"/>
        </w:rPr>
      </w:pPr>
      <w:r>
        <w:rPr>
          <w:rFonts w:hint="eastAsia" w:ascii="宋体"/>
          <w:color w:val="auto"/>
          <w:sz w:val="24"/>
        </w:rPr>
        <w:t>系</w:t>
      </w:r>
      <w:r>
        <w:rPr>
          <w:rFonts w:hint="eastAsia" w:ascii="宋体"/>
          <w:color w:val="auto"/>
          <w:sz w:val="24"/>
          <w:u w:val="single"/>
        </w:rPr>
        <w:t xml:space="preserve">                                </w:t>
      </w:r>
      <w:r>
        <w:rPr>
          <w:rFonts w:hint="eastAsia" w:ascii="宋体"/>
          <w:color w:val="auto"/>
          <w:sz w:val="24"/>
        </w:rPr>
        <w:t>（投标人名称）的法定代表人。</w:t>
      </w:r>
    </w:p>
    <w:p w14:paraId="60CE5E9A">
      <w:pPr>
        <w:spacing w:line="480" w:lineRule="exact"/>
        <w:ind w:firstLine="960" w:firstLineChars="400"/>
        <w:rPr>
          <w:rFonts w:ascii="宋体"/>
          <w:color w:val="auto"/>
          <w:sz w:val="24"/>
        </w:rPr>
      </w:pPr>
      <w:r>
        <w:rPr>
          <w:rFonts w:hint="eastAsia" w:ascii="宋体"/>
          <w:color w:val="auto"/>
          <w:sz w:val="24"/>
        </w:rPr>
        <w:t>特此证明。</w:t>
      </w:r>
    </w:p>
    <w:p w14:paraId="73C60D79">
      <w:pPr>
        <w:spacing w:line="360" w:lineRule="auto"/>
        <w:ind w:firstLine="3480" w:firstLineChars="1450"/>
        <w:rPr>
          <w:rFonts w:ascii="宋体"/>
          <w:color w:val="auto"/>
          <w:sz w:val="24"/>
        </w:rPr>
      </w:pPr>
      <w:r>
        <w:rPr>
          <w:rFonts w:hint="eastAsia" w:ascii="宋体"/>
          <w:color w:val="auto"/>
          <w:sz w:val="24"/>
        </w:rPr>
        <w:t>投标人：</w:t>
      </w:r>
      <w:r>
        <w:rPr>
          <w:rFonts w:hint="eastAsia" w:ascii="宋体"/>
          <w:color w:val="auto"/>
          <w:sz w:val="24"/>
          <w:u w:val="single"/>
        </w:rPr>
        <w:t xml:space="preserve">                 </w:t>
      </w:r>
      <w:r>
        <w:rPr>
          <w:rFonts w:hint="eastAsia" w:ascii="宋体"/>
          <w:color w:val="auto"/>
          <w:sz w:val="24"/>
        </w:rPr>
        <w:t>（盖单位章）</w:t>
      </w:r>
    </w:p>
    <w:p w14:paraId="29CCF73D">
      <w:pPr>
        <w:wordWrap w:val="0"/>
        <w:spacing w:line="360" w:lineRule="auto"/>
        <w:jc w:val="right"/>
        <w:rPr>
          <w:color w:val="auto"/>
        </w:rPr>
      </w:pPr>
      <w:r>
        <w:rPr>
          <w:rFonts w:hint="eastAsia" w:ascii="宋体"/>
          <w:color w:val="auto"/>
          <w:sz w:val="24"/>
        </w:rPr>
        <w:t xml:space="preserve">                                        </w:t>
      </w:r>
      <w:r>
        <w:rPr>
          <w:rFonts w:hint="eastAsia" w:ascii="宋体"/>
          <w:color w:val="auto"/>
          <w:sz w:val="24"/>
          <w:u w:val="single"/>
        </w:rPr>
        <w:t xml:space="preserve">       </w:t>
      </w:r>
      <w:r>
        <w:rPr>
          <w:rFonts w:hint="eastAsia" w:ascii="宋体"/>
          <w:color w:val="auto"/>
          <w:sz w:val="24"/>
        </w:rPr>
        <w:t xml:space="preserve">年 </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 xml:space="preserve">日  </w:t>
      </w:r>
    </w:p>
    <w:p w14:paraId="4E98EF0F">
      <w:pPr>
        <w:spacing w:beforeLines="100" w:afterLines="100" w:line="480" w:lineRule="exact"/>
        <w:ind w:firstLine="3654" w:firstLineChars="1305"/>
        <w:rPr>
          <w:rFonts w:ascii="宋体"/>
          <w:color w:val="auto"/>
          <w:sz w:val="28"/>
          <w:szCs w:val="28"/>
        </w:rPr>
      </w:pPr>
      <w:r>
        <w:rPr>
          <w:rFonts w:hint="eastAsia" w:ascii="宋体"/>
          <w:color w:val="auto"/>
          <w:sz w:val="28"/>
          <w:szCs w:val="28"/>
        </w:rPr>
        <w:t>2.授权委托书</w:t>
      </w:r>
    </w:p>
    <w:p w14:paraId="0C0D3E2D">
      <w:pPr>
        <w:spacing w:line="480" w:lineRule="exact"/>
        <w:ind w:firstLine="480" w:firstLineChars="200"/>
        <w:rPr>
          <w:rFonts w:ascii="宋体"/>
          <w:color w:val="auto"/>
          <w:sz w:val="24"/>
        </w:rPr>
      </w:pPr>
      <w:r>
        <w:rPr>
          <w:rFonts w:hint="eastAsia" w:ascii="宋体"/>
          <w:color w:val="auto"/>
          <w:sz w:val="24"/>
        </w:rPr>
        <w:t xml:space="preserve">本人 </w:t>
      </w:r>
      <w:r>
        <w:rPr>
          <w:rFonts w:hint="eastAsia" w:ascii="宋体"/>
          <w:color w:val="auto"/>
          <w:sz w:val="24"/>
          <w:u w:val="single"/>
        </w:rPr>
        <w:t xml:space="preserve">    </w:t>
      </w:r>
      <w:r>
        <w:rPr>
          <w:rFonts w:hint="eastAsia" w:ascii="宋体"/>
          <w:color w:val="auto"/>
          <w:sz w:val="24"/>
        </w:rPr>
        <w:t>（姓名）系</w:t>
      </w:r>
      <w:r>
        <w:rPr>
          <w:rFonts w:hint="eastAsia" w:ascii="宋体"/>
          <w:color w:val="auto"/>
          <w:sz w:val="24"/>
          <w:u w:val="single"/>
        </w:rPr>
        <w:t xml:space="preserve">       </w:t>
      </w:r>
      <w:r>
        <w:rPr>
          <w:rFonts w:hint="eastAsia" w:ascii="宋体"/>
          <w:color w:val="auto"/>
          <w:sz w:val="24"/>
        </w:rPr>
        <w:t>（投标人）的法定代表人，现委托</w:t>
      </w:r>
      <w:r>
        <w:rPr>
          <w:rFonts w:hint="eastAsia" w:ascii="宋体"/>
          <w:color w:val="auto"/>
          <w:sz w:val="24"/>
          <w:u w:val="single"/>
        </w:rPr>
        <w:t xml:space="preserve">   </w:t>
      </w:r>
      <w:r>
        <w:rPr>
          <w:rFonts w:hint="eastAsia" w:ascii="宋体"/>
          <w:color w:val="auto"/>
          <w:sz w:val="24"/>
        </w:rPr>
        <w:t>（姓名）为我方代理人。代理人根据授权，以我方名义签署、澄清、说明、补正、递交、撤回、修改 “</w:t>
      </w:r>
      <w:r>
        <w:rPr>
          <w:rFonts w:hint="eastAsia" w:ascii="宋体"/>
          <w:color w:val="auto"/>
          <w:sz w:val="24"/>
          <w:u w:val="single"/>
        </w:rPr>
        <w:t xml:space="preserve">      </w:t>
      </w:r>
      <w:r>
        <w:rPr>
          <w:rFonts w:hint="eastAsia" w:ascii="宋体"/>
          <w:color w:val="auto"/>
          <w:sz w:val="24"/>
        </w:rPr>
        <w:t xml:space="preserve"> ”(项目名称、编号）投标文件，全权处理与该项目投标、评审答疑、签订合同以及与合同执行有关的一切事务，其法律后果由我方承担。</w:t>
      </w:r>
    </w:p>
    <w:p w14:paraId="7A554FF7">
      <w:pPr>
        <w:spacing w:line="480" w:lineRule="exact"/>
        <w:ind w:firstLine="480" w:firstLineChars="200"/>
        <w:rPr>
          <w:rFonts w:ascii="宋体"/>
          <w:color w:val="auto"/>
          <w:sz w:val="24"/>
        </w:rPr>
      </w:pPr>
      <w:r>
        <w:rPr>
          <w:rFonts w:hint="eastAsia" w:ascii="宋体"/>
          <w:color w:val="auto"/>
          <w:sz w:val="24"/>
        </w:rPr>
        <w:t xml:space="preserve">委托期限：                                </w:t>
      </w:r>
    </w:p>
    <w:p w14:paraId="6B84D81A">
      <w:pPr>
        <w:spacing w:line="480" w:lineRule="exact"/>
        <w:ind w:firstLine="480" w:firstLineChars="200"/>
        <w:rPr>
          <w:rFonts w:ascii="宋体"/>
          <w:color w:val="auto"/>
          <w:sz w:val="24"/>
        </w:rPr>
      </w:pPr>
      <w:r>
        <w:rPr>
          <w:rFonts w:hint="eastAsia" w:ascii="宋体"/>
          <w:color w:val="auto"/>
          <w:sz w:val="24"/>
        </w:rPr>
        <w:t>代理人无转委托权。</w:t>
      </w:r>
    </w:p>
    <w:p w14:paraId="0238882B">
      <w:pPr>
        <w:spacing w:line="480" w:lineRule="exact"/>
        <w:ind w:firstLine="480" w:firstLineChars="200"/>
        <w:rPr>
          <w:rFonts w:ascii="宋体"/>
          <w:color w:val="auto"/>
          <w:sz w:val="24"/>
        </w:rPr>
      </w:pPr>
      <w:r>
        <w:rPr>
          <w:rFonts w:hint="eastAsia" w:ascii="宋体"/>
          <w:color w:val="auto"/>
          <w:sz w:val="24"/>
        </w:rPr>
        <w:t>附：授权委托人有效身份证及法定代表人有效身份证</w:t>
      </w:r>
    </w:p>
    <w:p w14:paraId="38BBE11E">
      <w:pPr>
        <w:spacing w:line="480" w:lineRule="exact"/>
        <w:rPr>
          <w:rFonts w:ascii="宋体"/>
          <w:color w:val="auto"/>
          <w:sz w:val="24"/>
        </w:rPr>
      </w:pPr>
      <w:r>
        <w:rPr>
          <w:rFonts w:hint="eastAsia" w:ascii="宋体"/>
          <w:color w:val="auto"/>
          <w:sz w:val="24"/>
        </w:rPr>
        <w:t xml:space="preserve">                                     投标人：             （盖单位章）</w:t>
      </w:r>
    </w:p>
    <w:p w14:paraId="0CA3C949">
      <w:pPr>
        <w:spacing w:line="480" w:lineRule="exact"/>
        <w:jc w:val="right"/>
        <w:rPr>
          <w:rFonts w:ascii="宋体"/>
          <w:color w:val="auto"/>
          <w:sz w:val="24"/>
        </w:rPr>
      </w:pPr>
      <w:r>
        <w:rPr>
          <w:rFonts w:hint="eastAsia" w:ascii="宋体"/>
          <w:color w:val="auto"/>
          <w:sz w:val="24"/>
        </w:rPr>
        <w:t>法定代表人（身份证号码）：             （签章）</w:t>
      </w:r>
    </w:p>
    <w:p w14:paraId="07B8A61D">
      <w:pPr>
        <w:spacing w:line="480" w:lineRule="exact"/>
        <w:ind w:firstLine="2820" w:firstLineChars="1175"/>
        <w:rPr>
          <w:rFonts w:ascii="宋体"/>
          <w:color w:val="auto"/>
          <w:sz w:val="24"/>
        </w:rPr>
      </w:pPr>
      <w:r>
        <w:rPr>
          <w:rFonts w:hint="eastAsia" w:ascii="宋体"/>
          <w:color w:val="auto"/>
          <w:sz w:val="24"/>
        </w:rPr>
        <w:t xml:space="preserve">              年    月    日</w:t>
      </w:r>
    </w:p>
    <w:p w14:paraId="2E067C6D">
      <w:pPr>
        <w:spacing w:line="360" w:lineRule="exact"/>
        <w:ind w:firstLine="413" w:firstLineChars="147"/>
        <w:rPr>
          <w:b/>
          <w:color w:val="auto"/>
          <w:sz w:val="28"/>
          <w:szCs w:val="28"/>
          <w:u w:val="single"/>
        </w:rPr>
      </w:pPr>
    </w:p>
    <w:p w14:paraId="2118DE66">
      <w:pPr>
        <w:spacing w:line="360" w:lineRule="exact"/>
        <w:ind w:firstLine="413" w:firstLineChars="147"/>
        <w:rPr>
          <w:b/>
          <w:color w:val="auto"/>
          <w:sz w:val="28"/>
          <w:szCs w:val="28"/>
          <w:u w:val="single"/>
        </w:rPr>
      </w:pPr>
    </w:p>
    <w:p w14:paraId="78F23557">
      <w:pPr>
        <w:spacing w:line="360" w:lineRule="exact"/>
        <w:ind w:firstLine="443" w:firstLineChars="147"/>
        <w:rPr>
          <w:rFonts w:ascii="宋体"/>
          <w:b/>
          <w:color w:val="auto"/>
          <w:sz w:val="30"/>
          <w:szCs w:val="30"/>
        </w:rPr>
      </w:pPr>
      <w:r>
        <w:rPr>
          <w:rFonts w:hint="eastAsia" w:ascii="宋体"/>
          <w:b/>
          <w:color w:val="auto"/>
          <w:sz w:val="30"/>
          <w:szCs w:val="30"/>
        </w:rPr>
        <w:t>附件2</w:t>
      </w:r>
    </w:p>
    <w:p w14:paraId="0CCAAACC">
      <w:pPr>
        <w:spacing w:line="360" w:lineRule="exact"/>
        <w:ind w:firstLine="413" w:firstLineChars="147"/>
        <w:jc w:val="center"/>
        <w:rPr>
          <w:b/>
          <w:color w:val="auto"/>
          <w:sz w:val="28"/>
          <w:szCs w:val="28"/>
        </w:rPr>
      </w:pPr>
      <w:bookmarkStart w:id="101" w:name="_Toc449028950"/>
      <w:bookmarkStart w:id="102" w:name="_Toc440443268"/>
      <w:r>
        <w:rPr>
          <w:rFonts w:hint="eastAsia"/>
          <w:b/>
          <w:color w:val="auto"/>
          <w:sz w:val="28"/>
          <w:szCs w:val="28"/>
        </w:rPr>
        <w:t>（2）诚信投标承诺书</w:t>
      </w:r>
    </w:p>
    <w:p w14:paraId="20738049">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本人以企业法定代表人的身份郑重承诺：</w:t>
      </w:r>
    </w:p>
    <w:p w14:paraId="240F7DE4">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一、将遵循公开、公正和诚实信用的原则自愿参加</w:t>
      </w:r>
      <w:r>
        <w:rPr>
          <w:rFonts w:hint="eastAsia" w:ascii="宋体" w:hAnsi="宋体"/>
          <w:color w:val="auto"/>
          <w:szCs w:val="21"/>
          <w:u w:val="single"/>
        </w:rPr>
        <w:t xml:space="preserve">                   </w:t>
      </w:r>
      <w:r>
        <w:rPr>
          <w:rFonts w:hint="eastAsia" w:ascii="宋体" w:hAnsi="宋体"/>
          <w:color w:val="auto"/>
          <w:szCs w:val="21"/>
        </w:rPr>
        <w:t>项目的投标，所提供的一切材料都是真实、有效、合法的；</w:t>
      </w:r>
    </w:p>
    <w:p w14:paraId="2966BA52">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二、本单位郑重声明，根据《中华人民共和国招标投标法》及《中华人民共和国招标投标法实施条例》的规定，我公司具有良好的商业信誉和健全的财务会计制度，具有履行合同所必需的设备和专业技术能力，有依法缴纳税收和社会保障资金的良好记录；没有因违法经营受到刑事处罚或者责令停产停业、吊销许可证或者执照、较大数额罚款等行政处罚。</w:t>
      </w:r>
    </w:p>
    <w:p w14:paraId="37A1F08B">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三、不出借、转让资质证书，不让他人挂靠投标，不以他人名义投标或者以其他方式弄虚作假，骗取中标；</w:t>
      </w:r>
    </w:p>
    <w:p w14:paraId="49B65B28">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四、不与其他投标人相互串通投标报价，不排挤其他投标人的公平竞争、损害招标人的合法权益；</w:t>
      </w:r>
    </w:p>
    <w:p w14:paraId="107E5175">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五、不与招标人、招标代理机构或其他投标人串通投标，损害国家利益、社会公共利益或者他人的合法权益；</w:t>
      </w:r>
    </w:p>
    <w:p w14:paraId="19F9B250">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六、</w:t>
      </w:r>
      <w:r>
        <w:rPr>
          <w:rFonts w:hint="eastAsia" w:ascii="宋体" w:hAnsi="宋体"/>
          <w:color w:val="auto"/>
          <w:szCs w:val="21"/>
          <w:u w:val="single"/>
        </w:rPr>
        <w:t xml:space="preserve">      （企业名称）或       （企业名称）法定代表人       </w:t>
      </w:r>
      <w:r>
        <w:rPr>
          <w:rFonts w:hint="eastAsia" w:ascii="宋体" w:hAnsi="宋体"/>
          <w:color w:val="auto"/>
          <w:szCs w:val="21"/>
        </w:rPr>
        <w:t>没有下列情形：</w:t>
      </w:r>
      <w:bookmarkStart w:id="103" w:name="OLE_LINK134"/>
      <w:bookmarkStart w:id="104" w:name="OLE_LINK133"/>
      <w:r>
        <w:rPr>
          <w:rFonts w:hint="eastAsia" w:ascii="宋体" w:hAnsi="宋体"/>
          <w:color w:val="auto"/>
          <w:szCs w:val="21"/>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103"/>
      <w:bookmarkEnd w:id="104"/>
      <w:r>
        <w:rPr>
          <w:rFonts w:hint="eastAsia" w:ascii="宋体" w:hAnsi="宋体"/>
          <w:color w:val="auto"/>
          <w:szCs w:val="21"/>
        </w:rPr>
        <w:t>若招标文件对投标人所属分公司、办事处等分支机构有上述1-10项信誉要求，在此一并承诺我公司所属分公司、办事处等分支机构没有上述1-10项情形）</w:t>
      </w:r>
    </w:p>
    <w:p w14:paraId="5E494D07">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七、严格遵守开标现场纪律，服从监管人员管理；</w:t>
      </w:r>
    </w:p>
    <w:p w14:paraId="080166C4">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八、保证中标后不转包，若有分包征得招标人同意；</w:t>
      </w:r>
    </w:p>
    <w:p w14:paraId="0A0D6067">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九、保证中标之后，按照投标文件要求提供相关后续服务；</w:t>
      </w:r>
    </w:p>
    <w:p w14:paraId="390C5D2E">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十、保证企业及所属相关人员在本次投标中无行贿等犯罪行为；</w:t>
      </w:r>
    </w:p>
    <w:p w14:paraId="793CF68F">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729DD537">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以上内容我已仔细阅读，本公司若有违反承诺内容的行为，自愿接受取消投标或者中标资格、记入不良行为记录、投标保证金不予退还等有关处理，愿意承担法律责任，给招标人造成损失的，依法承担赔偿责任。 </w:t>
      </w:r>
    </w:p>
    <w:p w14:paraId="263164E5">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开户银行：                          基本账户：</w:t>
      </w:r>
    </w:p>
    <w:p w14:paraId="2901B344">
      <w:pPr>
        <w:keepNext w:val="0"/>
        <w:keepLines w:val="0"/>
        <w:pageBreakBefore w:val="0"/>
        <w:widowControl w:val="0"/>
        <w:kinsoku/>
        <w:wordWrap/>
        <w:overflowPunct/>
        <w:topLinePunct w:val="0"/>
        <w:autoSpaceDE/>
        <w:autoSpaceDN/>
        <w:bidi w:val="0"/>
        <w:adjustRightInd/>
        <w:snapToGrid/>
        <w:spacing w:line="300" w:lineRule="exact"/>
        <w:ind w:left="-420" w:leftChars="-200" w:right="-512" w:rightChars="-244" w:firstLine="420" w:firstLineChars="200"/>
        <w:textAlignment w:val="auto"/>
        <w:rPr>
          <w:rFonts w:ascii="宋体" w:hAnsi="宋体"/>
          <w:color w:val="auto"/>
          <w:szCs w:val="21"/>
        </w:rPr>
      </w:pPr>
      <w:r>
        <w:rPr>
          <w:rFonts w:hint="eastAsia" w:ascii="宋体" w:hAnsi="宋体"/>
          <w:color w:val="auto"/>
          <w:szCs w:val="21"/>
        </w:rPr>
        <w:t>投标单位（签章或盖章）：          法定代表人（签章）：</w:t>
      </w:r>
    </w:p>
    <w:p w14:paraId="430514B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日</w:t>
      </w:r>
    </w:p>
    <w:p w14:paraId="1D9717E1">
      <w:pPr>
        <w:rPr>
          <w:rFonts w:ascii="宋体" w:hAnsi="宋体"/>
          <w:color w:val="auto"/>
          <w:szCs w:val="21"/>
        </w:rPr>
      </w:pPr>
    </w:p>
    <w:p w14:paraId="3590403F">
      <w:pPr>
        <w:rPr>
          <w:rFonts w:ascii="宋体" w:hAnsi="宋体"/>
          <w:color w:val="auto"/>
          <w:szCs w:val="21"/>
        </w:rPr>
      </w:pPr>
    </w:p>
    <w:p w14:paraId="3E82995B">
      <w:pPr>
        <w:spacing w:line="280" w:lineRule="exact"/>
        <w:ind w:left="-420" w:leftChars="-200" w:right="-512" w:rightChars="-244" w:firstLine="562" w:firstLineChars="200"/>
        <w:jc w:val="right"/>
        <w:rPr>
          <w:b/>
          <w:color w:val="auto"/>
          <w:sz w:val="28"/>
          <w:szCs w:val="28"/>
        </w:rPr>
      </w:pPr>
      <w:r>
        <w:rPr>
          <w:rFonts w:hint="eastAsia"/>
          <w:b/>
          <w:color w:val="auto"/>
          <w:sz w:val="28"/>
          <w:szCs w:val="28"/>
        </w:rPr>
        <w:t>或（2）公共信用信息报告（无违法违规证明版或核查版））</w:t>
      </w:r>
    </w:p>
    <w:p w14:paraId="5D9119F5">
      <w:pPr>
        <w:rPr>
          <w:rFonts w:ascii="宋体" w:hAnsi="宋体"/>
          <w:b/>
          <w:color w:val="auto"/>
          <w:sz w:val="24"/>
        </w:rPr>
      </w:pPr>
      <w:r>
        <w:rPr>
          <w:rFonts w:hint="eastAsia" w:ascii="宋体" w:hAnsi="宋体"/>
          <w:color w:val="auto"/>
          <w:szCs w:val="21"/>
        </w:rPr>
        <w:t>符合条件的投标人可在信用中国（安徽）网站（网址</w:t>
      </w:r>
      <w:r>
        <w:rPr>
          <w:color w:val="auto"/>
        </w:rPr>
        <w:fldChar w:fldCharType="begin"/>
      </w:r>
      <w:r>
        <w:rPr>
          <w:color w:val="auto"/>
        </w:rPr>
        <w:instrText xml:space="preserve"> HYPERLINK "https://credit.ah.gov.cn/xinyongfuwu/index.html" </w:instrText>
      </w:r>
      <w:r>
        <w:rPr>
          <w:color w:val="auto"/>
        </w:rPr>
        <w:fldChar w:fldCharType="separate"/>
      </w:r>
      <w:r>
        <w:rPr>
          <w:rFonts w:hint="eastAsia" w:ascii="宋体" w:hAnsi="宋体"/>
          <w:color w:val="auto"/>
          <w:szCs w:val="21"/>
        </w:rPr>
        <w:t>https://credit.ah.gov.cn/xinyongfuwu/index.html</w:t>
      </w:r>
      <w:r>
        <w:rPr>
          <w:rFonts w:hint="eastAsia" w:ascii="宋体" w:hAnsi="宋体"/>
          <w:color w:val="auto"/>
          <w:szCs w:val="21"/>
        </w:rPr>
        <w:fldChar w:fldCharType="end"/>
      </w:r>
      <w:r>
        <w:rPr>
          <w:rFonts w:hint="eastAsia" w:ascii="宋体" w:hAnsi="宋体"/>
          <w:color w:val="auto"/>
          <w:szCs w:val="21"/>
        </w:rPr>
        <w:t>），获取信用报告（无违法违规证明版或核查版）并上传至投标文件中。</w:t>
      </w:r>
      <w:r>
        <w:rPr>
          <w:rFonts w:hint="eastAsia" w:ascii="宋体" w:hAnsi="宋体"/>
          <w:b/>
          <w:color w:val="auto"/>
          <w:sz w:val="24"/>
        </w:rPr>
        <w:br w:type="page"/>
      </w:r>
    </w:p>
    <w:p w14:paraId="65314708">
      <w:pPr>
        <w:rPr>
          <w:rFonts w:ascii="宋体" w:hAnsi="宋体"/>
          <w:b/>
          <w:color w:val="auto"/>
          <w:sz w:val="24"/>
        </w:rPr>
      </w:pPr>
      <w:r>
        <w:rPr>
          <w:rFonts w:hint="eastAsia" w:ascii="宋体" w:hAnsi="宋体"/>
          <w:b/>
          <w:color w:val="auto"/>
          <w:sz w:val="24"/>
        </w:rPr>
        <w:t>附件3：</w:t>
      </w:r>
    </w:p>
    <w:p w14:paraId="1AAA83D3">
      <w:pPr>
        <w:jc w:val="center"/>
        <w:rPr>
          <w:rFonts w:ascii="宋体" w:hAnsi="宋体"/>
          <w:b/>
          <w:color w:val="auto"/>
          <w:sz w:val="30"/>
          <w:szCs w:val="30"/>
        </w:rPr>
      </w:pPr>
      <w:r>
        <w:rPr>
          <w:rFonts w:hint="eastAsia" w:ascii="宋体" w:hAnsi="宋体"/>
          <w:b/>
          <w:color w:val="auto"/>
          <w:sz w:val="30"/>
          <w:szCs w:val="30"/>
        </w:rPr>
        <w:t>技术参数响应表（格式）</w:t>
      </w:r>
    </w:p>
    <w:p w14:paraId="70C9453C">
      <w:pPr>
        <w:rPr>
          <w:rFonts w:ascii="宋体" w:hAnsi="宋体"/>
          <w:color w:val="auto"/>
          <w:sz w:val="24"/>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1539"/>
        <w:gridCol w:w="1555"/>
        <w:gridCol w:w="1577"/>
        <w:gridCol w:w="1962"/>
      </w:tblGrid>
      <w:tr w14:paraId="6455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3DC99E4B">
            <w:pPr>
              <w:spacing w:line="240" w:lineRule="atLeast"/>
              <w:jc w:val="center"/>
              <w:rPr>
                <w:rFonts w:ascii="宋体" w:hAnsi="宋体" w:cs="宋体"/>
                <w:color w:val="auto"/>
                <w:szCs w:val="21"/>
              </w:rPr>
            </w:pPr>
            <w:r>
              <w:rPr>
                <w:rFonts w:hint="eastAsia" w:ascii="宋体" w:hAnsi="宋体" w:cs="宋体"/>
                <w:color w:val="auto"/>
                <w:szCs w:val="21"/>
              </w:rPr>
              <w:t>序号</w:t>
            </w:r>
          </w:p>
        </w:tc>
        <w:tc>
          <w:tcPr>
            <w:tcW w:w="1421" w:type="dxa"/>
            <w:vMerge w:val="restart"/>
            <w:vAlign w:val="center"/>
          </w:tcPr>
          <w:p w14:paraId="0FBEF330">
            <w:pPr>
              <w:spacing w:line="240" w:lineRule="atLeast"/>
              <w:jc w:val="center"/>
              <w:rPr>
                <w:rFonts w:ascii="宋体" w:hAnsi="宋体" w:cs="宋体"/>
                <w:color w:val="auto"/>
                <w:szCs w:val="21"/>
              </w:rPr>
            </w:pPr>
            <w:r>
              <w:rPr>
                <w:rFonts w:hint="eastAsia" w:ascii="宋体" w:hAnsi="宋体" w:cs="宋体"/>
                <w:color w:val="auto"/>
                <w:szCs w:val="21"/>
              </w:rPr>
              <w:t>品目名称</w:t>
            </w:r>
          </w:p>
        </w:tc>
        <w:tc>
          <w:tcPr>
            <w:tcW w:w="3094" w:type="dxa"/>
            <w:gridSpan w:val="2"/>
            <w:vAlign w:val="center"/>
          </w:tcPr>
          <w:p w14:paraId="5531948D">
            <w:pPr>
              <w:spacing w:line="240" w:lineRule="atLeast"/>
              <w:jc w:val="center"/>
              <w:rPr>
                <w:rFonts w:ascii="宋体" w:hAnsi="宋体" w:cs="宋体"/>
                <w:color w:val="auto"/>
                <w:szCs w:val="21"/>
              </w:rPr>
            </w:pPr>
            <w:r>
              <w:rPr>
                <w:rFonts w:hint="eastAsia" w:ascii="宋体" w:hAnsi="宋体" w:cs="宋体"/>
                <w:color w:val="auto"/>
                <w:szCs w:val="21"/>
              </w:rPr>
              <w:t>规格型号及参数</w:t>
            </w:r>
          </w:p>
        </w:tc>
        <w:tc>
          <w:tcPr>
            <w:tcW w:w="1577" w:type="dxa"/>
            <w:vMerge w:val="restart"/>
            <w:vAlign w:val="center"/>
          </w:tcPr>
          <w:p w14:paraId="713A2968">
            <w:pPr>
              <w:spacing w:line="240" w:lineRule="atLeast"/>
              <w:jc w:val="center"/>
              <w:rPr>
                <w:rFonts w:ascii="宋体" w:hAnsi="宋体" w:cs="宋体"/>
                <w:color w:val="auto"/>
                <w:szCs w:val="21"/>
              </w:rPr>
            </w:pPr>
            <w:r>
              <w:rPr>
                <w:rFonts w:hint="eastAsia" w:ascii="宋体" w:hAnsi="宋体" w:cs="宋体"/>
                <w:color w:val="auto"/>
                <w:szCs w:val="21"/>
              </w:rPr>
              <w:t>是否响应</w:t>
            </w:r>
          </w:p>
        </w:tc>
        <w:tc>
          <w:tcPr>
            <w:tcW w:w="1962" w:type="dxa"/>
            <w:vMerge w:val="restart"/>
            <w:vAlign w:val="center"/>
          </w:tcPr>
          <w:p w14:paraId="4289A946">
            <w:pPr>
              <w:spacing w:line="240" w:lineRule="atLeast"/>
              <w:jc w:val="center"/>
              <w:rPr>
                <w:rFonts w:ascii="宋体" w:hAnsi="宋体" w:cs="宋体"/>
                <w:color w:val="auto"/>
                <w:szCs w:val="21"/>
              </w:rPr>
            </w:pPr>
            <w:r>
              <w:rPr>
                <w:rFonts w:hint="eastAsia" w:ascii="宋体" w:hAnsi="宋体" w:cs="宋体"/>
                <w:color w:val="auto"/>
                <w:szCs w:val="21"/>
              </w:rPr>
              <w:t>其他情况说明</w:t>
            </w:r>
          </w:p>
        </w:tc>
      </w:tr>
      <w:tr w14:paraId="1CC1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15A6F267">
            <w:pPr>
              <w:spacing w:line="240" w:lineRule="atLeast"/>
              <w:ind w:firstLine="105" w:firstLineChars="50"/>
              <w:rPr>
                <w:rFonts w:ascii="宋体" w:hAnsi="宋体" w:cs="宋体"/>
                <w:color w:val="auto"/>
                <w:szCs w:val="21"/>
              </w:rPr>
            </w:pPr>
          </w:p>
        </w:tc>
        <w:tc>
          <w:tcPr>
            <w:tcW w:w="1421" w:type="dxa"/>
            <w:vMerge w:val="continue"/>
          </w:tcPr>
          <w:p w14:paraId="45164EB1">
            <w:pPr>
              <w:spacing w:line="240" w:lineRule="atLeast"/>
              <w:jc w:val="center"/>
              <w:rPr>
                <w:rFonts w:ascii="宋体" w:hAnsi="宋体" w:cs="宋体"/>
                <w:color w:val="auto"/>
                <w:szCs w:val="21"/>
              </w:rPr>
            </w:pPr>
          </w:p>
        </w:tc>
        <w:tc>
          <w:tcPr>
            <w:tcW w:w="1539" w:type="dxa"/>
          </w:tcPr>
          <w:p w14:paraId="6054CD86">
            <w:pPr>
              <w:spacing w:line="240" w:lineRule="atLeast"/>
              <w:jc w:val="center"/>
              <w:rPr>
                <w:rFonts w:ascii="宋体" w:hAnsi="宋体" w:cs="宋体"/>
                <w:color w:val="auto"/>
                <w:szCs w:val="21"/>
              </w:rPr>
            </w:pPr>
            <w:r>
              <w:rPr>
                <w:rFonts w:hint="eastAsia" w:ascii="宋体" w:hAnsi="宋体" w:cs="宋体"/>
                <w:color w:val="auto"/>
                <w:szCs w:val="21"/>
              </w:rPr>
              <w:t>招标要求规格型号技术参数</w:t>
            </w:r>
          </w:p>
        </w:tc>
        <w:tc>
          <w:tcPr>
            <w:tcW w:w="1555" w:type="dxa"/>
          </w:tcPr>
          <w:p w14:paraId="4960038B">
            <w:pPr>
              <w:spacing w:line="240" w:lineRule="atLeast"/>
              <w:jc w:val="center"/>
              <w:rPr>
                <w:rFonts w:ascii="宋体" w:hAnsi="宋体" w:cs="宋体"/>
                <w:color w:val="auto"/>
                <w:szCs w:val="21"/>
              </w:rPr>
            </w:pPr>
            <w:r>
              <w:rPr>
                <w:rFonts w:hint="eastAsia" w:ascii="宋体" w:hAnsi="宋体" w:cs="宋体"/>
                <w:color w:val="auto"/>
                <w:szCs w:val="21"/>
              </w:rPr>
              <w:t>投标规格型号技术参数</w:t>
            </w:r>
          </w:p>
        </w:tc>
        <w:tc>
          <w:tcPr>
            <w:tcW w:w="1577" w:type="dxa"/>
            <w:vMerge w:val="continue"/>
          </w:tcPr>
          <w:p w14:paraId="04EB55A3">
            <w:pPr>
              <w:spacing w:line="240" w:lineRule="atLeast"/>
              <w:jc w:val="center"/>
              <w:rPr>
                <w:rFonts w:ascii="宋体" w:hAnsi="宋体" w:cs="宋体"/>
                <w:color w:val="auto"/>
                <w:szCs w:val="21"/>
              </w:rPr>
            </w:pPr>
          </w:p>
        </w:tc>
        <w:tc>
          <w:tcPr>
            <w:tcW w:w="1962" w:type="dxa"/>
            <w:vMerge w:val="continue"/>
          </w:tcPr>
          <w:p w14:paraId="79A3E856">
            <w:pPr>
              <w:spacing w:line="240" w:lineRule="atLeast"/>
              <w:jc w:val="center"/>
              <w:rPr>
                <w:rFonts w:ascii="宋体" w:hAnsi="宋体" w:cs="宋体"/>
                <w:color w:val="auto"/>
                <w:szCs w:val="21"/>
              </w:rPr>
            </w:pPr>
          </w:p>
        </w:tc>
      </w:tr>
      <w:tr w14:paraId="0EEA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53F47A96">
            <w:pPr>
              <w:jc w:val="center"/>
              <w:rPr>
                <w:rFonts w:ascii="宋体" w:hAnsi="宋体"/>
                <w:color w:val="auto"/>
                <w:szCs w:val="21"/>
              </w:rPr>
            </w:pPr>
            <w:r>
              <w:rPr>
                <w:rFonts w:hint="eastAsia" w:ascii="宋体" w:hAnsi="宋体"/>
                <w:color w:val="auto"/>
                <w:szCs w:val="21"/>
              </w:rPr>
              <w:t>1</w:t>
            </w:r>
          </w:p>
        </w:tc>
        <w:tc>
          <w:tcPr>
            <w:tcW w:w="1421" w:type="dxa"/>
            <w:shd w:val="clear" w:color="auto" w:fill="FFFFFF"/>
            <w:vAlign w:val="center"/>
          </w:tcPr>
          <w:p w14:paraId="05F31E13">
            <w:pPr>
              <w:widowControl/>
              <w:spacing w:line="360" w:lineRule="auto"/>
              <w:jc w:val="center"/>
              <w:textAlignment w:val="center"/>
              <w:rPr>
                <w:rFonts w:ascii="宋体" w:hAnsi="宋体"/>
                <w:color w:val="auto"/>
                <w:szCs w:val="21"/>
              </w:rPr>
            </w:pPr>
          </w:p>
        </w:tc>
        <w:tc>
          <w:tcPr>
            <w:tcW w:w="1539" w:type="dxa"/>
            <w:vAlign w:val="center"/>
          </w:tcPr>
          <w:p w14:paraId="3A4F5B12">
            <w:pPr>
              <w:ind w:firstLine="630" w:firstLineChars="300"/>
              <w:jc w:val="center"/>
              <w:rPr>
                <w:rFonts w:ascii="宋体" w:hAnsi="宋体"/>
                <w:color w:val="auto"/>
                <w:szCs w:val="21"/>
              </w:rPr>
            </w:pPr>
          </w:p>
        </w:tc>
        <w:tc>
          <w:tcPr>
            <w:tcW w:w="1555" w:type="dxa"/>
            <w:vAlign w:val="center"/>
          </w:tcPr>
          <w:p w14:paraId="7147D567">
            <w:pPr>
              <w:ind w:firstLine="630" w:firstLineChars="300"/>
              <w:jc w:val="center"/>
              <w:rPr>
                <w:rFonts w:ascii="宋体" w:hAnsi="宋体"/>
                <w:color w:val="auto"/>
                <w:szCs w:val="21"/>
              </w:rPr>
            </w:pPr>
          </w:p>
        </w:tc>
        <w:tc>
          <w:tcPr>
            <w:tcW w:w="1577" w:type="dxa"/>
            <w:vAlign w:val="center"/>
          </w:tcPr>
          <w:p w14:paraId="6D572B29">
            <w:pPr>
              <w:jc w:val="center"/>
              <w:rPr>
                <w:rFonts w:ascii="宋体" w:hAnsi="宋体"/>
                <w:color w:val="auto"/>
                <w:szCs w:val="21"/>
              </w:rPr>
            </w:pPr>
            <w:r>
              <w:rPr>
                <w:rFonts w:hint="eastAsia" w:ascii="宋体" w:hAnsi="宋体" w:cs="宋体"/>
                <w:color w:val="auto"/>
                <w:szCs w:val="21"/>
              </w:rPr>
              <w:t>是/否</w:t>
            </w:r>
          </w:p>
        </w:tc>
        <w:tc>
          <w:tcPr>
            <w:tcW w:w="1962" w:type="dxa"/>
            <w:vAlign w:val="center"/>
          </w:tcPr>
          <w:p w14:paraId="61C3DB3F">
            <w:pPr>
              <w:jc w:val="center"/>
              <w:rPr>
                <w:rFonts w:ascii="宋体" w:hAnsi="宋体"/>
                <w:color w:val="auto"/>
                <w:szCs w:val="21"/>
              </w:rPr>
            </w:pPr>
          </w:p>
        </w:tc>
      </w:tr>
      <w:tr w14:paraId="0CFD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0B0A2535">
            <w:pPr>
              <w:jc w:val="center"/>
              <w:rPr>
                <w:rFonts w:ascii="宋体" w:hAnsi="宋体"/>
                <w:color w:val="auto"/>
                <w:szCs w:val="21"/>
              </w:rPr>
            </w:pPr>
            <w:r>
              <w:rPr>
                <w:rFonts w:hint="eastAsia" w:ascii="宋体" w:hAnsi="宋体"/>
                <w:color w:val="auto"/>
                <w:szCs w:val="21"/>
              </w:rPr>
              <w:t>2</w:t>
            </w:r>
          </w:p>
        </w:tc>
        <w:tc>
          <w:tcPr>
            <w:tcW w:w="1421" w:type="dxa"/>
            <w:shd w:val="clear" w:color="auto" w:fill="FFFFFF"/>
            <w:vAlign w:val="center"/>
          </w:tcPr>
          <w:p w14:paraId="1874F2F7">
            <w:pPr>
              <w:widowControl/>
              <w:spacing w:line="360" w:lineRule="auto"/>
              <w:jc w:val="center"/>
              <w:textAlignment w:val="center"/>
              <w:rPr>
                <w:rFonts w:ascii="宋体" w:hAnsi="宋体"/>
                <w:color w:val="auto"/>
                <w:sz w:val="24"/>
              </w:rPr>
            </w:pPr>
          </w:p>
        </w:tc>
        <w:tc>
          <w:tcPr>
            <w:tcW w:w="1539" w:type="dxa"/>
            <w:vAlign w:val="center"/>
          </w:tcPr>
          <w:p w14:paraId="669A99CD">
            <w:pPr>
              <w:ind w:firstLine="630" w:firstLineChars="300"/>
              <w:jc w:val="center"/>
              <w:rPr>
                <w:rFonts w:ascii="宋体" w:hAnsi="宋体"/>
                <w:color w:val="auto"/>
                <w:szCs w:val="21"/>
              </w:rPr>
            </w:pPr>
          </w:p>
        </w:tc>
        <w:tc>
          <w:tcPr>
            <w:tcW w:w="1555" w:type="dxa"/>
            <w:vAlign w:val="center"/>
          </w:tcPr>
          <w:p w14:paraId="0C581393">
            <w:pPr>
              <w:ind w:firstLine="630" w:firstLineChars="300"/>
              <w:jc w:val="center"/>
              <w:rPr>
                <w:rFonts w:ascii="宋体" w:hAnsi="宋体"/>
                <w:color w:val="auto"/>
                <w:szCs w:val="21"/>
              </w:rPr>
            </w:pPr>
          </w:p>
        </w:tc>
        <w:tc>
          <w:tcPr>
            <w:tcW w:w="1577" w:type="dxa"/>
            <w:vAlign w:val="center"/>
          </w:tcPr>
          <w:p w14:paraId="7EBE05EE">
            <w:pPr>
              <w:jc w:val="center"/>
              <w:rPr>
                <w:color w:val="auto"/>
              </w:rPr>
            </w:pPr>
            <w:r>
              <w:rPr>
                <w:rFonts w:hint="eastAsia" w:ascii="宋体" w:hAnsi="宋体" w:cs="宋体"/>
                <w:color w:val="auto"/>
                <w:szCs w:val="21"/>
              </w:rPr>
              <w:t>是/否</w:t>
            </w:r>
          </w:p>
        </w:tc>
        <w:tc>
          <w:tcPr>
            <w:tcW w:w="1962" w:type="dxa"/>
            <w:vAlign w:val="center"/>
          </w:tcPr>
          <w:p w14:paraId="625F9FB6">
            <w:pPr>
              <w:jc w:val="center"/>
              <w:rPr>
                <w:rFonts w:ascii="宋体" w:hAnsi="宋体"/>
                <w:color w:val="auto"/>
                <w:szCs w:val="21"/>
              </w:rPr>
            </w:pPr>
          </w:p>
        </w:tc>
      </w:tr>
      <w:tr w14:paraId="7A71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1D44C7E7">
            <w:pPr>
              <w:jc w:val="center"/>
              <w:rPr>
                <w:rFonts w:ascii="宋体" w:hAnsi="宋体"/>
                <w:color w:val="auto"/>
                <w:szCs w:val="21"/>
              </w:rPr>
            </w:pPr>
            <w:r>
              <w:rPr>
                <w:rFonts w:hint="eastAsia" w:ascii="宋体" w:hAnsi="宋体"/>
                <w:color w:val="auto"/>
                <w:szCs w:val="21"/>
              </w:rPr>
              <w:t>3</w:t>
            </w:r>
          </w:p>
        </w:tc>
        <w:tc>
          <w:tcPr>
            <w:tcW w:w="1421" w:type="dxa"/>
            <w:shd w:val="clear" w:color="auto" w:fill="FFFFFF"/>
            <w:vAlign w:val="center"/>
          </w:tcPr>
          <w:p w14:paraId="1E79AD98">
            <w:pPr>
              <w:widowControl/>
              <w:spacing w:line="360" w:lineRule="auto"/>
              <w:jc w:val="center"/>
              <w:textAlignment w:val="center"/>
              <w:rPr>
                <w:rFonts w:ascii="宋体" w:hAnsi="宋体"/>
                <w:color w:val="auto"/>
                <w:sz w:val="24"/>
              </w:rPr>
            </w:pPr>
          </w:p>
        </w:tc>
        <w:tc>
          <w:tcPr>
            <w:tcW w:w="1539" w:type="dxa"/>
            <w:vAlign w:val="center"/>
          </w:tcPr>
          <w:p w14:paraId="20530BA1">
            <w:pPr>
              <w:ind w:firstLine="630" w:firstLineChars="300"/>
              <w:jc w:val="center"/>
              <w:rPr>
                <w:rFonts w:ascii="宋体" w:hAnsi="宋体"/>
                <w:color w:val="auto"/>
                <w:szCs w:val="21"/>
              </w:rPr>
            </w:pPr>
          </w:p>
        </w:tc>
        <w:tc>
          <w:tcPr>
            <w:tcW w:w="1555" w:type="dxa"/>
            <w:vAlign w:val="center"/>
          </w:tcPr>
          <w:p w14:paraId="05DABE07">
            <w:pPr>
              <w:ind w:firstLine="630" w:firstLineChars="300"/>
              <w:jc w:val="center"/>
              <w:rPr>
                <w:rFonts w:ascii="宋体" w:hAnsi="宋体"/>
                <w:color w:val="auto"/>
                <w:szCs w:val="21"/>
              </w:rPr>
            </w:pPr>
          </w:p>
        </w:tc>
        <w:tc>
          <w:tcPr>
            <w:tcW w:w="1577" w:type="dxa"/>
            <w:vAlign w:val="center"/>
          </w:tcPr>
          <w:p w14:paraId="02BA80DD">
            <w:pPr>
              <w:jc w:val="center"/>
              <w:rPr>
                <w:color w:val="auto"/>
              </w:rPr>
            </w:pPr>
            <w:r>
              <w:rPr>
                <w:rFonts w:hint="eastAsia" w:ascii="宋体" w:hAnsi="宋体" w:cs="宋体"/>
                <w:color w:val="auto"/>
                <w:szCs w:val="21"/>
              </w:rPr>
              <w:t>是/否</w:t>
            </w:r>
          </w:p>
        </w:tc>
        <w:tc>
          <w:tcPr>
            <w:tcW w:w="1962" w:type="dxa"/>
            <w:vAlign w:val="center"/>
          </w:tcPr>
          <w:p w14:paraId="3E07C833">
            <w:pPr>
              <w:jc w:val="center"/>
              <w:rPr>
                <w:rFonts w:ascii="宋体" w:hAnsi="宋体"/>
                <w:color w:val="auto"/>
                <w:szCs w:val="21"/>
              </w:rPr>
            </w:pPr>
          </w:p>
        </w:tc>
      </w:tr>
      <w:tr w14:paraId="5F91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6E24624">
            <w:pPr>
              <w:jc w:val="center"/>
              <w:rPr>
                <w:rFonts w:ascii="宋体" w:hAnsi="宋体"/>
                <w:color w:val="auto"/>
                <w:szCs w:val="21"/>
              </w:rPr>
            </w:pPr>
            <w:r>
              <w:rPr>
                <w:rFonts w:ascii="宋体" w:hAnsi="宋体"/>
                <w:color w:val="auto"/>
                <w:szCs w:val="21"/>
              </w:rPr>
              <w:t>…</w:t>
            </w:r>
          </w:p>
        </w:tc>
        <w:tc>
          <w:tcPr>
            <w:tcW w:w="1421" w:type="dxa"/>
            <w:shd w:val="clear" w:color="auto" w:fill="FFFFFF"/>
            <w:vAlign w:val="center"/>
          </w:tcPr>
          <w:p w14:paraId="4BB1F4C2">
            <w:pPr>
              <w:widowControl/>
              <w:spacing w:line="360" w:lineRule="auto"/>
              <w:jc w:val="center"/>
              <w:textAlignment w:val="center"/>
              <w:rPr>
                <w:rFonts w:ascii="宋体" w:hAnsi="宋体"/>
                <w:color w:val="auto"/>
                <w:sz w:val="24"/>
              </w:rPr>
            </w:pPr>
          </w:p>
        </w:tc>
        <w:tc>
          <w:tcPr>
            <w:tcW w:w="1539" w:type="dxa"/>
            <w:vAlign w:val="center"/>
          </w:tcPr>
          <w:p w14:paraId="007D3607">
            <w:pPr>
              <w:ind w:firstLine="630" w:firstLineChars="300"/>
              <w:jc w:val="center"/>
              <w:rPr>
                <w:rFonts w:ascii="宋体" w:hAnsi="宋体"/>
                <w:color w:val="auto"/>
                <w:szCs w:val="21"/>
              </w:rPr>
            </w:pPr>
          </w:p>
        </w:tc>
        <w:tc>
          <w:tcPr>
            <w:tcW w:w="1555" w:type="dxa"/>
            <w:vAlign w:val="center"/>
          </w:tcPr>
          <w:p w14:paraId="489AEEF3">
            <w:pPr>
              <w:ind w:firstLine="630" w:firstLineChars="300"/>
              <w:jc w:val="center"/>
              <w:rPr>
                <w:rFonts w:ascii="宋体" w:hAnsi="宋体"/>
                <w:color w:val="auto"/>
                <w:szCs w:val="21"/>
              </w:rPr>
            </w:pPr>
          </w:p>
        </w:tc>
        <w:tc>
          <w:tcPr>
            <w:tcW w:w="1577" w:type="dxa"/>
            <w:vAlign w:val="center"/>
          </w:tcPr>
          <w:p w14:paraId="6A43E3AC">
            <w:pPr>
              <w:jc w:val="center"/>
              <w:rPr>
                <w:rFonts w:ascii="宋体" w:hAnsi="宋体" w:cs="宋体"/>
                <w:color w:val="auto"/>
                <w:szCs w:val="21"/>
              </w:rPr>
            </w:pPr>
            <w:r>
              <w:rPr>
                <w:rFonts w:ascii="宋体" w:hAnsi="宋体" w:cs="宋体"/>
                <w:color w:val="auto"/>
                <w:szCs w:val="21"/>
              </w:rPr>
              <w:t>…</w:t>
            </w:r>
          </w:p>
        </w:tc>
        <w:tc>
          <w:tcPr>
            <w:tcW w:w="1962" w:type="dxa"/>
            <w:vAlign w:val="center"/>
          </w:tcPr>
          <w:p w14:paraId="10AEE99E">
            <w:pPr>
              <w:jc w:val="center"/>
              <w:rPr>
                <w:rFonts w:ascii="宋体" w:hAnsi="宋体"/>
                <w:color w:val="auto"/>
                <w:szCs w:val="21"/>
              </w:rPr>
            </w:pPr>
          </w:p>
        </w:tc>
      </w:tr>
    </w:tbl>
    <w:p w14:paraId="0AB90730">
      <w:pPr>
        <w:autoSpaceDE w:val="0"/>
        <w:autoSpaceDN w:val="0"/>
        <w:adjustRightInd w:val="0"/>
        <w:ind w:firstLine="422" w:firstLineChars="200"/>
        <w:rPr>
          <w:rFonts w:ascii="宋体" w:hAnsi="宋体"/>
          <w:b/>
          <w:color w:val="auto"/>
          <w:szCs w:val="21"/>
          <w:lang w:val="zh-CN"/>
        </w:rPr>
      </w:pPr>
      <w:r>
        <w:rPr>
          <w:rFonts w:hint="eastAsia" w:ascii="宋体" w:hAnsi="宋体"/>
          <w:b/>
          <w:color w:val="auto"/>
          <w:szCs w:val="21"/>
          <w:lang w:val="zh-CN"/>
        </w:rPr>
        <w:t>注：</w:t>
      </w:r>
    </w:p>
    <w:p w14:paraId="5B29C5B4">
      <w:pPr>
        <w:autoSpaceDE w:val="0"/>
        <w:autoSpaceDN w:val="0"/>
        <w:adjustRightInd w:val="0"/>
        <w:ind w:firstLine="562" w:firstLineChars="200"/>
        <w:rPr>
          <w:rFonts w:ascii="宋体" w:hAnsi="宋体"/>
          <w:b/>
          <w:color w:val="auto"/>
          <w:sz w:val="28"/>
          <w:szCs w:val="28"/>
          <w:lang w:val="zh-CN"/>
        </w:rPr>
      </w:pPr>
      <w:r>
        <w:rPr>
          <w:rFonts w:ascii="宋体" w:hAnsi="宋体"/>
          <w:b/>
          <w:color w:val="auto"/>
          <w:sz w:val="28"/>
          <w:szCs w:val="28"/>
          <w:lang w:val="zh-CN"/>
        </w:rPr>
        <w:t>1</w:t>
      </w:r>
      <w:r>
        <w:rPr>
          <w:rFonts w:hint="eastAsia" w:ascii="宋体" w:hAnsi="宋体"/>
          <w:b/>
          <w:color w:val="auto"/>
          <w:sz w:val="28"/>
          <w:szCs w:val="28"/>
          <w:lang w:val="zh-CN"/>
        </w:rPr>
        <w:t>.供应商应逐一说明投标产品和服务响应，直接拷贝招标文件技术要求的按照无效投标处理；</w:t>
      </w:r>
    </w:p>
    <w:p w14:paraId="5B1D9058">
      <w:pPr>
        <w:autoSpaceDE w:val="0"/>
        <w:autoSpaceDN w:val="0"/>
        <w:adjustRightInd w:val="0"/>
        <w:ind w:firstLine="420" w:firstLineChars="200"/>
        <w:rPr>
          <w:rFonts w:ascii="宋体" w:hAnsi="宋体"/>
          <w:color w:val="auto"/>
          <w:szCs w:val="21"/>
        </w:rPr>
      </w:pPr>
      <w:r>
        <w:rPr>
          <w:rFonts w:ascii="宋体" w:hAnsi="宋体" w:cs="宋体"/>
          <w:color w:val="auto"/>
          <w:szCs w:val="21"/>
          <w:lang w:val="zh-CN"/>
        </w:rPr>
        <w:t>2</w:t>
      </w:r>
      <w:r>
        <w:rPr>
          <w:rFonts w:hint="eastAsia" w:ascii="宋体" w:hAnsi="宋体" w:cs="宋体"/>
          <w:color w:val="auto"/>
          <w:szCs w:val="21"/>
          <w:lang w:val="zh-CN"/>
        </w:rPr>
        <w:t>.如果行数不够，请自行增加。</w:t>
      </w:r>
    </w:p>
    <w:p w14:paraId="0F4A8B36">
      <w:pPr>
        <w:spacing w:line="360" w:lineRule="auto"/>
        <w:ind w:firstLine="420" w:firstLineChars="200"/>
        <w:jc w:val="right"/>
        <w:rPr>
          <w:rFonts w:ascii="宋体" w:hAnsi="宋体"/>
          <w:color w:val="auto"/>
          <w:szCs w:val="21"/>
        </w:rPr>
      </w:pPr>
      <w:r>
        <w:rPr>
          <w:rFonts w:hint="eastAsia" w:ascii="宋体" w:hAnsi="宋体"/>
          <w:color w:val="auto"/>
          <w:szCs w:val="21"/>
        </w:rPr>
        <w:t>投标人名称：</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（盖单位章）</w:t>
      </w:r>
    </w:p>
    <w:p w14:paraId="60671ADE">
      <w:pPr>
        <w:spacing w:line="360" w:lineRule="auto"/>
        <w:ind w:firstLine="420" w:firstLineChars="200"/>
        <w:jc w:val="right"/>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(签章)</w:t>
      </w:r>
    </w:p>
    <w:p w14:paraId="60EBFCA5">
      <w:pPr>
        <w:spacing w:line="360" w:lineRule="auto"/>
        <w:jc w:val="right"/>
        <w:rPr>
          <w:rFonts w:ascii="宋体" w:hAnsi="宋体"/>
          <w:b/>
          <w:color w:val="auto"/>
          <w:sz w:val="28"/>
          <w:szCs w:val="28"/>
        </w:rPr>
      </w:pPr>
      <w:r>
        <w:rPr>
          <w:rFonts w:hint="eastAsia" w:ascii="宋体" w:hAnsi="宋体"/>
          <w:color w:val="auto"/>
          <w:szCs w:val="21"/>
        </w:rPr>
        <w:t xml:space="preserve">     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bookmarkStart w:id="105" w:name="_Toc20556"/>
    </w:p>
    <w:p w14:paraId="0941E0AA">
      <w:pPr>
        <w:jc w:val="center"/>
        <w:rPr>
          <w:b/>
          <w:bCs/>
          <w:color w:val="auto"/>
          <w:sz w:val="28"/>
          <w:szCs w:val="28"/>
        </w:rPr>
      </w:pPr>
      <w:r>
        <w:rPr>
          <w:rFonts w:hint="eastAsia"/>
          <w:b/>
          <w:bCs/>
          <w:color w:val="auto"/>
          <w:sz w:val="28"/>
          <w:szCs w:val="28"/>
        </w:rPr>
        <w:t>货物的详细配置清单</w:t>
      </w:r>
      <w:bookmarkEnd w:id="105"/>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4FB0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vAlign w:val="center"/>
          </w:tcPr>
          <w:p w14:paraId="7BCB26D9">
            <w:pPr>
              <w:spacing w:line="360" w:lineRule="auto"/>
              <w:jc w:val="center"/>
              <w:rPr>
                <w:rFonts w:ascii="宋体" w:hAnsi="宋体"/>
                <w:color w:val="auto"/>
                <w:szCs w:val="21"/>
              </w:rPr>
            </w:pPr>
            <w:r>
              <w:rPr>
                <w:rFonts w:hint="eastAsia" w:ascii="宋体" w:hAnsi="宋体"/>
                <w:color w:val="auto"/>
                <w:szCs w:val="21"/>
              </w:rPr>
              <w:t>序号</w:t>
            </w:r>
          </w:p>
        </w:tc>
        <w:tc>
          <w:tcPr>
            <w:tcW w:w="1436" w:type="dxa"/>
            <w:vAlign w:val="center"/>
          </w:tcPr>
          <w:p w14:paraId="172F610B">
            <w:pPr>
              <w:spacing w:line="360" w:lineRule="auto"/>
              <w:jc w:val="center"/>
              <w:rPr>
                <w:rFonts w:ascii="宋体" w:hAnsi="宋体"/>
                <w:color w:val="auto"/>
                <w:szCs w:val="21"/>
              </w:rPr>
            </w:pPr>
            <w:r>
              <w:rPr>
                <w:rFonts w:hint="eastAsia" w:ascii="宋体" w:hAnsi="宋体"/>
                <w:color w:val="auto"/>
                <w:szCs w:val="21"/>
              </w:rPr>
              <w:t>货物名称</w:t>
            </w:r>
          </w:p>
        </w:tc>
        <w:tc>
          <w:tcPr>
            <w:tcW w:w="2154" w:type="dxa"/>
            <w:vAlign w:val="center"/>
          </w:tcPr>
          <w:p w14:paraId="729A4F30">
            <w:pPr>
              <w:spacing w:line="360" w:lineRule="auto"/>
              <w:jc w:val="center"/>
              <w:rPr>
                <w:rFonts w:ascii="宋体" w:hAnsi="宋体"/>
                <w:color w:val="auto"/>
                <w:szCs w:val="21"/>
              </w:rPr>
            </w:pPr>
            <w:r>
              <w:rPr>
                <w:rFonts w:hint="eastAsia" w:ascii="宋体" w:hAnsi="宋体"/>
                <w:color w:val="auto"/>
                <w:szCs w:val="21"/>
              </w:rPr>
              <w:t>品牌、规格型号</w:t>
            </w:r>
          </w:p>
        </w:tc>
        <w:tc>
          <w:tcPr>
            <w:tcW w:w="1171" w:type="dxa"/>
            <w:vAlign w:val="center"/>
          </w:tcPr>
          <w:p w14:paraId="619E0F89">
            <w:pPr>
              <w:spacing w:line="360" w:lineRule="auto"/>
              <w:jc w:val="center"/>
              <w:rPr>
                <w:rFonts w:ascii="宋体" w:hAnsi="宋体"/>
                <w:color w:val="auto"/>
                <w:szCs w:val="21"/>
              </w:rPr>
            </w:pPr>
            <w:r>
              <w:rPr>
                <w:rFonts w:hint="eastAsia" w:ascii="宋体" w:hAnsi="宋体"/>
                <w:color w:val="auto"/>
                <w:szCs w:val="21"/>
              </w:rPr>
              <w:t>产地</w:t>
            </w:r>
          </w:p>
        </w:tc>
        <w:tc>
          <w:tcPr>
            <w:tcW w:w="2180" w:type="dxa"/>
            <w:vAlign w:val="center"/>
          </w:tcPr>
          <w:p w14:paraId="66FAAEE6">
            <w:pPr>
              <w:spacing w:line="360" w:lineRule="auto"/>
              <w:ind w:left="261"/>
              <w:jc w:val="center"/>
              <w:rPr>
                <w:rFonts w:ascii="宋体" w:hAnsi="宋体"/>
                <w:color w:val="auto"/>
                <w:szCs w:val="21"/>
              </w:rPr>
            </w:pPr>
            <w:r>
              <w:rPr>
                <w:rFonts w:hint="eastAsia" w:ascii="宋体" w:hAnsi="宋体"/>
                <w:color w:val="auto"/>
                <w:szCs w:val="21"/>
              </w:rPr>
              <w:t>生产厂家</w:t>
            </w:r>
          </w:p>
        </w:tc>
        <w:tc>
          <w:tcPr>
            <w:tcW w:w="1532" w:type="dxa"/>
            <w:vAlign w:val="center"/>
          </w:tcPr>
          <w:p w14:paraId="33280777">
            <w:pPr>
              <w:spacing w:line="360" w:lineRule="auto"/>
              <w:jc w:val="center"/>
              <w:rPr>
                <w:rFonts w:ascii="宋体" w:hAnsi="宋体"/>
                <w:color w:val="auto"/>
                <w:szCs w:val="21"/>
              </w:rPr>
            </w:pPr>
            <w:r>
              <w:rPr>
                <w:rFonts w:hint="eastAsia" w:ascii="宋体" w:hAnsi="宋体"/>
                <w:color w:val="auto"/>
                <w:szCs w:val="21"/>
              </w:rPr>
              <w:t>详细配置清单</w:t>
            </w:r>
          </w:p>
        </w:tc>
      </w:tr>
      <w:tr w14:paraId="0EA2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shd w:val="clear" w:color="auto" w:fill="auto"/>
          </w:tcPr>
          <w:p w14:paraId="2A660D6B">
            <w:pPr>
              <w:numPr>
                <w:ilvl w:val="0"/>
                <w:numId w:val="15"/>
              </w:numPr>
              <w:spacing w:line="360" w:lineRule="auto"/>
              <w:rPr>
                <w:rFonts w:ascii="宋体" w:hAnsi="宋体"/>
                <w:color w:val="auto"/>
                <w:szCs w:val="21"/>
              </w:rPr>
            </w:pPr>
          </w:p>
        </w:tc>
        <w:tc>
          <w:tcPr>
            <w:tcW w:w="1436" w:type="dxa"/>
            <w:shd w:val="clear" w:color="auto" w:fill="FFFFFF"/>
            <w:vAlign w:val="center"/>
          </w:tcPr>
          <w:p w14:paraId="0520AF36">
            <w:pPr>
              <w:widowControl/>
              <w:spacing w:line="360" w:lineRule="auto"/>
              <w:jc w:val="center"/>
              <w:textAlignment w:val="center"/>
              <w:rPr>
                <w:rFonts w:ascii="宋体" w:hAnsi="宋体"/>
                <w:color w:val="auto"/>
                <w:szCs w:val="21"/>
              </w:rPr>
            </w:pPr>
          </w:p>
        </w:tc>
        <w:tc>
          <w:tcPr>
            <w:tcW w:w="2154" w:type="dxa"/>
          </w:tcPr>
          <w:p w14:paraId="5B0B8304">
            <w:pPr>
              <w:spacing w:line="360" w:lineRule="auto"/>
              <w:rPr>
                <w:rFonts w:ascii="宋体" w:hAnsi="宋体"/>
                <w:color w:val="auto"/>
                <w:szCs w:val="21"/>
              </w:rPr>
            </w:pPr>
          </w:p>
        </w:tc>
        <w:tc>
          <w:tcPr>
            <w:tcW w:w="1171" w:type="dxa"/>
          </w:tcPr>
          <w:p w14:paraId="5B963F4F">
            <w:pPr>
              <w:spacing w:line="360" w:lineRule="auto"/>
              <w:rPr>
                <w:rFonts w:ascii="宋体" w:hAnsi="宋体"/>
                <w:color w:val="auto"/>
                <w:szCs w:val="21"/>
              </w:rPr>
            </w:pPr>
          </w:p>
        </w:tc>
        <w:tc>
          <w:tcPr>
            <w:tcW w:w="2180" w:type="dxa"/>
          </w:tcPr>
          <w:p w14:paraId="1E0996A8">
            <w:pPr>
              <w:spacing w:line="360" w:lineRule="auto"/>
              <w:rPr>
                <w:rFonts w:ascii="宋体" w:hAnsi="宋体"/>
                <w:color w:val="auto"/>
                <w:szCs w:val="21"/>
              </w:rPr>
            </w:pPr>
          </w:p>
        </w:tc>
        <w:tc>
          <w:tcPr>
            <w:tcW w:w="1532" w:type="dxa"/>
          </w:tcPr>
          <w:p w14:paraId="639BF498">
            <w:pPr>
              <w:spacing w:line="360" w:lineRule="auto"/>
              <w:rPr>
                <w:rFonts w:ascii="宋体" w:hAnsi="宋体"/>
                <w:color w:val="auto"/>
                <w:szCs w:val="21"/>
              </w:rPr>
            </w:pPr>
          </w:p>
        </w:tc>
      </w:tr>
      <w:tr w14:paraId="0212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shd w:val="clear" w:color="auto" w:fill="auto"/>
          </w:tcPr>
          <w:p w14:paraId="6B7F3019">
            <w:pPr>
              <w:numPr>
                <w:ilvl w:val="0"/>
                <w:numId w:val="15"/>
              </w:numPr>
              <w:spacing w:line="360" w:lineRule="auto"/>
              <w:rPr>
                <w:rFonts w:ascii="宋体" w:hAnsi="宋体"/>
                <w:color w:val="auto"/>
                <w:szCs w:val="21"/>
              </w:rPr>
            </w:pPr>
          </w:p>
        </w:tc>
        <w:tc>
          <w:tcPr>
            <w:tcW w:w="1436" w:type="dxa"/>
            <w:shd w:val="clear" w:color="auto" w:fill="FFFFFF"/>
            <w:vAlign w:val="center"/>
          </w:tcPr>
          <w:p w14:paraId="08A53C79">
            <w:pPr>
              <w:widowControl/>
              <w:spacing w:line="360" w:lineRule="auto"/>
              <w:jc w:val="center"/>
              <w:textAlignment w:val="center"/>
              <w:rPr>
                <w:rFonts w:ascii="宋体" w:hAnsi="宋体"/>
                <w:color w:val="auto"/>
                <w:szCs w:val="21"/>
              </w:rPr>
            </w:pPr>
          </w:p>
        </w:tc>
        <w:tc>
          <w:tcPr>
            <w:tcW w:w="2154" w:type="dxa"/>
          </w:tcPr>
          <w:p w14:paraId="1E2301F0">
            <w:pPr>
              <w:spacing w:line="360" w:lineRule="auto"/>
              <w:rPr>
                <w:rFonts w:ascii="宋体" w:hAnsi="宋体"/>
                <w:color w:val="auto"/>
                <w:szCs w:val="21"/>
              </w:rPr>
            </w:pPr>
          </w:p>
        </w:tc>
        <w:tc>
          <w:tcPr>
            <w:tcW w:w="1171" w:type="dxa"/>
          </w:tcPr>
          <w:p w14:paraId="0393ABDA">
            <w:pPr>
              <w:spacing w:line="360" w:lineRule="auto"/>
              <w:rPr>
                <w:rFonts w:ascii="宋体" w:hAnsi="宋体"/>
                <w:color w:val="auto"/>
                <w:szCs w:val="21"/>
              </w:rPr>
            </w:pPr>
          </w:p>
        </w:tc>
        <w:tc>
          <w:tcPr>
            <w:tcW w:w="2180" w:type="dxa"/>
          </w:tcPr>
          <w:p w14:paraId="4D1990AC">
            <w:pPr>
              <w:spacing w:line="360" w:lineRule="auto"/>
              <w:rPr>
                <w:rFonts w:ascii="宋体" w:hAnsi="宋体"/>
                <w:color w:val="auto"/>
                <w:szCs w:val="21"/>
              </w:rPr>
            </w:pPr>
          </w:p>
        </w:tc>
        <w:tc>
          <w:tcPr>
            <w:tcW w:w="1532" w:type="dxa"/>
          </w:tcPr>
          <w:p w14:paraId="73C1EC29">
            <w:pPr>
              <w:spacing w:line="360" w:lineRule="auto"/>
              <w:rPr>
                <w:rFonts w:ascii="宋体" w:hAnsi="宋体"/>
                <w:color w:val="auto"/>
                <w:szCs w:val="21"/>
              </w:rPr>
            </w:pPr>
          </w:p>
        </w:tc>
      </w:tr>
      <w:tr w14:paraId="74C8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shd w:val="clear" w:color="auto" w:fill="auto"/>
          </w:tcPr>
          <w:p w14:paraId="4DC9CB4C">
            <w:pPr>
              <w:numPr>
                <w:ilvl w:val="0"/>
                <w:numId w:val="15"/>
              </w:numPr>
              <w:spacing w:line="360" w:lineRule="auto"/>
              <w:rPr>
                <w:rFonts w:ascii="宋体" w:hAnsi="宋体"/>
                <w:color w:val="auto"/>
                <w:szCs w:val="21"/>
              </w:rPr>
            </w:pPr>
          </w:p>
        </w:tc>
        <w:tc>
          <w:tcPr>
            <w:tcW w:w="1436" w:type="dxa"/>
            <w:shd w:val="clear" w:color="auto" w:fill="FFFFFF"/>
            <w:vAlign w:val="center"/>
          </w:tcPr>
          <w:p w14:paraId="038A7010">
            <w:pPr>
              <w:widowControl/>
              <w:spacing w:line="360" w:lineRule="auto"/>
              <w:jc w:val="center"/>
              <w:textAlignment w:val="center"/>
              <w:rPr>
                <w:rFonts w:ascii="宋体" w:hAnsi="宋体"/>
                <w:color w:val="auto"/>
                <w:szCs w:val="21"/>
              </w:rPr>
            </w:pPr>
          </w:p>
        </w:tc>
        <w:tc>
          <w:tcPr>
            <w:tcW w:w="2154" w:type="dxa"/>
          </w:tcPr>
          <w:p w14:paraId="34ABE035">
            <w:pPr>
              <w:spacing w:line="360" w:lineRule="auto"/>
              <w:rPr>
                <w:rFonts w:ascii="宋体" w:hAnsi="宋体"/>
                <w:color w:val="auto"/>
                <w:szCs w:val="21"/>
              </w:rPr>
            </w:pPr>
          </w:p>
        </w:tc>
        <w:tc>
          <w:tcPr>
            <w:tcW w:w="1171" w:type="dxa"/>
          </w:tcPr>
          <w:p w14:paraId="60CB793C">
            <w:pPr>
              <w:spacing w:line="360" w:lineRule="auto"/>
              <w:rPr>
                <w:rFonts w:ascii="宋体" w:hAnsi="宋体"/>
                <w:color w:val="auto"/>
                <w:szCs w:val="21"/>
              </w:rPr>
            </w:pPr>
          </w:p>
        </w:tc>
        <w:tc>
          <w:tcPr>
            <w:tcW w:w="2180" w:type="dxa"/>
          </w:tcPr>
          <w:p w14:paraId="1247B0F1">
            <w:pPr>
              <w:spacing w:line="360" w:lineRule="auto"/>
              <w:rPr>
                <w:rFonts w:ascii="宋体" w:hAnsi="宋体"/>
                <w:color w:val="auto"/>
                <w:szCs w:val="21"/>
              </w:rPr>
            </w:pPr>
          </w:p>
        </w:tc>
        <w:tc>
          <w:tcPr>
            <w:tcW w:w="1532" w:type="dxa"/>
          </w:tcPr>
          <w:p w14:paraId="3CF60235">
            <w:pPr>
              <w:spacing w:line="360" w:lineRule="auto"/>
              <w:rPr>
                <w:rFonts w:ascii="宋体" w:hAnsi="宋体"/>
                <w:color w:val="auto"/>
                <w:szCs w:val="21"/>
              </w:rPr>
            </w:pPr>
          </w:p>
        </w:tc>
      </w:tr>
      <w:tr w14:paraId="57CE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7" w:type="dxa"/>
            <w:shd w:val="clear" w:color="auto" w:fill="auto"/>
          </w:tcPr>
          <w:p w14:paraId="3D2DE305">
            <w:pPr>
              <w:spacing w:line="360" w:lineRule="auto"/>
              <w:rPr>
                <w:rFonts w:ascii="宋体" w:hAnsi="宋体"/>
                <w:color w:val="auto"/>
                <w:szCs w:val="21"/>
              </w:rPr>
            </w:pPr>
            <w:r>
              <w:rPr>
                <w:rFonts w:ascii="宋体" w:hAnsi="宋体"/>
                <w:color w:val="auto"/>
                <w:szCs w:val="21"/>
              </w:rPr>
              <w:t>…</w:t>
            </w:r>
          </w:p>
        </w:tc>
        <w:tc>
          <w:tcPr>
            <w:tcW w:w="1436" w:type="dxa"/>
            <w:shd w:val="clear" w:color="auto" w:fill="FFFFFF"/>
            <w:vAlign w:val="center"/>
          </w:tcPr>
          <w:p w14:paraId="1989F4CE">
            <w:pPr>
              <w:widowControl/>
              <w:spacing w:line="360" w:lineRule="auto"/>
              <w:jc w:val="center"/>
              <w:textAlignment w:val="center"/>
              <w:rPr>
                <w:rFonts w:ascii="宋体" w:hAnsi="宋体"/>
                <w:color w:val="auto"/>
                <w:szCs w:val="21"/>
              </w:rPr>
            </w:pPr>
          </w:p>
        </w:tc>
        <w:tc>
          <w:tcPr>
            <w:tcW w:w="2154" w:type="dxa"/>
          </w:tcPr>
          <w:p w14:paraId="4B57075D">
            <w:pPr>
              <w:spacing w:line="360" w:lineRule="auto"/>
              <w:rPr>
                <w:rFonts w:ascii="宋体" w:hAnsi="宋体"/>
                <w:color w:val="auto"/>
                <w:szCs w:val="21"/>
              </w:rPr>
            </w:pPr>
          </w:p>
        </w:tc>
        <w:tc>
          <w:tcPr>
            <w:tcW w:w="1171" w:type="dxa"/>
          </w:tcPr>
          <w:p w14:paraId="25392D5C">
            <w:pPr>
              <w:spacing w:line="360" w:lineRule="auto"/>
              <w:rPr>
                <w:rFonts w:ascii="宋体" w:hAnsi="宋体"/>
                <w:color w:val="auto"/>
                <w:szCs w:val="21"/>
              </w:rPr>
            </w:pPr>
          </w:p>
        </w:tc>
        <w:tc>
          <w:tcPr>
            <w:tcW w:w="2180" w:type="dxa"/>
          </w:tcPr>
          <w:p w14:paraId="4246A87C">
            <w:pPr>
              <w:spacing w:line="360" w:lineRule="auto"/>
              <w:rPr>
                <w:rFonts w:ascii="宋体" w:hAnsi="宋体"/>
                <w:color w:val="auto"/>
                <w:szCs w:val="21"/>
              </w:rPr>
            </w:pPr>
          </w:p>
        </w:tc>
        <w:tc>
          <w:tcPr>
            <w:tcW w:w="1532" w:type="dxa"/>
          </w:tcPr>
          <w:p w14:paraId="0183E5AB">
            <w:pPr>
              <w:spacing w:line="360" w:lineRule="auto"/>
              <w:rPr>
                <w:rFonts w:ascii="宋体" w:hAnsi="宋体"/>
                <w:color w:val="auto"/>
                <w:szCs w:val="21"/>
              </w:rPr>
            </w:pPr>
          </w:p>
        </w:tc>
      </w:tr>
    </w:tbl>
    <w:p w14:paraId="4206625E">
      <w:pPr>
        <w:spacing w:line="360" w:lineRule="auto"/>
        <w:jc w:val="left"/>
        <w:rPr>
          <w:rFonts w:ascii="宋体" w:hAnsi="宋体"/>
          <w:b/>
          <w:color w:val="auto"/>
          <w:sz w:val="28"/>
          <w:szCs w:val="28"/>
        </w:rPr>
      </w:pPr>
      <w:r>
        <w:rPr>
          <w:rFonts w:hint="eastAsia" w:ascii="宋体" w:hAnsi="宋体"/>
          <w:b/>
          <w:color w:val="auto"/>
          <w:sz w:val="28"/>
          <w:szCs w:val="28"/>
        </w:rPr>
        <w:t>注：</w:t>
      </w:r>
      <w:r>
        <w:rPr>
          <w:rFonts w:hint="eastAsia" w:ascii="宋体" w:hAnsi="宋体" w:cs="宋体"/>
          <w:color w:val="auto"/>
          <w:szCs w:val="21"/>
          <w:lang w:val="zh-CN"/>
        </w:rPr>
        <w:t>如果行数不够，请自行增加。</w:t>
      </w:r>
    </w:p>
    <w:p w14:paraId="19D77E29">
      <w:pPr>
        <w:spacing w:line="360" w:lineRule="auto"/>
        <w:ind w:firstLine="420" w:firstLineChars="200"/>
        <w:rPr>
          <w:rFonts w:ascii="宋体" w:hAnsi="宋体"/>
          <w:color w:val="auto"/>
          <w:szCs w:val="21"/>
        </w:rPr>
      </w:pPr>
      <w:r>
        <w:rPr>
          <w:rFonts w:hint="eastAsia" w:ascii="宋体" w:hAnsi="宋体"/>
          <w:color w:val="auto"/>
          <w:szCs w:val="21"/>
        </w:rPr>
        <w:t>投标人名称：</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（盖单位章）</w:t>
      </w:r>
    </w:p>
    <w:p w14:paraId="7CC5FD9E">
      <w:pPr>
        <w:spacing w:line="360" w:lineRule="auto"/>
        <w:ind w:firstLine="420" w:firstLineChars="20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(签章)</w:t>
      </w:r>
    </w:p>
    <w:p w14:paraId="64A20832">
      <w:pPr>
        <w:spacing w:line="360" w:lineRule="auto"/>
        <w:rPr>
          <w:b/>
          <w:color w:val="auto"/>
          <w:sz w:val="28"/>
          <w:szCs w:val="28"/>
        </w:rPr>
      </w:pPr>
      <w:r>
        <w:rPr>
          <w:rFonts w:hint="eastAsia" w:ascii="宋体" w:hAnsi="宋体"/>
          <w:color w:val="auto"/>
          <w:szCs w:val="21"/>
        </w:rPr>
        <w:t xml:space="preserve">                                  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bookmarkStart w:id="106" w:name="_Toc18438"/>
      <w:bookmarkStart w:id="107" w:name="_Toc15134"/>
    </w:p>
    <w:p w14:paraId="2725BB87">
      <w:pPr>
        <w:spacing w:line="360" w:lineRule="auto"/>
        <w:rPr>
          <w:b/>
          <w:color w:val="auto"/>
          <w:sz w:val="28"/>
          <w:szCs w:val="28"/>
        </w:rPr>
      </w:pPr>
      <w:r>
        <w:rPr>
          <w:rFonts w:hint="eastAsia"/>
          <w:b/>
          <w:color w:val="auto"/>
          <w:sz w:val="28"/>
          <w:szCs w:val="28"/>
        </w:rPr>
        <w:t>附件</w:t>
      </w:r>
      <w:bookmarkEnd w:id="106"/>
      <w:bookmarkEnd w:id="107"/>
      <w:r>
        <w:rPr>
          <w:rFonts w:hint="eastAsia"/>
          <w:b/>
          <w:color w:val="auto"/>
          <w:sz w:val="28"/>
          <w:szCs w:val="28"/>
        </w:rPr>
        <w:t>4</w:t>
      </w:r>
    </w:p>
    <w:p w14:paraId="2EF1F0FE">
      <w:pPr>
        <w:spacing w:line="400" w:lineRule="exact"/>
        <w:ind w:firstLine="562" w:firstLineChars="200"/>
        <w:rPr>
          <w:b/>
          <w:color w:val="auto"/>
          <w:sz w:val="28"/>
          <w:szCs w:val="28"/>
        </w:rPr>
      </w:pPr>
    </w:p>
    <w:p w14:paraId="7B682A37">
      <w:pPr>
        <w:jc w:val="center"/>
        <w:rPr>
          <w:rFonts w:ascii="宋体"/>
          <w:b/>
          <w:color w:val="auto"/>
          <w:sz w:val="30"/>
          <w:szCs w:val="30"/>
        </w:rPr>
      </w:pPr>
      <w:r>
        <w:rPr>
          <w:rFonts w:hint="eastAsia" w:ascii="宋体"/>
          <w:b/>
          <w:color w:val="auto"/>
          <w:sz w:val="30"/>
          <w:szCs w:val="30"/>
        </w:rPr>
        <w:t>服务承诺书</w:t>
      </w:r>
    </w:p>
    <w:p w14:paraId="667F27BD">
      <w:pPr>
        <w:ind w:firstLine="480" w:firstLineChars="200"/>
        <w:rPr>
          <w:rFonts w:ascii="宋体"/>
          <w:color w:val="auto"/>
          <w:sz w:val="24"/>
        </w:rPr>
      </w:pPr>
    </w:p>
    <w:p w14:paraId="6EB9788A">
      <w:pPr>
        <w:rPr>
          <w:rFonts w:ascii="宋体"/>
          <w:b/>
          <w:color w:val="auto"/>
          <w:sz w:val="24"/>
        </w:rPr>
      </w:pPr>
      <w:r>
        <w:rPr>
          <w:rFonts w:hint="eastAsia" w:ascii="宋体"/>
          <w:color w:val="auto"/>
          <w:sz w:val="24"/>
        </w:rPr>
        <w:t>致：</w:t>
      </w:r>
      <w:r>
        <w:rPr>
          <w:rFonts w:hint="eastAsia" w:ascii="宋体"/>
          <w:color w:val="auto"/>
          <w:sz w:val="24"/>
          <w:u w:val="single"/>
        </w:rPr>
        <w:t xml:space="preserve">           （采购人）</w:t>
      </w:r>
      <w:r>
        <w:rPr>
          <w:rFonts w:hint="eastAsia" w:ascii="宋体"/>
          <w:color w:val="auto"/>
          <w:sz w:val="24"/>
        </w:rPr>
        <w:t>：</w:t>
      </w:r>
    </w:p>
    <w:p w14:paraId="588C8BA2">
      <w:pPr>
        <w:spacing w:line="800" w:lineRule="exact"/>
        <w:ind w:firstLine="480" w:firstLineChars="200"/>
        <w:rPr>
          <w:rFonts w:ascii="宋体"/>
          <w:color w:val="auto"/>
          <w:sz w:val="24"/>
        </w:rPr>
      </w:pPr>
      <w:r>
        <w:rPr>
          <w:rFonts w:hint="eastAsia" w:ascii="宋体"/>
          <w:color w:val="auto"/>
          <w:sz w:val="24"/>
        </w:rPr>
        <w:t>本承诺声明：</w:t>
      </w:r>
      <w:r>
        <w:rPr>
          <w:rFonts w:hint="eastAsia" w:ascii="宋体"/>
          <w:color w:val="auto"/>
          <w:sz w:val="24"/>
          <w:u w:val="single"/>
        </w:rPr>
        <w:t xml:space="preserve">                   </w:t>
      </w:r>
      <w:r>
        <w:rPr>
          <w:rFonts w:hint="eastAsia" w:ascii="宋体"/>
          <w:color w:val="auto"/>
          <w:sz w:val="24"/>
        </w:rPr>
        <w:t>（投标人名称）对本招标文件的相关要求完全响应。若有幸中标将严格按照以上承诺进行服务。</w:t>
      </w:r>
    </w:p>
    <w:p w14:paraId="59418CE0">
      <w:pPr>
        <w:spacing w:line="800" w:lineRule="exact"/>
        <w:ind w:firstLine="480" w:firstLineChars="200"/>
        <w:rPr>
          <w:rFonts w:ascii="宋体"/>
          <w:color w:val="auto"/>
          <w:sz w:val="24"/>
        </w:rPr>
      </w:pPr>
      <w:r>
        <w:rPr>
          <w:rFonts w:hint="eastAsia" w:ascii="宋体"/>
          <w:color w:val="auto"/>
          <w:sz w:val="24"/>
        </w:rPr>
        <w:t>特此声明。</w:t>
      </w:r>
    </w:p>
    <w:p w14:paraId="0400FCA5">
      <w:pPr>
        <w:spacing w:line="600" w:lineRule="exact"/>
        <w:rPr>
          <w:rFonts w:ascii="宋体"/>
          <w:color w:val="auto"/>
          <w:sz w:val="24"/>
        </w:rPr>
      </w:pPr>
      <w:r>
        <w:rPr>
          <w:rFonts w:hint="eastAsia" w:ascii="宋体"/>
          <w:color w:val="auto"/>
          <w:sz w:val="24"/>
        </w:rPr>
        <w:t> </w:t>
      </w:r>
    </w:p>
    <w:p w14:paraId="0FD6EFD1">
      <w:pPr>
        <w:spacing w:line="480" w:lineRule="auto"/>
        <w:ind w:firstLine="480" w:firstLineChars="200"/>
        <w:rPr>
          <w:rFonts w:ascii="宋体" w:hAnsi="宋体"/>
          <w:color w:val="auto"/>
          <w:sz w:val="24"/>
          <w:szCs w:val="21"/>
        </w:rPr>
      </w:pPr>
      <w:r>
        <w:rPr>
          <w:rFonts w:hint="eastAsia" w:ascii="宋体"/>
          <w:color w:val="auto"/>
          <w:sz w:val="24"/>
        </w:rPr>
        <w:t xml:space="preserve">                </w:t>
      </w:r>
      <w:r>
        <w:rPr>
          <w:rFonts w:hint="eastAsia" w:ascii="宋体" w:hAnsi="宋体"/>
          <w:color w:val="auto"/>
          <w:sz w:val="24"/>
          <w:szCs w:val="21"/>
        </w:rPr>
        <w:t>投标人名称：</w:t>
      </w:r>
      <w:r>
        <w:rPr>
          <w:rFonts w:ascii="宋体" w:hAnsi="宋体"/>
          <w:color w:val="auto"/>
          <w:sz w:val="24"/>
          <w:szCs w:val="21"/>
          <w:u w:val="single"/>
        </w:rPr>
        <w:t xml:space="preserve">      </w:t>
      </w:r>
      <w:r>
        <w:rPr>
          <w:rFonts w:hint="eastAsia" w:ascii="宋体" w:hAnsi="宋体"/>
          <w:color w:val="auto"/>
          <w:sz w:val="24"/>
          <w:szCs w:val="21"/>
          <w:u w:val="single"/>
        </w:rPr>
        <w:t xml:space="preserve">                    </w:t>
      </w:r>
      <w:r>
        <w:rPr>
          <w:rFonts w:hint="eastAsia" w:ascii="宋体" w:hAnsi="宋体"/>
          <w:color w:val="auto"/>
          <w:sz w:val="24"/>
          <w:szCs w:val="21"/>
        </w:rPr>
        <w:t>（盖单位章）</w:t>
      </w:r>
    </w:p>
    <w:p w14:paraId="1E9C35C5">
      <w:pPr>
        <w:spacing w:line="480" w:lineRule="auto"/>
        <w:ind w:firstLine="480" w:firstLineChars="200"/>
        <w:jc w:val="right"/>
        <w:rPr>
          <w:rFonts w:ascii="宋体" w:hAnsi="宋体"/>
          <w:color w:val="auto"/>
          <w:sz w:val="24"/>
          <w:szCs w:val="21"/>
        </w:rPr>
      </w:pPr>
      <w:r>
        <w:rPr>
          <w:rFonts w:hint="eastAsia" w:ascii="宋体" w:hAnsi="宋体"/>
          <w:color w:val="auto"/>
          <w:sz w:val="24"/>
          <w:szCs w:val="21"/>
        </w:rPr>
        <w:t>法定代表人：</w:t>
      </w:r>
      <w:r>
        <w:rPr>
          <w:rFonts w:hint="eastAsia" w:ascii="宋体" w:hAnsi="宋体"/>
          <w:color w:val="auto"/>
          <w:sz w:val="24"/>
          <w:szCs w:val="21"/>
          <w:u w:val="single"/>
        </w:rPr>
        <w:t xml:space="preserve">                               </w:t>
      </w:r>
      <w:r>
        <w:rPr>
          <w:rFonts w:hint="eastAsia" w:ascii="宋体" w:hAnsi="宋体"/>
          <w:color w:val="auto"/>
          <w:sz w:val="24"/>
          <w:szCs w:val="21"/>
        </w:rPr>
        <w:t>(签章)</w:t>
      </w:r>
    </w:p>
    <w:p w14:paraId="486951BC">
      <w:pPr>
        <w:spacing w:line="480" w:lineRule="auto"/>
        <w:jc w:val="right"/>
        <w:rPr>
          <w:b/>
          <w:color w:val="auto"/>
          <w:sz w:val="36"/>
          <w:szCs w:val="28"/>
        </w:rPr>
      </w:pPr>
      <w:r>
        <w:rPr>
          <w:rFonts w:hint="eastAsia" w:ascii="宋体" w:hAnsi="宋体"/>
          <w:color w:val="auto"/>
          <w:sz w:val="24"/>
          <w:szCs w:val="21"/>
        </w:rPr>
        <w:t xml:space="preserve">                                  日    期：</w:t>
      </w: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日</w:t>
      </w:r>
    </w:p>
    <w:p w14:paraId="1869C128">
      <w:pPr>
        <w:pStyle w:val="12"/>
        <w:ind w:firstLine="400"/>
        <w:rPr>
          <w:color w:val="auto"/>
        </w:rPr>
      </w:pPr>
    </w:p>
    <w:bookmarkEnd w:id="101"/>
    <w:bookmarkEnd w:id="102"/>
    <w:p w14:paraId="167F3766">
      <w:pPr>
        <w:wordWrap w:val="0"/>
        <w:spacing w:before="100" w:beforeAutospacing="1" w:after="100" w:afterAutospacing="1"/>
        <w:jc w:val="center"/>
        <w:rPr>
          <w:rFonts w:ascii="宋体" w:hAnsi="宋体"/>
          <w:b/>
          <w:color w:val="auto"/>
          <w:sz w:val="28"/>
          <w:szCs w:val="28"/>
          <w:bdr w:val="single" w:color="auto" w:sz="4" w:space="0"/>
        </w:rPr>
      </w:pPr>
      <w:r>
        <w:rPr>
          <w:rFonts w:hint="eastAsia" w:ascii="宋体" w:hAnsi="宋体"/>
          <w:b/>
          <w:color w:val="auto"/>
          <w:sz w:val="28"/>
          <w:szCs w:val="28"/>
        </w:rPr>
        <w:br w:type="page"/>
      </w:r>
      <w:r>
        <w:rPr>
          <w:rFonts w:hint="eastAsia" w:ascii="宋体" w:hAnsi="宋体"/>
          <w:b/>
          <w:color w:val="auto"/>
          <w:sz w:val="28"/>
          <w:szCs w:val="28"/>
        </w:rPr>
        <w:t>二、技术标格式文件</w:t>
      </w:r>
    </w:p>
    <w:p w14:paraId="789FAD68">
      <w:pPr>
        <w:jc w:val="center"/>
        <w:rPr>
          <w:rFonts w:ascii="宋体"/>
          <w:b/>
          <w:color w:val="auto"/>
          <w:sz w:val="44"/>
          <w:szCs w:val="44"/>
        </w:rPr>
      </w:pPr>
      <w:bookmarkStart w:id="108" w:name="_Toc387149626"/>
      <w:bookmarkStart w:id="109" w:name="_Toc449028953"/>
    </w:p>
    <w:p w14:paraId="786A638C">
      <w:pPr>
        <w:jc w:val="center"/>
        <w:rPr>
          <w:rFonts w:ascii="宋体"/>
          <w:b/>
          <w:color w:val="auto"/>
          <w:sz w:val="44"/>
          <w:szCs w:val="44"/>
        </w:rPr>
      </w:pPr>
      <w:r>
        <w:rPr>
          <w:rFonts w:hint="eastAsia" w:ascii="宋体"/>
          <w:b/>
          <w:color w:val="auto"/>
          <w:sz w:val="44"/>
          <w:szCs w:val="44"/>
        </w:rPr>
        <w:t>技术标</w:t>
      </w:r>
      <w:bookmarkEnd w:id="108"/>
      <w:bookmarkEnd w:id="109"/>
    </w:p>
    <w:p w14:paraId="321FBAF2">
      <w:pPr>
        <w:jc w:val="center"/>
        <w:rPr>
          <w:rFonts w:ascii="宋体"/>
          <w:color w:val="auto"/>
          <w:sz w:val="32"/>
          <w:szCs w:val="32"/>
        </w:rPr>
      </w:pPr>
      <w:r>
        <w:rPr>
          <w:rFonts w:hint="eastAsia" w:ascii="宋体"/>
          <w:color w:val="auto"/>
          <w:sz w:val="32"/>
          <w:szCs w:val="32"/>
        </w:rPr>
        <w:t>（投标文件二）</w:t>
      </w:r>
    </w:p>
    <w:p w14:paraId="26DEFF3B">
      <w:pPr>
        <w:jc w:val="center"/>
        <w:rPr>
          <w:rFonts w:eastAsia="黑体"/>
          <w:color w:val="auto"/>
          <w:sz w:val="44"/>
          <w:szCs w:val="44"/>
        </w:rPr>
      </w:pPr>
    </w:p>
    <w:p w14:paraId="3BDFAFB6">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w:t>
      </w:r>
    </w:p>
    <w:p w14:paraId="3AF3B866">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14:paraId="17175D11">
      <w:pPr>
        <w:rPr>
          <w:rFonts w:ascii="宋体"/>
          <w:color w:val="auto"/>
          <w:sz w:val="28"/>
          <w:szCs w:val="28"/>
        </w:rPr>
      </w:pPr>
    </w:p>
    <w:p w14:paraId="367101F7">
      <w:pPr>
        <w:rPr>
          <w:rFonts w:ascii="宋体"/>
          <w:color w:val="auto"/>
          <w:sz w:val="28"/>
          <w:szCs w:val="28"/>
        </w:rPr>
      </w:pPr>
    </w:p>
    <w:p w14:paraId="0CEB744C">
      <w:pPr>
        <w:spacing w:line="700" w:lineRule="exact"/>
        <w:jc w:val="left"/>
        <w:rPr>
          <w:color w:val="auto"/>
          <w:sz w:val="24"/>
          <w:szCs w:val="32"/>
        </w:rPr>
      </w:pPr>
      <w:r>
        <w:rPr>
          <w:rFonts w:ascii="宋体"/>
          <w:color w:val="auto"/>
          <w:sz w:val="28"/>
          <w:szCs w:val="28"/>
        </w:rPr>
        <w:tab/>
      </w:r>
      <w:r>
        <w:rPr>
          <w:rFonts w:hint="eastAsia" w:ascii="宋体" w:hAnsi="宋体" w:cs="宋体"/>
          <w:b/>
          <w:bCs/>
          <w:color w:val="auto"/>
          <w:sz w:val="24"/>
        </w:rPr>
        <w:t>【该项目技术标为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w:t>
      </w:r>
      <w:r>
        <w:rPr>
          <w:rFonts w:hint="eastAsia" w:ascii="宋体" w:hAnsi="宋体" w:cs="宋体"/>
          <w:b/>
          <w:bCs/>
          <w:color w:val="auto"/>
          <w:sz w:val="24"/>
          <w:lang w:val="en-US" w:eastAsia="zh-CN"/>
        </w:rPr>
        <w:t>对应</w:t>
      </w:r>
      <w:r>
        <w:rPr>
          <w:rFonts w:hint="eastAsia" w:ascii="宋体" w:hAnsi="宋体" w:cs="宋体"/>
          <w:b/>
          <w:bCs/>
          <w:color w:val="auto"/>
          <w:sz w:val="24"/>
        </w:rPr>
        <w:t>评分点作零分处理。】</w:t>
      </w:r>
    </w:p>
    <w:p w14:paraId="6A65964B">
      <w:pPr>
        <w:pStyle w:val="12"/>
        <w:ind w:firstLine="560"/>
        <w:rPr>
          <w:rFonts w:ascii="宋体"/>
          <w:color w:val="auto"/>
          <w:sz w:val="28"/>
          <w:szCs w:val="28"/>
        </w:rPr>
      </w:pPr>
      <w:r>
        <w:rPr>
          <w:rFonts w:hint="eastAsia" w:ascii="宋体"/>
          <w:color w:val="auto"/>
          <w:sz w:val="28"/>
          <w:szCs w:val="28"/>
        </w:rPr>
        <w:br w:type="page"/>
      </w:r>
    </w:p>
    <w:p w14:paraId="3ABA617A">
      <w:pPr>
        <w:rPr>
          <w:rFonts w:ascii="宋体"/>
          <w:color w:val="auto"/>
          <w:sz w:val="28"/>
          <w:szCs w:val="28"/>
        </w:rPr>
      </w:pPr>
    </w:p>
    <w:p w14:paraId="718DD351">
      <w:pPr>
        <w:pStyle w:val="12"/>
        <w:ind w:firstLine="400"/>
        <w:rPr>
          <w:color w:val="auto"/>
        </w:rPr>
      </w:pPr>
    </w:p>
    <w:p w14:paraId="296FA476">
      <w:pPr>
        <w:spacing w:line="400" w:lineRule="exact"/>
        <w:rPr>
          <w:b/>
          <w:color w:val="auto"/>
          <w:sz w:val="36"/>
          <w:szCs w:val="36"/>
        </w:rPr>
      </w:pPr>
    </w:p>
    <w:p w14:paraId="40D71DA9">
      <w:pPr>
        <w:spacing w:line="400" w:lineRule="exact"/>
        <w:jc w:val="center"/>
        <w:rPr>
          <w:b/>
          <w:color w:val="auto"/>
          <w:sz w:val="36"/>
          <w:szCs w:val="36"/>
        </w:rPr>
      </w:pPr>
      <w:r>
        <w:rPr>
          <w:rFonts w:hint="eastAsia"/>
          <w:b/>
          <w:color w:val="auto"/>
          <w:sz w:val="36"/>
          <w:szCs w:val="36"/>
        </w:rPr>
        <w:t>目   录</w:t>
      </w:r>
    </w:p>
    <w:p w14:paraId="34D7D956">
      <w:pPr>
        <w:spacing w:line="440" w:lineRule="exact"/>
        <w:ind w:left="420" w:leftChars="200"/>
        <w:jc w:val="left"/>
        <w:rPr>
          <w:rFonts w:hint="eastAsia" w:ascii="宋体" w:hAnsi="宋体" w:eastAsia="宋体" w:cs="宋体"/>
          <w:bCs/>
          <w:color w:val="auto"/>
          <w:szCs w:val="21"/>
        </w:rPr>
      </w:pPr>
      <w:r>
        <w:rPr>
          <w:rFonts w:hint="eastAsia" w:ascii="宋体" w:hAnsi="宋体" w:eastAsia="宋体" w:cs="宋体"/>
          <w:bCs/>
          <w:color w:val="auto"/>
          <w:szCs w:val="21"/>
        </w:rPr>
        <w:t>（1）生产能力；</w:t>
      </w:r>
    </w:p>
    <w:p w14:paraId="02D77113">
      <w:pPr>
        <w:spacing w:line="440" w:lineRule="exact"/>
        <w:ind w:left="420" w:leftChars="200"/>
        <w:jc w:val="left"/>
        <w:rPr>
          <w:rFonts w:ascii="宋体" w:hAnsi="宋体" w:cs="宋体"/>
          <w:color w:val="auto"/>
          <w:szCs w:val="21"/>
        </w:rPr>
      </w:pPr>
      <w:r>
        <w:rPr>
          <w:rFonts w:hint="eastAsia" w:ascii="宋体" w:hAnsi="宋体" w:eastAsia="宋体" w:cs="宋体"/>
          <w:bCs/>
          <w:color w:val="auto"/>
          <w:szCs w:val="21"/>
        </w:rPr>
        <w:t>（2）售后服务方案</w:t>
      </w:r>
      <w:r>
        <w:rPr>
          <w:rFonts w:hint="eastAsia" w:ascii="宋体" w:hAnsi="宋体" w:eastAsia="宋体" w:cs="宋体"/>
          <w:bCs/>
          <w:color w:val="auto"/>
          <w:szCs w:val="21"/>
          <w:lang w:val="en-US" w:eastAsia="zh-CN"/>
        </w:rPr>
        <w:t>（根据评分细则评审内容共有3项内容，系统中分别设置为</w:t>
      </w:r>
      <w:r>
        <w:rPr>
          <w:rFonts w:hint="eastAsia" w:ascii="宋体" w:hAnsi="宋体" w:eastAsia="宋体" w:cs="宋体"/>
          <w:bCs/>
          <w:color w:val="auto"/>
          <w:szCs w:val="21"/>
        </w:rPr>
        <w:t>售后服务方案</w:t>
      </w:r>
      <w:r>
        <w:rPr>
          <w:rFonts w:hint="eastAsia" w:ascii="宋体" w:hAnsi="宋体" w:eastAsia="宋体" w:cs="宋体"/>
          <w:bCs/>
          <w:color w:val="auto"/>
          <w:szCs w:val="21"/>
          <w:lang w:val="en-US" w:eastAsia="zh-CN"/>
        </w:rPr>
        <w:t xml:space="preserve">1、2、3） </w:t>
      </w:r>
      <w:r>
        <w:rPr>
          <w:rFonts w:hint="eastAsia" w:ascii="宋体" w:hAnsi="宋体" w:eastAsia="宋体" w:cs="宋体"/>
          <w:bCs/>
          <w:color w:val="auto"/>
          <w:szCs w:val="21"/>
        </w:rPr>
        <w:br w:type="textWrapping"/>
      </w:r>
    </w:p>
    <w:p w14:paraId="60ECA6C0">
      <w:pPr>
        <w:adjustRightInd w:val="0"/>
        <w:snapToGrid w:val="0"/>
        <w:spacing w:line="560" w:lineRule="exact"/>
        <w:rPr>
          <w:rFonts w:ascii="宋体" w:hAnsi="宋体"/>
          <w:b/>
          <w:bCs/>
          <w:color w:val="auto"/>
          <w:sz w:val="24"/>
        </w:rPr>
      </w:pPr>
    </w:p>
    <w:p w14:paraId="17489F54">
      <w:pPr>
        <w:adjustRightInd w:val="0"/>
        <w:snapToGrid w:val="0"/>
        <w:spacing w:line="560" w:lineRule="exact"/>
        <w:rPr>
          <w:rFonts w:ascii="宋体" w:hAnsi="宋体"/>
          <w:b/>
          <w:bCs/>
          <w:color w:val="auto"/>
          <w:sz w:val="24"/>
        </w:rPr>
      </w:pPr>
      <w:r>
        <w:rPr>
          <w:rFonts w:hint="eastAsia" w:ascii="宋体" w:hAnsi="宋体"/>
          <w:b/>
          <w:bCs/>
          <w:color w:val="auto"/>
          <w:sz w:val="24"/>
        </w:rPr>
        <w:t>注：本项目采用横向暗标评审，请投标人结合技术标评审细则和系统内容在对应模块上传技术标评审内容。</w:t>
      </w:r>
    </w:p>
    <w:p w14:paraId="0D235BCF">
      <w:pPr>
        <w:pStyle w:val="17"/>
        <w:rPr>
          <w:color w:val="auto"/>
        </w:rPr>
      </w:pPr>
    </w:p>
    <w:p w14:paraId="56A1AE96">
      <w:pPr>
        <w:spacing w:line="400" w:lineRule="exact"/>
        <w:ind w:firstLine="562" w:firstLineChars="200"/>
        <w:rPr>
          <w:b/>
          <w:color w:val="auto"/>
          <w:sz w:val="28"/>
          <w:szCs w:val="28"/>
        </w:rPr>
      </w:pPr>
    </w:p>
    <w:p w14:paraId="4BD87A00">
      <w:pPr>
        <w:spacing w:line="400" w:lineRule="exact"/>
        <w:ind w:firstLine="562" w:firstLineChars="200"/>
        <w:rPr>
          <w:b/>
          <w:color w:val="auto"/>
          <w:sz w:val="28"/>
          <w:szCs w:val="28"/>
        </w:rPr>
      </w:pPr>
    </w:p>
    <w:p w14:paraId="0E8C2E9F">
      <w:pPr>
        <w:spacing w:line="400" w:lineRule="exact"/>
        <w:ind w:firstLine="562" w:firstLineChars="200"/>
        <w:rPr>
          <w:b/>
          <w:color w:val="auto"/>
          <w:sz w:val="28"/>
          <w:szCs w:val="28"/>
        </w:rPr>
      </w:pPr>
    </w:p>
    <w:p w14:paraId="2A8BCAA0">
      <w:pPr>
        <w:spacing w:line="480" w:lineRule="auto"/>
        <w:rPr>
          <w:b/>
          <w:color w:val="auto"/>
          <w:sz w:val="28"/>
          <w:szCs w:val="28"/>
        </w:rPr>
      </w:pPr>
      <w:r>
        <w:rPr>
          <w:rFonts w:hint="eastAsia"/>
          <w:b/>
          <w:color w:val="auto"/>
          <w:sz w:val="28"/>
          <w:szCs w:val="28"/>
        </w:rPr>
        <w:br w:type="page"/>
      </w:r>
    </w:p>
    <w:p w14:paraId="270BDCC7">
      <w:pPr>
        <w:spacing w:line="300" w:lineRule="exact"/>
        <w:rPr>
          <w:rFonts w:ascii="宋体"/>
          <w:color w:val="auto"/>
          <w:sz w:val="24"/>
          <w:u w:val="single"/>
        </w:rPr>
      </w:pPr>
    </w:p>
    <w:p w14:paraId="3935DF22">
      <w:pPr>
        <w:spacing w:line="300" w:lineRule="exact"/>
        <w:rPr>
          <w:rFonts w:ascii="宋体"/>
          <w:color w:val="auto"/>
          <w:sz w:val="24"/>
          <w:u w:val="single"/>
        </w:rPr>
      </w:pPr>
      <w:r>
        <w:rPr>
          <w:rFonts w:hint="eastAsia" w:ascii="宋体"/>
          <w:color w:val="auto"/>
          <w:sz w:val="24"/>
          <w:u w:val="single"/>
        </w:rPr>
        <w:t xml:space="preserve">      </w:t>
      </w:r>
    </w:p>
    <w:p w14:paraId="76C49421">
      <w:pPr>
        <w:jc w:val="center"/>
        <w:rPr>
          <w:rFonts w:ascii="宋体"/>
          <w:color w:val="auto"/>
          <w:sz w:val="24"/>
        </w:rPr>
      </w:pPr>
      <w:r>
        <w:rPr>
          <w:rFonts w:hint="eastAsia" w:ascii="宋体" w:hAnsi="宋体"/>
          <w:b/>
          <w:color w:val="auto"/>
          <w:sz w:val="28"/>
          <w:szCs w:val="28"/>
        </w:rPr>
        <w:t>三、商务标格式文件</w:t>
      </w:r>
    </w:p>
    <w:p w14:paraId="591FED18">
      <w:pPr>
        <w:jc w:val="center"/>
        <w:rPr>
          <w:rFonts w:eastAsia="黑体"/>
          <w:color w:val="auto"/>
          <w:sz w:val="20"/>
        </w:rPr>
      </w:pPr>
    </w:p>
    <w:p w14:paraId="57F7E33F">
      <w:pPr>
        <w:rPr>
          <w:rFonts w:ascii="宋体"/>
          <w:color w:val="auto"/>
          <w:sz w:val="20"/>
        </w:rPr>
      </w:pPr>
    </w:p>
    <w:p w14:paraId="2678EE22">
      <w:pPr>
        <w:pStyle w:val="12"/>
        <w:ind w:firstLine="400"/>
        <w:rPr>
          <w:color w:val="auto"/>
        </w:rPr>
      </w:pPr>
    </w:p>
    <w:p w14:paraId="5882AD4B">
      <w:pPr>
        <w:jc w:val="center"/>
        <w:rPr>
          <w:rFonts w:ascii="宋体"/>
          <w:b/>
          <w:color w:val="auto"/>
          <w:sz w:val="44"/>
          <w:szCs w:val="44"/>
        </w:rPr>
      </w:pPr>
      <w:bookmarkStart w:id="110" w:name="_Toc449028954"/>
      <w:r>
        <w:rPr>
          <w:rFonts w:hint="eastAsia" w:ascii="宋体"/>
          <w:b/>
          <w:color w:val="auto"/>
          <w:sz w:val="44"/>
          <w:szCs w:val="44"/>
        </w:rPr>
        <w:t>商务标</w:t>
      </w:r>
      <w:bookmarkEnd w:id="110"/>
    </w:p>
    <w:p w14:paraId="684EFE7B">
      <w:pPr>
        <w:jc w:val="center"/>
        <w:rPr>
          <w:rFonts w:ascii="宋体"/>
          <w:color w:val="auto"/>
          <w:sz w:val="36"/>
          <w:szCs w:val="36"/>
        </w:rPr>
      </w:pPr>
      <w:r>
        <w:rPr>
          <w:rFonts w:hint="eastAsia" w:ascii="宋体"/>
          <w:color w:val="auto"/>
          <w:sz w:val="44"/>
          <w:szCs w:val="44"/>
        </w:rPr>
        <w:t>（</w:t>
      </w:r>
      <w:r>
        <w:rPr>
          <w:rFonts w:hint="eastAsia" w:ascii="宋体"/>
          <w:color w:val="auto"/>
          <w:sz w:val="36"/>
          <w:szCs w:val="36"/>
        </w:rPr>
        <w:t>投标文件三）</w:t>
      </w:r>
    </w:p>
    <w:p w14:paraId="1213EB3C">
      <w:pPr>
        <w:jc w:val="center"/>
        <w:rPr>
          <w:rFonts w:ascii="宋体"/>
          <w:color w:val="auto"/>
          <w:sz w:val="36"/>
          <w:szCs w:val="36"/>
        </w:rPr>
      </w:pPr>
    </w:p>
    <w:p w14:paraId="26E83962">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w:t>
      </w:r>
    </w:p>
    <w:p w14:paraId="342F2E18">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14:paraId="5396810C">
      <w:pPr>
        <w:rPr>
          <w:rFonts w:ascii="宋体"/>
          <w:color w:val="auto"/>
          <w:sz w:val="28"/>
          <w:szCs w:val="28"/>
        </w:rPr>
      </w:pPr>
    </w:p>
    <w:p w14:paraId="12E8E3E0">
      <w:pPr>
        <w:rPr>
          <w:rFonts w:ascii="宋体"/>
          <w:color w:val="auto"/>
          <w:sz w:val="28"/>
          <w:szCs w:val="28"/>
        </w:rPr>
      </w:pPr>
    </w:p>
    <w:p w14:paraId="75FFEFE2">
      <w:pPr>
        <w:rPr>
          <w:rFonts w:ascii="宋体"/>
          <w:color w:val="auto"/>
          <w:sz w:val="28"/>
          <w:szCs w:val="28"/>
        </w:rPr>
      </w:pPr>
    </w:p>
    <w:p w14:paraId="57C37052">
      <w:pPr>
        <w:rPr>
          <w:rFonts w:ascii="宋体"/>
          <w:color w:val="auto"/>
          <w:sz w:val="28"/>
          <w:szCs w:val="28"/>
        </w:rPr>
      </w:pPr>
    </w:p>
    <w:p w14:paraId="65143E18">
      <w:pPr>
        <w:rPr>
          <w:rFonts w:ascii="宋体"/>
          <w:color w:val="auto"/>
          <w:sz w:val="28"/>
          <w:szCs w:val="28"/>
        </w:rPr>
      </w:pPr>
    </w:p>
    <w:p w14:paraId="3BFD68F6">
      <w:pPr>
        <w:rPr>
          <w:rFonts w:ascii="宋体"/>
          <w:color w:val="auto"/>
          <w:sz w:val="28"/>
          <w:szCs w:val="28"/>
        </w:rPr>
      </w:pPr>
    </w:p>
    <w:p w14:paraId="5FD3A0D5">
      <w:pPr>
        <w:rPr>
          <w:rFonts w:ascii="宋体"/>
          <w:color w:val="auto"/>
          <w:sz w:val="28"/>
          <w:szCs w:val="28"/>
        </w:rPr>
      </w:pPr>
    </w:p>
    <w:p w14:paraId="2DC9B147">
      <w:pPr>
        <w:jc w:val="center"/>
        <w:rPr>
          <w:rFonts w:ascii="宋体"/>
          <w:color w:val="auto"/>
          <w:sz w:val="28"/>
          <w:szCs w:val="28"/>
          <w:u w:val="single"/>
        </w:rPr>
      </w:pPr>
      <w:r>
        <w:rPr>
          <w:rFonts w:hint="eastAsia" w:ascii="宋体"/>
          <w:color w:val="auto"/>
          <w:sz w:val="28"/>
          <w:szCs w:val="28"/>
        </w:rPr>
        <w:t>投标人：</w:t>
      </w:r>
      <w:r>
        <w:rPr>
          <w:rFonts w:hint="eastAsia" w:ascii="宋体"/>
          <w:color w:val="auto"/>
          <w:sz w:val="28"/>
          <w:szCs w:val="28"/>
          <w:u w:val="single"/>
        </w:rPr>
        <w:t xml:space="preserve">                              </w:t>
      </w:r>
      <w:r>
        <w:rPr>
          <w:rFonts w:hint="eastAsia" w:ascii="宋体"/>
          <w:color w:val="auto"/>
          <w:sz w:val="28"/>
          <w:szCs w:val="28"/>
        </w:rPr>
        <w:t>（盖单位章）</w:t>
      </w:r>
    </w:p>
    <w:p w14:paraId="2C9A3FE9">
      <w:pPr>
        <w:ind w:firstLine="700" w:firstLineChars="250"/>
        <w:rPr>
          <w:rFonts w:ascii="宋体"/>
          <w:color w:val="auto"/>
          <w:sz w:val="28"/>
          <w:szCs w:val="28"/>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（签章）</w:t>
      </w:r>
    </w:p>
    <w:p w14:paraId="491F0BFF">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14:paraId="2DD041EE">
      <w:pPr>
        <w:spacing w:line="720" w:lineRule="auto"/>
        <w:jc w:val="center"/>
        <w:rPr>
          <w:rFonts w:ascii="宋体"/>
          <w:b/>
          <w:color w:val="auto"/>
          <w:sz w:val="36"/>
          <w:szCs w:val="36"/>
        </w:rPr>
      </w:pPr>
    </w:p>
    <w:p w14:paraId="178E0D49">
      <w:pPr>
        <w:spacing w:line="400" w:lineRule="exact"/>
        <w:ind w:firstLine="562" w:firstLineChars="200"/>
        <w:rPr>
          <w:b/>
          <w:color w:val="auto"/>
          <w:sz w:val="28"/>
          <w:szCs w:val="28"/>
        </w:rPr>
      </w:pPr>
    </w:p>
    <w:p w14:paraId="0593D1E6">
      <w:pPr>
        <w:spacing w:line="400" w:lineRule="exact"/>
        <w:jc w:val="center"/>
        <w:rPr>
          <w:b/>
          <w:color w:val="auto"/>
          <w:sz w:val="36"/>
          <w:szCs w:val="36"/>
        </w:rPr>
      </w:pPr>
      <w:r>
        <w:rPr>
          <w:b/>
          <w:color w:val="auto"/>
          <w:sz w:val="36"/>
          <w:szCs w:val="36"/>
        </w:rPr>
        <w:br w:type="page"/>
      </w:r>
      <w:r>
        <w:rPr>
          <w:rFonts w:hint="eastAsia"/>
          <w:b/>
          <w:color w:val="auto"/>
          <w:sz w:val="36"/>
          <w:szCs w:val="36"/>
        </w:rPr>
        <w:t>目   录</w:t>
      </w:r>
    </w:p>
    <w:p w14:paraId="6D771665">
      <w:pPr>
        <w:spacing w:line="400" w:lineRule="exact"/>
        <w:ind w:firstLine="4130" w:firstLineChars="935"/>
        <w:rPr>
          <w:b/>
          <w:color w:val="auto"/>
          <w:sz w:val="44"/>
          <w:szCs w:val="44"/>
        </w:rPr>
      </w:pPr>
    </w:p>
    <w:p w14:paraId="247393D4">
      <w:pPr>
        <w:spacing w:line="440" w:lineRule="exact"/>
        <w:ind w:left="420"/>
        <w:jc w:val="left"/>
        <w:rPr>
          <w:rFonts w:ascii="宋体"/>
          <w:color w:val="auto"/>
          <w:szCs w:val="21"/>
        </w:rPr>
      </w:pPr>
      <w:r>
        <w:rPr>
          <w:rFonts w:hint="eastAsia" w:ascii="宋体"/>
          <w:color w:val="auto"/>
          <w:szCs w:val="21"/>
        </w:rPr>
        <w:t>（1）开标一览表（格式见附件）；</w:t>
      </w:r>
    </w:p>
    <w:p w14:paraId="19682603">
      <w:pPr>
        <w:spacing w:line="440" w:lineRule="exact"/>
        <w:ind w:left="420"/>
        <w:jc w:val="left"/>
        <w:rPr>
          <w:rFonts w:ascii="宋体"/>
          <w:color w:val="auto"/>
          <w:szCs w:val="21"/>
        </w:rPr>
      </w:pPr>
      <w:r>
        <w:rPr>
          <w:rFonts w:hint="eastAsia" w:ascii="宋体"/>
          <w:color w:val="auto"/>
          <w:szCs w:val="21"/>
        </w:rPr>
        <w:t>（2）投标函（格式见附件）；</w:t>
      </w:r>
    </w:p>
    <w:p w14:paraId="7D447981">
      <w:pPr>
        <w:spacing w:line="440" w:lineRule="exact"/>
        <w:ind w:firstLine="424" w:firstLineChars="202"/>
        <w:jc w:val="left"/>
        <w:rPr>
          <w:rFonts w:ascii="宋体"/>
          <w:color w:val="auto"/>
          <w:szCs w:val="21"/>
        </w:rPr>
      </w:pPr>
      <w:r>
        <w:rPr>
          <w:rFonts w:hint="eastAsia" w:ascii="宋体"/>
          <w:color w:val="auto"/>
          <w:szCs w:val="21"/>
        </w:rPr>
        <w:t>（3）分项报价清单（格式见附件）；</w:t>
      </w:r>
    </w:p>
    <w:p w14:paraId="13694BE2">
      <w:pPr>
        <w:spacing w:line="440" w:lineRule="exact"/>
        <w:ind w:firstLine="424" w:firstLineChars="202"/>
        <w:jc w:val="left"/>
        <w:rPr>
          <w:rFonts w:ascii="宋体"/>
          <w:color w:val="auto"/>
          <w:szCs w:val="21"/>
        </w:rPr>
      </w:pPr>
      <w:r>
        <w:rPr>
          <w:rFonts w:hint="eastAsia" w:ascii="宋体"/>
          <w:color w:val="auto"/>
          <w:szCs w:val="21"/>
        </w:rPr>
        <w:t>（4）招标文件商务评审中要求提供的其他相关资料；</w:t>
      </w:r>
    </w:p>
    <w:p w14:paraId="0ADAEC21">
      <w:pPr>
        <w:spacing w:line="440" w:lineRule="exact"/>
        <w:ind w:firstLine="424" w:firstLineChars="202"/>
        <w:jc w:val="left"/>
        <w:rPr>
          <w:rFonts w:ascii="宋体"/>
          <w:color w:val="auto"/>
          <w:szCs w:val="21"/>
        </w:rPr>
      </w:pPr>
      <w:r>
        <w:rPr>
          <w:rFonts w:hint="eastAsia" w:ascii="宋体"/>
          <w:color w:val="auto"/>
          <w:szCs w:val="21"/>
        </w:rPr>
        <w:t>（5）投标人认为需要提供的其他材料。</w:t>
      </w:r>
    </w:p>
    <w:p w14:paraId="51EC1FEF">
      <w:pPr>
        <w:jc w:val="center"/>
        <w:rPr>
          <w:rFonts w:ascii="宋体"/>
          <w:b/>
          <w:color w:val="auto"/>
          <w:sz w:val="28"/>
          <w:szCs w:val="28"/>
        </w:rPr>
      </w:pPr>
    </w:p>
    <w:p w14:paraId="3E0ADEAF">
      <w:pPr>
        <w:snapToGrid w:val="0"/>
        <w:spacing w:line="460" w:lineRule="exact"/>
        <w:ind w:left="2940" w:leftChars="1400" w:firstLine="964" w:firstLineChars="300"/>
        <w:rPr>
          <w:rFonts w:ascii="宋体"/>
          <w:b/>
          <w:color w:val="auto"/>
          <w:sz w:val="32"/>
          <w:szCs w:val="32"/>
        </w:rPr>
      </w:pPr>
    </w:p>
    <w:p w14:paraId="29A4BACB">
      <w:pPr>
        <w:snapToGrid w:val="0"/>
        <w:spacing w:line="460" w:lineRule="exact"/>
        <w:ind w:left="2940" w:leftChars="1400" w:firstLine="964" w:firstLineChars="300"/>
        <w:rPr>
          <w:rFonts w:ascii="宋体"/>
          <w:b/>
          <w:color w:val="auto"/>
          <w:sz w:val="32"/>
          <w:szCs w:val="32"/>
        </w:rPr>
      </w:pPr>
    </w:p>
    <w:p w14:paraId="5608A55D">
      <w:pPr>
        <w:snapToGrid w:val="0"/>
        <w:spacing w:line="460" w:lineRule="exact"/>
        <w:ind w:left="2940" w:leftChars="1400" w:firstLine="964" w:firstLineChars="300"/>
        <w:rPr>
          <w:rFonts w:ascii="宋体"/>
          <w:b/>
          <w:color w:val="auto"/>
          <w:sz w:val="32"/>
          <w:szCs w:val="32"/>
        </w:rPr>
      </w:pPr>
    </w:p>
    <w:p w14:paraId="79E44AFE">
      <w:pPr>
        <w:snapToGrid w:val="0"/>
        <w:spacing w:line="460" w:lineRule="exact"/>
        <w:ind w:left="2940" w:leftChars="1400" w:firstLine="964" w:firstLineChars="300"/>
        <w:rPr>
          <w:rFonts w:ascii="宋体"/>
          <w:b/>
          <w:color w:val="auto"/>
          <w:sz w:val="32"/>
          <w:szCs w:val="32"/>
        </w:rPr>
      </w:pPr>
    </w:p>
    <w:p w14:paraId="55E53FA2">
      <w:pPr>
        <w:snapToGrid w:val="0"/>
        <w:spacing w:line="460" w:lineRule="exact"/>
        <w:ind w:left="2940" w:leftChars="1400" w:firstLine="964" w:firstLineChars="300"/>
        <w:rPr>
          <w:rFonts w:ascii="宋体"/>
          <w:b/>
          <w:color w:val="auto"/>
          <w:sz w:val="32"/>
          <w:szCs w:val="32"/>
        </w:rPr>
      </w:pPr>
    </w:p>
    <w:p w14:paraId="2D661747">
      <w:pPr>
        <w:snapToGrid w:val="0"/>
        <w:spacing w:line="460" w:lineRule="exact"/>
        <w:ind w:left="2940" w:leftChars="1400" w:firstLine="964" w:firstLineChars="300"/>
        <w:rPr>
          <w:rFonts w:ascii="宋体"/>
          <w:b/>
          <w:color w:val="auto"/>
          <w:sz w:val="32"/>
          <w:szCs w:val="32"/>
        </w:rPr>
      </w:pPr>
    </w:p>
    <w:p w14:paraId="3F1D5D27">
      <w:pPr>
        <w:spacing w:line="360" w:lineRule="exact"/>
        <w:rPr>
          <w:rFonts w:ascii="宋体" w:hAnsi="宋体"/>
          <w:b/>
          <w:color w:val="auto"/>
          <w:sz w:val="30"/>
          <w:szCs w:val="30"/>
        </w:rPr>
      </w:pPr>
      <w:r>
        <w:rPr>
          <w:rFonts w:ascii="宋体" w:hAnsi="宋体"/>
          <w:b/>
          <w:color w:val="auto"/>
          <w:sz w:val="30"/>
          <w:szCs w:val="30"/>
        </w:rPr>
        <w:br w:type="page"/>
      </w:r>
      <w:r>
        <w:rPr>
          <w:rFonts w:hint="eastAsia" w:ascii="宋体" w:hAnsi="宋体"/>
          <w:b/>
          <w:color w:val="auto"/>
          <w:sz w:val="30"/>
          <w:szCs w:val="30"/>
        </w:rPr>
        <w:t>附件1</w:t>
      </w:r>
    </w:p>
    <w:p w14:paraId="6E6DC666">
      <w:pPr>
        <w:spacing w:line="360" w:lineRule="exact"/>
        <w:ind w:firstLine="472" w:firstLineChars="147"/>
        <w:jc w:val="center"/>
        <w:rPr>
          <w:rFonts w:ascii="宋体"/>
          <w:b/>
          <w:color w:val="auto"/>
          <w:sz w:val="32"/>
          <w:szCs w:val="32"/>
        </w:rPr>
      </w:pPr>
    </w:p>
    <w:p w14:paraId="2265E0F5">
      <w:pPr>
        <w:spacing w:line="360" w:lineRule="exact"/>
        <w:ind w:firstLine="531" w:firstLineChars="147"/>
        <w:jc w:val="center"/>
        <w:rPr>
          <w:rFonts w:ascii="宋体"/>
          <w:b/>
          <w:color w:val="auto"/>
          <w:sz w:val="36"/>
          <w:szCs w:val="36"/>
        </w:rPr>
      </w:pPr>
      <w:r>
        <w:rPr>
          <w:rFonts w:hint="eastAsia" w:ascii="宋体"/>
          <w:b/>
          <w:color w:val="auto"/>
          <w:sz w:val="36"/>
          <w:szCs w:val="36"/>
        </w:rPr>
        <w:t>开标一览表</w:t>
      </w:r>
    </w:p>
    <w:p w14:paraId="6B64D90A">
      <w:pPr>
        <w:spacing w:line="360" w:lineRule="exact"/>
        <w:ind w:firstLine="354" w:firstLineChars="147"/>
        <w:rPr>
          <w:rFonts w:ascii="宋体"/>
          <w:b/>
          <w:color w:val="auto"/>
          <w:sz w:val="24"/>
        </w:rPr>
      </w:pPr>
    </w:p>
    <w:p w14:paraId="34ABF688">
      <w:pPr>
        <w:spacing w:line="360" w:lineRule="exact"/>
        <w:ind w:firstLine="240" w:firstLineChars="100"/>
        <w:rPr>
          <w:rFonts w:ascii="宋体"/>
          <w:color w:val="auto"/>
          <w:sz w:val="24"/>
        </w:rPr>
      </w:pPr>
      <w:r>
        <w:rPr>
          <w:rFonts w:hint="eastAsia" w:ascii="宋体"/>
          <w:color w:val="auto"/>
          <w:sz w:val="24"/>
        </w:rPr>
        <w:t>（注：开标一览表必须编入投标文件，唱标时，以投标文件中的开标一览表进行唱标）</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14:paraId="40C00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0" w:hRule="exact"/>
        </w:trPr>
        <w:tc>
          <w:tcPr>
            <w:tcW w:w="1803" w:type="dxa"/>
            <w:tcBorders>
              <w:top w:val="single" w:color="auto" w:sz="12" w:space="0"/>
              <w:bottom w:val="single" w:color="auto" w:sz="12" w:space="0"/>
              <w:right w:val="single" w:color="auto" w:sz="12" w:space="0"/>
            </w:tcBorders>
            <w:vAlign w:val="center"/>
          </w:tcPr>
          <w:p w14:paraId="0EF4FFE9">
            <w:pPr>
              <w:spacing w:line="700" w:lineRule="exact"/>
              <w:jc w:val="center"/>
              <w:rPr>
                <w:rFonts w:ascii="宋体"/>
                <w:color w:val="auto"/>
                <w:sz w:val="24"/>
              </w:rPr>
            </w:pPr>
            <w:r>
              <w:rPr>
                <w:rFonts w:hint="eastAsia" w:ascii="宋体"/>
                <w:color w:val="auto"/>
                <w:sz w:val="24"/>
              </w:rPr>
              <w:t>项目名称</w:t>
            </w:r>
          </w:p>
        </w:tc>
        <w:tc>
          <w:tcPr>
            <w:tcW w:w="6952" w:type="dxa"/>
            <w:tcBorders>
              <w:top w:val="single" w:color="auto" w:sz="12" w:space="0"/>
              <w:left w:val="single" w:color="auto" w:sz="12" w:space="0"/>
              <w:bottom w:val="single" w:color="auto" w:sz="12" w:space="0"/>
            </w:tcBorders>
            <w:vAlign w:val="center"/>
          </w:tcPr>
          <w:p w14:paraId="69D304A3">
            <w:pPr>
              <w:spacing w:line="700" w:lineRule="exact"/>
              <w:jc w:val="left"/>
              <w:rPr>
                <w:color w:val="auto"/>
                <w:sz w:val="24"/>
              </w:rPr>
            </w:pPr>
            <w:r>
              <w:rPr>
                <w:rFonts w:hint="eastAsia"/>
                <w:color w:val="auto"/>
                <w:sz w:val="24"/>
              </w:rPr>
              <w:t xml:space="preserve">         </w:t>
            </w:r>
          </w:p>
        </w:tc>
      </w:tr>
      <w:tr w14:paraId="6312A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1803" w:type="dxa"/>
            <w:tcBorders>
              <w:top w:val="single" w:color="auto" w:sz="12" w:space="0"/>
              <w:right w:val="single" w:color="auto" w:sz="12" w:space="0"/>
            </w:tcBorders>
            <w:vAlign w:val="center"/>
          </w:tcPr>
          <w:p w14:paraId="7C04D232">
            <w:pPr>
              <w:spacing w:line="700" w:lineRule="exact"/>
              <w:jc w:val="center"/>
              <w:rPr>
                <w:rFonts w:ascii="宋体"/>
                <w:color w:val="auto"/>
                <w:sz w:val="24"/>
              </w:rPr>
            </w:pPr>
            <w:r>
              <w:rPr>
                <w:rFonts w:hint="eastAsia" w:ascii="宋体"/>
                <w:color w:val="auto"/>
                <w:sz w:val="24"/>
              </w:rPr>
              <w:t>项目编号</w:t>
            </w:r>
          </w:p>
        </w:tc>
        <w:tc>
          <w:tcPr>
            <w:tcW w:w="6952" w:type="dxa"/>
            <w:tcBorders>
              <w:top w:val="single" w:color="auto" w:sz="12" w:space="0"/>
              <w:left w:val="single" w:color="auto" w:sz="12" w:space="0"/>
            </w:tcBorders>
            <w:vAlign w:val="center"/>
          </w:tcPr>
          <w:p w14:paraId="1FB14744">
            <w:pPr>
              <w:spacing w:line="700" w:lineRule="exact"/>
              <w:rPr>
                <w:rFonts w:ascii="宋体"/>
                <w:color w:val="auto"/>
                <w:sz w:val="24"/>
              </w:rPr>
            </w:pPr>
          </w:p>
        </w:tc>
      </w:tr>
      <w:tr w14:paraId="7878D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vAlign w:val="center"/>
          </w:tcPr>
          <w:p w14:paraId="47628928">
            <w:pPr>
              <w:spacing w:line="700" w:lineRule="exact"/>
              <w:ind w:firstLine="120" w:firstLineChars="50"/>
              <w:rPr>
                <w:rFonts w:ascii="宋体"/>
                <w:color w:val="auto"/>
                <w:sz w:val="24"/>
              </w:rPr>
            </w:pPr>
            <w:r>
              <w:rPr>
                <w:rFonts w:hint="eastAsia" w:ascii="宋体"/>
                <w:color w:val="auto"/>
                <w:sz w:val="24"/>
              </w:rPr>
              <w:t>投标人名称</w:t>
            </w:r>
          </w:p>
        </w:tc>
        <w:tc>
          <w:tcPr>
            <w:tcW w:w="6952" w:type="dxa"/>
            <w:tcBorders>
              <w:left w:val="single" w:color="auto" w:sz="12" w:space="0"/>
            </w:tcBorders>
          </w:tcPr>
          <w:p w14:paraId="463BC20D">
            <w:pPr>
              <w:pStyle w:val="20"/>
              <w:spacing w:line="700" w:lineRule="exact"/>
              <w:ind w:left="86" w:leftChars="41"/>
              <w:rPr>
                <w:rFonts w:ascii="宋体" w:eastAsia="宋体"/>
                <w:color w:val="auto"/>
                <w:sz w:val="24"/>
                <w:szCs w:val="24"/>
              </w:rPr>
            </w:pPr>
          </w:p>
        </w:tc>
      </w:tr>
      <w:tr w14:paraId="1C791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86" w:hRule="exact"/>
        </w:trPr>
        <w:tc>
          <w:tcPr>
            <w:tcW w:w="1803" w:type="dxa"/>
            <w:tcBorders>
              <w:right w:val="single" w:color="auto" w:sz="12" w:space="0"/>
            </w:tcBorders>
            <w:vAlign w:val="center"/>
          </w:tcPr>
          <w:p w14:paraId="047967E9">
            <w:pPr>
              <w:spacing w:line="360" w:lineRule="auto"/>
              <w:jc w:val="center"/>
              <w:rPr>
                <w:rFonts w:ascii="宋体"/>
                <w:color w:val="auto"/>
                <w:sz w:val="24"/>
              </w:rPr>
            </w:pPr>
            <w:r>
              <w:rPr>
                <w:rFonts w:hint="eastAsia" w:ascii="宋体" w:hAnsi="宋体"/>
                <w:color w:val="auto"/>
                <w:sz w:val="24"/>
              </w:rPr>
              <w:t>投标报价\合同履行期限</w:t>
            </w:r>
          </w:p>
        </w:tc>
        <w:tc>
          <w:tcPr>
            <w:tcW w:w="6952" w:type="dxa"/>
            <w:tcBorders>
              <w:left w:val="single" w:color="auto" w:sz="12" w:space="0"/>
            </w:tcBorders>
            <w:vAlign w:val="center"/>
          </w:tcPr>
          <w:p w14:paraId="04464BA2">
            <w:pPr>
              <w:spacing w:line="360" w:lineRule="auto"/>
              <w:jc w:val="left"/>
              <w:rPr>
                <w:rFonts w:ascii="宋体" w:hAnsi="宋体"/>
                <w:color w:val="auto"/>
                <w:sz w:val="24"/>
              </w:rPr>
            </w:pPr>
            <w:r>
              <w:rPr>
                <w:rFonts w:hint="eastAsia" w:ascii="宋体" w:hAnsi="宋体"/>
                <w:color w:val="auto"/>
                <w:sz w:val="24"/>
              </w:rPr>
              <w:t>投标报价 ：</w:t>
            </w:r>
          </w:p>
          <w:p w14:paraId="65996552">
            <w:pPr>
              <w:spacing w:line="360" w:lineRule="auto"/>
              <w:jc w:val="left"/>
              <w:rPr>
                <w:rFonts w:ascii="宋体" w:hAnsi="宋体"/>
                <w:color w:val="auto"/>
                <w:sz w:val="24"/>
              </w:rPr>
            </w:pPr>
            <w:r>
              <w:rPr>
                <w:rFonts w:hint="eastAsia" w:ascii="宋体" w:hAnsi="宋体"/>
                <w:color w:val="auto"/>
                <w:sz w:val="24"/>
              </w:rPr>
              <w:t>（大写）：</w:t>
            </w:r>
            <w:r>
              <w:rPr>
                <w:rFonts w:hint="eastAsia" w:ascii="宋体" w:hAnsi="宋体"/>
                <w:color w:val="auto"/>
                <w:sz w:val="24"/>
                <w:u w:val="single"/>
              </w:rPr>
              <w:t xml:space="preserve">                    </w:t>
            </w:r>
            <w:r>
              <w:rPr>
                <w:rFonts w:hint="eastAsia" w:ascii="宋体" w:hAnsi="宋体"/>
                <w:color w:val="auto"/>
                <w:sz w:val="24"/>
              </w:rPr>
              <w:t xml:space="preserve">元。  </w:t>
            </w:r>
          </w:p>
          <w:p w14:paraId="41F3C1E5">
            <w:pPr>
              <w:spacing w:line="360" w:lineRule="auto"/>
              <w:jc w:val="left"/>
              <w:rPr>
                <w:rFonts w:ascii="宋体" w:hAnsi="宋体"/>
                <w:color w:val="auto"/>
                <w:sz w:val="24"/>
              </w:rPr>
            </w:pPr>
            <w:r>
              <w:rPr>
                <w:rFonts w:hint="eastAsia" w:ascii="宋体" w:hAnsi="宋体"/>
                <w:color w:val="auto"/>
                <w:sz w:val="24"/>
              </w:rPr>
              <w:t>(小写) ：</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rPr>
              <w:br w:type="textWrapping"/>
            </w:r>
            <w:r>
              <w:rPr>
                <w:rFonts w:hint="eastAsia" w:ascii="宋体" w:hAnsi="宋体"/>
                <w:color w:val="auto"/>
                <w:sz w:val="24"/>
              </w:rPr>
              <w:t xml:space="preserve">          </w:t>
            </w:r>
          </w:p>
          <w:p w14:paraId="42BEB455">
            <w:pPr>
              <w:spacing w:line="360" w:lineRule="auto"/>
              <w:rPr>
                <w:color w:val="auto"/>
                <w:sz w:val="24"/>
              </w:rPr>
            </w:pPr>
            <w:r>
              <w:rPr>
                <w:rFonts w:hint="eastAsia"/>
                <w:color w:val="auto"/>
                <w:sz w:val="24"/>
              </w:rPr>
              <w:t xml:space="preserve">合同履行期限：响应招标文件要求。 </w:t>
            </w:r>
          </w:p>
        </w:tc>
      </w:tr>
    </w:tbl>
    <w:p w14:paraId="25DED567">
      <w:pPr>
        <w:snapToGrid w:val="0"/>
        <w:spacing w:line="460" w:lineRule="exact"/>
        <w:ind w:left="2940" w:leftChars="1400" w:firstLine="723" w:firstLineChars="300"/>
        <w:rPr>
          <w:rFonts w:ascii="宋体"/>
          <w:b/>
          <w:color w:val="auto"/>
          <w:sz w:val="24"/>
        </w:rPr>
      </w:pPr>
    </w:p>
    <w:p w14:paraId="1CF2A232">
      <w:pPr>
        <w:rPr>
          <w:rFonts w:ascii="宋体"/>
          <w:color w:val="auto"/>
          <w:sz w:val="24"/>
        </w:rPr>
      </w:pPr>
      <w:r>
        <w:rPr>
          <w:rFonts w:hint="eastAsia" w:ascii="宋体"/>
          <w:color w:val="auto"/>
          <w:sz w:val="24"/>
        </w:rPr>
        <w:t>法定代表人（签章）：         投标人（盖单位章）：</w:t>
      </w:r>
    </w:p>
    <w:p w14:paraId="0A645260">
      <w:pPr>
        <w:snapToGrid w:val="0"/>
        <w:spacing w:beforeLines="100" w:afterLines="100" w:line="360" w:lineRule="auto"/>
        <w:jc w:val="center"/>
        <w:rPr>
          <w:rFonts w:cs="Arial"/>
          <w:b/>
          <w:bCs/>
          <w:color w:val="auto"/>
          <w:sz w:val="30"/>
          <w:szCs w:val="30"/>
        </w:rPr>
        <w:sectPr>
          <w:pgSz w:w="11906" w:h="16838"/>
          <w:pgMar w:top="1440" w:right="1800" w:bottom="1440" w:left="1800" w:header="851" w:footer="992" w:gutter="0"/>
          <w:pgNumType w:fmt="numberInDash"/>
          <w:cols w:space="720" w:num="1"/>
          <w:docGrid w:type="lines" w:linePitch="312" w:charSpace="0"/>
        </w:sectPr>
      </w:pPr>
      <w:r>
        <w:rPr>
          <w:rFonts w:hint="eastAsia" w:ascii="宋体"/>
          <w:color w:val="auto"/>
          <w:sz w:val="24"/>
        </w:rPr>
        <w:t xml:space="preserve">                                      日  期：</w:t>
      </w:r>
      <w:r>
        <w:rPr>
          <w:rFonts w:hint="eastAsia" w:ascii="宋体" w:hAnsi="宋体"/>
          <w:color w:val="auto"/>
          <w:sz w:val="24"/>
          <w:u w:val="single"/>
        </w:rPr>
        <w:t xml:space="preserve">      </w:t>
      </w:r>
      <w:r>
        <w:rPr>
          <w:rFonts w:hint="eastAsia" w:ascii="宋体"/>
          <w:color w:val="auto"/>
          <w:sz w:val="24"/>
        </w:rPr>
        <w:t>年</w:t>
      </w:r>
      <w:r>
        <w:rPr>
          <w:rFonts w:hint="eastAsia" w:ascii="宋体" w:hAnsi="宋体"/>
          <w:color w:val="auto"/>
          <w:sz w:val="24"/>
          <w:u w:val="single"/>
        </w:rPr>
        <w:t xml:space="preserve">   </w:t>
      </w:r>
      <w:r>
        <w:rPr>
          <w:rFonts w:hint="eastAsia" w:ascii="宋体"/>
          <w:color w:val="auto"/>
          <w:sz w:val="24"/>
        </w:rPr>
        <w:t>月</w:t>
      </w:r>
      <w:r>
        <w:rPr>
          <w:rFonts w:hint="eastAsia" w:ascii="宋体" w:hAnsi="宋体"/>
          <w:color w:val="auto"/>
          <w:sz w:val="24"/>
          <w:u w:val="single"/>
        </w:rPr>
        <w:t xml:space="preserve">   </w:t>
      </w:r>
      <w:r>
        <w:rPr>
          <w:rFonts w:hint="eastAsia" w:ascii="宋体"/>
          <w:color w:val="auto"/>
          <w:sz w:val="24"/>
        </w:rPr>
        <w:t xml:space="preserve">日 </w:t>
      </w:r>
    </w:p>
    <w:p w14:paraId="66360FD0">
      <w:pPr>
        <w:spacing w:line="360" w:lineRule="exact"/>
        <w:ind w:firstLine="443" w:firstLineChars="147"/>
        <w:rPr>
          <w:rFonts w:ascii="宋体" w:hAnsi="宋体"/>
          <w:b/>
          <w:color w:val="auto"/>
          <w:sz w:val="30"/>
          <w:szCs w:val="30"/>
        </w:rPr>
      </w:pPr>
      <w:r>
        <w:rPr>
          <w:rFonts w:hint="eastAsia" w:ascii="宋体" w:hAnsi="宋体"/>
          <w:b/>
          <w:color w:val="auto"/>
          <w:sz w:val="30"/>
          <w:szCs w:val="30"/>
        </w:rPr>
        <w:t>附件2</w:t>
      </w:r>
    </w:p>
    <w:p w14:paraId="5242FD0C">
      <w:pPr>
        <w:spacing w:line="360" w:lineRule="exact"/>
        <w:ind w:firstLine="531" w:firstLineChars="147"/>
        <w:jc w:val="center"/>
        <w:rPr>
          <w:rFonts w:ascii="宋体"/>
          <w:b/>
          <w:color w:val="auto"/>
          <w:sz w:val="36"/>
          <w:szCs w:val="36"/>
        </w:rPr>
      </w:pPr>
      <w:r>
        <w:rPr>
          <w:rFonts w:hint="eastAsia" w:ascii="宋体"/>
          <w:b/>
          <w:color w:val="auto"/>
          <w:sz w:val="36"/>
          <w:szCs w:val="36"/>
        </w:rPr>
        <w:t>投  标  函</w:t>
      </w:r>
    </w:p>
    <w:p w14:paraId="7971AFAA">
      <w:pPr>
        <w:spacing w:line="440" w:lineRule="exact"/>
        <w:rPr>
          <w:rFonts w:ascii="宋体"/>
          <w:color w:val="auto"/>
          <w:sz w:val="24"/>
        </w:rPr>
      </w:pPr>
    </w:p>
    <w:p w14:paraId="2ABDF1C8">
      <w:pPr>
        <w:spacing w:line="500" w:lineRule="exact"/>
        <w:jc w:val="lef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(招标人)       </w:t>
      </w:r>
      <w:r>
        <w:rPr>
          <w:rFonts w:hint="eastAsia" w:ascii="宋体" w:hAnsi="宋体" w:cs="宋体"/>
          <w:color w:val="auto"/>
          <w:sz w:val="24"/>
        </w:rPr>
        <w:t xml:space="preserve"> </w:t>
      </w:r>
    </w:p>
    <w:p w14:paraId="2B1236FA">
      <w:pPr>
        <w:spacing w:line="500" w:lineRule="exact"/>
        <w:ind w:firstLine="480" w:firstLineChars="200"/>
        <w:jc w:val="left"/>
        <w:rPr>
          <w:rFonts w:ascii="宋体" w:hAnsi="宋体" w:cs="宋体"/>
          <w:color w:val="auto"/>
          <w:sz w:val="24"/>
        </w:rPr>
      </w:pPr>
      <w:r>
        <w:rPr>
          <w:rFonts w:hint="eastAsia" w:ascii="宋体" w:hAnsi="宋体" w:cs="宋体"/>
          <w:color w:val="auto"/>
          <w:sz w:val="24"/>
        </w:rPr>
        <w:t>1、我们决定参加贵单位组织的“</w:t>
      </w:r>
      <w:r>
        <w:rPr>
          <w:rFonts w:hint="eastAsia" w:ascii="宋体" w:hAnsi="宋体" w:cs="宋体"/>
          <w:color w:val="auto"/>
          <w:sz w:val="24"/>
          <w:u w:val="single"/>
        </w:rPr>
        <w:t xml:space="preserve"> （项目名称）    </w:t>
      </w:r>
      <w:r>
        <w:rPr>
          <w:rFonts w:hint="eastAsia" w:ascii="宋体" w:hAnsi="宋体" w:cs="宋体"/>
          <w:color w:val="auto"/>
          <w:sz w:val="24"/>
        </w:rPr>
        <w:t>（编号：</w:t>
      </w:r>
      <w:r>
        <w:rPr>
          <w:rFonts w:hint="eastAsia" w:ascii="宋体" w:hAnsi="宋体" w:cs="宋体"/>
          <w:color w:val="auto"/>
          <w:sz w:val="24"/>
          <w:u w:val="single"/>
        </w:rPr>
        <w:t xml:space="preserve">             </w:t>
      </w:r>
      <w:r>
        <w:rPr>
          <w:rFonts w:hint="eastAsia" w:ascii="宋体" w:hAnsi="宋体" w:cs="宋体"/>
          <w:color w:val="auto"/>
          <w:sz w:val="24"/>
        </w:rPr>
        <w:t xml:space="preserve">）”的采购。我方授权 </w:t>
      </w:r>
      <w:r>
        <w:rPr>
          <w:rFonts w:hint="eastAsia" w:ascii="宋体" w:hAnsi="宋体" w:cs="宋体"/>
          <w:color w:val="auto"/>
          <w:sz w:val="24"/>
          <w:u w:val="single"/>
        </w:rPr>
        <w:t xml:space="preserve">              </w:t>
      </w:r>
      <w:r>
        <w:rPr>
          <w:rFonts w:hint="eastAsia" w:ascii="宋体" w:hAnsi="宋体" w:cs="宋体"/>
          <w:color w:val="auto"/>
          <w:sz w:val="24"/>
        </w:rPr>
        <w:t>(姓名和职务)代表我方</w:t>
      </w:r>
      <w:r>
        <w:rPr>
          <w:rFonts w:hint="eastAsia" w:ascii="宋体" w:hAnsi="宋体" w:cs="宋体"/>
          <w:color w:val="auto"/>
          <w:sz w:val="24"/>
          <w:u w:val="single"/>
        </w:rPr>
        <w:t xml:space="preserve">               </w:t>
      </w:r>
      <w:r>
        <w:rPr>
          <w:rFonts w:hint="eastAsia" w:ascii="宋体" w:hAnsi="宋体" w:cs="宋体"/>
          <w:color w:val="auto"/>
          <w:sz w:val="24"/>
        </w:rPr>
        <w:t>（投标人的名称）全权处理本项目投标的有关事宜。</w:t>
      </w:r>
    </w:p>
    <w:p w14:paraId="006C1336">
      <w:pPr>
        <w:spacing w:line="500" w:lineRule="exact"/>
        <w:ind w:firstLine="480" w:firstLineChars="200"/>
        <w:jc w:val="left"/>
        <w:rPr>
          <w:rFonts w:ascii="宋体" w:hAnsi="宋体" w:cs="宋体"/>
          <w:color w:val="auto"/>
          <w:sz w:val="24"/>
        </w:rPr>
      </w:pPr>
      <w:r>
        <w:rPr>
          <w:rFonts w:hint="eastAsia" w:ascii="宋体" w:hAnsi="宋体" w:cs="宋体"/>
          <w:color w:val="auto"/>
          <w:sz w:val="24"/>
        </w:rPr>
        <w:t>2、我方愿意按照招标文件规定的各项要求，向招标人提供“</w:t>
      </w:r>
      <w:r>
        <w:rPr>
          <w:rFonts w:hint="eastAsia" w:ascii="宋体" w:hAnsi="宋体" w:cs="宋体"/>
          <w:color w:val="auto"/>
          <w:sz w:val="24"/>
          <w:u w:val="single"/>
        </w:rPr>
        <w:t xml:space="preserve">            </w:t>
      </w:r>
      <w:r>
        <w:rPr>
          <w:rFonts w:hint="eastAsia" w:ascii="宋体" w:hAnsi="宋体" w:cs="宋体"/>
          <w:color w:val="auto"/>
          <w:sz w:val="24"/>
        </w:rPr>
        <w:t>（项目编号）”项目的货物与服务，投标报价为</w:t>
      </w:r>
      <w:r>
        <w:rPr>
          <w:rFonts w:hint="eastAsia" w:ascii="宋体" w:hAnsi="宋体" w:cs="宋体"/>
          <w:color w:val="auto"/>
          <w:sz w:val="24"/>
          <w:u w:val="single"/>
        </w:rPr>
        <w:t>（大写）          （小写）       元</w:t>
      </w:r>
      <w:r>
        <w:rPr>
          <w:rFonts w:hint="eastAsia" w:ascii="宋体" w:hAnsi="宋体" w:cs="宋体"/>
          <w:color w:val="auto"/>
          <w:sz w:val="24"/>
        </w:rPr>
        <w:t>。</w:t>
      </w:r>
    </w:p>
    <w:p w14:paraId="5996518F">
      <w:pPr>
        <w:spacing w:line="500" w:lineRule="exact"/>
        <w:ind w:firstLine="480" w:firstLineChars="200"/>
        <w:jc w:val="left"/>
        <w:rPr>
          <w:rFonts w:ascii="宋体" w:hAnsi="宋体" w:cs="宋体"/>
          <w:color w:val="auto"/>
          <w:sz w:val="24"/>
        </w:rPr>
      </w:pPr>
      <w:r>
        <w:rPr>
          <w:rFonts w:hint="eastAsia" w:ascii="宋体" w:hAnsi="宋体" w:cs="宋体"/>
          <w:color w:val="auto"/>
          <w:sz w:val="24"/>
        </w:rPr>
        <w:t>3、一旦我方成为合同签字人，我方将严格履行合同规定的责任和义务。</w:t>
      </w:r>
    </w:p>
    <w:p w14:paraId="12C416D8">
      <w:pPr>
        <w:spacing w:line="500" w:lineRule="exact"/>
        <w:ind w:firstLine="480" w:firstLineChars="200"/>
        <w:jc w:val="left"/>
        <w:rPr>
          <w:rFonts w:ascii="宋体" w:hAnsi="宋体" w:cs="宋体"/>
          <w:color w:val="auto"/>
          <w:sz w:val="24"/>
        </w:rPr>
      </w:pPr>
      <w:r>
        <w:rPr>
          <w:rFonts w:hint="eastAsia" w:ascii="宋体" w:hAnsi="宋体" w:cs="宋体"/>
          <w:color w:val="auto"/>
          <w:sz w:val="24"/>
        </w:rPr>
        <w:t>4、若我方中标，愿意为本项目提交的纸质投标文件一式三份，其中正本一份、副本二份。</w:t>
      </w:r>
    </w:p>
    <w:p w14:paraId="39DDD6F6">
      <w:pPr>
        <w:spacing w:line="500" w:lineRule="exact"/>
        <w:ind w:firstLine="480" w:firstLineChars="200"/>
        <w:jc w:val="left"/>
        <w:rPr>
          <w:rFonts w:ascii="宋体" w:hAnsi="宋体" w:cs="宋体"/>
          <w:color w:val="auto"/>
          <w:sz w:val="24"/>
        </w:rPr>
      </w:pPr>
      <w:r>
        <w:rPr>
          <w:rFonts w:hint="eastAsia" w:ascii="宋体" w:hAnsi="宋体" w:cs="宋体"/>
          <w:color w:val="auto"/>
          <w:sz w:val="24"/>
        </w:rPr>
        <w:t>5、我方愿意提供可能另外要求的、与采购投标有关的文件资料，并保证我方已提供和将要提供的文件是真实的、准确的。</w:t>
      </w:r>
    </w:p>
    <w:p w14:paraId="4E0884C8">
      <w:pPr>
        <w:pStyle w:val="12"/>
        <w:spacing w:after="0" w:line="500" w:lineRule="exact"/>
        <w:ind w:left="0" w:leftChars="0" w:firstLine="480"/>
        <w:jc w:val="left"/>
        <w:rPr>
          <w:rFonts w:ascii="宋体" w:hAnsi="宋体" w:cs="宋体"/>
          <w:color w:val="auto"/>
          <w:sz w:val="24"/>
        </w:rPr>
      </w:pPr>
      <w:r>
        <w:rPr>
          <w:rFonts w:hint="eastAsia" w:ascii="宋体" w:hAnsi="宋体" w:cs="宋体"/>
          <w:color w:val="auto"/>
          <w:sz w:val="24"/>
        </w:rPr>
        <w:t>6、投标有效期为</w:t>
      </w:r>
      <w:r>
        <w:rPr>
          <w:rFonts w:hint="eastAsia" w:ascii="宋体" w:hAnsi="宋体" w:cs="宋体"/>
          <w:color w:val="auto"/>
          <w:sz w:val="24"/>
          <w:u w:val="single"/>
        </w:rPr>
        <w:t xml:space="preserve"> 90  </w:t>
      </w:r>
      <w:r>
        <w:rPr>
          <w:rFonts w:hint="eastAsia" w:ascii="宋体" w:hAnsi="宋体" w:cs="宋体"/>
          <w:color w:val="auto"/>
          <w:sz w:val="24"/>
        </w:rPr>
        <w:t>日历天（从投标截止之日算起）。</w:t>
      </w:r>
    </w:p>
    <w:p w14:paraId="6C8BFA62">
      <w:pPr>
        <w:spacing w:line="500" w:lineRule="exact"/>
        <w:ind w:firstLine="480" w:firstLineChars="200"/>
        <w:jc w:val="left"/>
        <w:rPr>
          <w:rFonts w:ascii="宋体" w:hAnsi="宋体" w:cs="宋体"/>
          <w:color w:val="auto"/>
          <w:sz w:val="24"/>
        </w:rPr>
      </w:pPr>
      <w:r>
        <w:rPr>
          <w:rFonts w:hint="eastAsia" w:ascii="宋体" w:hAnsi="宋体" w:cs="宋体"/>
          <w:color w:val="auto"/>
          <w:sz w:val="24"/>
        </w:rPr>
        <w:t xml:space="preserve">7、我单位提供如下通讯地址： </w:t>
      </w:r>
      <w:r>
        <w:rPr>
          <w:rFonts w:hint="eastAsia" w:ascii="宋体" w:hAnsi="宋体" w:cs="宋体"/>
          <w:color w:val="auto"/>
          <w:sz w:val="24"/>
          <w:u w:val="single"/>
        </w:rPr>
        <w:t xml:space="preserve">               </w:t>
      </w:r>
      <w:r>
        <w:rPr>
          <w:rFonts w:hint="eastAsia" w:ascii="宋体" w:hAnsi="宋体" w:cs="宋体"/>
          <w:color w:val="auto"/>
          <w:sz w:val="24"/>
        </w:rPr>
        <w:t>电子邮箱（地址），确认本项目相关法律文书均通过提供的以上地址送达，相关文书只要发送至以上电子邮箱（地址）即视为送达，投标人愿意承担一切法律后果。</w:t>
      </w:r>
    </w:p>
    <w:p w14:paraId="3069DCB7">
      <w:pPr>
        <w:spacing w:line="500" w:lineRule="exact"/>
        <w:jc w:val="left"/>
        <w:rPr>
          <w:rFonts w:ascii="宋体" w:hAnsi="宋体" w:cs="宋体"/>
          <w:color w:val="auto"/>
          <w:sz w:val="24"/>
        </w:rPr>
      </w:pPr>
      <w:r>
        <w:rPr>
          <w:rFonts w:hint="eastAsia" w:ascii="宋体" w:hAnsi="宋体" w:cs="宋体"/>
          <w:color w:val="auto"/>
          <w:sz w:val="24"/>
        </w:rPr>
        <w:t> </w:t>
      </w:r>
    </w:p>
    <w:p w14:paraId="1A78D7F1">
      <w:pPr>
        <w:spacing w:line="500" w:lineRule="exact"/>
        <w:jc w:val="left"/>
        <w:rPr>
          <w:rFonts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rPr>
        <w:t xml:space="preserve">                        </w:t>
      </w:r>
      <w:r>
        <w:rPr>
          <w:rFonts w:hint="eastAsia" w:ascii="宋体" w:hAnsi="宋体" w:cs="宋体"/>
          <w:color w:val="auto"/>
          <w:sz w:val="24"/>
        </w:rPr>
        <w:t>（盖单位章）</w:t>
      </w:r>
    </w:p>
    <w:p w14:paraId="4C297112">
      <w:pPr>
        <w:spacing w:line="500" w:lineRule="exact"/>
        <w:jc w:val="left"/>
        <w:rPr>
          <w:rFonts w:ascii="宋体" w:hAnsi="宋体" w:cs="宋体"/>
          <w:color w:val="auto"/>
          <w:sz w:val="24"/>
        </w:rPr>
      </w:pPr>
      <w:r>
        <w:rPr>
          <w:rFonts w:hint="eastAsia" w:ascii="宋体" w:hAnsi="宋体" w:cs="宋体"/>
          <w:color w:val="auto"/>
          <w:sz w:val="24"/>
        </w:rPr>
        <w:t>投标人法定代表人：</w:t>
      </w:r>
      <w:r>
        <w:rPr>
          <w:rFonts w:hint="eastAsia" w:ascii="宋体" w:hAnsi="宋体" w:cs="宋体"/>
          <w:color w:val="auto"/>
          <w:sz w:val="24"/>
          <w:u w:val="single"/>
        </w:rPr>
        <w:t xml:space="preserve">                      </w:t>
      </w:r>
      <w:r>
        <w:rPr>
          <w:rFonts w:hint="eastAsia" w:ascii="宋体" w:hAnsi="宋体" w:cs="宋体"/>
          <w:color w:val="auto"/>
          <w:sz w:val="24"/>
        </w:rPr>
        <w:t>（签章）</w:t>
      </w:r>
    </w:p>
    <w:p w14:paraId="5DDC4F29">
      <w:pPr>
        <w:spacing w:line="500" w:lineRule="exact"/>
        <w:ind w:firstLine="3360" w:firstLineChars="1400"/>
        <w:jc w:val="left"/>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p>
    <w:p w14:paraId="1628BE12">
      <w:pPr>
        <w:spacing w:line="500" w:lineRule="exact"/>
        <w:ind w:firstLine="3360" w:firstLineChars="1400"/>
        <w:jc w:val="left"/>
        <w:rPr>
          <w:rFonts w:ascii="宋体" w:hAnsi="宋体" w:cs="宋体"/>
          <w:color w:val="auto"/>
          <w:sz w:val="24"/>
        </w:rPr>
      </w:pPr>
      <w:r>
        <w:rPr>
          <w:rFonts w:hint="eastAsia" w:ascii="宋体" w:hAnsi="宋体" w:cs="宋体"/>
          <w:color w:val="auto"/>
          <w:sz w:val="24"/>
        </w:rPr>
        <w:t>通讯地址：</w:t>
      </w:r>
      <w:r>
        <w:rPr>
          <w:rFonts w:hint="eastAsia" w:ascii="宋体" w:hAnsi="宋体" w:cs="宋体"/>
          <w:color w:val="auto"/>
          <w:sz w:val="24"/>
          <w:u w:val="single"/>
        </w:rPr>
        <w:t xml:space="preserve">                 </w:t>
      </w:r>
    </w:p>
    <w:p w14:paraId="4869801F">
      <w:pPr>
        <w:spacing w:line="500" w:lineRule="exact"/>
        <w:ind w:firstLine="3240" w:firstLineChars="1350"/>
        <w:jc w:val="left"/>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 xml:space="preserve">                 </w:t>
      </w:r>
    </w:p>
    <w:p w14:paraId="6235627A">
      <w:pPr>
        <w:spacing w:line="500" w:lineRule="exact"/>
        <w:ind w:right="-178" w:rightChars="-85" w:firstLine="3240" w:firstLineChars="1350"/>
        <w:jc w:val="left"/>
        <w:rPr>
          <w:rFonts w:ascii="宋体"/>
          <w:b/>
          <w:color w:val="auto"/>
          <w:sz w:val="28"/>
          <w:szCs w:val="28"/>
        </w:rPr>
      </w:pPr>
      <w:r>
        <w:rPr>
          <w:rFonts w:hint="eastAsia" w:ascii="宋体" w:hAnsi="宋体" w:cs="宋体"/>
          <w:color w:val="auto"/>
          <w:sz w:val="24"/>
        </w:rPr>
        <w:t>传    真：</w:t>
      </w:r>
      <w:r>
        <w:rPr>
          <w:rFonts w:hint="eastAsia" w:ascii="宋体" w:hAnsi="宋体" w:cs="宋体"/>
          <w:color w:val="auto"/>
          <w:sz w:val="24"/>
          <w:u w:val="single"/>
        </w:rPr>
        <w:t xml:space="preserve">  </w:t>
      </w:r>
      <w:r>
        <w:rPr>
          <w:rFonts w:hint="eastAsia" w:ascii="宋体"/>
          <w:color w:val="auto"/>
          <w:sz w:val="24"/>
          <w:u w:val="single"/>
        </w:rPr>
        <w:t xml:space="preserve">               </w:t>
      </w:r>
    </w:p>
    <w:p w14:paraId="5E042D83">
      <w:pPr>
        <w:rPr>
          <w:rFonts w:ascii="宋体" w:hAnsi="宋体"/>
          <w:b/>
          <w:color w:val="auto"/>
          <w:sz w:val="30"/>
          <w:szCs w:val="30"/>
        </w:rPr>
      </w:pPr>
    </w:p>
    <w:p w14:paraId="165CB8F7">
      <w:pPr>
        <w:rPr>
          <w:rFonts w:ascii="宋体" w:hAnsi="宋体"/>
          <w:b/>
          <w:color w:val="auto"/>
          <w:sz w:val="30"/>
          <w:szCs w:val="30"/>
        </w:rPr>
      </w:pPr>
    </w:p>
    <w:p w14:paraId="1811AFA6">
      <w:pPr>
        <w:rPr>
          <w:rFonts w:ascii="宋体" w:hAnsi="宋体"/>
          <w:b/>
          <w:color w:val="auto"/>
          <w:sz w:val="30"/>
          <w:szCs w:val="30"/>
        </w:rPr>
      </w:pPr>
    </w:p>
    <w:p w14:paraId="511CBF30">
      <w:pPr>
        <w:rPr>
          <w:color w:val="auto"/>
          <w:sz w:val="24"/>
        </w:rPr>
      </w:pPr>
      <w:r>
        <w:rPr>
          <w:rFonts w:hint="eastAsia" w:ascii="宋体" w:hAnsi="宋体"/>
          <w:b/>
          <w:color w:val="auto"/>
          <w:sz w:val="30"/>
          <w:szCs w:val="30"/>
        </w:rPr>
        <w:t>附件3</w:t>
      </w:r>
    </w:p>
    <w:p w14:paraId="45C69E6C">
      <w:pPr>
        <w:spacing w:line="360" w:lineRule="auto"/>
        <w:ind w:left="720"/>
        <w:jc w:val="center"/>
        <w:rPr>
          <w:rFonts w:ascii="宋体" w:hAnsi="宋体"/>
          <w:b/>
          <w:color w:val="auto"/>
          <w:sz w:val="36"/>
          <w:szCs w:val="36"/>
        </w:rPr>
      </w:pPr>
      <w:r>
        <w:rPr>
          <w:rFonts w:hint="eastAsia"/>
          <w:b/>
          <w:color w:val="auto"/>
          <w:sz w:val="28"/>
          <w:szCs w:val="28"/>
        </w:rPr>
        <w:t>分项报价清单</w:t>
      </w:r>
    </w:p>
    <w:tbl>
      <w:tblPr>
        <w:tblStyle w:val="35"/>
        <w:tblW w:w="914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3"/>
        <w:gridCol w:w="2070"/>
        <w:gridCol w:w="1296"/>
        <w:gridCol w:w="1065"/>
        <w:gridCol w:w="1260"/>
        <w:gridCol w:w="1005"/>
        <w:gridCol w:w="1353"/>
      </w:tblGrid>
      <w:tr w14:paraId="575E2E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jc w:val="center"/>
        </w:trPr>
        <w:tc>
          <w:tcPr>
            <w:tcW w:w="1093" w:type="dxa"/>
            <w:vAlign w:val="center"/>
          </w:tcPr>
          <w:p w14:paraId="005BCE39">
            <w:pPr>
              <w:spacing w:line="300" w:lineRule="exact"/>
              <w:jc w:val="center"/>
              <w:rPr>
                <w:rFonts w:ascii="宋体" w:hAnsi="宋体"/>
                <w:color w:val="auto"/>
                <w:szCs w:val="21"/>
              </w:rPr>
            </w:pPr>
            <w:r>
              <w:rPr>
                <w:rFonts w:hint="eastAsia" w:ascii="宋体" w:hAnsi="宋体"/>
                <w:color w:val="auto"/>
                <w:szCs w:val="21"/>
              </w:rPr>
              <w:t>序号</w:t>
            </w:r>
          </w:p>
        </w:tc>
        <w:tc>
          <w:tcPr>
            <w:tcW w:w="2070" w:type="dxa"/>
            <w:tcBorders>
              <w:right w:val="single" w:color="auto" w:sz="4" w:space="0"/>
            </w:tcBorders>
            <w:vAlign w:val="center"/>
          </w:tcPr>
          <w:p w14:paraId="084036CB">
            <w:pPr>
              <w:spacing w:line="300" w:lineRule="exact"/>
              <w:jc w:val="center"/>
              <w:rPr>
                <w:rFonts w:ascii="宋体" w:hAnsi="宋体"/>
                <w:color w:val="auto"/>
                <w:szCs w:val="21"/>
              </w:rPr>
            </w:pPr>
            <w:r>
              <w:rPr>
                <w:rFonts w:hint="eastAsia" w:ascii="宋体" w:hAnsi="宋体"/>
                <w:color w:val="auto"/>
                <w:szCs w:val="21"/>
              </w:rPr>
              <w:t>产品名称</w:t>
            </w:r>
          </w:p>
        </w:tc>
        <w:tc>
          <w:tcPr>
            <w:tcW w:w="1296" w:type="dxa"/>
            <w:tcBorders>
              <w:left w:val="single" w:color="auto" w:sz="4" w:space="0"/>
            </w:tcBorders>
            <w:vAlign w:val="center"/>
          </w:tcPr>
          <w:p w14:paraId="6F5F050A">
            <w:pPr>
              <w:spacing w:line="300" w:lineRule="exact"/>
              <w:jc w:val="center"/>
              <w:rPr>
                <w:rFonts w:ascii="宋体" w:hAnsi="宋体"/>
                <w:color w:val="auto"/>
                <w:szCs w:val="21"/>
              </w:rPr>
            </w:pPr>
            <w:r>
              <w:rPr>
                <w:rFonts w:hint="eastAsia" w:ascii="宋体" w:hAnsi="宋体"/>
                <w:color w:val="auto"/>
                <w:szCs w:val="21"/>
              </w:rPr>
              <w:t>规格型号</w:t>
            </w:r>
          </w:p>
          <w:p w14:paraId="42584112">
            <w:pPr>
              <w:spacing w:line="300" w:lineRule="exact"/>
              <w:jc w:val="center"/>
              <w:rPr>
                <w:rFonts w:ascii="宋体" w:hAnsi="宋体"/>
                <w:color w:val="auto"/>
                <w:szCs w:val="21"/>
              </w:rPr>
            </w:pPr>
            <w:r>
              <w:rPr>
                <w:rFonts w:hint="eastAsia" w:ascii="宋体" w:hAnsi="宋体"/>
                <w:color w:val="auto"/>
                <w:szCs w:val="21"/>
              </w:rPr>
              <w:t>品牌</w:t>
            </w:r>
          </w:p>
        </w:tc>
        <w:tc>
          <w:tcPr>
            <w:tcW w:w="1065" w:type="dxa"/>
            <w:vAlign w:val="center"/>
          </w:tcPr>
          <w:p w14:paraId="1597BDFB">
            <w:pPr>
              <w:spacing w:line="300" w:lineRule="exact"/>
              <w:jc w:val="center"/>
              <w:rPr>
                <w:rFonts w:ascii="宋体" w:hAnsi="宋体"/>
                <w:color w:val="auto"/>
                <w:szCs w:val="21"/>
              </w:rPr>
            </w:pPr>
            <w:r>
              <w:rPr>
                <w:rFonts w:hint="eastAsia" w:ascii="宋体" w:hAnsi="宋体"/>
                <w:color w:val="auto"/>
                <w:szCs w:val="21"/>
              </w:rPr>
              <w:t>单位</w:t>
            </w:r>
          </w:p>
        </w:tc>
        <w:tc>
          <w:tcPr>
            <w:tcW w:w="1260" w:type="dxa"/>
            <w:vAlign w:val="center"/>
          </w:tcPr>
          <w:p w14:paraId="16AEC2B0">
            <w:pPr>
              <w:spacing w:line="300" w:lineRule="exact"/>
              <w:jc w:val="center"/>
              <w:rPr>
                <w:rFonts w:ascii="宋体" w:hAnsi="宋体"/>
                <w:color w:val="auto"/>
                <w:szCs w:val="21"/>
              </w:rPr>
            </w:pPr>
            <w:r>
              <w:rPr>
                <w:rFonts w:hint="eastAsia" w:ascii="宋体" w:hAnsi="宋体"/>
                <w:color w:val="auto"/>
                <w:szCs w:val="21"/>
              </w:rPr>
              <w:t>数量</w:t>
            </w:r>
          </w:p>
        </w:tc>
        <w:tc>
          <w:tcPr>
            <w:tcW w:w="1005" w:type="dxa"/>
            <w:tcBorders>
              <w:left w:val="single" w:color="auto" w:sz="4" w:space="0"/>
            </w:tcBorders>
            <w:vAlign w:val="center"/>
          </w:tcPr>
          <w:p w14:paraId="69281F76">
            <w:pPr>
              <w:spacing w:line="300" w:lineRule="exact"/>
              <w:jc w:val="center"/>
              <w:rPr>
                <w:rFonts w:ascii="宋体" w:hAnsi="宋体"/>
                <w:color w:val="auto"/>
                <w:szCs w:val="21"/>
              </w:rPr>
            </w:pPr>
            <w:r>
              <w:rPr>
                <w:rFonts w:hint="eastAsia" w:ascii="宋体" w:hAnsi="宋体"/>
                <w:color w:val="auto"/>
                <w:szCs w:val="21"/>
              </w:rPr>
              <w:t>单 价（元）</w:t>
            </w:r>
          </w:p>
        </w:tc>
        <w:tc>
          <w:tcPr>
            <w:tcW w:w="1353" w:type="dxa"/>
            <w:vAlign w:val="center"/>
          </w:tcPr>
          <w:p w14:paraId="395A349D">
            <w:pPr>
              <w:spacing w:line="300" w:lineRule="exact"/>
              <w:jc w:val="center"/>
              <w:rPr>
                <w:rFonts w:ascii="宋体" w:hAnsi="宋体"/>
                <w:color w:val="auto"/>
                <w:szCs w:val="21"/>
              </w:rPr>
            </w:pPr>
            <w:r>
              <w:rPr>
                <w:rFonts w:hint="eastAsia" w:ascii="宋体" w:hAnsi="宋体"/>
                <w:color w:val="auto"/>
                <w:szCs w:val="21"/>
              </w:rPr>
              <w:t>合 价（元）</w:t>
            </w:r>
          </w:p>
        </w:tc>
      </w:tr>
      <w:tr w14:paraId="0DE5C2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1093" w:type="dxa"/>
            <w:shd w:val="clear" w:color="auto" w:fill="auto"/>
          </w:tcPr>
          <w:p w14:paraId="2C9B8EB4">
            <w:pPr>
              <w:jc w:val="center"/>
              <w:textAlignment w:val="baseline"/>
              <w:rPr>
                <w:rFonts w:ascii="宋体" w:hAnsi="宋体"/>
                <w:color w:val="auto"/>
                <w:szCs w:val="21"/>
              </w:rPr>
            </w:pPr>
            <w:r>
              <w:rPr>
                <w:rFonts w:hint="eastAsia" w:ascii="宋体" w:hAnsi="宋体"/>
                <w:color w:val="auto"/>
                <w:szCs w:val="21"/>
              </w:rPr>
              <w:t>1</w:t>
            </w:r>
          </w:p>
        </w:tc>
        <w:tc>
          <w:tcPr>
            <w:tcW w:w="2070" w:type="dxa"/>
            <w:tcBorders>
              <w:right w:val="single" w:color="auto" w:sz="4" w:space="0"/>
            </w:tcBorders>
            <w:shd w:val="clear" w:color="auto" w:fill="FFFFFF"/>
            <w:vAlign w:val="center"/>
          </w:tcPr>
          <w:p w14:paraId="1E4E43B8">
            <w:pPr>
              <w:widowControl/>
              <w:spacing w:line="360" w:lineRule="auto"/>
              <w:jc w:val="center"/>
              <w:textAlignment w:val="center"/>
              <w:rPr>
                <w:rFonts w:ascii="宋体" w:hAnsi="宋体"/>
                <w:color w:val="auto"/>
                <w:sz w:val="24"/>
              </w:rPr>
            </w:pPr>
          </w:p>
        </w:tc>
        <w:tc>
          <w:tcPr>
            <w:tcW w:w="1296" w:type="dxa"/>
            <w:tcBorders>
              <w:left w:val="single" w:color="auto" w:sz="4" w:space="0"/>
            </w:tcBorders>
            <w:shd w:val="clear" w:color="auto" w:fill="auto"/>
            <w:vAlign w:val="center"/>
          </w:tcPr>
          <w:p w14:paraId="64F9E5B0">
            <w:pPr>
              <w:spacing w:line="300" w:lineRule="exact"/>
              <w:jc w:val="center"/>
              <w:rPr>
                <w:rFonts w:ascii="宋体" w:hAnsi="宋体"/>
                <w:color w:val="auto"/>
                <w:sz w:val="24"/>
              </w:rPr>
            </w:pPr>
          </w:p>
        </w:tc>
        <w:tc>
          <w:tcPr>
            <w:tcW w:w="1065" w:type="dxa"/>
            <w:shd w:val="clear" w:color="auto" w:fill="FFFFFF"/>
            <w:vAlign w:val="center"/>
          </w:tcPr>
          <w:p w14:paraId="56DFEB67">
            <w:pPr>
              <w:widowControl/>
              <w:spacing w:line="360" w:lineRule="auto"/>
              <w:jc w:val="center"/>
              <w:textAlignment w:val="center"/>
              <w:rPr>
                <w:rFonts w:ascii="宋体" w:hAnsi="宋体"/>
                <w:color w:val="auto"/>
                <w:sz w:val="24"/>
              </w:rPr>
            </w:pPr>
          </w:p>
        </w:tc>
        <w:tc>
          <w:tcPr>
            <w:tcW w:w="1260" w:type="dxa"/>
            <w:shd w:val="clear" w:color="auto" w:fill="FFFFFF"/>
            <w:vAlign w:val="center"/>
          </w:tcPr>
          <w:p w14:paraId="1F39B053">
            <w:pPr>
              <w:widowControl/>
              <w:spacing w:line="360" w:lineRule="auto"/>
              <w:jc w:val="center"/>
              <w:textAlignment w:val="center"/>
              <w:rPr>
                <w:rFonts w:ascii="宋体" w:hAnsi="宋体"/>
                <w:color w:val="auto"/>
                <w:sz w:val="24"/>
              </w:rPr>
            </w:pPr>
          </w:p>
        </w:tc>
        <w:tc>
          <w:tcPr>
            <w:tcW w:w="1005" w:type="dxa"/>
            <w:tcBorders>
              <w:left w:val="single" w:color="auto" w:sz="4" w:space="0"/>
            </w:tcBorders>
            <w:vAlign w:val="center"/>
          </w:tcPr>
          <w:p w14:paraId="001D3584">
            <w:pPr>
              <w:spacing w:line="300" w:lineRule="exact"/>
              <w:rPr>
                <w:rFonts w:ascii="宋体" w:hAnsi="宋体"/>
                <w:color w:val="auto"/>
                <w:sz w:val="24"/>
              </w:rPr>
            </w:pPr>
          </w:p>
        </w:tc>
        <w:tc>
          <w:tcPr>
            <w:tcW w:w="1353" w:type="dxa"/>
            <w:vAlign w:val="center"/>
          </w:tcPr>
          <w:p w14:paraId="15A2FB01">
            <w:pPr>
              <w:spacing w:line="300" w:lineRule="exact"/>
              <w:rPr>
                <w:rFonts w:ascii="宋体" w:hAnsi="宋体"/>
                <w:color w:val="auto"/>
                <w:sz w:val="24"/>
              </w:rPr>
            </w:pPr>
          </w:p>
        </w:tc>
      </w:tr>
      <w:tr w14:paraId="39517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9142" w:type="dxa"/>
            <w:gridSpan w:val="7"/>
            <w:tcBorders>
              <w:right w:val="single" w:color="auto" w:sz="4" w:space="0"/>
            </w:tcBorders>
          </w:tcPr>
          <w:p w14:paraId="6A7D1F26">
            <w:pPr>
              <w:spacing w:line="300" w:lineRule="exact"/>
              <w:rPr>
                <w:rFonts w:ascii="宋体" w:hAnsi="宋体"/>
                <w:color w:val="auto"/>
                <w:sz w:val="24"/>
              </w:rPr>
            </w:pPr>
            <w:r>
              <w:rPr>
                <w:rFonts w:hint="eastAsia" w:ascii="宋体" w:hAnsi="宋体"/>
                <w:b/>
                <w:color w:val="auto"/>
                <w:sz w:val="24"/>
              </w:rPr>
              <w:t>投标报价：</w:t>
            </w:r>
            <w:r>
              <w:rPr>
                <w:rFonts w:hint="eastAsia" w:ascii="宋体" w:hAnsi="宋体"/>
                <w:b/>
                <w:color w:val="auto"/>
                <w:sz w:val="24"/>
                <w:u w:val="single"/>
              </w:rPr>
              <w:t xml:space="preserve">        </w:t>
            </w:r>
            <w:bookmarkStart w:id="123" w:name="_GoBack"/>
            <w:bookmarkEnd w:id="123"/>
            <w:r>
              <w:rPr>
                <w:rFonts w:hint="eastAsia" w:ascii="宋体" w:hAnsi="宋体"/>
                <w:b/>
                <w:color w:val="auto"/>
                <w:sz w:val="24"/>
                <w:u w:val="single"/>
              </w:rPr>
              <w:t xml:space="preserve">       </w:t>
            </w:r>
            <w:r>
              <w:rPr>
                <w:rFonts w:hint="eastAsia" w:ascii="宋体" w:hAnsi="宋体"/>
                <w:b/>
                <w:color w:val="auto"/>
                <w:sz w:val="24"/>
              </w:rPr>
              <w:t>元；小写：</w:t>
            </w:r>
            <w:r>
              <w:rPr>
                <w:rFonts w:hint="eastAsia" w:ascii="宋体" w:hAnsi="宋体"/>
                <w:b/>
                <w:color w:val="auto"/>
                <w:sz w:val="24"/>
                <w:u w:val="single"/>
              </w:rPr>
              <w:t xml:space="preserve">         </w:t>
            </w:r>
            <w:r>
              <w:rPr>
                <w:rFonts w:hint="eastAsia" w:ascii="宋体" w:hAnsi="宋体"/>
                <w:b/>
                <w:color w:val="auto"/>
                <w:sz w:val="24"/>
              </w:rPr>
              <w:t xml:space="preserve"> 元；（填入投标函和开标一览表）</w:t>
            </w:r>
          </w:p>
        </w:tc>
      </w:tr>
    </w:tbl>
    <w:p w14:paraId="7FA9A423">
      <w:pPr>
        <w:spacing w:line="440" w:lineRule="exact"/>
        <w:ind w:firstLine="420" w:firstLineChars="200"/>
        <w:jc w:val="left"/>
        <w:rPr>
          <w:rFonts w:ascii="宋体" w:hAnsi="宋体" w:cs="宋体"/>
          <w:color w:val="auto"/>
          <w:szCs w:val="21"/>
          <w:lang w:val="zh-CN"/>
        </w:rPr>
      </w:pPr>
      <w:r>
        <w:rPr>
          <w:rFonts w:hint="eastAsia" w:ascii="宋体" w:hAnsi="宋体" w:cs="宋体"/>
          <w:color w:val="auto"/>
          <w:szCs w:val="21"/>
          <w:lang w:val="zh-CN"/>
        </w:rPr>
        <w:t>注：1.所有投标只能选择一种方案，单价和合价的报价只能是唯一，且须列出详细的分项报价。（与采购清单项相一致，不得缺项，否则视同包含在其他项目。）</w:t>
      </w:r>
    </w:p>
    <w:p w14:paraId="2BBDD90B">
      <w:pPr>
        <w:spacing w:line="480" w:lineRule="auto"/>
        <w:rPr>
          <w:rFonts w:ascii="宋体" w:hAnsi="宋体" w:cs="宋体"/>
          <w:color w:val="auto"/>
          <w:szCs w:val="21"/>
        </w:rPr>
      </w:pPr>
      <w:r>
        <w:rPr>
          <w:rFonts w:hint="eastAsia" w:ascii="宋体" w:hAnsi="宋体" w:cs="宋体"/>
          <w:color w:val="auto"/>
          <w:szCs w:val="21"/>
        </w:rPr>
        <w:t xml:space="preserve">   </w:t>
      </w:r>
    </w:p>
    <w:p w14:paraId="4C584970">
      <w:pPr>
        <w:pStyle w:val="12"/>
        <w:ind w:firstLine="400"/>
        <w:rPr>
          <w:color w:val="auto"/>
        </w:rPr>
      </w:pPr>
    </w:p>
    <w:p w14:paraId="777EAE06">
      <w:pPr>
        <w:spacing w:line="480" w:lineRule="auto"/>
        <w:rPr>
          <w:rFonts w:ascii="宋体" w:hAnsi="宋体" w:cs="宋体"/>
          <w:color w:val="auto"/>
          <w:szCs w:val="21"/>
        </w:rPr>
      </w:pPr>
      <w:r>
        <w:rPr>
          <w:rFonts w:hint="eastAsia" w:ascii="宋体" w:hAnsi="宋体" w:cs="宋体"/>
          <w:color w:val="auto"/>
          <w:szCs w:val="21"/>
        </w:rPr>
        <w:t>投标单位</w:t>
      </w:r>
      <w:r>
        <w:rPr>
          <w:rFonts w:hint="eastAsia" w:ascii="宋体" w:hAnsi="宋体" w:cs="宋体"/>
          <w:color w:val="auto"/>
          <w:szCs w:val="21"/>
          <w:u w:val="single"/>
        </w:rPr>
        <w:t xml:space="preserve">：                </w:t>
      </w:r>
      <w:r>
        <w:rPr>
          <w:rFonts w:hint="eastAsia" w:ascii="宋体" w:hAnsi="宋体" w:cs="宋体"/>
          <w:color w:val="auto"/>
          <w:szCs w:val="21"/>
        </w:rPr>
        <w:t xml:space="preserve"> （公 章）</w:t>
      </w:r>
    </w:p>
    <w:p w14:paraId="1E081BE0">
      <w:pPr>
        <w:spacing w:line="480" w:lineRule="auto"/>
        <w:rPr>
          <w:rFonts w:ascii="宋体" w:hAnsi="宋体" w:cs="宋体"/>
          <w:color w:val="auto"/>
          <w:szCs w:val="21"/>
          <w:u w:val="single"/>
        </w:rPr>
      </w:pPr>
      <w:r>
        <w:rPr>
          <w:rFonts w:hint="eastAsia" w:ascii="宋体" w:hAnsi="宋体" w:cs="Arial"/>
          <w:color w:val="auto"/>
          <w:kern w:val="0"/>
          <w:szCs w:val="21"/>
        </w:rPr>
        <w:t xml:space="preserve">法定代表人（签章）：      </w:t>
      </w:r>
      <w:r>
        <w:rPr>
          <w:rFonts w:hint="eastAsia" w:ascii="宋体" w:hAnsi="宋体" w:cs="宋体"/>
          <w:color w:val="auto"/>
          <w:szCs w:val="21"/>
          <w:u w:val="single"/>
        </w:rPr>
        <w:t xml:space="preserve">            </w:t>
      </w:r>
    </w:p>
    <w:p w14:paraId="14C79F6C">
      <w:pPr>
        <w:adjustRightInd w:val="0"/>
        <w:snapToGrid w:val="0"/>
        <w:spacing w:line="340" w:lineRule="exact"/>
        <w:rPr>
          <w:rFonts w:ascii="仿宋_GB2312" w:eastAsia="仿宋_GB2312"/>
          <w:b/>
          <w:color w:val="auto"/>
          <w:sz w:val="24"/>
        </w:rPr>
      </w:pPr>
      <w:r>
        <w:rPr>
          <w:rFonts w:hint="eastAsia" w:ascii="宋体" w:hAnsi="宋体" w:cs="宋体"/>
          <w:color w:val="auto"/>
          <w:szCs w:val="21"/>
        </w:rPr>
        <w:t>日  期：</w:t>
      </w:r>
      <w:r>
        <w:rPr>
          <w:rFonts w:hint="eastAsia" w:ascii="宋体" w:hAnsi="宋体" w:cs="宋体"/>
          <w:color w:val="auto"/>
          <w:szCs w:val="21"/>
          <w:u w:val="single"/>
        </w:rPr>
        <w:t xml:space="preserve">    </w:t>
      </w:r>
    </w:p>
    <w:p w14:paraId="4616DD6C">
      <w:pPr>
        <w:rPr>
          <w:rFonts w:ascii="宋体" w:hAnsi="宋体"/>
          <w:b/>
          <w:color w:val="auto"/>
          <w:sz w:val="30"/>
          <w:szCs w:val="30"/>
        </w:rPr>
      </w:pPr>
    </w:p>
    <w:p w14:paraId="43E2A404">
      <w:pPr>
        <w:rPr>
          <w:color w:val="auto"/>
          <w:sz w:val="24"/>
        </w:rPr>
      </w:pPr>
      <w:r>
        <w:rPr>
          <w:rFonts w:hint="eastAsia" w:ascii="宋体" w:hAnsi="宋体"/>
          <w:b/>
          <w:color w:val="auto"/>
          <w:sz w:val="30"/>
          <w:szCs w:val="30"/>
        </w:rPr>
        <w:t>附件</w:t>
      </w:r>
      <w:r>
        <w:rPr>
          <w:rFonts w:ascii="宋体" w:hAnsi="宋体"/>
          <w:b/>
          <w:color w:val="auto"/>
          <w:sz w:val="30"/>
          <w:szCs w:val="30"/>
        </w:rPr>
        <w:t>4</w:t>
      </w:r>
    </w:p>
    <w:p w14:paraId="79E40E52">
      <w:pPr>
        <w:spacing w:line="380" w:lineRule="exact"/>
        <w:ind w:firstLine="424" w:firstLineChars="202"/>
        <w:rPr>
          <w:rFonts w:ascii="宋体"/>
          <w:color w:val="auto"/>
          <w:szCs w:val="21"/>
        </w:rPr>
      </w:pPr>
      <w:r>
        <w:rPr>
          <w:rFonts w:hint="eastAsia" w:ascii="宋体"/>
          <w:color w:val="auto"/>
          <w:szCs w:val="21"/>
        </w:rPr>
        <w:t>投标人认为需要提供的其他材料（如有）。</w:t>
      </w:r>
    </w:p>
    <w:p w14:paraId="3015812F">
      <w:pPr>
        <w:outlineLvl w:val="0"/>
        <w:rPr>
          <w:rFonts w:ascii="宋体" w:hAnsi="宋体" w:cs="宋体"/>
          <w:color w:val="auto"/>
          <w:sz w:val="28"/>
          <w:szCs w:val="28"/>
        </w:rPr>
      </w:pPr>
      <w:r>
        <w:rPr>
          <w:rFonts w:hint="eastAsia"/>
          <w:color w:val="auto"/>
        </w:rPr>
        <w:br w:type="page"/>
      </w:r>
      <w:bookmarkStart w:id="111" w:name="_Toc11016"/>
      <w:r>
        <w:rPr>
          <w:rFonts w:hint="eastAsia" w:ascii="宋体" w:hAnsi="宋体" w:cs="宋体"/>
          <w:b/>
          <w:color w:val="auto"/>
          <w:sz w:val="28"/>
          <w:szCs w:val="28"/>
        </w:rPr>
        <w:t>附件1</w:t>
      </w:r>
      <w:bookmarkEnd w:id="111"/>
    </w:p>
    <w:p w14:paraId="4E7D1521">
      <w:pPr>
        <w:spacing w:line="440" w:lineRule="exact"/>
        <w:jc w:val="center"/>
        <w:rPr>
          <w:rFonts w:ascii="宋体" w:hAnsi="宋体" w:cs="宋体"/>
          <w:b/>
          <w:color w:val="auto"/>
          <w:sz w:val="30"/>
          <w:szCs w:val="30"/>
        </w:rPr>
      </w:pPr>
      <w:r>
        <w:rPr>
          <w:rFonts w:hint="eastAsia" w:ascii="宋体" w:hAnsi="宋体" w:cs="宋体"/>
          <w:b/>
          <w:color w:val="auto"/>
          <w:sz w:val="30"/>
          <w:szCs w:val="30"/>
        </w:rPr>
        <w:t>关于联合惩戒失信行为 加强信用查询管理的通知</w:t>
      </w:r>
    </w:p>
    <w:p w14:paraId="7EEE57B8">
      <w:pPr>
        <w:spacing w:line="480" w:lineRule="exact"/>
        <w:ind w:firstLine="482" w:firstLineChars="200"/>
        <w:rPr>
          <w:rFonts w:ascii="宋体" w:hAnsi="宋体" w:cs="宋体"/>
          <w:b/>
          <w:color w:val="auto"/>
          <w:sz w:val="24"/>
        </w:rPr>
      </w:pPr>
      <w:r>
        <w:rPr>
          <w:rFonts w:hint="eastAsia" w:ascii="宋体" w:hAnsi="宋体" w:cs="宋体"/>
          <w:b/>
          <w:color w:val="auto"/>
          <w:sz w:val="24"/>
        </w:rPr>
        <w:t>一、失信行为联合惩戒的范围和查询渠道</w:t>
      </w:r>
    </w:p>
    <w:p w14:paraId="7C168750">
      <w:pPr>
        <w:widowControl/>
        <w:autoSpaceDE w:val="0"/>
        <w:spacing w:line="480" w:lineRule="exact"/>
        <w:ind w:firstLine="480" w:firstLineChars="200"/>
        <w:textAlignment w:val="baseline"/>
        <w:rPr>
          <w:rFonts w:ascii="宋体" w:hAnsi="宋体" w:cs="宋体"/>
          <w:bCs/>
          <w:color w:val="auto"/>
          <w:sz w:val="24"/>
        </w:rPr>
      </w:pPr>
      <w:r>
        <w:rPr>
          <w:rFonts w:hint="eastAsia" w:ascii="宋体" w:hAnsi="宋体" w:cs="宋体"/>
          <w:bCs/>
          <w:color w:val="auto"/>
          <w:kern w:val="0"/>
          <w:sz w:val="24"/>
        </w:rPr>
        <w:t>在我市公共资源交易活动中对存在下列失信行为的投标人、法定代表人及其项目经理（建造师）实施联合惩戒，禁止参与我市公共资源交易活动。</w:t>
      </w:r>
    </w:p>
    <w:p w14:paraId="59047D82">
      <w:pPr>
        <w:widowControl/>
        <w:autoSpaceDE w:val="0"/>
        <w:spacing w:line="480" w:lineRule="exact"/>
        <w:ind w:firstLine="482" w:firstLineChars="200"/>
        <w:textAlignment w:val="baseline"/>
        <w:rPr>
          <w:rFonts w:ascii="宋体" w:hAnsi="宋体" w:cs="宋体"/>
          <w:b/>
          <w:color w:val="auto"/>
          <w:sz w:val="24"/>
        </w:rPr>
      </w:pPr>
      <w:r>
        <w:rPr>
          <w:rFonts w:hint="eastAsia" w:ascii="宋体" w:hAnsi="宋体" w:cs="宋体"/>
          <w:b/>
          <w:color w:val="auto"/>
          <w:kern w:val="0"/>
          <w:sz w:val="24"/>
        </w:rPr>
        <w:t>（一）工程建设项目</w:t>
      </w:r>
    </w:p>
    <w:p w14:paraId="3786C4C7">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1、“信用中国”网站（www.creditchina.gov.cn）查询投标人、法定代表人及其项目经理(建造师)以下失信行为：</w:t>
      </w:r>
    </w:p>
    <w:p w14:paraId="26D3A1B5">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①被列入“失信被执行人”的;</w:t>
      </w:r>
    </w:p>
    <w:p w14:paraId="4C05F676">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②被列入“重大税收违法失信主体”的；</w:t>
      </w:r>
    </w:p>
    <w:p w14:paraId="1992E306">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③被列入“拖欠农民工工资失信联合惩戒对象名单”的；</w:t>
      </w:r>
    </w:p>
    <w:p w14:paraId="67FAB5A2">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④被列入 “严重失信主体名单”的；</w:t>
      </w:r>
    </w:p>
    <w:p w14:paraId="4AF5CD05">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⑤在“信用中国”网站上披露的仍在公示期的严重失信行为(具体行为类别及判定依据见附件2)的。</w:t>
      </w:r>
    </w:p>
    <w:p w14:paraId="4CC8C1DA">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2、国家企业信用信息公示系统网站（www.gsxt.gov.cn）查询投标人以下失信行为：</w:t>
      </w:r>
    </w:p>
    <w:p w14:paraId="5E02A86C">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①被列入“经营异常名录”或者“严重违法失信名单”的。</w:t>
      </w:r>
    </w:p>
    <w:p w14:paraId="2F7D79C6">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3、由投标人、法定代表人及其项目经理(建造师)进行承诺，不进行现场网上信用查询的失信行为：</w:t>
      </w:r>
    </w:p>
    <w:p w14:paraId="0715BCD4">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①前三年有行贿犯罪行为的单位和个人；</w:t>
      </w:r>
    </w:p>
    <w:p w14:paraId="789614B4">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②被滁州市县两级公管部门取消在一定期限内的投标资格且在取消期限内的；</w:t>
      </w:r>
    </w:p>
    <w:p w14:paraId="6B067738">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③被滁州市县两级各行业主管部门取消在一定期限内的投标资格且在取消期限内的；</w:t>
      </w:r>
    </w:p>
    <w:p w14:paraId="5A74D985">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④因拖欠农民工工资被县级及以上有关行政主管部门限制投标资格且在限制期限内的；</w:t>
      </w:r>
    </w:p>
    <w:p w14:paraId="694A9559">
      <w:pPr>
        <w:widowControl/>
        <w:autoSpaceDE w:val="0"/>
        <w:spacing w:line="480" w:lineRule="exact"/>
        <w:ind w:firstLine="480" w:firstLineChars="200"/>
        <w:textAlignment w:val="baseline"/>
        <w:rPr>
          <w:rFonts w:ascii="宋体" w:hAnsi="宋体" w:cs="宋体"/>
          <w:bCs/>
          <w:color w:val="auto"/>
          <w:sz w:val="24"/>
        </w:rPr>
      </w:pPr>
      <w:r>
        <w:rPr>
          <w:rFonts w:hint="eastAsia" w:ascii="宋体" w:hAnsi="宋体" w:cs="宋体"/>
          <w:bCs/>
          <w:color w:val="auto"/>
          <w:kern w:val="0"/>
          <w:sz w:val="24"/>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2379AC0B">
      <w:pPr>
        <w:widowControl/>
        <w:autoSpaceDE w:val="0"/>
        <w:spacing w:line="480" w:lineRule="exact"/>
        <w:ind w:firstLine="482" w:firstLineChars="200"/>
        <w:textAlignment w:val="baseline"/>
        <w:rPr>
          <w:rFonts w:ascii="宋体" w:hAnsi="宋体" w:cs="宋体"/>
          <w:b/>
          <w:color w:val="auto"/>
          <w:sz w:val="24"/>
        </w:rPr>
      </w:pPr>
      <w:r>
        <w:rPr>
          <w:rFonts w:hint="eastAsia" w:ascii="宋体" w:hAnsi="宋体" w:cs="宋体"/>
          <w:b/>
          <w:color w:val="auto"/>
          <w:kern w:val="0"/>
          <w:sz w:val="24"/>
        </w:rPr>
        <w:t>（二）政府采购项目</w:t>
      </w:r>
    </w:p>
    <w:p w14:paraId="70A6D309">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1、“信用中国”网站（www.creditchina.gov.cn）查询供应商、法定代表人及其项目负责人以下失信行为：</w:t>
      </w:r>
    </w:p>
    <w:p w14:paraId="32A21B59">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①被列入“失信被执行人”的;</w:t>
      </w:r>
    </w:p>
    <w:p w14:paraId="55FD0892">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②被列入“重大税收违法失信主体”的；</w:t>
      </w:r>
    </w:p>
    <w:p w14:paraId="43FDF8B0">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③被列入 “严重失信主体名单”的；</w:t>
      </w:r>
    </w:p>
    <w:p w14:paraId="610173F8">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④在“信用中国”网站上披露的仍在公示期的严重失信行为(具体行为类别及判定依据见附件2)的。</w:t>
      </w:r>
    </w:p>
    <w:p w14:paraId="1FD4B8C2">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2、国家企业信用信息公示系统网站（</w:t>
      </w:r>
      <w:r>
        <w:rPr>
          <w:color w:val="auto"/>
        </w:rPr>
        <w:fldChar w:fldCharType="begin"/>
      </w:r>
      <w:r>
        <w:rPr>
          <w:color w:val="auto"/>
        </w:rPr>
        <w:instrText xml:space="preserve"> HYPERLINK "http://www.gsxt.gov.cn）查询" </w:instrText>
      </w:r>
      <w:r>
        <w:rPr>
          <w:color w:val="auto"/>
        </w:rPr>
        <w:fldChar w:fldCharType="separate"/>
      </w:r>
      <w:r>
        <w:rPr>
          <w:rFonts w:hint="eastAsia" w:ascii="宋体" w:hAnsi="宋体" w:cs="宋体"/>
          <w:bCs/>
          <w:color w:val="auto"/>
          <w:kern w:val="0"/>
          <w:sz w:val="24"/>
        </w:rPr>
        <w:t>www.gsxt.gov.cn）</w:t>
      </w:r>
      <w:r>
        <w:rPr>
          <w:rFonts w:hint="eastAsia" w:ascii="宋体" w:hAnsi="宋体" w:cs="宋体"/>
          <w:bCs/>
          <w:color w:val="auto"/>
          <w:kern w:val="0"/>
          <w:sz w:val="24"/>
        </w:rPr>
        <w:fldChar w:fldCharType="end"/>
      </w:r>
      <w:r>
        <w:rPr>
          <w:rFonts w:hint="eastAsia" w:ascii="宋体" w:hAnsi="宋体" w:cs="宋体"/>
          <w:bCs/>
          <w:color w:val="auto"/>
          <w:kern w:val="0"/>
          <w:sz w:val="24"/>
        </w:rPr>
        <w:t>查询供应商以下失信行为：</w:t>
      </w:r>
    </w:p>
    <w:p w14:paraId="14EF7E0D">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①</w:t>
      </w:r>
      <w:bookmarkStart w:id="112" w:name="OLE_LINK100"/>
      <w:bookmarkStart w:id="113" w:name="OLE_LINK102"/>
      <w:bookmarkStart w:id="114" w:name="OLE_LINK101"/>
      <w:r>
        <w:rPr>
          <w:rFonts w:hint="eastAsia" w:ascii="宋体" w:hAnsi="宋体" w:cs="宋体"/>
          <w:bCs/>
          <w:color w:val="auto"/>
          <w:kern w:val="0"/>
          <w:sz w:val="24"/>
        </w:rPr>
        <w:t>被列入“经营异常名录”或者“严重违法失信名单”的</w:t>
      </w:r>
      <w:bookmarkEnd w:id="112"/>
      <w:bookmarkEnd w:id="113"/>
      <w:bookmarkEnd w:id="114"/>
      <w:r>
        <w:rPr>
          <w:rFonts w:hint="eastAsia" w:ascii="宋体" w:hAnsi="宋体" w:cs="宋体"/>
          <w:bCs/>
          <w:color w:val="auto"/>
          <w:kern w:val="0"/>
          <w:sz w:val="24"/>
        </w:rPr>
        <w:t>。</w:t>
      </w:r>
    </w:p>
    <w:p w14:paraId="5E1D3ED0">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3、中国政府采购网站（</w:t>
      </w:r>
      <w:bookmarkStart w:id="115" w:name="OLE_LINK96"/>
      <w:bookmarkStart w:id="116" w:name="OLE_LINK95"/>
      <w:r>
        <w:rPr>
          <w:rFonts w:hint="eastAsia" w:ascii="宋体" w:hAnsi="宋体" w:cs="宋体"/>
          <w:bCs/>
          <w:color w:val="auto"/>
          <w:kern w:val="0"/>
          <w:sz w:val="24"/>
        </w:rPr>
        <w:fldChar w:fldCharType="begin"/>
      </w:r>
      <w:r>
        <w:rPr>
          <w:rFonts w:hint="eastAsia" w:ascii="宋体" w:hAnsi="宋体" w:cs="宋体"/>
          <w:bCs/>
          <w:color w:val="auto"/>
          <w:kern w:val="0"/>
          <w:sz w:val="24"/>
        </w:rPr>
        <w:instrText xml:space="preserve"> HYPERLINK "http://www.ccgp.gov.cn" </w:instrText>
      </w:r>
      <w:r>
        <w:rPr>
          <w:rFonts w:hint="eastAsia" w:ascii="宋体" w:hAnsi="宋体" w:cs="宋体"/>
          <w:bCs/>
          <w:color w:val="auto"/>
          <w:kern w:val="0"/>
          <w:sz w:val="24"/>
        </w:rPr>
        <w:fldChar w:fldCharType="separate"/>
      </w:r>
      <w:r>
        <w:rPr>
          <w:rFonts w:hint="eastAsia" w:ascii="宋体" w:hAnsi="宋体" w:cs="宋体"/>
          <w:bCs/>
          <w:color w:val="auto"/>
          <w:kern w:val="0"/>
          <w:sz w:val="24"/>
        </w:rPr>
        <w:t>www.ccgp.gov.cn</w:t>
      </w:r>
      <w:r>
        <w:rPr>
          <w:rFonts w:hint="eastAsia" w:ascii="宋体" w:hAnsi="宋体" w:cs="宋体"/>
          <w:bCs/>
          <w:color w:val="auto"/>
          <w:kern w:val="0"/>
          <w:sz w:val="24"/>
        </w:rPr>
        <w:fldChar w:fldCharType="end"/>
      </w:r>
      <w:bookmarkEnd w:id="115"/>
      <w:bookmarkEnd w:id="116"/>
      <w:r>
        <w:rPr>
          <w:rFonts w:hint="eastAsia" w:ascii="宋体" w:hAnsi="宋体" w:cs="宋体"/>
          <w:bCs/>
          <w:color w:val="auto"/>
          <w:kern w:val="0"/>
          <w:sz w:val="24"/>
        </w:rPr>
        <w:t>）查询以下失信行为：</w:t>
      </w:r>
    </w:p>
    <w:p w14:paraId="1BC0C3E0">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①</w:t>
      </w:r>
      <w:bookmarkStart w:id="117" w:name="OLE_LINK105"/>
      <w:bookmarkStart w:id="118" w:name="OLE_LINK106"/>
      <w:bookmarkStart w:id="119" w:name="OLE_LINK104"/>
      <w:r>
        <w:rPr>
          <w:rFonts w:hint="eastAsia" w:ascii="宋体" w:hAnsi="宋体" w:cs="宋体"/>
          <w:bCs/>
          <w:color w:val="auto"/>
          <w:kern w:val="0"/>
          <w:sz w:val="24"/>
        </w:rPr>
        <w:t>被列入“政府采购严重违法失信行为信息记录”的</w:t>
      </w:r>
      <w:bookmarkEnd w:id="117"/>
      <w:bookmarkEnd w:id="118"/>
      <w:bookmarkEnd w:id="119"/>
      <w:r>
        <w:rPr>
          <w:rFonts w:hint="eastAsia" w:ascii="宋体" w:hAnsi="宋体" w:cs="宋体"/>
          <w:bCs/>
          <w:color w:val="auto"/>
          <w:kern w:val="0"/>
          <w:sz w:val="24"/>
        </w:rPr>
        <w:t>。</w:t>
      </w:r>
    </w:p>
    <w:p w14:paraId="4E91DA71">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4、由竞争主体进行承诺，不进行现场网上信用查询的失信行为：</w:t>
      </w:r>
    </w:p>
    <w:p w14:paraId="23BA924C">
      <w:pPr>
        <w:widowControl/>
        <w:autoSpaceDE w:val="0"/>
        <w:spacing w:line="480" w:lineRule="exact"/>
        <w:ind w:firstLine="480" w:firstLineChars="200"/>
        <w:textAlignment w:val="baseline"/>
        <w:rPr>
          <w:rFonts w:ascii="宋体" w:hAnsi="宋体" w:cs="宋体"/>
          <w:bCs/>
          <w:color w:val="auto"/>
          <w:sz w:val="24"/>
        </w:rPr>
      </w:pPr>
      <w:r>
        <w:rPr>
          <w:rFonts w:hint="eastAsia" w:ascii="宋体" w:hAnsi="宋体" w:cs="宋体"/>
          <w:bCs/>
          <w:color w:val="auto"/>
          <w:kern w:val="0"/>
          <w:sz w:val="24"/>
        </w:rPr>
        <w:t>①前三年有行贿犯罪行为的单位和个人。</w:t>
      </w:r>
    </w:p>
    <w:p w14:paraId="32470B1A">
      <w:pPr>
        <w:widowControl/>
        <w:autoSpaceDE w:val="0"/>
        <w:spacing w:line="480" w:lineRule="exact"/>
        <w:ind w:firstLine="482" w:firstLineChars="200"/>
        <w:textAlignment w:val="baseline"/>
        <w:rPr>
          <w:rFonts w:ascii="宋体" w:hAnsi="宋体" w:cs="宋体"/>
          <w:b/>
          <w:color w:val="auto"/>
          <w:sz w:val="24"/>
        </w:rPr>
      </w:pPr>
      <w:r>
        <w:rPr>
          <w:rFonts w:hint="eastAsia" w:ascii="宋体" w:hAnsi="宋体" w:cs="宋体"/>
          <w:b/>
          <w:color w:val="auto"/>
          <w:kern w:val="0"/>
          <w:sz w:val="24"/>
        </w:rPr>
        <w:t>二、在开评标活动中的查询程序</w:t>
      </w:r>
    </w:p>
    <w:p w14:paraId="4BE351B3">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53062400">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262BFFA2">
      <w:pPr>
        <w:widowControl/>
        <w:autoSpaceDE w:val="0"/>
        <w:spacing w:line="480" w:lineRule="exact"/>
        <w:ind w:firstLine="480" w:firstLineChars="200"/>
        <w:textAlignment w:val="baseline"/>
        <w:rPr>
          <w:rFonts w:ascii="宋体" w:hAnsi="宋体" w:cs="宋体"/>
          <w:bCs/>
          <w:color w:val="auto"/>
          <w:sz w:val="24"/>
        </w:rPr>
      </w:pPr>
      <w:r>
        <w:rPr>
          <w:rFonts w:hint="eastAsia" w:ascii="宋体" w:hAnsi="宋体" w:cs="宋体"/>
          <w:bCs/>
          <w:color w:val="auto"/>
          <w:kern w:val="0"/>
          <w:sz w:val="24"/>
        </w:rPr>
        <w:t>3、项目单位及其委托的代理机构应当做好信用查询结果截图和记录留存。</w:t>
      </w:r>
    </w:p>
    <w:p w14:paraId="35ED741D">
      <w:pPr>
        <w:widowControl/>
        <w:autoSpaceDE w:val="0"/>
        <w:spacing w:line="480" w:lineRule="exact"/>
        <w:ind w:firstLine="482" w:firstLineChars="200"/>
        <w:textAlignment w:val="baseline"/>
        <w:rPr>
          <w:rFonts w:ascii="宋体" w:hAnsi="宋体" w:cs="宋体"/>
          <w:b/>
          <w:color w:val="auto"/>
          <w:sz w:val="24"/>
        </w:rPr>
      </w:pPr>
      <w:r>
        <w:rPr>
          <w:rFonts w:hint="eastAsia" w:ascii="宋体" w:hAnsi="宋体" w:cs="宋体"/>
          <w:b/>
          <w:color w:val="auto"/>
          <w:kern w:val="0"/>
          <w:sz w:val="24"/>
        </w:rPr>
        <w:t>三、相关要求</w:t>
      </w:r>
    </w:p>
    <w:p w14:paraId="796E5B46">
      <w:pPr>
        <w:widowControl/>
        <w:wordWrap w:val="0"/>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1、参与公共资源交易活动的竞争主体根据上述范围查询的内容进行自查并承诺，出具《诚信投标承诺书》（诚信投标承诺书包括但不限于上述自查并承诺内容）并注明承诺日期（投标截止时间前5日内）。</w:t>
      </w:r>
    </w:p>
    <w:p w14:paraId="2BCB18D8">
      <w:pPr>
        <w:widowControl/>
        <w:wordWrap w:val="0"/>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4F318C3">
      <w:pPr>
        <w:widowControl/>
        <w:wordWrap w:val="0"/>
        <w:autoSpaceDE w:val="0"/>
        <w:spacing w:line="480" w:lineRule="exact"/>
        <w:ind w:firstLine="480" w:firstLineChars="200"/>
        <w:textAlignment w:val="baseline"/>
        <w:rPr>
          <w:rFonts w:ascii="宋体" w:hAnsi="宋体" w:cs="宋体"/>
          <w:bCs/>
          <w:color w:val="auto"/>
          <w:sz w:val="24"/>
        </w:rPr>
      </w:pPr>
      <w:r>
        <w:rPr>
          <w:rFonts w:hint="eastAsia" w:ascii="宋体" w:hAnsi="宋体" w:cs="宋体"/>
          <w:bCs/>
          <w:color w:val="auto"/>
          <w:kern w:val="0"/>
          <w:sz w:val="24"/>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01104835">
      <w:pPr>
        <w:widowControl/>
        <w:autoSpaceDE w:val="0"/>
        <w:spacing w:line="480" w:lineRule="exact"/>
        <w:ind w:firstLine="482" w:firstLineChars="200"/>
        <w:textAlignment w:val="baseline"/>
        <w:rPr>
          <w:rFonts w:ascii="宋体" w:hAnsi="宋体" w:cs="宋体"/>
          <w:b/>
          <w:color w:val="auto"/>
          <w:sz w:val="24"/>
        </w:rPr>
      </w:pPr>
      <w:r>
        <w:rPr>
          <w:rFonts w:hint="eastAsia" w:ascii="宋体" w:hAnsi="宋体" w:cs="宋体"/>
          <w:b/>
          <w:color w:val="auto"/>
          <w:kern w:val="0"/>
          <w:sz w:val="24"/>
        </w:rPr>
        <w:t>2、“信用中国”查询的严重失信行为判定依据为各行业主管部门下发的联合惩戒文件中规定的行为（按附件2执行）。</w:t>
      </w:r>
    </w:p>
    <w:p w14:paraId="727FCBBD">
      <w:pPr>
        <w:widowControl/>
        <w:autoSpaceDE w:val="0"/>
        <w:spacing w:line="480" w:lineRule="exact"/>
        <w:ind w:firstLine="480" w:firstLineChars="200"/>
        <w:textAlignment w:val="baseline"/>
        <w:rPr>
          <w:rFonts w:ascii="宋体" w:hAnsi="宋体" w:cs="宋体"/>
          <w:bCs/>
          <w:color w:val="auto"/>
          <w:kern w:val="0"/>
          <w:sz w:val="24"/>
        </w:rPr>
      </w:pPr>
      <w:r>
        <w:rPr>
          <w:rFonts w:hint="eastAsia" w:ascii="宋体" w:hAnsi="宋体" w:cs="宋体"/>
          <w:bCs/>
          <w:color w:val="auto"/>
          <w:kern w:val="0"/>
          <w:sz w:val="24"/>
        </w:rPr>
        <w:t>3、资格预审的项目以递交资格预审申请文件截止时间查询为准；资格后审的项目以递交投标文件截止时间查询为准。</w:t>
      </w:r>
    </w:p>
    <w:p w14:paraId="43119D20">
      <w:pPr>
        <w:spacing w:line="440" w:lineRule="exact"/>
        <w:rPr>
          <w:rFonts w:ascii="宋体" w:hAnsi="宋体" w:cs="宋体"/>
          <w:b/>
          <w:color w:val="auto"/>
          <w:sz w:val="24"/>
        </w:rPr>
      </w:pPr>
      <w:r>
        <w:rPr>
          <w:rFonts w:hint="eastAsia" w:ascii="宋体" w:hAnsi="宋体" w:cs="宋体"/>
          <w:b/>
          <w:color w:val="auto"/>
          <w:sz w:val="24"/>
        </w:rPr>
        <w:t xml:space="preserve"> </w:t>
      </w:r>
    </w:p>
    <w:p w14:paraId="17744FF6">
      <w:pPr>
        <w:pStyle w:val="31"/>
        <w:spacing w:before="0" w:after="120" w:afterAutospacing="0" w:line="360" w:lineRule="auto"/>
        <w:ind w:left="420" w:leftChars="200" w:firstLine="420" w:firstLineChars="200"/>
        <w:jc w:val="both"/>
        <w:rPr>
          <w:color w:val="auto"/>
          <w:kern w:val="2"/>
          <w:sz w:val="21"/>
          <w:szCs w:val="21"/>
        </w:rPr>
      </w:pPr>
      <w:r>
        <w:rPr>
          <w:rFonts w:hint="eastAsia"/>
          <w:color w:val="auto"/>
          <w:kern w:val="2"/>
          <w:sz w:val="21"/>
          <w:szCs w:val="21"/>
        </w:rPr>
        <w:t xml:space="preserve"> </w:t>
      </w:r>
    </w:p>
    <w:p w14:paraId="46D61C38">
      <w:pPr>
        <w:spacing w:line="440" w:lineRule="exac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附件2</w:t>
      </w:r>
    </w:p>
    <w:p w14:paraId="0BB6DF3E">
      <w:pPr>
        <w:spacing w:line="440" w:lineRule="exact"/>
        <w:jc w:val="center"/>
        <w:rPr>
          <w:rFonts w:ascii="宋体" w:hAnsi="宋体" w:cs="宋体"/>
          <w:b/>
          <w:color w:val="auto"/>
          <w:sz w:val="24"/>
        </w:rPr>
      </w:pPr>
      <w:r>
        <w:rPr>
          <w:rFonts w:hint="eastAsia" w:ascii="宋体" w:hAnsi="宋体" w:cs="宋体"/>
          <w:b/>
          <w:color w:val="auto"/>
          <w:sz w:val="24"/>
        </w:rPr>
        <w:t>“信用中国”查询的严重失信行为类别及判定依据</w:t>
      </w:r>
    </w:p>
    <w:p w14:paraId="52481EA0">
      <w:pPr>
        <w:spacing w:line="440" w:lineRule="exact"/>
        <w:jc w:val="center"/>
        <w:rPr>
          <w:rFonts w:ascii="宋体" w:hAnsi="宋体" w:cs="宋体"/>
          <w:b/>
          <w:color w:val="auto"/>
          <w:sz w:val="24"/>
        </w:rPr>
      </w:pPr>
      <w:r>
        <w:rPr>
          <w:rFonts w:hint="eastAsia" w:ascii="宋体" w:hAnsi="宋体" w:cs="宋体"/>
          <w:b/>
          <w:color w:val="auto"/>
          <w:sz w:val="24"/>
        </w:rPr>
        <w:t xml:space="preserve"> </w:t>
      </w:r>
    </w:p>
    <w:p w14:paraId="40ED2B8C">
      <w:pPr>
        <w:widowControl/>
        <w:autoSpaceDE w:val="0"/>
        <w:spacing w:line="480" w:lineRule="exact"/>
        <w:ind w:firstLine="480" w:firstLineChars="200"/>
        <w:jc w:val="left"/>
        <w:textAlignment w:val="baseline"/>
        <w:rPr>
          <w:rFonts w:ascii="宋体" w:hAnsi="宋体" w:cs="宋体"/>
          <w:color w:val="auto"/>
          <w:sz w:val="24"/>
        </w:rPr>
      </w:pPr>
      <w:r>
        <w:rPr>
          <w:rFonts w:hint="eastAsia" w:ascii="宋体" w:hAnsi="宋体" w:cs="宋体"/>
          <w:color w:val="auto"/>
          <w:kern w:val="0"/>
          <w:sz w:val="24"/>
        </w:rPr>
        <w:t>“信用中国”查询的严重失信行为判定依据为各行业主管部门下发的联合惩戒文件中规定的行为。下面将部分类别的严重失信行为列举如下：</w:t>
      </w:r>
    </w:p>
    <w:p w14:paraId="3535E805">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一、安全生产领域严重失信行为：</w:t>
      </w:r>
    </w:p>
    <w:p w14:paraId="33B04516">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（一）下列发生生产安全事故的生产经营单位及其有关人员应当列入严重失信主体名单：</w:t>
      </w:r>
    </w:p>
    <w:p w14:paraId="0C2DBD6A">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1、发生特别重大、重大生产安全事故的生产经营单位及其主要负责人，以及经调查认定对该事故发生负有责任，应当列入名单的其他单位和人员；</w:t>
      </w:r>
    </w:p>
    <w:p w14:paraId="58C81B47">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2、12个月内累计发生2起以上较大生产安全事故的生产经营单位及其主要负责人；</w:t>
      </w:r>
    </w:p>
    <w:p w14:paraId="7DCB4736">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3、发生生产安全事故，情节特别严重、影响特别恶劣，依照《中华人民共和国安全生产法》第一百一十四条的规定被处以罚款数额2倍以上5倍以下罚款的生产经营单位及其主要负责人；</w:t>
      </w:r>
    </w:p>
    <w:p w14:paraId="09EAA602">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4、瞒报、谎报生产安全事故的生产经营单位及其有关责任人员；</w:t>
      </w:r>
    </w:p>
    <w:p w14:paraId="5E09FDF6">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5、发生生产安全事故后，不立即组织抢救或者在事故调查处理期间擅离职守或者逃匿的生产经营单位主要负责人。</w:t>
      </w:r>
    </w:p>
    <w:p w14:paraId="39C452EC">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（二）下列未发生生产安全事故，但因安全生产违法行为，受到行政处罚的生产经营单位或者机构及其有关人员，应当列入严重失信主体名单：</w:t>
      </w:r>
    </w:p>
    <w:p w14:paraId="5F5228A4">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1、未依法取得安全生产相关许可或者许可被暂扣、吊销期间从事相关生产经营活动的生产经营单位及其主要负责人；</w:t>
      </w:r>
    </w:p>
    <w:p w14:paraId="0D933C0C">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2、承担安全评价、认证、检测、检验职责的机构及其直接责任人员租借资质、挂靠、出具虚假报告或者证书的；</w:t>
      </w:r>
    </w:p>
    <w:p w14:paraId="4D05B7EB">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3、在应急管理部门作出行政处罚后，有执行能力拒不执行或者逃避执行的生产经营单位及其主要负责人；</w:t>
      </w:r>
    </w:p>
    <w:p w14:paraId="092F9BC1">
      <w:pPr>
        <w:widowControl/>
        <w:autoSpaceDE w:val="0"/>
        <w:spacing w:line="480" w:lineRule="exact"/>
        <w:ind w:firstLine="480" w:firstLineChars="200"/>
        <w:jc w:val="left"/>
        <w:textAlignment w:val="baseline"/>
        <w:rPr>
          <w:rFonts w:ascii="宋体" w:hAnsi="宋体" w:cs="宋体"/>
          <w:color w:val="auto"/>
          <w:sz w:val="24"/>
        </w:rPr>
      </w:pPr>
      <w:r>
        <w:rPr>
          <w:rFonts w:hint="eastAsia" w:ascii="宋体" w:hAnsi="宋体" w:cs="宋体"/>
          <w:color w:val="auto"/>
          <w:kern w:val="0"/>
          <w:sz w:val="24"/>
        </w:rPr>
        <w:t>4、其他违反安全生产法律法规受到行政处罚，且性质恶劣、情节严重的。</w:t>
      </w:r>
    </w:p>
    <w:p w14:paraId="06FACC9E">
      <w:pPr>
        <w:widowControl/>
        <w:autoSpaceDE w:val="0"/>
        <w:spacing w:line="480" w:lineRule="exact"/>
        <w:ind w:firstLine="482" w:firstLineChars="200"/>
        <w:jc w:val="left"/>
        <w:textAlignment w:val="baseline"/>
        <w:rPr>
          <w:rFonts w:ascii="宋体" w:hAnsi="宋体" w:cs="宋体"/>
          <w:b/>
          <w:color w:val="auto"/>
          <w:sz w:val="24"/>
        </w:rPr>
      </w:pPr>
      <w:r>
        <w:rPr>
          <w:rFonts w:hint="eastAsia" w:ascii="宋体" w:hAnsi="宋体" w:cs="宋体"/>
          <w:b/>
          <w:color w:val="auto"/>
          <w:kern w:val="0"/>
          <w:sz w:val="24"/>
        </w:rPr>
        <w:t>依据：《安全生产严重失信主体名单管理办法》（2023年8月8日应急管理部令第11号）</w:t>
      </w:r>
    </w:p>
    <w:p w14:paraId="016A467A">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 xml:space="preserve"> </w:t>
      </w:r>
    </w:p>
    <w:p w14:paraId="3DE900EA">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二、环境保护领域严重失信行为：</w:t>
      </w:r>
    </w:p>
    <w:p w14:paraId="23528F3C">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（一）因为环境违法构成环境犯罪的；</w:t>
      </w:r>
    </w:p>
    <w:p w14:paraId="7AB7CAFD">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（二）建设项目环境影响评价文件未按规定通过审批，擅自开工建设的；</w:t>
      </w:r>
    </w:p>
    <w:p w14:paraId="44220E99">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（三）建设项目环保设施未建成、环保措施未落实、未通过竣工环保验收或者验收不合格，主体工程正式投入生产或者使用的；</w:t>
      </w:r>
    </w:p>
    <w:p w14:paraId="1CF0C30F">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（四）建设项目性质、规模、地点、采用的生产工艺或者防治污染、防止生态破坏的措施发生重大变动，未重新报批环境影响评价文件，擅自投入生产或者使用的；</w:t>
      </w:r>
    </w:p>
    <w:p w14:paraId="770D64EE">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（五）主要污染物排放总量超过控制指标的；</w:t>
      </w:r>
    </w:p>
    <w:p w14:paraId="308CE2DC">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（六）私设暗管或者利用渗井、渗坑、裂隙、溶洞等排放、倾倒、处置水污染物，或者通过私设旁路排放大气污染物的；</w:t>
      </w:r>
    </w:p>
    <w:p w14:paraId="4B80330A">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（七）非法排放、倾倒、处置危险废物，或者向无经营许可证或者超出经营许可范围的单位或个人提供或者委托其收集、贮存、利用、处置危险废物的；</w:t>
      </w:r>
    </w:p>
    <w:p w14:paraId="4635972F">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（八）环境违法行为造成集中式生活饮用水水源取水中断的；</w:t>
      </w:r>
    </w:p>
    <w:p w14:paraId="49F595A7">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（九）环境违法行为对生活饮用水水源保护区、自然保护区、国家重点生态功能区、风景名胜区、居住功能区、基本农田保护区等环境敏感区造成重大不利影响的；</w:t>
      </w:r>
    </w:p>
    <w:p w14:paraId="76DB589C">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（十）违法从事自然资源开发、交通基础设施建设，以及其他开发建设活动，造成严重生态破坏的；</w:t>
      </w:r>
    </w:p>
    <w:p w14:paraId="2EB5A2E2">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（十一）发生较大及以上突发环境事件的；</w:t>
      </w:r>
    </w:p>
    <w:p w14:paraId="47593F97">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（十二）被环保部门挂牌督办，整改逾期未完成的；</w:t>
      </w:r>
    </w:p>
    <w:p w14:paraId="0DCDF6C2">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（十三）以暴力、威胁等方式拒绝、阻挠环保部门工作人员现场检查的；</w:t>
      </w:r>
    </w:p>
    <w:p w14:paraId="1A11358C">
      <w:pPr>
        <w:widowControl/>
        <w:autoSpaceDE w:val="0"/>
        <w:spacing w:line="480" w:lineRule="exact"/>
        <w:ind w:firstLine="480" w:firstLineChars="200"/>
        <w:jc w:val="left"/>
        <w:textAlignment w:val="baseline"/>
        <w:rPr>
          <w:rFonts w:ascii="宋体" w:hAnsi="宋体" w:cs="宋体"/>
          <w:color w:val="auto"/>
          <w:sz w:val="24"/>
        </w:rPr>
      </w:pPr>
      <w:r>
        <w:rPr>
          <w:rFonts w:hint="eastAsia" w:ascii="宋体" w:hAnsi="宋体" w:cs="宋体"/>
          <w:color w:val="auto"/>
          <w:kern w:val="0"/>
          <w:sz w:val="24"/>
        </w:rPr>
        <w:t>（十四）违反重污染天气应急预案有关规定，对重污染天气响应不力的。</w:t>
      </w:r>
    </w:p>
    <w:p w14:paraId="3F45172B">
      <w:pPr>
        <w:widowControl/>
        <w:autoSpaceDE w:val="0"/>
        <w:spacing w:line="480" w:lineRule="exact"/>
        <w:ind w:firstLine="482" w:firstLineChars="200"/>
        <w:jc w:val="left"/>
        <w:textAlignment w:val="baseline"/>
        <w:rPr>
          <w:rFonts w:ascii="宋体" w:hAnsi="宋体" w:cs="宋体"/>
          <w:b/>
          <w:color w:val="auto"/>
          <w:sz w:val="24"/>
        </w:rPr>
      </w:pPr>
      <w:r>
        <w:rPr>
          <w:rFonts w:hint="eastAsia" w:ascii="宋体" w:hAnsi="宋体" w:cs="宋体"/>
          <w:b/>
          <w:color w:val="auto"/>
          <w:kern w:val="0"/>
          <w:sz w:val="24"/>
        </w:rPr>
        <w:t>依据：《关于对环境保护领域失信生产经营单位及其有关人员开展联合惩戒的合作备忘录》、《企业环境信用评价办法（试行）》（环发〔2013〕150号）</w:t>
      </w:r>
    </w:p>
    <w:p w14:paraId="258F40E0">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 xml:space="preserve"> </w:t>
      </w:r>
    </w:p>
    <w:p w14:paraId="778DE661">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三、公共资源交易领域严重失信行为</w:t>
      </w:r>
    </w:p>
    <w:p w14:paraId="423E9EDB">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（一）违反法律规定，必须进行招标的项目而不招标的，将必须进行招标的项目化整为零或者以其他任何方式规避招标的； </w:t>
      </w:r>
    </w:p>
    <w:p w14:paraId="1BEAE937">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（二）招标代理机构违反法律规定，泄露应当保密的与招标投标活动有关的情况和资料的，或者与招标人、投标人串通损害 国家利益、社会公共利益或者他人合法权益的；</w:t>
      </w:r>
    </w:p>
    <w:p w14:paraId="404BB974">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（三）招标人以不合理的条件限制或者排斥潜在投标人的，对潜在投标人实行歧视待遇的，强制要求投标人组成联合体共同 投标的，或者限制投标人之间竞争的；</w:t>
      </w:r>
    </w:p>
    <w:p w14:paraId="0B333946">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（四）依法必须进行招标的项目的招标人向他人透露已获取招标文件的潜在投标人的名称、数量或者可能影响公平竞争的有 关招标投标的其他情况的，或者泄露标底的；</w:t>
      </w:r>
    </w:p>
    <w:p w14:paraId="5AB87CA0">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（五）投标人相互串通投标或者与招标人串通投标的，投标人以向招标人或者评标委员会成员行贿的手段谋取中标的； </w:t>
      </w:r>
    </w:p>
    <w:p w14:paraId="2949F57C">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（六）投标人以他人名义投标或者以其他方式弄虚作假，骗取中标的；</w:t>
      </w:r>
    </w:p>
    <w:p w14:paraId="530586C8">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（七）依法必须进行招标的项目，招标人违反法律规定，与投标人就投标价格、投标方案等实质性内容进行谈判的；</w:t>
      </w:r>
    </w:p>
    <w:p w14:paraId="720B24DA">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6097243A">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（九）招标人在评标委员会依法推荐的中标候选人以外确定中标人的，依法必须进行招标的项目在所有投标被评标委员会否 决后自行确定中标人的； </w:t>
      </w:r>
    </w:p>
    <w:p w14:paraId="54C8CD0E">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（十）中标人将中标项目转让给他人的，将中标项目肢解后分别转让给他人的，违反法律规定将中标项目的部分主体、关键 性工作分包给他人的，或者分包人再次分包的； </w:t>
      </w:r>
    </w:p>
    <w:p w14:paraId="3E1A6896">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（十一）招标人与中标人不按照招标文件和中标人的投标文件订立合同的，或者招标人、中标人订立背离合同实质性内容的 协议的； </w:t>
      </w:r>
    </w:p>
    <w:p w14:paraId="2414E210">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（十二）中标人不按照与招标人订立的合同履行义务，情节严重的； </w:t>
      </w:r>
    </w:p>
    <w:p w14:paraId="3DE535D5">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1D74DC9C">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0C0681E8">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（十五）采购人对应当实行集中采购的政府采购项目，不委托集中采购机构实行集中采购的； </w:t>
      </w:r>
    </w:p>
    <w:p w14:paraId="3E2BDFB1">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（十六）采购人、采购代理机构违反法律规定隐匿、销毁应当保存的采购文件或者伪造、变造采购文件的； </w:t>
      </w:r>
    </w:p>
    <w:p w14:paraId="1536AB4E">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7A64054B">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（十八）疫苗生产企业向县级疾病预防控制机构以外的单位或者个人销售第二类疫苗的； </w:t>
      </w:r>
    </w:p>
    <w:p w14:paraId="265104A0">
      <w:pPr>
        <w:widowControl/>
        <w:autoSpaceDE w:val="0"/>
        <w:spacing w:line="480" w:lineRule="exact"/>
        <w:ind w:firstLine="480" w:firstLineChars="200"/>
        <w:jc w:val="left"/>
        <w:textAlignment w:val="baseline"/>
        <w:rPr>
          <w:rFonts w:ascii="宋体" w:hAnsi="宋体" w:cs="宋体"/>
          <w:color w:val="auto"/>
          <w:sz w:val="24"/>
        </w:rPr>
      </w:pPr>
      <w:r>
        <w:rPr>
          <w:rFonts w:hint="eastAsia" w:ascii="宋体" w:hAnsi="宋体" w:cs="宋体"/>
          <w:color w:val="auto"/>
          <w:kern w:val="0"/>
          <w:sz w:val="24"/>
        </w:rPr>
        <w:t>（十九）存在其他违反公共资源交易法律法规行为的。</w:t>
      </w:r>
    </w:p>
    <w:p w14:paraId="20A6220E">
      <w:pPr>
        <w:widowControl/>
        <w:autoSpaceDE w:val="0"/>
        <w:spacing w:line="480" w:lineRule="exact"/>
        <w:ind w:firstLine="482" w:firstLineChars="200"/>
        <w:jc w:val="left"/>
        <w:textAlignment w:val="baseline"/>
        <w:rPr>
          <w:rFonts w:ascii="宋体" w:hAnsi="宋体" w:cs="宋体"/>
          <w:b/>
          <w:color w:val="auto"/>
          <w:sz w:val="24"/>
        </w:rPr>
      </w:pPr>
      <w:r>
        <w:rPr>
          <w:rFonts w:hint="eastAsia" w:ascii="宋体" w:hAnsi="宋体" w:cs="宋体"/>
          <w:b/>
          <w:color w:val="auto"/>
          <w:kern w:val="0"/>
          <w:sz w:val="24"/>
        </w:rPr>
        <w:t>依据：《关于对公共资源交易领域严重失信主体开展联合惩戒的备忘录》（发改法规〔2018〕457号）</w:t>
      </w:r>
    </w:p>
    <w:p w14:paraId="419DF3AE">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 xml:space="preserve"> </w:t>
      </w:r>
    </w:p>
    <w:p w14:paraId="1FF9A6B2">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四、社会保险领域严重失信行为</w:t>
      </w:r>
    </w:p>
    <w:p w14:paraId="75AFB696">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（一）用人单位未按相关规定参加社会保险且拒不整改的； </w:t>
      </w:r>
    </w:p>
    <w:p w14:paraId="01B6E520">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（二）用人单位未如实申报社会保险缴费基数且拒不整改的； </w:t>
      </w:r>
    </w:p>
    <w:p w14:paraId="6AF1B460">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（三）应缴纳社会保险费却拒不缴纳的； </w:t>
      </w:r>
    </w:p>
    <w:p w14:paraId="0176CC6B">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（四）隐匿、转移、侵占、挪用社会保险费款、基金或者违规投资运营的；</w:t>
      </w:r>
    </w:p>
    <w:p w14:paraId="79418D7A">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（五）以欺诈、伪造证明材料或者其他手段参加、申报社会保险和骗取社会保险基金支出或社会保险待遇的； </w:t>
      </w:r>
    </w:p>
    <w:p w14:paraId="6EB3878D">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（六）非法获取、出售或变相交易社会保险个人权益数据的； </w:t>
      </w:r>
    </w:p>
    <w:p w14:paraId="433924A1">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（七）社会保险服务机构违反服务协议或相关规定的； </w:t>
      </w:r>
    </w:p>
    <w:p w14:paraId="7FF7BE0D">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 xml:space="preserve">（八）拒绝协助社会保险行政部门、经办机构对事故和问题进 行调查核实的；拒绝接受或协助税务部门对社会保险实施监督检查， 不如实提供与社会保险相关各项资料的； </w:t>
      </w:r>
    </w:p>
    <w:p w14:paraId="6160F652">
      <w:pPr>
        <w:widowControl/>
        <w:autoSpaceDE w:val="0"/>
        <w:spacing w:line="480" w:lineRule="exact"/>
        <w:ind w:firstLine="480" w:firstLineChars="200"/>
        <w:jc w:val="left"/>
        <w:textAlignment w:val="baseline"/>
        <w:rPr>
          <w:rFonts w:ascii="宋体" w:hAnsi="宋体" w:cs="宋体"/>
          <w:color w:val="auto"/>
          <w:sz w:val="24"/>
        </w:rPr>
      </w:pPr>
      <w:r>
        <w:rPr>
          <w:rFonts w:hint="eastAsia" w:ascii="宋体" w:hAnsi="宋体" w:cs="宋体"/>
          <w:color w:val="auto"/>
          <w:kern w:val="0"/>
          <w:sz w:val="24"/>
        </w:rPr>
        <w:t>（九）其他违反法律法规规定的。</w:t>
      </w:r>
    </w:p>
    <w:p w14:paraId="0CC9F6E1">
      <w:pPr>
        <w:widowControl/>
        <w:autoSpaceDE w:val="0"/>
        <w:spacing w:line="480" w:lineRule="exact"/>
        <w:ind w:firstLine="482" w:firstLineChars="200"/>
        <w:jc w:val="left"/>
        <w:textAlignment w:val="baseline"/>
        <w:rPr>
          <w:rFonts w:ascii="宋体" w:hAnsi="宋体" w:cs="宋体"/>
          <w:b/>
          <w:color w:val="auto"/>
          <w:sz w:val="24"/>
        </w:rPr>
      </w:pPr>
      <w:r>
        <w:rPr>
          <w:rFonts w:hint="eastAsia" w:ascii="宋体" w:hAnsi="宋体" w:cs="宋体"/>
          <w:b/>
          <w:color w:val="auto"/>
          <w:kern w:val="0"/>
          <w:sz w:val="24"/>
        </w:rPr>
        <w:t>依据：《关于对社会保险领域严重失信企业及其有关人员实施联合惩戒的合作备忘录》（发改财金〔2018〕1704号）</w:t>
      </w:r>
    </w:p>
    <w:p w14:paraId="7E2ECB73">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 xml:space="preserve"> </w:t>
      </w:r>
    </w:p>
    <w:p w14:paraId="13035B53">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五、建筑市场领域严重失信行为</w:t>
      </w:r>
    </w:p>
    <w:p w14:paraId="3B6D029D">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（一）利用虚假材料、以欺骗手段取得企业资质的；</w:t>
      </w:r>
    </w:p>
    <w:p w14:paraId="7368B7F4">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（二）发生转包、出借资质，受到行政处罚的；</w:t>
      </w:r>
    </w:p>
    <w:p w14:paraId="56280808">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（三）发生重大及以上工程质量安全事故，或1年内累计发生2次及以上较大工程质量安全事故，或发生性质恶劣、危害性严重、社会影响大的较大工程质量安全事故，受到行政处罚的；</w:t>
      </w:r>
    </w:p>
    <w:p w14:paraId="30D9DE8B">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（四）经法院判决或仲裁机构裁决，认定为拖欠工程款,且拒不履行生效法律文书确定的义务的。</w:t>
      </w:r>
    </w:p>
    <w:p w14:paraId="57514980">
      <w:pPr>
        <w:widowControl/>
        <w:autoSpaceDE w:val="0"/>
        <w:spacing w:line="480" w:lineRule="exact"/>
        <w:ind w:firstLine="480" w:firstLineChars="200"/>
        <w:jc w:val="left"/>
        <w:textAlignment w:val="baseline"/>
        <w:rPr>
          <w:rFonts w:ascii="宋体" w:hAnsi="宋体" w:cs="宋体"/>
          <w:color w:val="auto"/>
          <w:sz w:val="24"/>
        </w:rPr>
      </w:pPr>
      <w:r>
        <w:rPr>
          <w:rFonts w:hint="eastAsia" w:ascii="宋体" w:hAnsi="宋体" w:cs="宋体"/>
          <w:color w:val="auto"/>
          <w:kern w:val="0"/>
          <w:sz w:val="24"/>
        </w:rPr>
        <w:t>各级住房城乡建设主管部门应当参照建筑市场主体“黑名单”，对被人力资源社会保障行政部门列入拖欠农民工工资“黑名单”的建筑市场各方主体加强监管。</w:t>
      </w:r>
    </w:p>
    <w:p w14:paraId="750A5ED0">
      <w:pPr>
        <w:widowControl/>
        <w:autoSpaceDE w:val="0"/>
        <w:spacing w:line="480" w:lineRule="exact"/>
        <w:ind w:firstLine="482" w:firstLineChars="200"/>
        <w:jc w:val="left"/>
        <w:textAlignment w:val="baseline"/>
        <w:rPr>
          <w:rFonts w:ascii="宋体" w:hAnsi="宋体" w:cs="宋体"/>
          <w:color w:val="auto"/>
          <w:sz w:val="24"/>
        </w:rPr>
      </w:pPr>
      <w:r>
        <w:rPr>
          <w:rFonts w:hint="eastAsia" w:ascii="宋体" w:hAnsi="宋体" w:cs="宋体"/>
          <w:b/>
          <w:color w:val="auto"/>
          <w:kern w:val="0"/>
          <w:sz w:val="24"/>
        </w:rPr>
        <w:t>依据：《建筑市场信用管理暂行办法》（建市〔2017〕241号）</w:t>
      </w:r>
    </w:p>
    <w:p w14:paraId="65A48EC9">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 xml:space="preserve"> </w:t>
      </w:r>
    </w:p>
    <w:p w14:paraId="35538504">
      <w:pPr>
        <w:widowControl/>
        <w:autoSpaceDE w:val="0"/>
        <w:spacing w:line="48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kern w:val="0"/>
          <w:sz w:val="24"/>
        </w:rPr>
        <w:t>六、政府采购严重失信行为</w:t>
      </w:r>
    </w:p>
    <w:p w14:paraId="78AE29B9">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供应商、采购代理机构在三年内受到财政部门作出下列情形之一的行政处罚，列入政府采购严重违法失信行为记录名单。</w:t>
      </w:r>
    </w:p>
    <w:p w14:paraId="6FB95EE9">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（一）三万元以上罚款；</w:t>
      </w:r>
    </w:p>
    <w:p w14:paraId="4912F102">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（二）在一至三年内禁止参加政府采购活动（处罚期限届满的除外）；</w:t>
      </w:r>
    </w:p>
    <w:p w14:paraId="184586C7">
      <w:pPr>
        <w:widowControl/>
        <w:autoSpaceDE w:val="0"/>
        <w:spacing w:line="480" w:lineRule="exact"/>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（三）在一至三年内禁止代理政府采购业务（处罚期限届满的除外）；</w:t>
      </w:r>
    </w:p>
    <w:p w14:paraId="1A203A08">
      <w:pPr>
        <w:widowControl/>
        <w:autoSpaceDE w:val="0"/>
        <w:spacing w:line="480" w:lineRule="exact"/>
        <w:ind w:firstLine="480" w:firstLineChars="200"/>
        <w:jc w:val="left"/>
        <w:textAlignment w:val="baseline"/>
        <w:rPr>
          <w:rFonts w:ascii="宋体" w:hAnsi="宋体" w:cs="宋体"/>
          <w:color w:val="auto"/>
          <w:sz w:val="24"/>
        </w:rPr>
      </w:pPr>
      <w:r>
        <w:rPr>
          <w:rFonts w:hint="eastAsia" w:ascii="宋体" w:hAnsi="宋体" w:cs="宋体"/>
          <w:color w:val="auto"/>
          <w:kern w:val="0"/>
          <w:sz w:val="24"/>
        </w:rPr>
        <w:t>（四）撤销政府采购代理机构资格（仅针对《政府采购法》第78条修改前作出的处罚决定）。</w:t>
      </w:r>
    </w:p>
    <w:p w14:paraId="230CE622">
      <w:pPr>
        <w:widowControl/>
        <w:autoSpaceDE w:val="0"/>
        <w:spacing w:line="480" w:lineRule="exact"/>
        <w:ind w:firstLine="482" w:firstLineChars="200"/>
        <w:jc w:val="left"/>
        <w:textAlignment w:val="baseline"/>
        <w:rPr>
          <w:rFonts w:ascii="宋体" w:hAnsi="宋体" w:cs="宋体"/>
          <w:b/>
          <w:color w:val="auto"/>
          <w:sz w:val="24"/>
        </w:rPr>
      </w:pPr>
      <w:r>
        <w:rPr>
          <w:rFonts w:hint="eastAsia" w:ascii="宋体" w:hAnsi="宋体" w:cs="宋体"/>
          <w:b/>
          <w:color w:val="auto"/>
          <w:kern w:val="0"/>
          <w:sz w:val="24"/>
        </w:rPr>
        <w:t>依据：《关于报送政府采购严重违法失信行为信息记录的通知》（财办库〔2014〕526号）</w:t>
      </w:r>
    </w:p>
    <w:p w14:paraId="4E5729D7">
      <w:pPr>
        <w:widowControl/>
        <w:autoSpaceDE w:val="0"/>
        <w:spacing w:line="480" w:lineRule="exact"/>
        <w:ind w:firstLine="480" w:firstLineChars="200"/>
        <w:textAlignment w:val="baseline"/>
        <w:rPr>
          <w:rFonts w:ascii="宋体" w:hAnsi="宋体" w:cs="宋体"/>
          <w:color w:val="auto"/>
          <w:sz w:val="24"/>
        </w:rPr>
      </w:pPr>
      <w:r>
        <w:rPr>
          <w:rFonts w:hint="eastAsia" w:ascii="宋体" w:hAnsi="宋体" w:cs="宋体"/>
          <w:color w:val="auto"/>
          <w:kern w:val="0"/>
          <w:sz w:val="24"/>
        </w:rPr>
        <w:t xml:space="preserve"> </w:t>
      </w:r>
    </w:p>
    <w:p w14:paraId="5A75B52A">
      <w:pPr>
        <w:widowControl/>
        <w:autoSpaceDE w:val="0"/>
        <w:spacing w:line="480" w:lineRule="exact"/>
        <w:ind w:firstLine="482" w:firstLineChars="200"/>
        <w:jc w:val="left"/>
        <w:textAlignment w:val="baseline"/>
        <w:rPr>
          <w:rFonts w:ascii="宋体" w:hAnsi="宋体" w:cs="宋体"/>
          <w:b/>
          <w:color w:val="auto"/>
          <w:szCs w:val="21"/>
        </w:rPr>
      </w:pPr>
      <w:r>
        <w:rPr>
          <w:rFonts w:hint="eastAsia" w:ascii="宋体" w:hAnsi="宋体" w:cs="宋体"/>
          <w:b/>
          <w:color w:val="auto"/>
          <w:kern w:val="0"/>
          <w:sz w:val="24"/>
        </w:rPr>
        <w:t>未列出的其他类别严重失信行为，由招标人（代理机构）根据各类别行业主管部门下发的联合惩戒文件进行判断</w:t>
      </w:r>
      <w:r>
        <w:rPr>
          <w:rFonts w:hint="eastAsia" w:ascii="宋体" w:hAnsi="宋体" w:cs="宋体"/>
          <w:b/>
          <w:bCs/>
          <w:color w:val="auto"/>
          <w:kern w:val="0"/>
          <w:sz w:val="24"/>
        </w:rPr>
        <w:t>。</w:t>
      </w:r>
    </w:p>
    <w:p w14:paraId="0F5755ED">
      <w:pPr>
        <w:pStyle w:val="2"/>
        <w:rPr>
          <w:rFonts w:ascii="宋体"/>
          <w:b w:val="0"/>
          <w:color w:val="auto"/>
          <w:szCs w:val="32"/>
        </w:rPr>
      </w:pPr>
      <w:bookmarkStart w:id="120" w:name="_Toc449028957"/>
      <w:r>
        <w:rPr>
          <w:rFonts w:ascii="宋体"/>
          <w:b w:val="0"/>
          <w:color w:val="auto"/>
          <w:szCs w:val="32"/>
        </w:rPr>
        <w:br w:type="page"/>
      </w:r>
      <w:bookmarkStart w:id="121" w:name="_Toc58430333"/>
      <w:bookmarkStart w:id="122" w:name="_Toc25631"/>
      <w:r>
        <w:rPr>
          <w:rFonts w:hint="eastAsia" w:ascii="宋体"/>
          <w:color w:val="auto"/>
          <w:szCs w:val="32"/>
        </w:rPr>
        <w:t xml:space="preserve">第七章 </w:t>
      </w:r>
      <w:r>
        <w:rPr>
          <w:rFonts w:hint="eastAsia" w:ascii="宋体"/>
          <w:bCs w:val="0"/>
          <w:color w:val="auto"/>
          <w:szCs w:val="32"/>
        </w:rPr>
        <w:t>招标人、采购代理机构对本招标文件的确认</w:t>
      </w:r>
      <w:bookmarkEnd w:id="120"/>
      <w:bookmarkEnd w:id="121"/>
      <w:bookmarkEnd w:id="122"/>
    </w:p>
    <w:p w14:paraId="0E98DD9E">
      <w:pPr>
        <w:spacing w:line="440" w:lineRule="exact"/>
        <w:rPr>
          <w:rFonts w:ascii="宋体"/>
          <w:color w:val="auto"/>
          <w:sz w:val="24"/>
          <w:u w:val="single"/>
        </w:rPr>
      </w:pPr>
    </w:p>
    <w:bookmarkEnd w:id="0"/>
    <w:tbl>
      <w:tblPr>
        <w:tblStyle w:val="35"/>
        <w:tblW w:w="0" w:type="auto"/>
        <w:jc w:val="center"/>
        <w:tblLayout w:type="fixed"/>
        <w:tblCellMar>
          <w:top w:w="0" w:type="dxa"/>
          <w:left w:w="108" w:type="dxa"/>
          <w:bottom w:w="0" w:type="dxa"/>
          <w:right w:w="108" w:type="dxa"/>
        </w:tblCellMar>
      </w:tblPr>
      <w:tblGrid>
        <w:gridCol w:w="9460"/>
      </w:tblGrid>
      <w:tr w14:paraId="60950CED">
        <w:tblPrEx>
          <w:tblCellMar>
            <w:top w:w="0" w:type="dxa"/>
            <w:left w:w="108" w:type="dxa"/>
            <w:bottom w:w="0" w:type="dxa"/>
            <w:right w:w="108" w:type="dxa"/>
          </w:tblCellMar>
        </w:tblPrEx>
        <w:trPr>
          <w:trHeight w:val="5962" w:hRule="atLeast"/>
          <w:jc w:val="center"/>
        </w:trPr>
        <w:tc>
          <w:tcPr>
            <w:tcW w:w="9460" w:type="dxa"/>
            <w:tcBorders>
              <w:top w:val="single" w:color="auto" w:sz="4" w:space="0"/>
              <w:left w:val="single" w:color="auto" w:sz="4" w:space="0"/>
              <w:bottom w:val="single" w:color="auto" w:sz="4" w:space="0"/>
              <w:right w:val="single" w:color="auto" w:sz="4" w:space="0"/>
            </w:tcBorders>
          </w:tcPr>
          <w:p w14:paraId="0F2AD7A3">
            <w:pPr>
              <w:spacing w:line="440" w:lineRule="exact"/>
              <w:ind w:firstLine="560" w:firstLineChars="200"/>
              <w:rPr>
                <w:rFonts w:ascii="宋体" w:cs="宋体"/>
                <w:color w:val="auto"/>
                <w:sz w:val="28"/>
                <w:szCs w:val="28"/>
              </w:rPr>
            </w:pPr>
          </w:p>
          <w:p w14:paraId="50D25ADE">
            <w:pPr>
              <w:spacing w:afterLines="50"/>
              <w:rPr>
                <w:rFonts w:ascii="宋体" w:cs="宋体"/>
                <w:color w:val="auto"/>
                <w:sz w:val="28"/>
                <w:szCs w:val="28"/>
              </w:rPr>
            </w:pPr>
            <w:r>
              <w:rPr>
                <w:rFonts w:hint="eastAsia" w:ascii="宋体" w:cs="宋体"/>
                <w:color w:val="auto"/>
                <w:sz w:val="28"/>
                <w:szCs w:val="28"/>
              </w:rPr>
              <w:t xml:space="preserve">  我单位对</w:t>
            </w:r>
            <w:r>
              <w:rPr>
                <w:rFonts w:hint="eastAsia" w:ascii="宋体" w:cs="宋体"/>
                <w:color w:val="auto"/>
                <w:sz w:val="28"/>
                <w:szCs w:val="28"/>
                <w:u w:val="single"/>
              </w:rPr>
              <w:t xml:space="preserve"> 2025年度机械水表周期更换采购项目</w:t>
            </w:r>
            <w:r>
              <w:rPr>
                <w:rFonts w:hint="eastAsia" w:ascii="宋体" w:cs="宋体"/>
                <w:color w:val="auto"/>
                <w:sz w:val="28"/>
                <w:szCs w:val="28"/>
                <w:u w:val="single"/>
                <w:lang w:eastAsia="zh-CN"/>
              </w:rPr>
              <w:t>（</w:t>
            </w:r>
            <w:r>
              <w:rPr>
                <w:rFonts w:hint="eastAsia" w:ascii="宋体" w:cs="宋体"/>
                <w:color w:val="auto"/>
                <w:sz w:val="28"/>
                <w:szCs w:val="28"/>
                <w:u w:val="single"/>
                <w:lang w:val="en-US" w:eastAsia="zh-CN"/>
              </w:rPr>
              <w:t>二次）</w:t>
            </w:r>
            <w:r>
              <w:rPr>
                <w:rFonts w:hint="eastAsia" w:ascii="宋体" w:cs="宋体"/>
                <w:color w:val="auto"/>
                <w:sz w:val="28"/>
                <w:szCs w:val="28"/>
                <w:u w:val="single"/>
              </w:rPr>
              <w:t xml:space="preserve"> </w:t>
            </w:r>
            <w:r>
              <w:rPr>
                <w:rFonts w:hint="eastAsia" w:ascii="宋体" w:cs="宋体"/>
                <w:color w:val="auto"/>
                <w:sz w:val="28"/>
                <w:szCs w:val="28"/>
              </w:rPr>
              <w:t>的招标文件进行确认。</w:t>
            </w:r>
          </w:p>
          <w:p w14:paraId="6506FE6B">
            <w:pPr>
              <w:spacing w:line="540" w:lineRule="exact"/>
              <w:ind w:firstLine="560" w:firstLineChars="200"/>
              <w:rPr>
                <w:rFonts w:ascii="宋体" w:cs="宋体"/>
                <w:color w:val="auto"/>
                <w:sz w:val="28"/>
                <w:szCs w:val="28"/>
              </w:rPr>
            </w:pPr>
            <w:r>
              <w:rPr>
                <w:rFonts w:hint="eastAsia" w:ascii="宋体" w:cs="宋体"/>
                <w:color w:val="auto"/>
                <w:sz w:val="28"/>
                <w:szCs w:val="28"/>
              </w:rPr>
              <w:t>招标单位：滁州市自来水有限公司</w:t>
            </w:r>
          </w:p>
          <w:p w14:paraId="5C77EA09">
            <w:pPr>
              <w:spacing w:line="540" w:lineRule="exact"/>
              <w:ind w:firstLine="560" w:firstLineChars="200"/>
              <w:rPr>
                <w:rFonts w:ascii="宋体" w:cs="宋体"/>
                <w:color w:val="auto"/>
                <w:sz w:val="28"/>
                <w:szCs w:val="28"/>
              </w:rPr>
            </w:pPr>
            <w:r>
              <w:rPr>
                <w:rFonts w:hint="eastAsia" w:ascii="宋体" w:cs="宋体"/>
                <w:color w:val="auto"/>
                <w:sz w:val="28"/>
                <w:szCs w:val="28"/>
              </w:rPr>
              <w:t>委托代理人：宋支武</w:t>
            </w:r>
          </w:p>
          <w:p w14:paraId="62E711A2">
            <w:pPr>
              <w:spacing w:line="540" w:lineRule="exact"/>
              <w:ind w:firstLine="560" w:firstLineChars="200"/>
              <w:rPr>
                <w:rFonts w:ascii="宋体" w:cs="宋体"/>
                <w:color w:val="auto"/>
                <w:sz w:val="28"/>
                <w:szCs w:val="28"/>
              </w:rPr>
            </w:pPr>
            <w:r>
              <w:rPr>
                <w:rFonts w:hint="eastAsia" w:ascii="宋体" w:cs="宋体"/>
                <w:color w:val="auto"/>
                <w:sz w:val="28"/>
                <w:szCs w:val="28"/>
              </w:rPr>
              <w:t>联系电话：0550-3062913</w:t>
            </w:r>
          </w:p>
          <w:p w14:paraId="146F6F4B">
            <w:pPr>
              <w:spacing w:line="540" w:lineRule="exact"/>
              <w:ind w:firstLine="7140" w:firstLineChars="2550"/>
              <w:rPr>
                <w:rFonts w:ascii="宋体" w:cs="宋体"/>
                <w:color w:val="auto"/>
                <w:sz w:val="28"/>
                <w:szCs w:val="28"/>
              </w:rPr>
            </w:pPr>
          </w:p>
          <w:p w14:paraId="5F895AA1">
            <w:pPr>
              <w:spacing w:line="540" w:lineRule="exact"/>
              <w:ind w:firstLine="7140" w:firstLineChars="2550"/>
              <w:rPr>
                <w:rFonts w:ascii="宋体" w:cs="宋体"/>
                <w:color w:val="auto"/>
                <w:sz w:val="28"/>
                <w:szCs w:val="28"/>
              </w:rPr>
            </w:pPr>
            <w:r>
              <w:rPr>
                <w:rFonts w:hint="eastAsia" w:ascii="宋体" w:cs="宋体"/>
                <w:color w:val="auto"/>
                <w:sz w:val="28"/>
                <w:szCs w:val="28"/>
              </w:rPr>
              <w:t>（盖单位章）</w:t>
            </w:r>
          </w:p>
          <w:p w14:paraId="4D72797C">
            <w:pPr>
              <w:spacing w:line="540" w:lineRule="exact"/>
              <w:jc w:val="right"/>
              <w:rPr>
                <w:rFonts w:ascii="宋体" w:cs="宋体"/>
                <w:color w:val="auto"/>
                <w:sz w:val="28"/>
                <w:szCs w:val="28"/>
              </w:rPr>
            </w:pPr>
            <w:r>
              <w:rPr>
                <w:rFonts w:hint="eastAsia" w:ascii="宋体" w:cs="宋体"/>
                <w:color w:val="auto"/>
                <w:sz w:val="28"/>
                <w:szCs w:val="28"/>
              </w:rPr>
              <w:t>2025年</w:t>
            </w:r>
            <w:r>
              <w:rPr>
                <w:rFonts w:hint="eastAsia" w:ascii="宋体" w:cs="宋体"/>
                <w:color w:val="auto"/>
                <w:sz w:val="28"/>
                <w:szCs w:val="28"/>
                <w:lang w:val="en-US" w:eastAsia="zh-CN"/>
              </w:rPr>
              <w:t>9</w:t>
            </w:r>
            <w:r>
              <w:rPr>
                <w:rFonts w:hint="eastAsia" w:ascii="宋体" w:cs="宋体"/>
                <w:color w:val="auto"/>
                <w:sz w:val="28"/>
                <w:szCs w:val="28"/>
              </w:rPr>
              <w:t>月</w:t>
            </w:r>
          </w:p>
        </w:tc>
      </w:tr>
      <w:tr w14:paraId="07E8ABDE">
        <w:tblPrEx>
          <w:tblCellMar>
            <w:top w:w="0" w:type="dxa"/>
            <w:left w:w="108" w:type="dxa"/>
            <w:bottom w:w="0" w:type="dxa"/>
            <w:right w:w="108" w:type="dxa"/>
          </w:tblCellMar>
        </w:tblPrEx>
        <w:trPr>
          <w:trHeight w:val="5471" w:hRule="atLeast"/>
          <w:jc w:val="center"/>
        </w:trPr>
        <w:tc>
          <w:tcPr>
            <w:tcW w:w="9460" w:type="dxa"/>
            <w:tcBorders>
              <w:top w:val="single" w:color="auto" w:sz="4" w:space="0"/>
              <w:left w:val="single" w:color="auto" w:sz="4" w:space="0"/>
              <w:bottom w:val="single" w:color="auto" w:sz="4" w:space="0"/>
              <w:right w:val="single" w:color="auto" w:sz="4" w:space="0"/>
            </w:tcBorders>
          </w:tcPr>
          <w:p w14:paraId="237B8E9E">
            <w:pPr>
              <w:spacing w:line="440" w:lineRule="exact"/>
              <w:rPr>
                <w:rFonts w:ascii="宋体" w:cs="宋体"/>
                <w:color w:val="auto"/>
                <w:sz w:val="28"/>
                <w:szCs w:val="28"/>
              </w:rPr>
            </w:pPr>
          </w:p>
          <w:p w14:paraId="0C68BBF1">
            <w:pPr>
              <w:spacing w:line="520" w:lineRule="exact"/>
              <w:ind w:firstLine="560" w:firstLineChars="200"/>
              <w:rPr>
                <w:rFonts w:ascii="宋体" w:cs="宋体"/>
                <w:color w:val="auto"/>
                <w:sz w:val="28"/>
                <w:szCs w:val="28"/>
              </w:rPr>
            </w:pPr>
            <w:r>
              <w:rPr>
                <w:rFonts w:hint="eastAsia" w:ascii="宋体" w:cs="宋体"/>
                <w:color w:val="auto"/>
                <w:sz w:val="28"/>
                <w:szCs w:val="28"/>
              </w:rPr>
              <w:t>招标代理机构：滁州市城投工程咨询管理有限公司</w:t>
            </w:r>
          </w:p>
          <w:p w14:paraId="056CA4B2">
            <w:pPr>
              <w:spacing w:line="520" w:lineRule="exact"/>
              <w:ind w:firstLine="560" w:firstLineChars="200"/>
              <w:rPr>
                <w:rFonts w:ascii="宋体" w:cs="宋体"/>
                <w:color w:val="auto"/>
                <w:sz w:val="28"/>
                <w:szCs w:val="28"/>
              </w:rPr>
            </w:pPr>
            <w:r>
              <w:rPr>
                <w:rFonts w:hint="eastAsia" w:ascii="宋体" w:cs="宋体"/>
                <w:color w:val="auto"/>
                <w:sz w:val="28"/>
                <w:szCs w:val="28"/>
              </w:rPr>
              <w:t>经办人：杨韦</w:t>
            </w:r>
          </w:p>
          <w:p w14:paraId="446A1FAB">
            <w:pPr>
              <w:spacing w:line="520" w:lineRule="exact"/>
              <w:ind w:firstLine="560" w:firstLineChars="200"/>
              <w:rPr>
                <w:rFonts w:ascii="宋体" w:cs="宋体"/>
                <w:color w:val="auto"/>
                <w:sz w:val="28"/>
                <w:szCs w:val="28"/>
              </w:rPr>
            </w:pPr>
            <w:r>
              <w:rPr>
                <w:rFonts w:hint="eastAsia" w:ascii="宋体" w:cs="宋体"/>
                <w:color w:val="auto"/>
                <w:sz w:val="28"/>
                <w:szCs w:val="28"/>
              </w:rPr>
              <w:t>电  话：0550-3519590、18005501210</w:t>
            </w:r>
          </w:p>
          <w:p w14:paraId="4C985C29">
            <w:pPr>
              <w:spacing w:line="520" w:lineRule="exact"/>
              <w:ind w:firstLine="6300" w:firstLineChars="2250"/>
              <w:rPr>
                <w:rFonts w:ascii="宋体" w:cs="宋体"/>
                <w:color w:val="auto"/>
                <w:sz w:val="28"/>
                <w:szCs w:val="28"/>
              </w:rPr>
            </w:pPr>
          </w:p>
          <w:p w14:paraId="40122368">
            <w:pPr>
              <w:pStyle w:val="12"/>
              <w:rPr>
                <w:color w:val="auto"/>
                <w:kern w:val="2"/>
                <w:sz w:val="21"/>
                <w:szCs w:val="24"/>
              </w:rPr>
            </w:pPr>
          </w:p>
          <w:p w14:paraId="28BFEEE4">
            <w:pPr>
              <w:spacing w:line="520" w:lineRule="exact"/>
              <w:ind w:firstLine="6580" w:firstLineChars="2350"/>
              <w:rPr>
                <w:rFonts w:ascii="宋体" w:cs="宋体"/>
                <w:color w:val="auto"/>
                <w:sz w:val="28"/>
                <w:szCs w:val="28"/>
              </w:rPr>
            </w:pPr>
          </w:p>
          <w:p w14:paraId="759C71E3">
            <w:pPr>
              <w:spacing w:line="520" w:lineRule="exact"/>
              <w:ind w:firstLine="7140" w:firstLineChars="2550"/>
              <w:rPr>
                <w:rFonts w:ascii="宋体" w:cs="宋体"/>
                <w:color w:val="auto"/>
                <w:sz w:val="28"/>
                <w:szCs w:val="28"/>
              </w:rPr>
            </w:pPr>
            <w:r>
              <w:rPr>
                <w:rFonts w:hint="eastAsia" w:ascii="宋体" w:cs="宋体"/>
                <w:color w:val="auto"/>
                <w:sz w:val="28"/>
                <w:szCs w:val="28"/>
              </w:rPr>
              <w:t>（盖单位章）</w:t>
            </w:r>
          </w:p>
          <w:p w14:paraId="2713D75B">
            <w:pPr>
              <w:spacing w:line="540" w:lineRule="exact"/>
              <w:jc w:val="right"/>
              <w:rPr>
                <w:rFonts w:ascii="宋体" w:cs="宋体"/>
                <w:color w:val="auto"/>
                <w:sz w:val="28"/>
                <w:szCs w:val="28"/>
              </w:rPr>
            </w:pPr>
            <w:r>
              <w:rPr>
                <w:rFonts w:hint="eastAsia" w:ascii="宋体" w:cs="宋体"/>
                <w:color w:val="auto"/>
                <w:sz w:val="28"/>
                <w:szCs w:val="28"/>
              </w:rPr>
              <w:t>2025年</w:t>
            </w:r>
            <w:r>
              <w:rPr>
                <w:rFonts w:hint="eastAsia" w:ascii="宋体" w:cs="宋体"/>
                <w:color w:val="auto"/>
                <w:sz w:val="28"/>
                <w:szCs w:val="28"/>
                <w:lang w:val="en-US" w:eastAsia="zh-CN"/>
              </w:rPr>
              <w:t>9</w:t>
            </w:r>
            <w:r>
              <w:rPr>
                <w:rFonts w:hint="eastAsia" w:ascii="宋体" w:cs="宋体"/>
                <w:color w:val="auto"/>
                <w:sz w:val="28"/>
                <w:szCs w:val="28"/>
              </w:rPr>
              <w:t>月</w:t>
            </w:r>
          </w:p>
        </w:tc>
      </w:tr>
    </w:tbl>
    <w:p w14:paraId="0BE82A75">
      <w:pPr>
        <w:rPr>
          <w:color w:val="auto"/>
        </w:rPr>
      </w:pPr>
    </w:p>
    <w:sectPr>
      <w:pgSz w:w="11906" w:h="16838"/>
      <w:pgMar w:top="1440"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DokChampa">
    <w:altName w:val="Microsoft Sans Serif"/>
    <w:panose1 w:val="00000000000000000000"/>
    <w:charset w:val="00"/>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MS Sans Serif">
    <w:altName w:val="Segoe Print"/>
    <w:panose1 w:val="020B05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507BB">
    <w:pPr>
      <w:pStyle w:val="23"/>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A441">
    <w:pPr>
      <w:spacing w:line="183" w:lineRule="auto"/>
      <w:ind w:left="4449"/>
      <w:rPr>
        <w:rFonts w:ascii="宋体" w:hAnsi="宋体" w:cs="宋体"/>
        <w:sz w:val="15"/>
        <w:szCs w:val="15"/>
      </w:rPr>
    </w:pPr>
    <w:r>
      <w:rPr>
        <w:sz w:val="15"/>
      </w:rPr>
      <w:pict>
        <v:shape id="_x0000_s4099" o:spid="_x0000_s409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38574B6">
                <w:pPr>
                  <w:pStyle w:val="2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E7165">
    <w:pPr>
      <w:pStyle w:val="23"/>
      <w:tabs>
        <w:tab w:val="clear" w:pos="4153"/>
        <w:tab w:val="clear" w:pos="8306"/>
      </w:tabs>
    </w:pPr>
    <w:r>
      <w:rPr>
        <w:sz w:val="18"/>
      </w:rPr>
      <w:pict>
        <v:shape id="_x0000_s4100" o:spid="_x0000_s4100"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C20A7A2">
                <w:pPr>
                  <w:pStyle w:val="2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36D38">
    <w:pPr>
      <w:pStyle w:val="24"/>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16D74">
    <w:pPr>
      <w:pStyle w:val="24"/>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81D8C"/>
    <w:multiLevelType w:val="singleLevel"/>
    <w:tmpl w:val="88581D8C"/>
    <w:lvl w:ilvl="0" w:tentative="0">
      <w:start w:val="2"/>
      <w:numFmt w:val="decimal"/>
      <w:suff w:val="nothing"/>
      <w:lvlText w:val="%1）"/>
      <w:lvlJc w:val="left"/>
    </w:lvl>
  </w:abstractNum>
  <w:abstractNum w:abstractNumId="1">
    <w:nsid w:val="980EDD1F"/>
    <w:multiLevelType w:val="singleLevel"/>
    <w:tmpl w:val="980EDD1F"/>
    <w:lvl w:ilvl="0" w:tentative="0">
      <w:start w:val="6"/>
      <w:numFmt w:val="chineseCounting"/>
      <w:suff w:val="nothing"/>
      <w:lvlText w:val="（%1）"/>
      <w:lvlJc w:val="left"/>
      <w:rPr>
        <w:rFonts w:hint="eastAsia"/>
      </w:rPr>
    </w:lvl>
  </w:abstractNum>
  <w:abstractNum w:abstractNumId="2">
    <w:nsid w:val="C660B736"/>
    <w:multiLevelType w:val="singleLevel"/>
    <w:tmpl w:val="C660B736"/>
    <w:lvl w:ilvl="0" w:tentative="0">
      <w:start w:val="2"/>
      <w:numFmt w:val="decimal"/>
      <w:lvlText w:val="(%1)"/>
      <w:lvlJc w:val="left"/>
      <w:pPr>
        <w:tabs>
          <w:tab w:val="left" w:pos="312"/>
        </w:tabs>
      </w:pPr>
    </w:lvl>
  </w:abstractNum>
  <w:abstractNum w:abstractNumId="3">
    <w:nsid w:val="E067EF4D"/>
    <w:multiLevelType w:val="singleLevel"/>
    <w:tmpl w:val="E067EF4D"/>
    <w:lvl w:ilvl="0" w:tentative="0">
      <w:start w:val="1"/>
      <w:numFmt w:val="chineseCounting"/>
      <w:suff w:val="nothing"/>
      <w:lvlText w:val="%1、"/>
      <w:lvlJc w:val="left"/>
      <w:rPr>
        <w:rFonts w:hint="eastAsia"/>
      </w:rPr>
    </w:lvl>
  </w:abstractNum>
  <w:abstractNum w:abstractNumId="4">
    <w:nsid w:val="00000005"/>
    <w:multiLevelType w:val="multilevel"/>
    <w:tmpl w:val="00000005"/>
    <w:lvl w:ilvl="0" w:tentative="0">
      <w:start w:val="1"/>
      <w:numFmt w:val="chineseCountingThousand"/>
      <w:pStyle w:val="101"/>
      <w:suff w:val="space"/>
      <w:lvlText w:val="%1、"/>
      <w:lvlJc w:val="left"/>
      <w:pPr>
        <w:ind w:left="425" w:hanging="425"/>
      </w:pPr>
      <w:rPr>
        <w:rFonts w:hint="eastAsia"/>
      </w:rPr>
    </w:lvl>
    <w:lvl w:ilvl="1" w:tentative="0">
      <w:start w:val="1"/>
      <w:numFmt w:val="decimal"/>
      <w:suff w:val="space"/>
      <w:lvlText w:val="%2、"/>
      <w:lvlJc w:val="left"/>
      <w:pPr>
        <w:ind w:left="454" w:hanging="454"/>
      </w:pPr>
      <w:rPr>
        <w:rFonts w:hint="eastAsia"/>
      </w:rPr>
    </w:lvl>
    <w:lvl w:ilvl="2" w:tentative="0">
      <w:start w:val="1"/>
      <w:numFmt w:val="decimal"/>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5">
    <w:nsid w:val="00000007"/>
    <w:multiLevelType w:val="multilevel"/>
    <w:tmpl w:val="00000007"/>
    <w:lvl w:ilvl="0" w:tentative="0">
      <w:start w:val="1"/>
      <w:numFmt w:val="chineseCountingThousand"/>
      <w:pStyle w:val="32"/>
      <w:lvlText w:val="%1、"/>
      <w:lvlJc w:val="left"/>
      <w:pPr>
        <w:ind w:left="420" w:hanging="420"/>
      </w:pPr>
      <w:rPr>
        <w:rFonts w:ascii="Times New Roman" w:hAnsi="Times New Roman" w:cs="Times New Roman"/>
        <w:b w:val="0"/>
        <w:bCs w:val="0"/>
        <w:i w:val="0"/>
        <w:iCs w:val="0"/>
        <w:caps w:val="0"/>
        <w:smallCaps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decimal"/>
      <w:pStyle w:val="94"/>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0F"/>
    <w:multiLevelType w:val="multilevel"/>
    <w:tmpl w:val="0000000F"/>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8">
    <w:nsid w:val="00000010"/>
    <w:multiLevelType w:val="multilevel"/>
    <w:tmpl w:val="00000010"/>
    <w:lvl w:ilvl="0" w:tentative="0">
      <w:start w:val="1"/>
      <w:numFmt w:val="decimal"/>
      <w:pStyle w:val="10"/>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9">
    <w:nsid w:val="00000012"/>
    <w:multiLevelType w:val="multilevel"/>
    <w:tmpl w:val="00000012"/>
    <w:lvl w:ilvl="0" w:tentative="0">
      <w:start w:val="1"/>
      <w:numFmt w:val="chineseCountingThousand"/>
      <w:pStyle w:val="117"/>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10">
    <w:nsid w:val="00000014"/>
    <w:multiLevelType w:val="multilevel"/>
    <w:tmpl w:val="00000014"/>
    <w:lvl w:ilvl="0" w:tentative="0">
      <w:start w:val="1"/>
      <w:numFmt w:val="decimal"/>
      <w:pStyle w:val="26"/>
      <w:lvlText w:val="%1."/>
      <w:lvlJc w:val="left"/>
      <w:pPr>
        <w:ind w:left="420" w:firstLine="0"/>
      </w:pPr>
      <w:rPr>
        <w:rFonts w:ascii="Times New Roman" w:hAnsi="Times New Roman" w:cs="Times New Roman"/>
        <w:b w:val="0"/>
        <w:bCs w:val="0"/>
        <w:i w:val="0"/>
        <w:iCs w:val="0"/>
        <w:caps w:val="0"/>
        <w:smallCaps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3AC9C0"/>
    <w:multiLevelType w:val="singleLevel"/>
    <w:tmpl w:val="493AC9C0"/>
    <w:lvl w:ilvl="0" w:tentative="0">
      <w:start w:val="1"/>
      <w:numFmt w:val="chineseCounting"/>
      <w:suff w:val="nothing"/>
      <w:lvlText w:val="（%1）"/>
      <w:lvlJc w:val="left"/>
      <w:pPr>
        <w:ind w:left="409" w:firstLine="420"/>
      </w:pPr>
      <w:rPr>
        <w:rFonts w:hint="eastAsia"/>
      </w:rPr>
    </w:lvl>
  </w:abstractNum>
  <w:abstractNum w:abstractNumId="12">
    <w:nsid w:val="58E8E588"/>
    <w:multiLevelType w:val="singleLevel"/>
    <w:tmpl w:val="58E8E588"/>
    <w:lvl w:ilvl="0" w:tentative="0">
      <w:start w:val="1"/>
      <w:numFmt w:val="decimal"/>
      <w:lvlText w:val="%1."/>
      <w:lvlJc w:val="left"/>
      <w:pPr>
        <w:ind w:left="425" w:hanging="425"/>
      </w:pPr>
      <w:rPr>
        <w:rFonts w:hint="default"/>
      </w:rPr>
    </w:lvl>
  </w:abstractNum>
  <w:abstractNum w:abstractNumId="13">
    <w:nsid w:val="5D873223"/>
    <w:multiLevelType w:val="singleLevel"/>
    <w:tmpl w:val="5D873223"/>
    <w:lvl w:ilvl="0" w:tentative="0">
      <w:start w:val="1"/>
      <w:numFmt w:val="decimal"/>
      <w:suff w:val="nothing"/>
      <w:lvlText w:val="（%1）"/>
      <w:lvlJc w:val="left"/>
    </w:lvl>
  </w:abstractNum>
  <w:abstractNum w:abstractNumId="14">
    <w:nsid w:val="78460BCF"/>
    <w:multiLevelType w:val="singleLevel"/>
    <w:tmpl w:val="78460BCF"/>
    <w:lvl w:ilvl="0" w:tentative="0">
      <w:start w:val="4"/>
      <w:numFmt w:val="chineseCounting"/>
      <w:suff w:val="space"/>
      <w:lvlText w:val="第%1章"/>
      <w:lvlJc w:val="left"/>
      <w:rPr>
        <w:rFonts w:hint="eastAsia"/>
      </w:rPr>
    </w:lvl>
  </w:abstractNum>
  <w:num w:numId="1">
    <w:abstractNumId w:val="7"/>
  </w:num>
  <w:num w:numId="2">
    <w:abstractNumId w:val="8"/>
  </w:num>
  <w:num w:numId="3">
    <w:abstractNumId w:val="10"/>
  </w:num>
  <w:num w:numId="4">
    <w:abstractNumId w:val="5"/>
  </w:num>
  <w:num w:numId="5">
    <w:abstractNumId w:val="6"/>
  </w:num>
  <w:num w:numId="6">
    <w:abstractNumId w:val="4"/>
  </w:num>
  <w:num w:numId="7">
    <w:abstractNumId w:val="9"/>
  </w:num>
  <w:num w:numId="8">
    <w:abstractNumId w:val="14"/>
  </w:num>
  <w:num w:numId="9">
    <w:abstractNumId w:val="3"/>
  </w:num>
  <w:num w:numId="10">
    <w:abstractNumId w:val="1"/>
  </w:num>
  <w:num w:numId="11">
    <w:abstractNumId w:val="11"/>
  </w:num>
  <w:num w:numId="12">
    <w:abstractNumId w:val="13"/>
  </w:num>
  <w:num w:numId="13">
    <w:abstractNumId w:val="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Q5MGI3YTdkMjVkZTZjM2ZjZTQ5YjMxYTJjZjRlOWEifQ=="/>
  </w:docVars>
  <w:rsids>
    <w:rsidRoot w:val="00172A27"/>
    <w:rsid w:val="000126F2"/>
    <w:rsid w:val="00086696"/>
    <w:rsid w:val="0009024D"/>
    <w:rsid w:val="000F5645"/>
    <w:rsid w:val="00115C78"/>
    <w:rsid w:val="00153AFF"/>
    <w:rsid w:val="00172A27"/>
    <w:rsid w:val="00186C2B"/>
    <w:rsid w:val="00212728"/>
    <w:rsid w:val="00233C4E"/>
    <w:rsid w:val="00251036"/>
    <w:rsid w:val="002E50F8"/>
    <w:rsid w:val="003225FB"/>
    <w:rsid w:val="00330766"/>
    <w:rsid w:val="003419E5"/>
    <w:rsid w:val="003955F9"/>
    <w:rsid w:val="00395E25"/>
    <w:rsid w:val="003E670B"/>
    <w:rsid w:val="00401F67"/>
    <w:rsid w:val="00403054"/>
    <w:rsid w:val="00466F77"/>
    <w:rsid w:val="004C4A9A"/>
    <w:rsid w:val="004F3A79"/>
    <w:rsid w:val="004F5165"/>
    <w:rsid w:val="00506947"/>
    <w:rsid w:val="00510AFB"/>
    <w:rsid w:val="00533663"/>
    <w:rsid w:val="005868F5"/>
    <w:rsid w:val="005931B7"/>
    <w:rsid w:val="005A3C00"/>
    <w:rsid w:val="005B5679"/>
    <w:rsid w:val="005C1BE9"/>
    <w:rsid w:val="00620A2A"/>
    <w:rsid w:val="00677F31"/>
    <w:rsid w:val="0069368B"/>
    <w:rsid w:val="0074554D"/>
    <w:rsid w:val="007678C6"/>
    <w:rsid w:val="007D541D"/>
    <w:rsid w:val="007F45BE"/>
    <w:rsid w:val="008005F7"/>
    <w:rsid w:val="008201B4"/>
    <w:rsid w:val="00833AB6"/>
    <w:rsid w:val="00853109"/>
    <w:rsid w:val="008766D7"/>
    <w:rsid w:val="008C7661"/>
    <w:rsid w:val="008E0C60"/>
    <w:rsid w:val="009255FE"/>
    <w:rsid w:val="009269A2"/>
    <w:rsid w:val="009343AA"/>
    <w:rsid w:val="00937817"/>
    <w:rsid w:val="009B2C38"/>
    <w:rsid w:val="009D17C8"/>
    <w:rsid w:val="009E196C"/>
    <w:rsid w:val="009F2CCC"/>
    <w:rsid w:val="00A012AB"/>
    <w:rsid w:val="00A54152"/>
    <w:rsid w:val="00A67D58"/>
    <w:rsid w:val="00A975DD"/>
    <w:rsid w:val="00AC5855"/>
    <w:rsid w:val="00AF40A6"/>
    <w:rsid w:val="00AF43B5"/>
    <w:rsid w:val="00B41BDC"/>
    <w:rsid w:val="00B45701"/>
    <w:rsid w:val="00B502D3"/>
    <w:rsid w:val="00B627A9"/>
    <w:rsid w:val="00B77363"/>
    <w:rsid w:val="00B84EF4"/>
    <w:rsid w:val="00B8500A"/>
    <w:rsid w:val="00BF0751"/>
    <w:rsid w:val="00C069E8"/>
    <w:rsid w:val="00C24AE6"/>
    <w:rsid w:val="00C2723E"/>
    <w:rsid w:val="00C57688"/>
    <w:rsid w:val="00C9047B"/>
    <w:rsid w:val="00CD391E"/>
    <w:rsid w:val="00CD4DF4"/>
    <w:rsid w:val="00CF1FFF"/>
    <w:rsid w:val="00D24FF0"/>
    <w:rsid w:val="00D25ACB"/>
    <w:rsid w:val="00D46C3D"/>
    <w:rsid w:val="00D50329"/>
    <w:rsid w:val="00D651BA"/>
    <w:rsid w:val="00DD6A62"/>
    <w:rsid w:val="00DD75A2"/>
    <w:rsid w:val="00E4156B"/>
    <w:rsid w:val="00E6284A"/>
    <w:rsid w:val="00E700A9"/>
    <w:rsid w:val="00E70847"/>
    <w:rsid w:val="00E87AA3"/>
    <w:rsid w:val="00F13E63"/>
    <w:rsid w:val="00F21540"/>
    <w:rsid w:val="00F768E1"/>
    <w:rsid w:val="00FC3E1B"/>
    <w:rsid w:val="00FF16F3"/>
    <w:rsid w:val="016947F9"/>
    <w:rsid w:val="016E2F6B"/>
    <w:rsid w:val="01826A17"/>
    <w:rsid w:val="01CB7DA6"/>
    <w:rsid w:val="01D9415D"/>
    <w:rsid w:val="01DA5E9C"/>
    <w:rsid w:val="01DB6127"/>
    <w:rsid w:val="01DE01EE"/>
    <w:rsid w:val="0219028B"/>
    <w:rsid w:val="022E6257"/>
    <w:rsid w:val="023850C1"/>
    <w:rsid w:val="02477318"/>
    <w:rsid w:val="0255285E"/>
    <w:rsid w:val="026B1259"/>
    <w:rsid w:val="02827B99"/>
    <w:rsid w:val="029F2E1F"/>
    <w:rsid w:val="02BC3AEB"/>
    <w:rsid w:val="02D079EE"/>
    <w:rsid w:val="02E1227E"/>
    <w:rsid w:val="02E54D69"/>
    <w:rsid w:val="02F254D6"/>
    <w:rsid w:val="02F53218"/>
    <w:rsid w:val="030355FF"/>
    <w:rsid w:val="0341645D"/>
    <w:rsid w:val="035241C7"/>
    <w:rsid w:val="037E320E"/>
    <w:rsid w:val="038A570F"/>
    <w:rsid w:val="039C407F"/>
    <w:rsid w:val="039E11BA"/>
    <w:rsid w:val="03A2514E"/>
    <w:rsid w:val="03B409DD"/>
    <w:rsid w:val="03C03826"/>
    <w:rsid w:val="03C30C20"/>
    <w:rsid w:val="03D1158F"/>
    <w:rsid w:val="03D96696"/>
    <w:rsid w:val="03DB41BC"/>
    <w:rsid w:val="03EF7C67"/>
    <w:rsid w:val="03FE7EAB"/>
    <w:rsid w:val="041C543C"/>
    <w:rsid w:val="04221DEB"/>
    <w:rsid w:val="04435676"/>
    <w:rsid w:val="044E498E"/>
    <w:rsid w:val="04651CD8"/>
    <w:rsid w:val="046A5576"/>
    <w:rsid w:val="04754611"/>
    <w:rsid w:val="048760F2"/>
    <w:rsid w:val="04A942BA"/>
    <w:rsid w:val="04AB3862"/>
    <w:rsid w:val="04BF3332"/>
    <w:rsid w:val="04F01EE9"/>
    <w:rsid w:val="04F76DD4"/>
    <w:rsid w:val="05085485"/>
    <w:rsid w:val="050B6D23"/>
    <w:rsid w:val="053242B0"/>
    <w:rsid w:val="05373674"/>
    <w:rsid w:val="053E4A03"/>
    <w:rsid w:val="05455577"/>
    <w:rsid w:val="05465FAD"/>
    <w:rsid w:val="054B0F4A"/>
    <w:rsid w:val="058F1702"/>
    <w:rsid w:val="05A351AD"/>
    <w:rsid w:val="05DE3CE5"/>
    <w:rsid w:val="05E82BC0"/>
    <w:rsid w:val="05F477B7"/>
    <w:rsid w:val="061816F7"/>
    <w:rsid w:val="062278D0"/>
    <w:rsid w:val="06370ACC"/>
    <w:rsid w:val="06624721"/>
    <w:rsid w:val="06632AA3"/>
    <w:rsid w:val="067A13EB"/>
    <w:rsid w:val="06836B5F"/>
    <w:rsid w:val="06A55ADF"/>
    <w:rsid w:val="06A64F55"/>
    <w:rsid w:val="06C453DB"/>
    <w:rsid w:val="06D82C35"/>
    <w:rsid w:val="06DA075B"/>
    <w:rsid w:val="06F224DF"/>
    <w:rsid w:val="06F9554A"/>
    <w:rsid w:val="070659F4"/>
    <w:rsid w:val="0721282E"/>
    <w:rsid w:val="07371FAF"/>
    <w:rsid w:val="075239E7"/>
    <w:rsid w:val="07750484"/>
    <w:rsid w:val="07794418"/>
    <w:rsid w:val="0788465B"/>
    <w:rsid w:val="07950B26"/>
    <w:rsid w:val="07AD2313"/>
    <w:rsid w:val="07B611C8"/>
    <w:rsid w:val="07B76CEE"/>
    <w:rsid w:val="07E0529D"/>
    <w:rsid w:val="07ED2710"/>
    <w:rsid w:val="07F613C5"/>
    <w:rsid w:val="08140B8B"/>
    <w:rsid w:val="08143A40"/>
    <w:rsid w:val="081E6D6D"/>
    <w:rsid w:val="08293B60"/>
    <w:rsid w:val="082C4FE6"/>
    <w:rsid w:val="08362309"/>
    <w:rsid w:val="08395955"/>
    <w:rsid w:val="084A1910"/>
    <w:rsid w:val="084F5934"/>
    <w:rsid w:val="085D1644"/>
    <w:rsid w:val="08607386"/>
    <w:rsid w:val="08713341"/>
    <w:rsid w:val="088A4403"/>
    <w:rsid w:val="088A5A8D"/>
    <w:rsid w:val="08A13C26"/>
    <w:rsid w:val="08BF40AC"/>
    <w:rsid w:val="08C07429"/>
    <w:rsid w:val="08D35DAA"/>
    <w:rsid w:val="08D51B22"/>
    <w:rsid w:val="08E27D9B"/>
    <w:rsid w:val="08E92ED7"/>
    <w:rsid w:val="08EE00FD"/>
    <w:rsid w:val="08FA50E4"/>
    <w:rsid w:val="092B6141"/>
    <w:rsid w:val="0935241C"/>
    <w:rsid w:val="09524F20"/>
    <w:rsid w:val="097035F9"/>
    <w:rsid w:val="099217C1"/>
    <w:rsid w:val="09963123"/>
    <w:rsid w:val="09981838"/>
    <w:rsid w:val="09B5283E"/>
    <w:rsid w:val="09C166B7"/>
    <w:rsid w:val="09C851E3"/>
    <w:rsid w:val="09CB469C"/>
    <w:rsid w:val="09CF3948"/>
    <w:rsid w:val="09D678FF"/>
    <w:rsid w:val="09E71B0D"/>
    <w:rsid w:val="09EF44EC"/>
    <w:rsid w:val="09F14739"/>
    <w:rsid w:val="0A03621B"/>
    <w:rsid w:val="0A2D3F49"/>
    <w:rsid w:val="0A8712AB"/>
    <w:rsid w:val="0AA04DDE"/>
    <w:rsid w:val="0AB12DCE"/>
    <w:rsid w:val="0AB45767"/>
    <w:rsid w:val="0AC43BFC"/>
    <w:rsid w:val="0AD16319"/>
    <w:rsid w:val="0AD96F7B"/>
    <w:rsid w:val="0AEC4F01"/>
    <w:rsid w:val="0AF3628F"/>
    <w:rsid w:val="0B343101"/>
    <w:rsid w:val="0B4B60CB"/>
    <w:rsid w:val="0B627EDA"/>
    <w:rsid w:val="0B704808"/>
    <w:rsid w:val="0B982B0E"/>
    <w:rsid w:val="0BA94BA0"/>
    <w:rsid w:val="0BAB31B1"/>
    <w:rsid w:val="0BAF62FB"/>
    <w:rsid w:val="0BC66C7D"/>
    <w:rsid w:val="0BED3778"/>
    <w:rsid w:val="0C232BA4"/>
    <w:rsid w:val="0C2A577B"/>
    <w:rsid w:val="0C2D26E3"/>
    <w:rsid w:val="0C373ADB"/>
    <w:rsid w:val="0C37733F"/>
    <w:rsid w:val="0C3856AB"/>
    <w:rsid w:val="0C3C5A14"/>
    <w:rsid w:val="0C4274CE"/>
    <w:rsid w:val="0C6952DD"/>
    <w:rsid w:val="0CAD06C0"/>
    <w:rsid w:val="0CC53C5B"/>
    <w:rsid w:val="0CDB7B95"/>
    <w:rsid w:val="0CE95B9C"/>
    <w:rsid w:val="0CEA5470"/>
    <w:rsid w:val="0D077DD0"/>
    <w:rsid w:val="0D2B61B4"/>
    <w:rsid w:val="0D3E4B53"/>
    <w:rsid w:val="0D467F7C"/>
    <w:rsid w:val="0D6B65B1"/>
    <w:rsid w:val="0D8544BC"/>
    <w:rsid w:val="0DA20C83"/>
    <w:rsid w:val="0DA707B9"/>
    <w:rsid w:val="0DE01542"/>
    <w:rsid w:val="0DF2282E"/>
    <w:rsid w:val="0DFD3DA4"/>
    <w:rsid w:val="0E24538F"/>
    <w:rsid w:val="0E46735F"/>
    <w:rsid w:val="0E4969BD"/>
    <w:rsid w:val="0E5928AD"/>
    <w:rsid w:val="0E5B4877"/>
    <w:rsid w:val="0E707BF7"/>
    <w:rsid w:val="0E7D0D45"/>
    <w:rsid w:val="0E8611C8"/>
    <w:rsid w:val="0E975183"/>
    <w:rsid w:val="0EAD1661"/>
    <w:rsid w:val="0EBE21D3"/>
    <w:rsid w:val="0EBF7B36"/>
    <w:rsid w:val="0EC51CF1"/>
    <w:rsid w:val="0ECC307F"/>
    <w:rsid w:val="0F0C791F"/>
    <w:rsid w:val="0F1A6FD6"/>
    <w:rsid w:val="0F4E7F38"/>
    <w:rsid w:val="0F891446"/>
    <w:rsid w:val="0F9A13CF"/>
    <w:rsid w:val="0F9B000F"/>
    <w:rsid w:val="0F9D2C6D"/>
    <w:rsid w:val="0FB747DD"/>
    <w:rsid w:val="0FC91CB4"/>
    <w:rsid w:val="0FD10D03"/>
    <w:rsid w:val="0FD710A5"/>
    <w:rsid w:val="0FD77F2D"/>
    <w:rsid w:val="0FD83CA6"/>
    <w:rsid w:val="10131364"/>
    <w:rsid w:val="101822F4"/>
    <w:rsid w:val="10262C63"/>
    <w:rsid w:val="105B218F"/>
    <w:rsid w:val="10616837"/>
    <w:rsid w:val="107E794C"/>
    <w:rsid w:val="10857989"/>
    <w:rsid w:val="10AC25CA"/>
    <w:rsid w:val="10B4201D"/>
    <w:rsid w:val="10CA7A92"/>
    <w:rsid w:val="10EF574B"/>
    <w:rsid w:val="10F845FF"/>
    <w:rsid w:val="110C1E59"/>
    <w:rsid w:val="110D0173"/>
    <w:rsid w:val="11125CD9"/>
    <w:rsid w:val="111D5E14"/>
    <w:rsid w:val="112951FE"/>
    <w:rsid w:val="11317B11"/>
    <w:rsid w:val="113F7E2B"/>
    <w:rsid w:val="116E6670"/>
    <w:rsid w:val="117A3C75"/>
    <w:rsid w:val="11826A7D"/>
    <w:rsid w:val="118616F9"/>
    <w:rsid w:val="11904838"/>
    <w:rsid w:val="11A6405B"/>
    <w:rsid w:val="11B83956"/>
    <w:rsid w:val="11C40985"/>
    <w:rsid w:val="11CC786A"/>
    <w:rsid w:val="11E93F48"/>
    <w:rsid w:val="11EC68FB"/>
    <w:rsid w:val="11F03528"/>
    <w:rsid w:val="12046FD4"/>
    <w:rsid w:val="121420F8"/>
    <w:rsid w:val="12214445"/>
    <w:rsid w:val="12273D08"/>
    <w:rsid w:val="12324FEA"/>
    <w:rsid w:val="123D2FB3"/>
    <w:rsid w:val="124538DB"/>
    <w:rsid w:val="125067AE"/>
    <w:rsid w:val="12637655"/>
    <w:rsid w:val="12A12A75"/>
    <w:rsid w:val="12C04A67"/>
    <w:rsid w:val="12C80001"/>
    <w:rsid w:val="12CF56B4"/>
    <w:rsid w:val="12DB0575"/>
    <w:rsid w:val="12EF558E"/>
    <w:rsid w:val="12F92791"/>
    <w:rsid w:val="13033659"/>
    <w:rsid w:val="130354DD"/>
    <w:rsid w:val="13066050"/>
    <w:rsid w:val="13132BFE"/>
    <w:rsid w:val="132A7687"/>
    <w:rsid w:val="133236CD"/>
    <w:rsid w:val="134F1DF4"/>
    <w:rsid w:val="13557827"/>
    <w:rsid w:val="13631AD8"/>
    <w:rsid w:val="137F4B64"/>
    <w:rsid w:val="138B3117"/>
    <w:rsid w:val="138E7538"/>
    <w:rsid w:val="13904FC3"/>
    <w:rsid w:val="13C06B9F"/>
    <w:rsid w:val="13CD2CC1"/>
    <w:rsid w:val="140B464A"/>
    <w:rsid w:val="140D6614"/>
    <w:rsid w:val="14172FEE"/>
    <w:rsid w:val="14364B2C"/>
    <w:rsid w:val="1438503B"/>
    <w:rsid w:val="144933C4"/>
    <w:rsid w:val="145F3F52"/>
    <w:rsid w:val="14694230"/>
    <w:rsid w:val="14720C0D"/>
    <w:rsid w:val="147D0BDA"/>
    <w:rsid w:val="14860A3B"/>
    <w:rsid w:val="14972381"/>
    <w:rsid w:val="14AA2FD3"/>
    <w:rsid w:val="14B06F9F"/>
    <w:rsid w:val="14B52807"/>
    <w:rsid w:val="14B62AB7"/>
    <w:rsid w:val="14BA1BCC"/>
    <w:rsid w:val="14C724CE"/>
    <w:rsid w:val="14CA5427"/>
    <w:rsid w:val="14DD669C"/>
    <w:rsid w:val="14DE1D5E"/>
    <w:rsid w:val="14E07884"/>
    <w:rsid w:val="14EA0703"/>
    <w:rsid w:val="150572EB"/>
    <w:rsid w:val="150A448F"/>
    <w:rsid w:val="150C68CB"/>
    <w:rsid w:val="152229F1"/>
    <w:rsid w:val="154461CC"/>
    <w:rsid w:val="15597637"/>
    <w:rsid w:val="15804BC3"/>
    <w:rsid w:val="15BD23EA"/>
    <w:rsid w:val="15C9430D"/>
    <w:rsid w:val="15D373E9"/>
    <w:rsid w:val="15E213DA"/>
    <w:rsid w:val="15E52C78"/>
    <w:rsid w:val="16210154"/>
    <w:rsid w:val="1633342F"/>
    <w:rsid w:val="164E6A70"/>
    <w:rsid w:val="16683008"/>
    <w:rsid w:val="168E3310"/>
    <w:rsid w:val="16A36DBB"/>
    <w:rsid w:val="16A50D85"/>
    <w:rsid w:val="16B81E85"/>
    <w:rsid w:val="16CF7F44"/>
    <w:rsid w:val="16F94C2D"/>
    <w:rsid w:val="16FE3FF2"/>
    <w:rsid w:val="171323AA"/>
    <w:rsid w:val="173B5246"/>
    <w:rsid w:val="17B63456"/>
    <w:rsid w:val="17F2764F"/>
    <w:rsid w:val="1833416F"/>
    <w:rsid w:val="18524B4C"/>
    <w:rsid w:val="185C36C6"/>
    <w:rsid w:val="18737F6A"/>
    <w:rsid w:val="187D1E98"/>
    <w:rsid w:val="187D53EA"/>
    <w:rsid w:val="18A817AE"/>
    <w:rsid w:val="18B21538"/>
    <w:rsid w:val="18BB7749"/>
    <w:rsid w:val="18C44192"/>
    <w:rsid w:val="18D9512F"/>
    <w:rsid w:val="18ED431E"/>
    <w:rsid w:val="18F558C8"/>
    <w:rsid w:val="18F877F3"/>
    <w:rsid w:val="1901601B"/>
    <w:rsid w:val="19070275"/>
    <w:rsid w:val="19106B6F"/>
    <w:rsid w:val="19235F91"/>
    <w:rsid w:val="193C7053"/>
    <w:rsid w:val="193F7C64"/>
    <w:rsid w:val="196C36C2"/>
    <w:rsid w:val="196D1903"/>
    <w:rsid w:val="19724162"/>
    <w:rsid w:val="198F1879"/>
    <w:rsid w:val="19B47531"/>
    <w:rsid w:val="19C214C4"/>
    <w:rsid w:val="19F70AC5"/>
    <w:rsid w:val="19F85670"/>
    <w:rsid w:val="19F94F44"/>
    <w:rsid w:val="1A1324AA"/>
    <w:rsid w:val="1A2B77F4"/>
    <w:rsid w:val="1A2F16BB"/>
    <w:rsid w:val="1A501008"/>
    <w:rsid w:val="1A766595"/>
    <w:rsid w:val="1A8C59F8"/>
    <w:rsid w:val="1AA57FC0"/>
    <w:rsid w:val="1AAC1FB7"/>
    <w:rsid w:val="1AAE61FB"/>
    <w:rsid w:val="1AB01AA7"/>
    <w:rsid w:val="1AB23324"/>
    <w:rsid w:val="1ADF554D"/>
    <w:rsid w:val="1AED13C7"/>
    <w:rsid w:val="1B1069E9"/>
    <w:rsid w:val="1B193AF0"/>
    <w:rsid w:val="1B2D30F7"/>
    <w:rsid w:val="1B7747F3"/>
    <w:rsid w:val="1B79254B"/>
    <w:rsid w:val="1B972C67"/>
    <w:rsid w:val="1BA55384"/>
    <w:rsid w:val="1BD712B5"/>
    <w:rsid w:val="1BDD4B1E"/>
    <w:rsid w:val="1BE76F28"/>
    <w:rsid w:val="1C177904"/>
    <w:rsid w:val="1C284B16"/>
    <w:rsid w:val="1C5A26D3"/>
    <w:rsid w:val="1C5D0DA4"/>
    <w:rsid w:val="1C5F6917"/>
    <w:rsid w:val="1C6F5742"/>
    <w:rsid w:val="1C76287C"/>
    <w:rsid w:val="1C872925"/>
    <w:rsid w:val="1C9E0082"/>
    <w:rsid w:val="1CA613B3"/>
    <w:rsid w:val="1CAA693B"/>
    <w:rsid w:val="1CB14442"/>
    <w:rsid w:val="1CC66428"/>
    <w:rsid w:val="1CC80B99"/>
    <w:rsid w:val="1CCB0E1A"/>
    <w:rsid w:val="1D0113C9"/>
    <w:rsid w:val="1D0A2DA7"/>
    <w:rsid w:val="1D1140B4"/>
    <w:rsid w:val="1D2B18B9"/>
    <w:rsid w:val="1D3E783E"/>
    <w:rsid w:val="1D630F86"/>
    <w:rsid w:val="1D7019C1"/>
    <w:rsid w:val="1D752B34"/>
    <w:rsid w:val="1D7E5E8C"/>
    <w:rsid w:val="1D836591"/>
    <w:rsid w:val="1DB55626"/>
    <w:rsid w:val="1DB7314C"/>
    <w:rsid w:val="1DC15D79"/>
    <w:rsid w:val="1DC53ABB"/>
    <w:rsid w:val="1DC85AE6"/>
    <w:rsid w:val="1DDB503E"/>
    <w:rsid w:val="1DE84D03"/>
    <w:rsid w:val="1DE85A9D"/>
    <w:rsid w:val="1DF13B3B"/>
    <w:rsid w:val="1E0E2B0B"/>
    <w:rsid w:val="1E1660C5"/>
    <w:rsid w:val="1E205195"/>
    <w:rsid w:val="1E276322"/>
    <w:rsid w:val="1E5170FD"/>
    <w:rsid w:val="1E5F2F8D"/>
    <w:rsid w:val="1E650DFA"/>
    <w:rsid w:val="1E982F7E"/>
    <w:rsid w:val="1EAC45D3"/>
    <w:rsid w:val="1EC71AB5"/>
    <w:rsid w:val="1ECF4FD3"/>
    <w:rsid w:val="1ED0096A"/>
    <w:rsid w:val="1ED7455A"/>
    <w:rsid w:val="1EDB6610"/>
    <w:rsid w:val="1EF34658"/>
    <w:rsid w:val="1F02489B"/>
    <w:rsid w:val="1F095D51"/>
    <w:rsid w:val="1F0E1553"/>
    <w:rsid w:val="1F132604"/>
    <w:rsid w:val="1F242A63"/>
    <w:rsid w:val="1F2627EB"/>
    <w:rsid w:val="1F294332"/>
    <w:rsid w:val="1F2A62AD"/>
    <w:rsid w:val="1F3233D2"/>
    <w:rsid w:val="1F4804CC"/>
    <w:rsid w:val="1FB61E22"/>
    <w:rsid w:val="1FEB1DE0"/>
    <w:rsid w:val="1FEF6DB8"/>
    <w:rsid w:val="1FF64400"/>
    <w:rsid w:val="200D799B"/>
    <w:rsid w:val="201E4F4F"/>
    <w:rsid w:val="20256A93"/>
    <w:rsid w:val="20384A18"/>
    <w:rsid w:val="20390790"/>
    <w:rsid w:val="203F5E7C"/>
    <w:rsid w:val="204A474C"/>
    <w:rsid w:val="205055EF"/>
    <w:rsid w:val="206C46C2"/>
    <w:rsid w:val="20976AB4"/>
    <w:rsid w:val="20A81514"/>
    <w:rsid w:val="20AB6760"/>
    <w:rsid w:val="20B16579"/>
    <w:rsid w:val="20C95670"/>
    <w:rsid w:val="20D65FDF"/>
    <w:rsid w:val="20E85D1A"/>
    <w:rsid w:val="210055F8"/>
    <w:rsid w:val="21052421"/>
    <w:rsid w:val="211508B6"/>
    <w:rsid w:val="2126121F"/>
    <w:rsid w:val="216B1A91"/>
    <w:rsid w:val="217B0F40"/>
    <w:rsid w:val="218A192D"/>
    <w:rsid w:val="21A972E1"/>
    <w:rsid w:val="21BF0821"/>
    <w:rsid w:val="21DE60F4"/>
    <w:rsid w:val="21F816C1"/>
    <w:rsid w:val="221C5C74"/>
    <w:rsid w:val="222B0959"/>
    <w:rsid w:val="222F1E4B"/>
    <w:rsid w:val="2240564F"/>
    <w:rsid w:val="224F6049"/>
    <w:rsid w:val="22575E31"/>
    <w:rsid w:val="22816594"/>
    <w:rsid w:val="22A00653"/>
    <w:rsid w:val="22A52EFA"/>
    <w:rsid w:val="22A567AC"/>
    <w:rsid w:val="22A77054"/>
    <w:rsid w:val="22AA3280"/>
    <w:rsid w:val="22BD2FB3"/>
    <w:rsid w:val="22C04851"/>
    <w:rsid w:val="22CB1F7F"/>
    <w:rsid w:val="22CC31F6"/>
    <w:rsid w:val="22D43C96"/>
    <w:rsid w:val="22DB5B2F"/>
    <w:rsid w:val="22EC6903"/>
    <w:rsid w:val="22FB3ADB"/>
    <w:rsid w:val="23076924"/>
    <w:rsid w:val="2318468D"/>
    <w:rsid w:val="23214B81"/>
    <w:rsid w:val="23250B58"/>
    <w:rsid w:val="23287A3B"/>
    <w:rsid w:val="234C2589"/>
    <w:rsid w:val="234E0C74"/>
    <w:rsid w:val="235D595F"/>
    <w:rsid w:val="2366667A"/>
    <w:rsid w:val="236773C3"/>
    <w:rsid w:val="236B1B92"/>
    <w:rsid w:val="23725A46"/>
    <w:rsid w:val="239F4DAE"/>
    <w:rsid w:val="23A75A11"/>
    <w:rsid w:val="23D46034"/>
    <w:rsid w:val="23DD1433"/>
    <w:rsid w:val="23ED1676"/>
    <w:rsid w:val="23EF1892"/>
    <w:rsid w:val="23F37F14"/>
    <w:rsid w:val="23F956E8"/>
    <w:rsid w:val="23FA0237"/>
    <w:rsid w:val="24015121"/>
    <w:rsid w:val="24264B88"/>
    <w:rsid w:val="24305A06"/>
    <w:rsid w:val="2447702E"/>
    <w:rsid w:val="24765B0F"/>
    <w:rsid w:val="247C0C4C"/>
    <w:rsid w:val="247C50B5"/>
    <w:rsid w:val="248F4E23"/>
    <w:rsid w:val="249B0281"/>
    <w:rsid w:val="24A55645"/>
    <w:rsid w:val="24C22B02"/>
    <w:rsid w:val="24D570AE"/>
    <w:rsid w:val="24D6035C"/>
    <w:rsid w:val="24E01EF1"/>
    <w:rsid w:val="24E2777A"/>
    <w:rsid w:val="24F51DFC"/>
    <w:rsid w:val="250C30B2"/>
    <w:rsid w:val="25423C43"/>
    <w:rsid w:val="256B13EC"/>
    <w:rsid w:val="25924268"/>
    <w:rsid w:val="25E67FEE"/>
    <w:rsid w:val="25F3318F"/>
    <w:rsid w:val="2629095F"/>
    <w:rsid w:val="26355556"/>
    <w:rsid w:val="263B7010"/>
    <w:rsid w:val="263C7979"/>
    <w:rsid w:val="264B2FCC"/>
    <w:rsid w:val="264E5249"/>
    <w:rsid w:val="2650413E"/>
    <w:rsid w:val="265359DC"/>
    <w:rsid w:val="26551754"/>
    <w:rsid w:val="26712A32"/>
    <w:rsid w:val="26834513"/>
    <w:rsid w:val="26A10E3D"/>
    <w:rsid w:val="26AC3A6A"/>
    <w:rsid w:val="26B96187"/>
    <w:rsid w:val="26BE763B"/>
    <w:rsid w:val="26E730BC"/>
    <w:rsid w:val="270135A4"/>
    <w:rsid w:val="27090EBD"/>
    <w:rsid w:val="271635D9"/>
    <w:rsid w:val="2751016E"/>
    <w:rsid w:val="279F3713"/>
    <w:rsid w:val="27B84691"/>
    <w:rsid w:val="27BD1CA7"/>
    <w:rsid w:val="27C923FA"/>
    <w:rsid w:val="27CA464D"/>
    <w:rsid w:val="27CB7F20"/>
    <w:rsid w:val="27E91720"/>
    <w:rsid w:val="27F136A9"/>
    <w:rsid w:val="27F21934"/>
    <w:rsid w:val="27F6382B"/>
    <w:rsid w:val="27FD20A3"/>
    <w:rsid w:val="280F14ED"/>
    <w:rsid w:val="280F3776"/>
    <w:rsid w:val="281C4C20"/>
    <w:rsid w:val="28527CD1"/>
    <w:rsid w:val="287C7ABF"/>
    <w:rsid w:val="28844573"/>
    <w:rsid w:val="28AA3FD9"/>
    <w:rsid w:val="28C52BC1"/>
    <w:rsid w:val="28D472A8"/>
    <w:rsid w:val="28E9787B"/>
    <w:rsid w:val="29441132"/>
    <w:rsid w:val="29890753"/>
    <w:rsid w:val="298962E5"/>
    <w:rsid w:val="29934A6D"/>
    <w:rsid w:val="29B50E88"/>
    <w:rsid w:val="29B72649"/>
    <w:rsid w:val="29CD1E2A"/>
    <w:rsid w:val="29CF7F37"/>
    <w:rsid w:val="2A0C29B8"/>
    <w:rsid w:val="2A0E5104"/>
    <w:rsid w:val="2A131C98"/>
    <w:rsid w:val="2A1F09F7"/>
    <w:rsid w:val="2A570E85"/>
    <w:rsid w:val="2A830F86"/>
    <w:rsid w:val="2A8745B6"/>
    <w:rsid w:val="2A922F77"/>
    <w:rsid w:val="2A9860B3"/>
    <w:rsid w:val="2A9A1E2C"/>
    <w:rsid w:val="2A9F5694"/>
    <w:rsid w:val="2AA23A25"/>
    <w:rsid w:val="2AAA6513"/>
    <w:rsid w:val="2AD15C14"/>
    <w:rsid w:val="2AE71AF4"/>
    <w:rsid w:val="2B045837"/>
    <w:rsid w:val="2B07429B"/>
    <w:rsid w:val="2B0D0850"/>
    <w:rsid w:val="2B154372"/>
    <w:rsid w:val="2B230073"/>
    <w:rsid w:val="2B520958"/>
    <w:rsid w:val="2B634913"/>
    <w:rsid w:val="2B85488A"/>
    <w:rsid w:val="2BA07916"/>
    <w:rsid w:val="2BEC2B5B"/>
    <w:rsid w:val="2BFF63EA"/>
    <w:rsid w:val="2C002162"/>
    <w:rsid w:val="2C063C1D"/>
    <w:rsid w:val="2C246995"/>
    <w:rsid w:val="2C3562B0"/>
    <w:rsid w:val="2C385DA0"/>
    <w:rsid w:val="2C4944EB"/>
    <w:rsid w:val="2C4B162F"/>
    <w:rsid w:val="2C5D1363"/>
    <w:rsid w:val="2C5F50DB"/>
    <w:rsid w:val="2C792640"/>
    <w:rsid w:val="2C8B4122"/>
    <w:rsid w:val="2C9C1E8B"/>
    <w:rsid w:val="2CA91FCE"/>
    <w:rsid w:val="2CB847EB"/>
    <w:rsid w:val="2CD72C54"/>
    <w:rsid w:val="2CEA709A"/>
    <w:rsid w:val="2D022235"/>
    <w:rsid w:val="2D031F0A"/>
    <w:rsid w:val="2D0F08AF"/>
    <w:rsid w:val="2D1C7470"/>
    <w:rsid w:val="2D2125B0"/>
    <w:rsid w:val="2D2C76B3"/>
    <w:rsid w:val="2D371BB4"/>
    <w:rsid w:val="2D3B78F6"/>
    <w:rsid w:val="2D7C1CBC"/>
    <w:rsid w:val="2D8017AD"/>
    <w:rsid w:val="2D8868B3"/>
    <w:rsid w:val="2DAC4350"/>
    <w:rsid w:val="2E0F1AF1"/>
    <w:rsid w:val="2E1755ED"/>
    <w:rsid w:val="2E3A7BAD"/>
    <w:rsid w:val="2E56250D"/>
    <w:rsid w:val="2E623354"/>
    <w:rsid w:val="2E6A4E27"/>
    <w:rsid w:val="2E7806D6"/>
    <w:rsid w:val="2E876B6B"/>
    <w:rsid w:val="2E9B12B3"/>
    <w:rsid w:val="2ED33B5E"/>
    <w:rsid w:val="2EDA313F"/>
    <w:rsid w:val="2EE53D89"/>
    <w:rsid w:val="2EEC10D1"/>
    <w:rsid w:val="2F030EDA"/>
    <w:rsid w:val="2F0412C1"/>
    <w:rsid w:val="2F171C9D"/>
    <w:rsid w:val="2F202F46"/>
    <w:rsid w:val="2F2E6FE6"/>
    <w:rsid w:val="2F43007A"/>
    <w:rsid w:val="2F47268D"/>
    <w:rsid w:val="2F484F80"/>
    <w:rsid w:val="2F8F5CD7"/>
    <w:rsid w:val="2F926074"/>
    <w:rsid w:val="2F971630"/>
    <w:rsid w:val="2FA774C5"/>
    <w:rsid w:val="2FB44E46"/>
    <w:rsid w:val="2FCA005B"/>
    <w:rsid w:val="2FFF4CAE"/>
    <w:rsid w:val="30042C3B"/>
    <w:rsid w:val="301F1BC4"/>
    <w:rsid w:val="30204B81"/>
    <w:rsid w:val="302E5110"/>
    <w:rsid w:val="303A5A64"/>
    <w:rsid w:val="304E74D7"/>
    <w:rsid w:val="305111DE"/>
    <w:rsid w:val="30823A8E"/>
    <w:rsid w:val="30901D07"/>
    <w:rsid w:val="309317F7"/>
    <w:rsid w:val="30C85944"/>
    <w:rsid w:val="30D95A3C"/>
    <w:rsid w:val="30E12562"/>
    <w:rsid w:val="30E84AF7"/>
    <w:rsid w:val="31103BE8"/>
    <w:rsid w:val="31490108"/>
    <w:rsid w:val="315736D8"/>
    <w:rsid w:val="3166515D"/>
    <w:rsid w:val="31684A32"/>
    <w:rsid w:val="317403C7"/>
    <w:rsid w:val="3179559F"/>
    <w:rsid w:val="317E6003"/>
    <w:rsid w:val="319B6BB5"/>
    <w:rsid w:val="31A1154D"/>
    <w:rsid w:val="31A17F44"/>
    <w:rsid w:val="31AD053C"/>
    <w:rsid w:val="31CB6D6E"/>
    <w:rsid w:val="31D64091"/>
    <w:rsid w:val="31DE2F46"/>
    <w:rsid w:val="31E340B8"/>
    <w:rsid w:val="32056724"/>
    <w:rsid w:val="320B1E88"/>
    <w:rsid w:val="3220530C"/>
    <w:rsid w:val="325B29A2"/>
    <w:rsid w:val="3268280F"/>
    <w:rsid w:val="32690A61"/>
    <w:rsid w:val="326D226F"/>
    <w:rsid w:val="32755BEE"/>
    <w:rsid w:val="32785148"/>
    <w:rsid w:val="327B2543"/>
    <w:rsid w:val="328533C1"/>
    <w:rsid w:val="32A4546A"/>
    <w:rsid w:val="32B31CDC"/>
    <w:rsid w:val="32ED1980"/>
    <w:rsid w:val="32F1304C"/>
    <w:rsid w:val="32F50547"/>
    <w:rsid w:val="33094881"/>
    <w:rsid w:val="333F3794"/>
    <w:rsid w:val="335A57BD"/>
    <w:rsid w:val="339E5D33"/>
    <w:rsid w:val="33EC17CD"/>
    <w:rsid w:val="33EF143A"/>
    <w:rsid w:val="33EF1C73"/>
    <w:rsid w:val="33FA6F1E"/>
    <w:rsid w:val="340661A5"/>
    <w:rsid w:val="34076784"/>
    <w:rsid w:val="340903E3"/>
    <w:rsid w:val="340E30B9"/>
    <w:rsid w:val="341E3ACD"/>
    <w:rsid w:val="343678CD"/>
    <w:rsid w:val="34480B4A"/>
    <w:rsid w:val="345968B4"/>
    <w:rsid w:val="345A0C5F"/>
    <w:rsid w:val="345B087E"/>
    <w:rsid w:val="346D120F"/>
    <w:rsid w:val="34702AF7"/>
    <w:rsid w:val="347A2085"/>
    <w:rsid w:val="347F27BE"/>
    <w:rsid w:val="34897199"/>
    <w:rsid w:val="34945B3E"/>
    <w:rsid w:val="34AD7661"/>
    <w:rsid w:val="34B01E1E"/>
    <w:rsid w:val="34E16FD5"/>
    <w:rsid w:val="34E94961"/>
    <w:rsid w:val="34EA39B0"/>
    <w:rsid w:val="35171719"/>
    <w:rsid w:val="352E7D40"/>
    <w:rsid w:val="354B26A0"/>
    <w:rsid w:val="357243F8"/>
    <w:rsid w:val="35853917"/>
    <w:rsid w:val="35906305"/>
    <w:rsid w:val="359C73A0"/>
    <w:rsid w:val="35A10512"/>
    <w:rsid w:val="35A26038"/>
    <w:rsid w:val="35AA3A3A"/>
    <w:rsid w:val="35AA4722"/>
    <w:rsid w:val="35CF507F"/>
    <w:rsid w:val="360B340E"/>
    <w:rsid w:val="362D5CD2"/>
    <w:rsid w:val="365E28A7"/>
    <w:rsid w:val="366B14C0"/>
    <w:rsid w:val="369342FF"/>
    <w:rsid w:val="369D456C"/>
    <w:rsid w:val="36A8455A"/>
    <w:rsid w:val="36AE738B"/>
    <w:rsid w:val="36C95F72"/>
    <w:rsid w:val="36DF3C16"/>
    <w:rsid w:val="36E27034"/>
    <w:rsid w:val="36ED1FA3"/>
    <w:rsid w:val="36F36DEE"/>
    <w:rsid w:val="36F6663C"/>
    <w:rsid w:val="370E607B"/>
    <w:rsid w:val="372E4027"/>
    <w:rsid w:val="373F79B1"/>
    <w:rsid w:val="37537F32"/>
    <w:rsid w:val="376C4F8C"/>
    <w:rsid w:val="376F2F1F"/>
    <w:rsid w:val="378400EB"/>
    <w:rsid w:val="37904CE2"/>
    <w:rsid w:val="37976071"/>
    <w:rsid w:val="379D00C8"/>
    <w:rsid w:val="379F2985"/>
    <w:rsid w:val="37C03BF9"/>
    <w:rsid w:val="37E1109A"/>
    <w:rsid w:val="37E97122"/>
    <w:rsid w:val="37F35CB8"/>
    <w:rsid w:val="382D2531"/>
    <w:rsid w:val="383A697D"/>
    <w:rsid w:val="383C09C6"/>
    <w:rsid w:val="384F4255"/>
    <w:rsid w:val="385633E2"/>
    <w:rsid w:val="386F79F1"/>
    <w:rsid w:val="38767A34"/>
    <w:rsid w:val="38795776"/>
    <w:rsid w:val="388D2FD0"/>
    <w:rsid w:val="389205E6"/>
    <w:rsid w:val="38983E4E"/>
    <w:rsid w:val="38A84A79"/>
    <w:rsid w:val="392C0A3B"/>
    <w:rsid w:val="39400042"/>
    <w:rsid w:val="39490357"/>
    <w:rsid w:val="397877DC"/>
    <w:rsid w:val="3999678C"/>
    <w:rsid w:val="39A6259B"/>
    <w:rsid w:val="39D377DB"/>
    <w:rsid w:val="3A223DCB"/>
    <w:rsid w:val="3A3462BA"/>
    <w:rsid w:val="3A58475F"/>
    <w:rsid w:val="3A5E7E93"/>
    <w:rsid w:val="3A6E6C87"/>
    <w:rsid w:val="3AB46F3A"/>
    <w:rsid w:val="3AD13648"/>
    <w:rsid w:val="3AE0388B"/>
    <w:rsid w:val="3B1C0596"/>
    <w:rsid w:val="3B2319C9"/>
    <w:rsid w:val="3B5B1163"/>
    <w:rsid w:val="3B84063D"/>
    <w:rsid w:val="3B8701AA"/>
    <w:rsid w:val="3B8875E3"/>
    <w:rsid w:val="3B955700"/>
    <w:rsid w:val="3BC27434"/>
    <w:rsid w:val="3BC95C98"/>
    <w:rsid w:val="3BCB453B"/>
    <w:rsid w:val="3BD75940"/>
    <w:rsid w:val="3BDD7DCA"/>
    <w:rsid w:val="3BF42260"/>
    <w:rsid w:val="3C265C15"/>
    <w:rsid w:val="3C284C49"/>
    <w:rsid w:val="3C522566"/>
    <w:rsid w:val="3C541BC5"/>
    <w:rsid w:val="3C65673D"/>
    <w:rsid w:val="3C722C08"/>
    <w:rsid w:val="3C7C5F7D"/>
    <w:rsid w:val="3C9506A5"/>
    <w:rsid w:val="3C9C7C85"/>
    <w:rsid w:val="3C9E3DCB"/>
    <w:rsid w:val="3CA31014"/>
    <w:rsid w:val="3CB123E6"/>
    <w:rsid w:val="3CDB6174"/>
    <w:rsid w:val="3D050477"/>
    <w:rsid w:val="3D14341C"/>
    <w:rsid w:val="3D3D4FC4"/>
    <w:rsid w:val="3D404852"/>
    <w:rsid w:val="3D477BF1"/>
    <w:rsid w:val="3D4A76E1"/>
    <w:rsid w:val="3D5D5666"/>
    <w:rsid w:val="3D611ECB"/>
    <w:rsid w:val="3DB668C6"/>
    <w:rsid w:val="3DEB4A20"/>
    <w:rsid w:val="3DF062BF"/>
    <w:rsid w:val="3E0618F6"/>
    <w:rsid w:val="3E0869AC"/>
    <w:rsid w:val="3E246184"/>
    <w:rsid w:val="3E2C6DE7"/>
    <w:rsid w:val="3E3068D7"/>
    <w:rsid w:val="3E32264F"/>
    <w:rsid w:val="3E3E1A04"/>
    <w:rsid w:val="3E53454B"/>
    <w:rsid w:val="3E6F204E"/>
    <w:rsid w:val="3E815973"/>
    <w:rsid w:val="3E88151A"/>
    <w:rsid w:val="3E894239"/>
    <w:rsid w:val="3E8D3D29"/>
    <w:rsid w:val="3E9450B8"/>
    <w:rsid w:val="3EC62D97"/>
    <w:rsid w:val="3F0D6C18"/>
    <w:rsid w:val="3F1735F3"/>
    <w:rsid w:val="3F364D39"/>
    <w:rsid w:val="3F505A98"/>
    <w:rsid w:val="3F6207BA"/>
    <w:rsid w:val="3F7B1DD4"/>
    <w:rsid w:val="3F810615"/>
    <w:rsid w:val="3F843560"/>
    <w:rsid w:val="3F8C5D8F"/>
    <w:rsid w:val="3F8E7D59"/>
    <w:rsid w:val="3F984C13"/>
    <w:rsid w:val="3FA72BC9"/>
    <w:rsid w:val="3FBD063E"/>
    <w:rsid w:val="3FC90D91"/>
    <w:rsid w:val="3FCF3ECE"/>
    <w:rsid w:val="3FD919BA"/>
    <w:rsid w:val="3FDC2B4A"/>
    <w:rsid w:val="3FFD010D"/>
    <w:rsid w:val="400A40D9"/>
    <w:rsid w:val="401A783F"/>
    <w:rsid w:val="401F452F"/>
    <w:rsid w:val="40330901"/>
    <w:rsid w:val="40515724"/>
    <w:rsid w:val="405F16F6"/>
    <w:rsid w:val="408B38B3"/>
    <w:rsid w:val="40B27A77"/>
    <w:rsid w:val="40D338F0"/>
    <w:rsid w:val="40D40AAB"/>
    <w:rsid w:val="40D77011"/>
    <w:rsid w:val="40E90FBF"/>
    <w:rsid w:val="40F40090"/>
    <w:rsid w:val="40FB76BC"/>
    <w:rsid w:val="41036525"/>
    <w:rsid w:val="41072D28"/>
    <w:rsid w:val="41173D7E"/>
    <w:rsid w:val="411E335F"/>
    <w:rsid w:val="412344D1"/>
    <w:rsid w:val="4125450E"/>
    <w:rsid w:val="412973EA"/>
    <w:rsid w:val="417F4A52"/>
    <w:rsid w:val="41AA69A0"/>
    <w:rsid w:val="41B45A71"/>
    <w:rsid w:val="41F71B81"/>
    <w:rsid w:val="42010DBE"/>
    <w:rsid w:val="42044303"/>
    <w:rsid w:val="42075BA1"/>
    <w:rsid w:val="42424E2B"/>
    <w:rsid w:val="426B25D4"/>
    <w:rsid w:val="4278084D"/>
    <w:rsid w:val="428611BC"/>
    <w:rsid w:val="42927B60"/>
    <w:rsid w:val="42BD2703"/>
    <w:rsid w:val="42C27D1A"/>
    <w:rsid w:val="42E04834"/>
    <w:rsid w:val="43140A2D"/>
    <w:rsid w:val="43301127"/>
    <w:rsid w:val="43364990"/>
    <w:rsid w:val="434150E2"/>
    <w:rsid w:val="4355293C"/>
    <w:rsid w:val="4359067E"/>
    <w:rsid w:val="436117D4"/>
    <w:rsid w:val="437049F2"/>
    <w:rsid w:val="43842246"/>
    <w:rsid w:val="43A7763B"/>
    <w:rsid w:val="43B92ECB"/>
    <w:rsid w:val="43BE0166"/>
    <w:rsid w:val="440E3217"/>
    <w:rsid w:val="440F0504"/>
    <w:rsid w:val="4421185F"/>
    <w:rsid w:val="4437557C"/>
    <w:rsid w:val="444C2BC0"/>
    <w:rsid w:val="444F71A2"/>
    <w:rsid w:val="445361E5"/>
    <w:rsid w:val="447C0AC8"/>
    <w:rsid w:val="4482717F"/>
    <w:rsid w:val="44A21CDC"/>
    <w:rsid w:val="44D05FB9"/>
    <w:rsid w:val="44D75CFE"/>
    <w:rsid w:val="44E5721A"/>
    <w:rsid w:val="44F22B38"/>
    <w:rsid w:val="44F248E6"/>
    <w:rsid w:val="45091C30"/>
    <w:rsid w:val="45244CBC"/>
    <w:rsid w:val="452B1E36"/>
    <w:rsid w:val="452B6B92"/>
    <w:rsid w:val="45350C77"/>
    <w:rsid w:val="453C0257"/>
    <w:rsid w:val="453C7EA3"/>
    <w:rsid w:val="454B3FF6"/>
    <w:rsid w:val="45682DFA"/>
    <w:rsid w:val="456C5AB9"/>
    <w:rsid w:val="4577128F"/>
    <w:rsid w:val="457C68A6"/>
    <w:rsid w:val="45952817"/>
    <w:rsid w:val="45A863B8"/>
    <w:rsid w:val="45BB6D3C"/>
    <w:rsid w:val="45F91CA4"/>
    <w:rsid w:val="46011342"/>
    <w:rsid w:val="46017508"/>
    <w:rsid w:val="460A2104"/>
    <w:rsid w:val="460F14C8"/>
    <w:rsid w:val="46130FB8"/>
    <w:rsid w:val="46132D66"/>
    <w:rsid w:val="46342CDD"/>
    <w:rsid w:val="46431B1A"/>
    <w:rsid w:val="464E1FF0"/>
    <w:rsid w:val="466366B9"/>
    <w:rsid w:val="46955E71"/>
    <w:rsid w:val="469C7200"/>
    <w:rsid w:val="46C10A14"/>
    <w:rsid w:val="46D67F86"/>
    <w:rsid w:val="46F448C2"/>
    <w:rsid w:val="47060D7D"/>
    <w:rsid w:val="473F67A2"/>
    <w:rsid w:val="474536E0"/>
    <w:rsid w:val="47463365"/>
    <w:rsid w:val="47596E9F"/>
    <w:rsid w:val="476B55F6"/>
    <w:rsid w:val="47777325"/>
    <w:rsid w:val="477E4B57"/>
    <w:rsid w:val="47863A0C"/>
    <w:rsid w:val="47925F0D"/>
    <w:rsid w:val="47A876DF"/>
    <w:rsid w:val="47AA76FA"/>
    <w:rsid w:val="47B370C9"/>
    <w:rsid w:val="48027536"/>
    <w:rsid w:val="48042FA6"/>
    <w:rsid w:val="481C57BF"/>
    <w:rsid w:val="48240342"/>
    <w:rsid w:val="48343468"/>
    <w:rsid w:val="485578E8"/>
    <w:rsid w:val="48680CE3"/>
    <w:rsid w:val="487516C9"/>
    <w:rsid w:val="48A147B6"/>
    <w:rsid w:val="48A73C3A"/>
    <w:rsid w:val="48D367DD"/>
    <w:rsid w:val="48E82D4D"/>
    <w:rsid w:val="48F007F6"/>
    <w:rsid w:val="48F14EB5"/>
    <w:rsid w:val="491D5CAA"/>
    <w:rsid w:val="49537DE0"/>
    <w:rsid w:val="495518E8"/>
    <w:rsid w:val="49584F34"/>
    <w:rsid w:val="4977360C"/>
    <w:rsid w:val="498703ED"/>
    <w:rsid w:val="49C425C9"/>
    <w:rsid w:val="49C72B69"/>
    <w:rsid w:val="49E62540"/>
    <w:rsid w:val="4A0E6954"/>
    <w:rsid w:val="4A1A47F4"/>
    <w:rsid w:val="4A275032"/>
    <w:rsid w:val="4A275F90"/>
    <w:rsid w:val="4A280DAA"/>
    <w:rsid w:val="4A29760D"/>
    <w:rsid w:val="4A2D4613"/>
    <w:rsid w:val="4A392FB7"/>
    <w:rsid w:val="4A64191B"/>
    <w:rsid w:val="4A722025"/>
    <w:rsid w:val="4A745F18"/>
    <w:rsid w:val="4A8B3EC0"/>
    <w:rsid w:val="4AAC4A05"/>
    <w:rsid w:val="4AB112AD"/>
    <w:rsid w:val="4AB918F6"/>
    <w:rsid w:val="4AD14F9E"/>
    <w:rsid w:val="4AEB42B2"/>
    <w:rsid w:val="4AF403AA"/>
    <w:rsid w:val="4AFD616C"/>
    <w:rsid w:val="4B0B04B0"/>
    <w:rsid w:val="4B3E2640"/>
    <w:rsid w:val="4B447AD4"/>
    <w:rsid w:val="4B7050AD"/>
    <w:rsid w:val="4B717B63"/>
    <w:rsid w:val="4BA30828"/>
    <w:rsid w:val="4BA93D64"/>
    <w:rsid w:val="4BBE0554"/>
    <w:rsid w:val="4BBF20A9"/>
    <w:rsid w:val="4BCB40E3"/>
    <w:rsid w:val="4BD20FCE"/>
    <w:rsid w:val="4BD74836"/>
    <w:rsid w:val="4BED5E07"/>
    <w:rsid w:val="4BF70A34"/>
    <w:rsid w:val="4BFD1393"/>
    <w:rsid w:val="4C150E22"/>
    <w:rsid w:val="4C194E4E"/>
    <w:rsid w:val="4C1C26CD"/>
    <w:rsid w:val="4C2555A1"/>
    <w:rsid w:val="4C2C2DD4"/>
    <w:rsid w:val="4C3F1BAE"/>
    <w:rsid w:val="4C5C4D3B"/>
    <w:rsid w:val="4C5D5CA7"/>
    <w:rsid w:val="4C76404F"/>
    <w:rsid w:val="4C8147A2"/>
    <w:rsid w:val="4CB26A62"/>
    <w:rsid w:val="4CCA7AE1"/>
    <w:rsid w:val="4CE216E4"/>
    <w:rsid w:val="4CEE0366"/>
    <w:rsid w:val="4CF569B5"/>
    <w:rsid w:val="4CFB4947"/>
    <w:rsid w:val="4D04165B"/>
    <w:rsid w:val="4D11448E"/>
    <w:rsid w:val="4D267823"/>
    <w:rsid w:val="4D275D07"/>
    <w:rsid w:val="4D3A507C"/>
    <w:rsid w:val="4D5325E2"/>
    <w:rsid w:val="4D6848C0"/>
    <w:rsid w:val="4D8602C2"/>
    <w:rsid w:val="4D9E5143"/>
    <w:rsid w:val="4D9F75D5"/>
    <w:rsid w:val="4DAE03C1"/>
    <w:rsid w:val="4DC97603"/>
    <w:rsid w:val="4DE163BF"/>
    <w:rsid w:val="4DF72F6D"/>
    <w:rsid w:val="4DFE10C7"/>
    <w:rsid w:val="4E086F29"/>
    <w:rsid w:val="4E140B6A"/>
    <w:rsid w:val="4E1B739A"/>
    <w:rsid w:val="4E233D62"/>
    <w:rsid w:val="4E2875CB"/>
    <w:rsid w:val="4E407F3C"/>
    <w:rsid w:val="4E41243B"/>
    <w:rsid w:val="4E676345"/>
    <w:rsid w:val="4E6C17FA"/>
    <w:rsid w:val="4E8B5D8F"/>
    <w:rsid w:val="4E943545"/>
    <w:rsid w:val="4EB86BA1"/>
    <w:rsid w:val="4ECC43FA"/>
    <w:rsid w:val="4EE94FAC"/>
    <w:rsid w:val="4F0B3CA6"/>
    <w:rsid w:val="4F107345"/>
    <w:rsid w:val="4F1847B3"/>
    <w:rsid w:val="4F2314B3"/>
    <w:rsid w:val="4F3B50DC"/>
    <w:rsid w:val="4F5D5052"/>
    <w:rsid w:val="4F691C49"/>
    <w:rsid w:val="4F813436"/>
    <w:rsid w:val="4FB619EF"/>
    <w:rsid w:val="4FBD1F95"/>
    <w:rsid w:val="4FC861DA"/>
    <w:rsid w:val="4FFB544B"/>
    <w:rsid w:val="500A342C"/>
    <w:rsid w:val="500D6A78"/>
    <w:rsid w:val="500F69BB"/>
    <w:rsid w:val="50406E4E"/>
    <w:rsid w:val="505B77CA"/>
    <w:rsid w:val="50970A38"/>
    <w:rsid w:val="509B22D6"/>
    <w:rsid w:val="50A126B7"/>
    <w:rsid w:val="50A82C45"/>
    <w:rsid w:val="50AE094F"/>
    <w:rsid w:val="50DB294E"/>
    <w:rsid w:val="50DC3D6E"/>
    <w:rsid w:val="510936E3"/>
    <w:rsid w:val="510A2FB8"/>
    <w:rsid w:val="51145BE4"/>
    <w:rsid w:val="511856D5"/>
    <w:rsid w:val="51321C80"/>
    <w:rsid w:val="515661FD"/>
    <w:rsid w:val="516A3A56"/>
    <w:rsid w:val="517255BD"/>
    <w:rsid w:val="517B5C63"/>
    <w:rsid w:val="518C4D4D"/>
    <w:rsid w:val="51937451"/>
    <w:rsid w:val="51A46F68"/>
    <w:rsid w:val="51B13335"/>
    <w:rsid w:val="51D75590"/>
    <w:rsid w:val="521D3CB5"/>
    <w:rsid w:val="523302EC"/>
    <w:rsid w:val="52426781"/>
    <w:rsid w:val="52454FAD"/>
    <w:rsid w:val="524B15B3"/>
    <w:rsid w:val="528374C6"/>
    <w:rsid w:val="528B1ED6"/>
    <w:rsid w:val="529C2335"/>
    <w:rsid w:val="52A70D2C"/>
    <w:rsid w:val="52BE405A"/>
    <w:rsid w:val="52E361B6"/>
    <w:rsid w:val="531210C9"/>
    <w:rsid w:val="532742F5"/>
    <w:rsid w:val="53607807"/>
    <w:rsid w:val="538434F5"/>
    <w:rsid w:val="538A03E0"/>
    <w:rsid w:val="539835FD"/>
    <w:rsid w:val="53A2397B"/>
    <w:rsid w:val="53B92A73"/>
    <w:rsid w:val="53BB67EB"/>
    <w:rsid w:val="53C71634"/>
    <w:rsid w:val="53D224B3"/>
    <w:rsid w:val="53EB1FF8"/>
    <w:rsid w:val="53EC2E48"/>
    <w:rsid w:val="53F45760"/>
    <w:rsid w:val="5406215C"/>
    <w:rsid w:val="546B6463"/>
    <w:rsid w:val="547C41CC"/>
    <w:rsid w:val="5488491F"/>
    <w:rsid w:val="54A379AB"/>
    <w:rsid w:val="54B27BEE"/>
    <w:rsid w:val="54BD0C40"/>
    <w:rsid w:val="54D659D2"/>
    <w:rsid w:val="54F75F49"/>
    <w:rsid w:val="54FC355F"/>
    <w:rsid w:val="55284354"/>
    <w:rsid w:val="55432F3C"/>
    <w:rsid w:val="554A42CB"/>
    <w:rsid w:val="5560589C"/>
    <w:rsid w:val="556C4241"/>
    <w:rsid w:val="5579695E"/>
    <w:rsid w:val="558C043F"/>
    <w:rsid w:val="559807C9"/>
    <w:rsid w:val="55A133E3"/>
    <w:rsid w:val="55B87486"/>
    <w:rsid w:val="55C404FA"/>
    <w:rsid w:val="55C45E2B"/>
    <w:rsid w:val="55CC345F"/>
    <w:rsid w:val="55EE2EA8"/>
    <w:rsid w:val="55F04E72"/>
    <w:rsid w:val="56203207"/>
    <w:rsid w:val="562A2C28"/>
    <w:rsid w:val="562C2ED7"/>
    <w:rsid w:val="564D4072"/>
    <w:rsid w:val="56610227"/>
    <w:rsid w:val="567B54EE"/>
    <w:rsid w:val="567C4958"/>
    <w:rsid w:val="56846C29"/>
    <w:rsid w:val="5689497F"/>
    <w:rsid w:val="56917593"/>
    <w:rsid w:val="56A703F5"/>
    <w:rsid w:val="56C97471"/>
    <w:rsid w:val="56D64EB7"/>
    <w:rsid w:val="56E314E0"/>
    <w:rsid w:val="57282705"/>
    <w:rsid w:val="574C75A3"/>
    <w:rsid w:val="574D2F08"/>
    <w:rsid w:val="5774562F"/>
    <w:rsid w:val="57754BF2"/>
    <w:rsid w:val="57BD6FD6"/>
    <w:rsid w:val="57CA16F3"/>
    <w:rsid w:val="57CA3880"/>
    <w:rsid w:val="57E417E0"/>
    <w:rsid w:val="57EE53E1"/>
    <w:rsid w:val="57F32A52"/>
    <w:rsid w:val="57FE50EE"/>
    <w:rsid w:val="58073B8C"/>
    <w:rsid w:val="580E7831"/>
    <w:rsid w:val="58256929"/>
    <w:rsid w:val="583F3E8F"/>
    <w:rsid w:val="58A40196"/>
    <w:rsid w:val="58BF0B2C"/>
    <w:rsid w:val="58D67320"/>
    <w:rsid w:val="58F534B4"/>
    <w:rsid w:val="593432C8"/>
    <w:rsid w:val="593E026C"/>
    <w:rsid w:val="593E5EF4"/>
    <w:rsid w:val="593F3A1A"/>
    <w:rsid w:val="594D6137"/>
    <w:rsid w:val="5989503C"/>
    <w:rsid w:val="59977C6E"/>
    <w:rsid w:val="599B50F5"/>
    <w:rsid w:val="59A25D4A"/>
    <w:rsid w:val="59AA17DC"/>
    <w:rsid w:val="59B14918"/>
    <w:rsid w:val="59B15C2B"/>
    <w:rsid w:val="59B25F2D"/>
    <w:rsid w:val="59D86349"/>
    <w:rsid w:val="59DD0C04"/>
    <w:rsid w:val="59EC76FE"/>
    <w:rsid w:val="5A034978"/>
    <w:rsid w:val="5A040EEC"/>
    <w:rsid w:val="5A16280E"/>
    <w:rsid w:val="5A1B5A10"/>
    <w:rsid w:val="5A266807"/>
    <w:rsid w:val="5A2C21F1"/>
    <w:rsid w:val="5A6977D7"/>
    <w:rsid w:val="5A6E45B7"/>
    <w:rsid w:val="5A963B0E"/>
    <w:rsid w:val="5AA955EF"/>
    <w:rsid w:val="5ACC2E57"/>
    <w:rsid w:val="5AEB3E5A"/>
    <w:rsid w:val="5B044F1C"/>
    <w:rsid w:val="5B070568"/>
    <w:rsid w:val="5B1C2265"/>
    <w:rsid w:val="5B2E3D47"/>
    <w:rsid w:val="5B33135D"/>
    <w:rsid w:val="5B435A44"/>
    <w:rsid w:val="5B4672E2"/>
    <w:rsid w:val="5B4A6DD2"/>
    <w:rsid w:val="5B572513"/>
    <w:rsid w:val="5B773CF2"/>
    <w:rsid w:val="5B953DC6"/>
    <w:rsid w:val="5B9B5880"/>
    <w:rsid w:val="5BB7600F"/>
    <w:rsid w:val="5BCD355F"/>
    <w:rsid w:val="5BF037E6"/>
    <w:rsid w:val="5BFD3E45"/>
    <w:rsid w:val="5C0F2714"/>
    <w:rsid w:val="5C2A09B2"/>
    <w:rsid w:val="5C3A263A"/>
    <w:rsid w:val="5C531CB7"/>
    <w:rsid w:val="5C814A76"/>
    <w:rsid w:val="5CAE513F"/>
    <w:rsid w:val="5CAF25EE"/>
    <w:rsid w:val="5CAF7F16"/>
    <w:rsid w:val="5CBE74EA"/>
    <w:rsid w:val="5CC56713"/>
    <w:rsid w:val="5CC71DD8"/>
    <w:rsid w:val="5CCE3A33"/>
    <w:rsid w:val="5CD66444"/>
    <w:rsid w:val="5CF82EF2"/>
    <w:rsid w:val="5CF9414D"/>
    <w:rsid w:val="5CF9552F"/>
    <w:rsid w:val="5D0631CD"/>
    <w:rsid w:val="5D0B433F"/>
    <w:rsid w:val="5D17501F"/>
    <w:rsid w:val="5D213B63"/>
    <w:rsid w:val="5D2E44D2"/>
    <w:rsid w:val="5D3C6BEF"/>
    <w:rsid w:val="5D431D2B"/>
    <w:rsid w:val="5D4569AE"/>
    <w:rsid w:val="5D5E0913"/>
    <w:rsid w:val="5D6F2B20"/>
    <w:rsid w:val="5D7C6FEB"/>
    <w:rsid w:val="5D883BE2"/>
    <w:rsid w:val="5D9B5E1F"/>
    <w:rsid w:val="5DA36C6E"/>
    <w:rsid w:val="5DAF116F"/>
    <w:rsid w:val="5DB426F2"/>
    <w:rsid w:val="5DF11787"/>
    <w:rsid w:val="5E0771FD"/>
    <w:rsid w:val="5E2733FB"/>
    <w:rsid w:val="5E647215"/>
    <w:rsid w:val="5E6F6B70"/>
    <w:rsid w:val="5E7128C8"/>
    <w:rsid w:val="5E785A05"/>
    <w:rsid w:val="5E7E5BC7"/>
    <w:rsid w:val="5EA467FA"/>
    <w:rsid w:val="5EAC5CC5"/>
    <w:rsid w:val="5EBB3B43"/>
    <w:rsid w:val="5EC24ED2"/>
    <w:rsid w:val="5ECF669A"/>
    <w:rsid w:val="5EF64B7B"/>
    <w:rsid w:val="5F131BD1"/>
    <w:rsid w:val="5F1C68EB"/>
    <w:rsid w:val="5F223BC2"/>
    <w:rsid w:val="5F304531"/>
    <w:rsid w:val="5F3A658F"/>
    <w:rsid w:val="5F4B6DF9"/>
    <w:rsid w:val="5F5244A8"/>
    <w:rsid w:val="5F5E109E"/>
    <w:rsid w:val="5F675CE8"/>
    <w:rsid w:val="5F6D7533"/>
    <w:rsid w:val="5F904FD0"/>
    <w:rsid w:val="5F9E101E"/>
    <w:rsid w:val="5FD80582"/>
    <w:rsid w:val="5FE377F5"/>
    <w:rsid w:val="60326087"/>
    <w:rsid w:val="603E7754"/>
    <w:rsid w:val="604D407A"/>
    <w:rsid w:val="605E0C2A"/>
    <w:rsid w:val="6061582C"/>
    <w:rsid w:val="60787F3E"/>
    <w:rsid w:val="60940AF0"/>
    <w:rsid w:val="609D64AA"/>
    <w:rsid w:val="60A27B32"/>
    <w:rsid w:val="60BE5D83"/>
    <w:rsid w:val="60DD3A26"/>
    <w:rsid w:val="60E51508"/>
    <w:rsid w:val="60E6759D"/>
    <w:rsid w:val="60F82E2D"/>
    <w:rsid w:val="60FC0223"/>
    <w:rsid w:val="614A3DAA"/>
    <w:rsid w:val="6155027F"/>
    <w:rsid w:val="616821E1"/>
    <w:rsid w:val="61730B8F"/>
    <w:rsid w:val="618463A2"/>
    <w:rsid w:val="618741B1"/>
    <w:rsid w:val="61B2747F"/>
    <w:rsid w:val="61B90451"/>
    <w:rsid w:val="61DE0274"/>
    <w:rsid w:val="61E73B15"/>
    <w:rsid w:val="61EA259B"/>
    <w:rsid w:val="61EB473F"/>
    <w:rsid w:val="622540F5"/>
    <w:rsid w:val="623B7475"/>
    <w:rsid w:val="62405FC3"/>
    <w:rsid w:val="62482F7C"/>
    <w:rsid w:val="62677DAD"/>
    <w:rsid w:val="6281113E"/>
    <w:rsid w:val="62854B94"/>
    <w:rsid w:val="62935219"/>
    <w:rsid w:val="62CD6AEC"/>
    <w:rsid w:val="62D81569"/>
    <w:rsid w:val="62D94595"/>
    <w:rsid w:val="63103C43"/>
    <w:rsid w:val="631E6C0A"/>
    <w:rsid w:val="633B34A5"/>
    <w:rsid w:val="6347009B"/>
    <w:rsid w:val="63566066"/>
    <w:rsid w:val="63901A42"/>
    <w:rsid w:val="63C45248"/>
    <w:rsid w:val="63C60FC0"/>
    <w:rsid w:val="63CB65D6"/>
    <w:rsid w:val="63D41366"/>
    <w:rsid w:val="640E2967"/>
    <w:rsid w:val="64153CF6"/>
    <w:rsid w:val="6419594B"/>
    <w:rsid w:val="64264155"/>
    <w:rsid w:val="644C769A"/>
    <w:rsid w:val="64520AA6"/>
    <w:rsid w:val="64664551"/>
    <w:rsid w:val="647153D0"/>
    <w:rsid w:val="64805613"/>
    <w:rsid w:val="6486074F"/>
    <w:rsid w:val="64BB2AEF"/>
    <w:rsid w:val="64CB26DD"/>
    <w:rsid w:val="650171EE"/>
    <w:rsid w:val="65055B18"/>
    <w:rsid w:val="65433804"/>
    <w:rsid w:val="65556AA0"/>
    <w:rsid w:val="65684D07"/>
    <w:rsid w:val="657D2B9C"/>
    <w:rsid w:val="6593581A"/>
    <w:rsid w:val="65956E9C"/>
    <w:rsid w:val="65A215B9"/>
    <w:rsid w:val="65BD63F3"/>
    <w:rsid w:val="65D406EA"/>
    <w:rsid w:val="66542B2C"/>
    <w:rsid w:val="665723A3"/>
    <w:rsid w:val="667B400E"/>
    <w:rsid w:val="66911D59"/>
    <w:rsid w:val="66B261DF"/>
    <w:rsid w:val="66E005EB"/>
    <w:rsid w:val="66E53E53"/>
    <w:rsid w:val="66E55C01"/>
    <w:rsid w:val="66EA7812"/>
    <w:rsid w:val="6704527C"/>
    <w:rsid w:val="6710264E"/>
    <w:rsid w:val="673F1F3F"/>
    <w:rsid w:val="673F79B4"/>
    <w:rsid w:val="67442824"/>
    <w:rsid w:val="674A1F08"/>
    <w:rsid w:val="67795693"/>
    <w:rsid w:val="677A0A3F"/>
    <w:rsid w:val="67987117"/>
    <w:rsid w:val="67A43BE0"/>
    <w:rsid w:val="67AB6E4B"/>
    <w:rsid w:val="67B37F71"/>
    <w:rsid w:val="67CE6C86"/>
    <w:rsid w:val="67D31319"/>
    <w:rsid w:val="67D72D6F"/>
    <w:rsid w:val="67DC6D5A"/>
    <w:rsid w:val="67E206D5"/>
    <w:rsid w:val="683E4D48"/>
    <w:rsid w:val="685A261F"/>
    <w:rsid w:val="6865349E"/>
    <w:rsid w:val="68655F18"/>
    <w:rsid w:val="68701E42"/>
    <w:rsid w:val="68B00491"/>
    <w:rsid w:val="68C14BF3"/>
    <w:rsid w:val="68FA309F"/>
    <w:rsid w:val="68FB170C"/>
    <w:rsid w:val="68FE0507"/>
    <w:rsid w:val="69034A64"/>
    <w:rsid w:val="690F3409"/>
    <w:rsid w:val="69272501"/>
    <w:rsid w:val="692C5D69"/>
    <w:rsid w:val="692E7D33"/>
    <w:rsid w:val="692F7608"/>
    <w:rsid w:val="69401815"/>
    <w:rsid w:val="694A487B"/>
    <w:rsid w:val="694D6631"/>
    <w:rsid w:val="695025CA"/>
    <w:rsid w:val="6958090C"/>
    <w:rsid w:val="695928D6"/>
    <w:rsid w:val="69765236"/>
    <w:rsid w:val="698E07D2"/>
    <w:rsid w:val="69AB0D0D"/>
    <w:rsid w:val="69B27B43"/>
    <w:rsid w:val="69BE0005"/>
    <w:rsid w:val="69DF2DDC"/>
    <w:rsid w:val="69EA352F"/>
    <w:rsid w:val="69EB2192"/>
    <w:rsid w:val="6A3C0286"/>
    <w:rsid w:val="6A570136"/>
    <w:rsid w:val="6A695DCD"/>
    <w:rsid w:val="6A731776"/>
    <w:rsid w:val="6A753740"/>
    <w:rsid w:val="6A7A6FA8"/>
    <w:rsid w:val="6A7E2C0A"/>
    <w:rsid w:val="6A802F8E"/>
    <w:rsid w:val="6AAD4C88"/>
    <w:rsid w:val="6ABA55F7"/>
    <w:rsid w:val="6AC10733"/>
    <w:rsid w:val="6ACD7255"/>
    <w:rsid w:val="6AD2649C"/>
    <w:rsid w:val="6AE17565"/>
    <w:rsid w:val="6AFE3735"/>
    <w:rsid w:val="6B2111D2"/>
    <w:rsid w:val="6B361E7E"/>
    <w:rsid w:val="6B3C7DBA"/>
    <w:rsid w:val="6B3D4EC2"/>
    <w:rsid w:val="6B43383E"/>
    <w:rsid w:val="6B6F63E1"/>
    <w:rsid w:val="6B8071BE"/>
    <w:rsid w:val="6BB16221"/>
    <w:rsid w:val="6BE40B7D"/>
    <w:rsid w:val="6BE45953"/>
    <w:rsid w:val="6BE94F3A"/>
    <w:rsid w:val="6BF40694"/>
    <w:rsid w:val="6C061F17"/>
    <w:rsid w:val="6C0E5BFA"/>
    <w:rsid w:val="6C150D37"/>
    <w:rsid w:val="6C2F1E55"/>
    <w:rsid w:val="6C376EFF"/>
    <w:rsid w:val="6C661592"/>
    <w:rsid w:val="6C741E4F"/>
    <w:rsid w:val="6C787517"/>
    <w:rsid w:val="6C914D27"/>
    <w:rsid w:val="6C931E58"/>
    <w:rsid w:val="6CAA6CFE"/>
    <w:rsid w:val="6CC369E5"/>
    <w:rsid w:val="6CD7419C"/>
    <w:rsid w:val="6CDC7AA6"/>
    <w:rsid w:val="6D013FEB"/>
    <w:rsid w:val="6D1930EC"/>
    <w:rsid w:val="6D2F407A"/>
    <w:rsid w:val="6DA71186"/>
    <w:rsid w:val="6DB30918"/>
    <w:rsid w:val="6DB620A5"/>
    <w:rsid w:val="6DC42A14"/>
    <w:rsid w:val="6DCF4F15"/>
    <w:rsid w:val="6DD036A3"/>
    <w:rsid w:val="6DE81D0F"/>
    <w:rsid w:val="6DE85FD7"/>
    <w:rsid w:val="6DF76B0A"/>
    <w:rsid w:val="6E054DB3"/>
    <w:rsid w:val="6E0D5EB7"/>
    <w:rsid w:val="6E1A0994"/>
    <w:rsid w:val="6E7004A6"/>
    <w:rsid w:val="6E9E14B7"/>
    <w:rsid w:val="6EBD3E7A"/>
    <w:rsid w:val="6EBD700A"/>
    <w:rsid w:val="6EC72090"/>
    <w:rsid w:val="6ED53771"/>
    <w:rsid w:val="6EFD2502"/>
    <w:rsid w:val="6F062BB9"/>
    <w:rsid w:val="6F082DD5"/>
    <w:rsid w:val="6F1352D6"/>
    <w:rsid w:val="6F5E1724"/>
    <w:rsid w:val="6F6618A9"/>
    <w:rsid w:val="6F71097A"/>
    <w:rsid w:val="6F743FC6"/>
    <w:rsid w:val="6F783707"/>
    <w:rsid w:val="6F7D7049"/>
    <w:rsid w:val="6F963F3C"/>
    <w:rsid w:val="6FE1043B"/>
    <w:rsid w:val="6FF670D1"/>
    <w:rsid w:val="700B760E"/>
    <w:rsid w:val="700D7F77"/>
    <w:rsid w:val="703B4AE4"/>
    <w:rsid w:val="705160B5"/>
    <w:rsid w:val="706E310B"/>
    <w:rsid w:val="70794B97"/>
    <w:rsid w:val="70860455"/>
    <w:rsid w:val="70860D62"/>
    <w:rsid w:val="70891C83"/>
    <w:rsid w:val="708C17E3"/>
    <w:rsid w:val="70981F36"/>
    <w:rsid w:val="70CD6084"/>
    <w:rsid w:val="70D016D0"/>
    <w:rsid w:val="70F35BF8"/>
    <w:rsid w:val="71160F53"/>
    <w:rsid w:val="711A0B9D"/>
    <w:rsid w:val="713C4FB8"/>
    <w:rsid w:val="71491244"/>
    <w:rsid w:val="714B51FB"/>
    <w:rsid w:val="71582A07"/>
    <w:rsid w:val="717943B6"/>
    <w:rsid w:val="71916F49"/>
    <w:rsid w:val="71A33B87"/>
    <w:rsid w:val="71AB63BC"/>
    <w:rsid w:val="71AE4713"/>
    <w:rsid w:val="71B27028"/>
    <w:rsid w:val="71D25565"/>
    <w:rsid w:val="71D945B4"/>
    <w:rsid w:val="71F11C1F"/>
    <w:rsid w:val="723314F1"/>
    <w:rsid w:val="724A62A9"/>
    <w:rsid w:val="72646574"/>
    <w:rsid w:val="727F33AE"/>
    <w:rsid w:val="72802C82"/>
    <w:rsid w:val="72A8433C"/>
    <w:rsid w:val="72AA7CFF"/>
    <w:rsid w:val="72BD1CA1"/>
    <w:rsid w:val="72C07522"/>
    <w:rsid w:val="72D468CD"/>
    <w:rsid w:val="73156124"/>
    <w:rsid w:val="731A30D6"/>
    <w:rsid w:val="7320374B"/>
    <w:rsid w:val="73426189"/>
    <w:rsid w:val="734C0DB6"/>
    <w:rsid w:val="73584999"/>
    <w:rsid w:val="735A3B0C"/>
    <w:rsid w:val="7361796E"/>
    <w:rsid w:val="737427E7"/>
    <w:rsid w:val="737C78ED"/>
    <w:rsid w:val="739369E5"/>
    <w:rsid w:val="739B4217"/>
    <w:rsid w:val="73AD5CF9"/>
    <w:rsid w:val="73D94D40"/>
    <w:rsid w:val="740D2C3B"/>
    <w:rsid w:val="742E508B"/>
    <w:rsid w:val="744877CF"/>
    <w:rsid w:val="74692D8A"/>
    <w:rsid w:val="74716D26"/>
    <w:rsid w:val="74933140"/>
    <w:rsid w:val="74AB66DC"/>
    <w:rsid w:val="74B81FE2"/>
    <w:rsid w:val="74B86703"/>
    <w:rsid w:val="74BD1F6B"/>
    <w:rsid w:val="74CE23CA"/>
    <w:rsid w:val="74E813D5"/>
    <w:rsid w:val="74FF4332"/>
    <w:rsid w:val="750E0AAE"/>
    <w:rsid w:val="751C1388"/>
    <w:rsid w:val="75581C94"/>
    <w:rsid w:val="755F3023"/>
    <w:rsid w:val="75874327"/>
    <w:rsid w:val="75995FB8"/>
    <w:rsid w:val="75A1188D"/>
    <w:rsid w:val="75B50E95"/>
    <w:rsid w:val="75CA0DE4"/>
    <w:rsid w:val="75CD4430"/>
    <w:rsid w:val="75D25EEA"/>
    <w:rsid w:val="75F75951"/>
    <w:rsid w:val="75FC4D15"/>
    <w:rsid w:val="75FE0A8D"/>
    <w:rsid w:val="76097029"/>
    <w:rsid w:val="76133C04"/>
    <w:rsid w:val="764A4CEF"/>
    <w:rsid w:val="766C1E9B"/>
    <w:rsid w:val="76880357"/>
    <w:rsid w:val="769D2054"/>
    <w:rsid w:val="76AA4771"/>
    <w:rsid w:val="76CC0B8C"/>
    <w:rsid w:val="76E13170"/>
    <w:rsid w:val="76E311A3"/>
    <w:rsid w:val="772938E8"/>
    <w:rsid w:val="7734344E"/>
    <w:rsid w:val="774424D0"/>
    <w:rsid w:val="77813724"/>
    <w:rsid w:val="77972F48"/>
    <w:rsid w:val="77980A6E"/>
    <w:rsid w:val="7798554B"/>
    <w:rsid w:val="77A2369A"/>
    <w:rsid w:val="77B561D9"/>
    <w:rsid w:val="77CB0E43"/>
    <w:rsid w:val="77E141C3"/>
    <w:rsid w:val="77F008AA"/>
    <w:rsid w:val="78054355"/>
    <w:rsid w:val="78202F3D"/>
    <w:rsid w:val="782347DB"/>
    <w:rsid w:val="78300CA6"/>
    <w:rsid w:val="783267CC"/>
    <w:rsid w:val="783951EC"/>
    <w:rsid w:val="783C3AEF"/>
    <w:rsid w:val="783E1615"/>
    <w:rsid w:val="78484242"/>
    <w:rsid w:val="78485FF0"/>
    <w:rsid w:val="786646C8"/>
    <w:rsid w:val="786C4C30"/>
    <w:rsid w:val="7874661E"/>
    <w:rsid w:val="78827754"/>
    <w:rsid w:val="78B91B03"/>
    <w:rsid w:val="78BE2756"/>
    <w:rsid w:val="78D12489"/>
    <w:rsid w:val="78EA354B"/>
    <w:rsid w:val="79711576"/>
    <w:rsid w:val="7973634F"/>
    <w:rsid w:val="797F0066"/>
    <w:rsid w:val="79862855"/>
    <w:rsid w:val="79AB7B9C"/>
    <w:rsid w:val="79C36276"/>
    <w:rsid w:val="79D33BD7"/>
    <w:rsid w:val="79E56BF4"/>
    <w:rsid w:val="79E65AC0"/>
    <w:rsid w:val="7A0712A8"/>
    <w:rsid w:val="7A1A5F3C"/>
    <w:rsid w:val="7A293BFF"/>
    <w:rsid w:val="7A2E3F8E"/>
    <w:rsid w:val="7A340F22"/>
    <w:rsid w:val="7A440A39"/>
    <w:rsid w:val="7A486B67"/>
    <w:rsid w:val="7A5C5D83"/>
    <w:rsid w:val="7A63380E"/>
    <w:rsid w:val="7A7C01D3"/>
    <w:rsid w:val="7A7E002C"/>
    <w:rsid w:val="7A8734B8"/>
    <w:rsid w:val="7A8A6D94"/>
    <w:rsid w:val="7A911ED0"/>
    <w:rsid w:val="7AB64546"/>
    <w:rsid w:val="7AC04563"/>
    <w:rsid w:val="7ACB4729"/>
    <w:rsid w:val="7AE220D3"/>
    <w:rsid w:val="7AE70BAE"/>
    <w:rsid w:val="7AEA7832"/>
    <w:rsid w:val="7AEC455F"/>
    <w:rsid w:val="7B05466C"/>
    <w:rsid w:val="7B0703E4"/>
    <w:rsid w:val="7B197943"/>
    <w:rsid w:val="7B4D1357"/>
    <w:rsid w:val="7B641393"/>
    <w:rsid w:val="7B6E2F9B"/>
    <w:rsid w:val="7B89704B"/>
    <w:rsid w:val="7B98702C"/>
    <w:rsid w:val="7BC71922"/>
    <w:rsid w:val="7BC77B74"/>
    <w:rsid w:val="7BD04C7A"/>
    <w:rsid w:val="7BD57CCF"/>
    <w:rsid w:val="7C022E76"/>
    <w:rsid w:val="7C055D6D"/>
    <w:rsid w:val="7C213B75"/>
    <w:rsid w:val="7C305719"/>
    <w:rsid w:val="7C3163FF"/>
    <w:rsid w:val="7C896BD7"/>
    <w:rsid w:val="7C8B6DF3"/>
    <w:rsid w:val="7C8D6749"/>
    <w:rsid w:val="7CA61385"/>
    <w:rsid w:val="7CB718F6"/>
    <w:rsid w:val="7CCC0C02"/>
    <w:rsid w:val="7CE24C65"/>
    <w:rsid w:val="7CE64C01"/>
    <w:rsid w:val="7CFB7AD5"/>
    <w:rsid w:val="7D07647A"/>
    <w:rsid w:val="7D0E5A5A"/>
    <w:rsid w:val="7D123C1F"/>
    <w:rsid w:val="7D1467DB"/>
    <w:rsid w:val="7D2C7C8E"/>
    <w:rsid w:val="7D625DA6"/>
    <w:rsid w:val="7D871368"/>
    <w:rsid w:val="7D8B70AB"/>
    <w:rsid w:val="7D931348"/>
    <w:rsid w:val="7DC12ACC"/>
    <w:rsid w:val="7DD32800"/>
    <w:rsid w:val="7DF14781"/>
    <w:rsid w:val="7DFA2E1C"/>
    <w:rsid w:val="7E0D3978"/>
    <w:rsid w:val="7E3A287F"/>
    <w:rsid w:val="7E3F7E95"/>
    <w:rsid w:val="7E6873EC"/>
    <w:rsid w:val="7E9E4BBC"/>
    <w:rsid w:val="7EB10D93"/>
    <w:rsid w:val="7EB459DD"/>
    <w:rsid w:val="7ECD724F"/>
    <w:rsid w:val="7EE22D5E"/>
    <w:rsid w:val="7EF02C27"/>
    <w:rsid w:val="7EF91AB2"/>
    <w:rsid w:val="7EFB3E85"/>
    <w:rsid w:val="7F016EF9"/>
    <w:rsid w:val="7F030EC3"/>
    <w:rsid w:val="7F0E20E8"/>
    <w:rsid w:val="7F177E9D"/>
    <w:rsid w:val="7F2729DE"/>
    <w:rsid w:val="7F390D88"/>
    <w:rsid w:val="7F6A2CF0"/>
    <w:rsid w:val="7F841BB1"/>
    <w:rsid w:val="7F8C2C66"/>
    <w:rsid w:val="7FCF1996"/>
    <w:rsid w:val="7FD17D13"/>
    <w:rsid w:val="7FD7406F"/>
    <w:rsid w:val="7FDF106F"/>
    <w:rsid w:val="7FF1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jc w:val="center"/>
      <w:outlineLvl w:val="0"/>
    </w:pPr>
    <w:rPr>
      <w:b/>
      <w:bCs/>
      <w:kern w:val="44"/>
      <w:sz w:val="32"/>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textAlignment w:val="baseline"/>
      <w:outlineLvl w:val="2"/>
    </w:pPr>
    <w:rPr>
      <w:b/>
      <w:bCs/>
      <w:color w:val="000000"/>
      <w:sz w:val="32"/>
      <w:szCs w:val="32"/>
      <w:u w:color="000000"/>
    </w:rPr>
  </w:style>
  <w:style w:type="paragraph" w:styleId="5">
    <w:name w:val="heading 4"/>
    <w:basedOn w:val="1"/>
    <w:next w:val="1"/>
    <w:link w:val="56"/>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color="000000"/>
    </w:rPr>
  </w:style>
  <w:style w:type="paragraph" w:styleId="6">
    <w:name w:val="heading 5"/>
    <w:basedOn w:val="1"/>
    <w:next w:val="1"/>
    <w:link w:val="57"/>
    <w:qFormat/>
    <w:uiPriority w:val="0"/>
    <w:pPr>
      <w:keepNext/>
      <w:keepLines/>
      <w:spacing w:before="280" w:after="290" w:line="376" w:lineRule="auto"/>
      <w:outlineLvl w:val="4"/>
    </w:pPr>
    <w:rPr>
      <w:b/>
      <w:bCs/>
      <w:sz w:val="28"/>
      <w:szCs w:val="28"/>
    </w:rPr>
  </w:style>
  <w:style w:type="paragraph" w:styleId="7">
    <w:name w:val="heading 6"/>
    <w:basedOn w:val="1"/>
    <w:next w:val="1"/>
    <w:link w:val="58"/>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59"/>
    <w:qFormat/>
    <w:uiPriority w:val="0"/>
    <w:pPr>
      <w:keepNext/>
      <w:keepLines/>
      <w:spacing w:before="240" w:after="64" w:line="320" w:lineRule="auto"/>
      <w:outlineLvl w:val="6"/>
    </w:pPr>
    <w:rPr>
      <w:b/>
      <w:bCs/>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qFormat/>
    <w:uiPriority w:val="39"/>
    <w:pPr>
      <w:ind w:left="1260"/>
      <w:jc w:val="left"/>
    </w:pPr>
    <w:rPr>
      <w:sz w:val="18"/>
      <w:szCs w:val="18"/>
    </w:rPr>
  </w:style>
  <w:style w:type="paragraph" w:styleId="10">
    <w:name w:val="List Number 2"/>
    <w:basedOn w:val="1"/>
    <w:qFormat/>
    <w:uiPriority w:val="0"/>
    <w:pPr>
      <w:numPr>
        <w:ilvl w:val="0"/>
        <w:numId w:val="2"/>
      </w:numPr>
      <w:tabs>
        <w:tab w:val="left" w:pos="567"/>
        <w:tab w:val="clear" w:pos="425"/>
      </w:tabs>
      <w:adjustRightInd w:val="0"/>
      <w:spacing w:line="300" w:lineRule="auto"/>
      <w:textAlignment w:val="baseline"/>
    </w:pPr>
    <w:rPr>
      <w:kern w:val="0"/>
      <w:sz w:val="28"/>
      <w:szCs w:val="20"/>
    </w:rPr>
  </w:style>
  <w:style w:type="paragraph" w:styleId="11">
    <w:name w:val="Normal Indent"/>
    <w:basedOn w:val="1"/>
    <w:next w:val="12"/>
    <w:qFormat/>
    <w:uiPriority w:val="0"/>
    <w:pPr>
      <w:adjustRightInd w:val="0"/>
      <w:spacing w:line="360" w:lineRule="atLeast"/>
      <w:ind w:firstLine="482"/>
      <w:textAlignment w:val="baseline"/>
    </w:pPr>
    <w:rPr>
      <w:kern w:val="0"/>
      <w:sz w:val="24"/>
      <w:szCs w:val="20"/>
    </w:rPr>
  </w:style>
  <w:style w:type="paragraph" w:styleId="12">
    <w:name w:val="Body Text First Indent 2"/>
    <w:basedOn w:val="13"/>
    <w:next w:val="1"/>
    <w:link w:val="54"/>
    <w:qFormat/>
    <w:uiPriority w:val="0"/>
    <w:pPr>
      <w:ind w:left="420" w:firstLine="420" w:firstLineChars="200"/>
    </w:pPr>
    <w:rPr>
      <w:kern w:val="0"/>
      <w:sz w:val="20"/>
      <w:szCs w:val="20"/>
    </w:rPr>
  </w:style>
  <w:style w:type="paragraph" w:styleId="13">
    <w:name w:val="Body Text Indent"/>
    <w:basedOn w:val="1"/>
    <w:next w:val="14"/>
    <w:link w:val="53"/>
    <w:qFormat/>
    <w:uiPriority w:val="0"/>
    <w:pPr>
      <w:spacing w:after="120"/>
      <w:ind w:left="200" w:leftChars="200"/>
    </w:pPr>
  </w:style>
  <w:style w:type="paragraph" w:styleId="14">
    <w:name w:val="envelope return"/>
    <w:basedOn w:val="1"/>
    <w:next w:val="9"/>
    <w:qFormat/>
    <w:uiPriority w:val="0"/>
    <w:pPr>
      <w:snapToGrid w:val="0"/>
    </w:pPr>
    <w:rPr>
      <w:rFonts w:ascii="Arial" w:hAnsi="Arial"/>
    </w:rPr>
  </w:style>
  <w:style w:type="paragraph" w:styleId="15">
    <w:name w:val="Document Map"/>
    <w:basedOn w:val="1"/>
    <w:next w:val="1"/>
    <w:qFormat/>
    <w:uiPriority w:val="0"/>
    <w:pPr>
      <w:widowControl/>
      <w:shd w:val="clear" w:color="000000" w:fill="000080"/>
      <w:spacing w:line="357" w:lineRule="atLeast"/>
    </w:pPr>
    <w:rPr>
      <w:color w:val="000000"/>
    </w:rPr>
  </w:style>
  <w:style w:type="paragraph" w:styleId="16">
    <w:name w:val="annotation text"/>
    <w:basedOn w:val="1"/>
    <w:link w:val="60"/>
    <w:qFormat/>
    <w:uiPriority w:val="0"/>
    <w:pPr>
      <w:jc w:val="left"/>
    </w:pPr>
  </w:style>
  <w:style w:type="paragraph" w:styleId="17">
    <w:name w:val="Body Text"/>
    <w:basedOn w:val="1"/>
    <w:qFormat/>
    <w:uiPriority w:val="0"/>
    <w:pPr>
      <w:spacing w:after="120"/>
    </w:pPr>
  </w:style>
  <w:style w:type="paragraph" w:styleId="18">
    <w:name w:val="toc 3"/>
    <w:basedOn w:val="1"/>
    <w:next w:val="1"/>
    <w:qFormat/>
    <w:uiPriority w:val="0"/>
    <w:pPr>
      <w:tabs>
        <w:tab w:val="right" w:leader="dot" w:pos="9288"/>
      </w:tabs>
      <w:ind w:left="400" w:leftChars="400"/>
    </w:pPr>
    <w:rPr>
      <w:rFonts w:ascii="宋体"/>
    </w:rPr>
  </w:style>
  <w:style w:type="paragraph" w:styleId="19">
    <w:name w:val="Plain Text"/>
    <w:basedOn w:val="1"/>
    <w:link w:val="61"/>
    <w:qFormat/>
    <w:uiPriority w:val="0"/>
    <w:rPr>
      <w:rFonts w:ascii="宋体"/>
      <w:color w:val="000000"/>
      <w:szCs w:val="20"/>
      <w:u w:color="000000"/>
    </w:rPr>
  </w:style>
  <w:style w:type="paragraph" w:styleId="20">
    <w:name w:val="Date"/>
    <w:basedOn w:val="1"/>
    <w:next w:val="1"/>
    <w:link w:val="62"/>
    <w:qFormat/>
    <w:uiPriority w:val="0"/>
    <w:rPr>
      <w:rFonts w:ascii="Arial" w:hAnsi="Arial" w:eastAsia="仿宋_GB2312"/>
      <w:color w:val="000000"/>
      <w:sz w:val="32"/>
      <w:szCs w:val="20"/>
      <w:u w:color="000000"/>
    </w:rPr>
  </w:style>
  <w:style w:type="paragraph" w:styleId="21">
    <w:name w:val="Body Text Indent 2"/>
    <w:basedOn w:val="1"/>
    <w:link w:val="63"/>
    <w:qFormat/>
    <w:uiPriority w:val="0"/>
    <w:pPr>
      <w:spacing w:after="120" w:line="480" w:lineRule="auto"/>
      <w:ind w:left="420" w:leftChars="200"/>
    </w:pPr>
  </w:style>
  <w:style w:type="paragraph" w:styleId="22">
    <w:name w:val="Balloon Text"/>
    <w:basedOn w:val="1"/>
    <w:link w:val="64"/>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Subtitle"/>
    <w:basedOn w:val="1"/>
    <w:next w:val="1"/>
    <w:qFormat/>
    <w:uiPriority w:val="0"/>
    <w:pPr>
      <w:numPr>
        <w:ilvl w:val="0"/>
        <w:numId w:val="3"/>
      </w:numPr>
      <w:spacing w:line="360" w:lineRule="auto"/>
      <w:jc w:val="left"/>
      <w:outlineLvl w:val="1"/>
    </w:pPr>
    <w:rPr>
      <w:rFonts w:ascii="Calibri Light" w:hAnsi="Calibri Light"/>
      <w:bCs/>
      <w:kern w:val="28"/>
      <w:szCs w:val="32"/>
    </w:rPr>
  </w:style>
  <w:style w:type="paragraph" w:styleId="27">
    <w:name w:val="List"/>
    <w:basedOn w:val="1"/>
    <w:next w:val="1"/>
    <w:qFormat/>
    <w:uiPriority w:val="0"/>
    <w:pPr>
      <w:ind w:left="420" w:hanging="420"/>
    </w:pPr>
    <w:rPr>
      <w:rFonts w:ascii="Arial" w:hAnsi="Arial" w:eastAsia="楷体_GB2312"/>
      <w:sz w:val="28"/>
    </w:rPr>
  </w:style>
  <w:style w:type="paragraph" w:styleId="28">
    <w:name w:val="toc 6"/>
    <w:basedOn w:val="1"/>
    <w:next w:val="1"/>
    <w:qFormat/>
    <w:uiPriority w:val="0"/>
    <w:pPr>
      <w:autoSpaceDE w:val="0"/>
      <w:autoSpaceDN w:val="0"/>
      <w:ind w:left="1700"/>
      <w:jc w:val="left"/>
      <w:textAlignment w:val="baseline"/>
    </w:pPr>
    <w:rPr>
      <w:kern w:val="0"/>
      <w:sz w:val="18"/>
      <w:szCs w:val="18"/>
    </w:rPr>
  </w:style>
  <w:style w:type="paragraph" w:styleId="29">
    <w:name w:val="toc 2"/>
    <w:basedOn w:val="1"/>
    <w:next w:val="1"/>
    <w:qFormat/>
    <w:uiPriority w:val="0"/>
    <w:pPr>
      <w:ind w:left="200" w:leftChars="200"/>
    </w:p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Arial" w:hAnsi="Arial"/>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Title"/>
    <w:basedOn w:val="1"/>
    <w:next w:val="1"/>
    <w:qFormat/>
    <w:uiPriority w:val="0"/>
    <w:pPr>
      <w:numPr>
        <w:ilvl w:val="0"/>
        <w:numId w:val="4"/>
      </w:numPr>
      <w:spacing w:line="360" w:lineRule="auto"/>
      <w:jc w:val="left"/>
      <w:outlineLvl w:val="0"/>
    </w:pPr>
    <w:rPr>
      <w:rFonts w:ascii="Cambria" w:hAnsi="Cambria"/>
      <w:b/>
      <w:bCs/>
      <w:sz w:val="28"/>
      <w:szCs w:val="32"/>
    </w:rPr>
  </w:style>
  <w:style w:type="paragraph" w:styleId="33">
    <w:name w:val="annotation subject"/>
    <w:basedOn w:val="16"/>
    <w:next w:val="16"/>
    <w:link w:val="67"/>
    <w:qFormat/>
    <w:uiPriority w:val="0"/>
    <w:rPr>
      <w:b/>
      <w:bCs/>
    </w:rPr>
  </w:style>
  <w:style w:type="paragraph" w:styleId="34">
    <w:name w:val="Body Text First Indent"/>
    <w:basedOn w:val="17"/>
    <w:qFormat/>
    <w:uiPriority w:val="0"/>
    <w:pPr>
      <w:ind w:firstLine="420" w:firstLineChars="1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rFonts w:ascii="Times New Roman" w:hAnsi="Times New Roman" w:eastAsia="宋体" w:cs="Times New Roman"/>
      <w:b/>
    </w:rPr>
  </w:style>
  <w:style w:type="character" w:styleId="39">
    <w:name w:val="page number"/>
    <w:qFormat/>
    <w:uiPriority w:val="0"/>
    <w:rPr>
      <w:rFonts w:ascii="Times New Roman" w:hAnsi="Times New Roman" w:eastAsia="宋体" w:cs="Times New Roman"/>
    </w:rPr>
  </w:style>
  <w:style w:type="character" w:styleId="40">
    <w:name w:val="FollowedHyperlink"/>
    <w:qFormat/>
    <w:uiPriority w:val="0"/>
    <w:rPr>
      <w:rFonts w:ascii="Times New Roman" w:hAnsi="Times New Roman" w:eastAsia="宋体" w:cs="Times New Roman"/>
      <w:color w:val="333333"/>
      <w:u w:val="none"/>
    </w:rPr>
  </w:style>
  <w:style w:type="character" w:styleId="41">
    <w:name w:val="Emphasis"/>
    <w:qFormat/>
    <w:uiPriority w:val="0"/>
    <w:rPr>
      <w:rFonts w:ascii="Times New Roman" w:hAnsi="Times New Roman" w:eastAsia="宋体" w:cs="Times New Roman"/>
      <w:i/>
      <w:iCs/>
    </w:rPr>
  </w:style>
  <w:style w:type="character" w:styleId="42">
    <w:name w:val="HTML Definition"/>
    <w:qFormat/>
    <w:uiPriority w:val="0"/>
    <w:rPr>
      <w:rFonts w:ascii="Times New Roman" w:hAnsi="Times New Roman" w:eastAsia="宋体" w:cs="Times New Roman"/>
    </w:rPr>
  </w:style>
  <w:style w:type="character" w:styleId="43">
    <w:name w:val="HTML Typewriter"/>
    <w:qFormat/>
    <w:uiPriority w:val="0"/>
    <w:rPr>
      <w:rFonts w:hint="default" w:ascii="monospace" w:hAnsi="monospace" w:eastAsia="monospace" w:cs="monospace"/>
      <w:sz w:val="20"/>
    </w:rPr>
  </w:style>
  <w:style w:type="character" w:styleId="44">
    <w:name w:val="HTML Acronym"/>
    <w:qFormat/>
    <w:uiPriority w:val="0"/>
    <w:rPr>
      <w:rFonts w:ascii="Times New Roman" w:hAnsi="Times New Roman" w:eastAsia="宋体" w:cs="Times New Roman"/>
    </w:rPr>
  </w:style>
  <w:style w:type="character" w:styleId="45">
    <w:name w:val="HTML Variable"/>
    <w:qFormat/>
    <w:uiPriority w:val="0"/>
    <w:rPr>
      <w:rFonts w:ascii="Times New Roman" w:hAnsi="Times New Roman" w:eastAsia="宋体" w:cs="Times New Roman"/>
    </w:rPr>
  </w:style>
  <w:style w:type="character" w:styleId="46">
    <w:name w:val="Hyperlink"/>
    <w:qFormat/>
    <w:uiPriority w:val="0"/>
    <w:rPr>
      <w:rFonts w:ascii="Times New Roman" w:hAnsi="Times New Roman" w:eastAsia="宋体" w:cs="Times New Roman"/>
      <w:color w:val="333333"/>
      <w:u w:val="none"/>
    </w:rPr>
  </w:style>
  <w:style w:type="character" w:styleId="47">
    <w:name w:val="HTML Code"/>
    <w:qFormat/>
    <w:uiPriority w:val="0"/>
    <w:rPr>
      <w:rFonts w:hint="default" w:ascii="monospace" w:hAnsi="monospace" w:eastAsia="monospace" w:cs="monospace"/>
      <w:sz w:val="20"/>
    </w:rPr>
  </w:style>
  <w:style w:type="character" w:styleId="48">
    <w:name w:val="annotation reference"/>
    <w:qFormat/>
    <w:uiPriority w:val="0"/>
    <w:rPr>
      <w:rFonts w:ascii="Times New Roman" w:hAnsi="Times New Roman" w:eastAsia="宋体" w:cs="Times New Roman"/>
      <w:sz w:val="21"/>
      <w:szCs w:val="21"/>
    </w:rPr>
  </w:style>
  <w:style w:type="character" w:styleId="49">
    <w:name w:val="HTML Cite"/>
    <w:qFormat/>
    <w:uiPriority w:val="0"/>
    <w:rPr>
      <w:rFonts w:ascii="Times New Roman" w:hAnsi="Times New Roman" w:eastAsia="宋体" w:cs="Times New Roman"/>
    </w:rPr>
  </w:style>
  <w:style w:type="character" w:styleId="50">
    <w:name w:val="HTML Keyboard"/>
    <w:qFormat/>
    <w:uiPriority w:val="0"/>
    <w:rPr>
      <w:rFonts w:hint="default" w:ascii="monospace" w:hAnsi="monospace" w:eastAsia="monospace" w:cs="monospace"/>
      <w:sz w:val="20"/>
    </w:rPr>
  </w:style>
  <w:style w:type="character" w:styleId="51">
    <w:name w:val="HTML Sample"/>
    <w:qFormat/>
    <w:uiPriority w:val="0"/>
    <w:rPr>
      <w:rFonts w:ascii="monospace" w:hAnsi="monospace" w:eastAsia="monospace" w:cs="monospace"/>
    </w:rPr>
  </w:style>
  <w:style w:type="paragraph" w:customStyle="1" w:styleId="52">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53">
    <w:name w:val="正文文本缩进 Char"/>
    <w:link w:val="13"/>
    <w:qFormat/>
    <w:uiPriority w:val="0"/>
    <w:rPr>
      <w:rFonts w:ascii="Times New Roman" w:hAnsi="Times New Roman" w:eastAsia="宋体" w:cs="Times New Roman"/>
      <w:kern w:val="2"/>
      <w:sz w:val="21"/>
      <w:szCs w:val="24"/>
    </w:rPr>
  </w:style>
  <w:style w:type="character" w:customStyle="1" w:styleId="54">
    <w:name w:val="正文首行缩进 2 Char"/>
    <w:link w:val="12"/>
    <w:qFormat/>
    <w:uiPriority w:val="0"/>
    <w:rPr>
      <w:rFonts w:ascii="Times New Roman" w:hAnsi="Times New Roman" w:eastAsia="宋体" w:cs="Times New Roman"/>
    </w:rPr>
  </w:style>
  <w:style w:type="character" w:customStyle="1" w:styleId="55">
    <w:name w:val="标题 1 Char"/>
    <w:link w:val="2"/>
    <w:qFormat/>
    <w:uiPriority w:val="0"/>
    <w:rPr>
      <w:rFonts w:ascii="Times New Roman" w:hAnsi="Times New Roman" w:eastAsia="宋体" w:cs="Times New Roman"/>
      <w:b/>
      <w:bCs/>
      <w:kern w:val="44"/>
      <w:sz w:val="32"/>
      <w:szCs w:val="44"/>
    </w:rPr>
  </w:style>
  <w:style w:type="character" w:customStyle="1" w:styleId="56">
    <w:name w:val="标题 4 Char"/>
    <w:link w:val="5"/>
    <w:qFormat/>
    <w:uiPriority w:val="0"/>
    <w:rPr>
      <w:rFonts w:ascii="Arial" w:hAnsi="Arial" w:eastAsia="黑体" w:cs="Times New Roman"/>
      <w:b/>
      <w:bCs/>
      <w:color w:val="000000"/>
      <w:sz w:val="28"/>
      <w:szCs w:val="28"/>
      <w:u w:val="none" w:color="000000"/>
      <w:lang w:val="en-US" w:eastAsia="zh-CN" w:bidi="ar-SA"/>
    </w:rPr>
  </w:style>
  <w:style w:type="character" w:customStyle="1" w:styleId="57">
    <w:name w:val="标题 5 Char"/>
    <w:link w:val="6"/>
    <w:qFormat/>
    <w:uiPriority w:val="0"/>
    <w:rPr>
      <w:rFonts w:ascii="Times New Roman" w:hAnsi="Times New Roman" w:eastAsia="宋体" w:cs="Times New Roman"/>
      <w:b/>
      <w:bCs/>
      <w:kern w:val="2"/>
      <w:sz w:val="28"/>
      <w:szCs w:val="28"/>
    </w:rPr>
  </w:style>
  <w:style w:type="character" w:customStyle="1" w:styleId="58">
    <w:name w:val="标题 6 Char"/>
    <w:link w:val="7"/>
    <w:qFormat/>
    <w:uiPriority w:val="0"/>
    <w:rPr>
      <w:rFonts w:ascii="Cambria" w:hAnsi="Cambria" w:eastAsia="宋体" w:cs="Times New Roman"/>
      <w:b/>
      <w:bCs/>
      <w:kern w:val="2"/>
      <w:sz w:val="24"/>
      <w:szCs w:val="24"/>
    </w:rPr>
  </w:style>
  <w:style w:type="character" w:customStyle="1" w:styleId="59">
    <w:name w:val="标题 7 Char"/>
    <w:link w:val="8"/>
    <w:qFormat/>
    <w:uiPriority w:val="0"/>
    <w:rPr>
      <w:rFonts w:ascii="Times New Roman" w:hAnsi="Times New Roman" w:eastAsia="宋体" w:cs="Times New Roman"/>
      <w:b/>
      <w:bCs/>
      <w:kern w:val="2"/>
      <w:sz w:val="24"/>
      <w:szCs w:val="24"/>
    </w:rPr>
  </w:style>
  <w:style w:type="character" w:customStyle="1" w:styleId="60">
    <w:name w:val="批注文字 Char"/>
    <w:link w:val="16"/>
    <w:qFormat/>
    <w:uiPriority w:val="0"/>
    <w:rPr>
      <w:rFonts w:ascii="Times New Roman" w:hAnsi="Times New Roman" w:eastAsia="宋体" w:cs="Times New Roman"/>
      <w:kern w:val="2"/>
      <w:sz w:val="21"/>
      <w:szCs w:val="24"/>
    </w:rPr>
  </w:style>
  <w:style w:type="character" w:customStyle="1" w:styleId="61">
    <w:name w:val="纯文本 Char"/>
    <w:link w:val="19"/>
    <w:qFormat/>
    <w:uiPriority w:val="0"/>
    <w:rPr>
      <w:rFonts w:ascii="宋体" w:hAnsi="Times New Roman" w:eastAsia="宋体" w:cs="Times New Roman"/>
      <w:color w:val="000000"/>
      <w:kern w:val="2"/>
      <w:sz w:val="21"/>
      <w:u w:val="none" w:color="000000"/>
      <w:lang w:val="en-US" w:eastAsia="zh-CN" w:bidi="ar-SA"/>
    </w:rPr>
  </w:style>
  <w:style w:type="character" w:customStyle="1" w:styleId="62">
    <w:name w:val="日期 Char"/>
    <w:link w:val="20"/>
    <w:qFormat/>
    <w:uiPriority w:val="0"/>
    <w:rPr>
      <w:rFonts w:ascii="Arial" w:hAnsi="Arial" w:eastAsia="仿宋_GB2312" w:cs="Times New Roman"/>
      <w:color w:val="000000"/>
      <w:kern w:val="2"/>
      <w:sz w:val="32"/>
      <w:u w:val="none" w:color="000000"/>
    </w:rPr>
  </w:style>
  <w:style w:type="character" w:customStyle="1" w:styleId="63">
    <w:name w:val="正文文本缩进 2 Char"/>
    <w:link w:val="21"/>
    <w:qFormat/>
    <w:uiPriority w:val="0"/>
    <w:rPr>
      <w:rFonts w:ascii="Times New Roman" w:hAnsi="Times New Roman" w:eastAsia="宋体" w:cs="Times New Roman"/>
      <w:kern w:val="2"/>
      <w:sz w:val="21"/>
      <w:szCs w:val="24"/>
    </w:rPr>
  </w:style>
  <w:style w:type="character" w:customStyle="1" w:styleId="64">
    <w:name w:val="批注框文本 Char"/>
    <w:link w:val="22"/>
    <w:qFormat/>
    <w:uiPriority w:val="0"/>
    <w:rPr>
      <w:rFonts w:ascii="Times New Roman" w:hAnsi="Times New Roman" w:eastAsia="宋体" w:cs="Times New Roman"/>
      <w:kern w:val="2"/>
      <w:sz w:val="18"/>
      <w:szCs w:val="18"/>
    </w:rPr>
  </w:style>
  <w:style w:type="character" w:customStyle="1" w:styleId="65">
    <w:name w:val="页脚 Char"/>
    <w:link w:val="23"/>
    <w:qFormat/>
    <w:uiPriority w:val="0"/>
    <w:rPr>
      <w:rFonts w:ascii="Times New Roman" w:hAnsi="Times New Roman" w:eastAsia="宋体" w:cs="Times New Roman"/>
      <w:kern w:val="2"/>
      <w:sz w:val="18"/>
      <w:szCs w:val="18"/>
    </w:rPr>
  </w:style>
  <w:style w:type="character" w:customStyle="1" w:styleId="66">
    <w:name w:val="页眉 Char"/>
    <w:link w:val="24"/>
    <w:qFormat/>
    <w:uiPriority w:val="0"/>
    <w:rPr>
      <w:rFonts w:ascii="Times New Roman" w:hAnsi="Times New Roman" w:eastAsia="宋体" w:cs="Times New Roman"/>
      <w:kern w:val="2"/>
      <w:sz w:val="18"/>
      <w:szCs w:val="18"/>
    </w:rPr>
  </w:style>
  <w:style w:type="character" w:customStyle="1" w:styleId="67">
    <w:name w:val="批注主题 Char"/>
    <w:link w:val="33"/>
    <w:qFormat/>
    <w:uiPriority w:val="0"/>
    <w:rPr>
      <w:rFonts w:ascii="Times New Roman" w:hAnsi="Times New Roman" w:eastAsia="宋体" w:cs="Times New Roman"/>
      <w:b/>
      <w:bCs/>
      <w:kern w:val="2"/>
      <w:sz w:val="21"/>
      <w:szCs w:val="24"/>
    </w:rPr>
  </w:style>
  <w:style w:type="character" w:customStyle="1" w:styleId="68">
    <w:name w:val="图表 Char Char"/>
    <w:link w:val="69"/>
    <w:qFormat/>
    <w:uiPriority w:val="0"/>
    <w:rPr>
      <w:rFonts w:ascii="Times New Roman" w:hAnsi="Times New Roman" w:eastAsia="宋体" w:cs="Times New Roman"/>
      <w:kern w:val="2"/>
      <w:sz w:val="21"/>
      <w:szCs w:val="21"/>
    </w:rPr>
  </w:style>
  <w:style w:type="paragraph" w:customStyle="1" w:styleId="69">
    <w:name w:val="图表"/>
    <w:basedOn w:val="1"/>
    <w:next w:val="1"/>
    <w:link w:val="68"/>
    <w:qFormat/>
    <w:uiPriority w:val="0"/>
    <w:pPr>
      <w:jc w:val="center"/>
    </w:pPr>
    <w:rPr>
      <w:szCs w:val="21"/>
    </w:rPr>
  </w:style>
  <w:style w:type="character" w:customStyle="1" w:styleId="70">
    <w:name w:val="【正文】 Char Char"/>
    <w:link w:val="71"/>
    <w:qFormat/>
    <w:uiPriority w:val="0"/>
    <w:rPr>
      <w:rFonts w:ascii="Times New Roman" w:hAnsi="Times New Roman" w:eastAsia="宋体" w:cs="DokChampa"/>
      <w:kern w:val="2"/>
      <w:sz w:val="24"/>
      <w:szCs w:val="22"/>
    </w:rPr>
  </w:style>
  <w:style w:type="paragraph" w:customStyle="1" w:styleId="71">
    <w:name w:val="【正文】"/>
    <w:basedOn w:val="1"/>
    <w:link w:val="70"/>
    <w:qFormat/>
    <w:uiPriority w:val="0"/>
    <w:pPr>
      <w:spacing w:line="360" w:lineRule="auto"/>
      <w:ind w:firstLine="480" w:firstLineChars="200"/>
    </w:pPr>
    <w:rPr>
      <w:sz w:val="24"/>
      <w:szCs w:val="22"/>
    </w:rPr>
  </w:style>
  <w:style w:type="character" w:customStyle="1" w:styleId="72">
    <w:name w:val="selected"/>
    <w:qFormat/>
    <w:uiPriority w:val="0"/>
    <w:rPr>
      <w:rFonts w:ascii="Times New Roman" w:hAnsi="Times New Roman" w:eastAsia="宋体" w:cs="Times New Roman"/>
      <w:shd w:val="clear" w:color="auto" w:fill="B00006"/>
    </w:rPr>
  </w:style>
  <w:style w:type="character" w:customStyle="1" w:styleId="73">
    <w:name w:val="font21"/>
    <w:basedOn w:val="37"/>
    <w:qFormat/>
    <w:uiPriority w:val="0"/>
    <w:rPr>
      <w:rFonts w:hint="eastAsia" w:ascii="宋体" w:hAnsi="宋体" w:eastAsia="宋体" w:cs="宋体"/>
      <w:color w:val="000000"/>
      <w:sz w:val="18"/>
      <w:szCs w:val="18"/>
      <w:u w:val="none"/>
    </w:rPr>
  </w:style>
  <w:style w:type="character" w:customStyle="1" w:styleId="74">
    <w:name w:val="bds_nopic"/>
    <w:qFormat/>
    <w:uiPriority w:val="0"/>
    <w:rPr>
      <w:rFonts w:ascii="Times New Roman" w:hAnsi="Times New Roman" w:eastAsia="宋体" w:cs="Times New Roman"/>
    </w:rPr>
  </w:style>
  <w:style w:type="character" w:customStyle="1" w:styleId="75">
    <w:name w:val="NormalCharacter"/>
    <w:qFormat/>
    <w:uiPriority w:val="0"/>
    <w:rPr>
      <w:rFonts w:ascii="Times New Roman" w:hAnsi="Times New Roman" w:eastAsia="宋体" w:cs="Times New Roman"/>
      <w:kern w:val="2"/>
      <w:sz w:val="21"/>
      <w:szCs w:val="24"/>
      <w:lang w:val="en-US" w:eastAsia="zh-CN" w:bidi="ar-SA"/>
    </w:rPr>
  </w:style>
  <w:style w:type="character" w:customStyle="1" w:styleId="76">
    <w:name w:val="gpa"/>
    <w:qFormat/>
    <w:uiPriority w:val="0"/>
    <w:rPr>
      <w:rFonts w:ascii="Arial" w:hAnsi="Arial" w:eastAsia="宋体" w:cs="Arial"/>
      <w:sz w:val="15"/>
      <w:szCs w:val="15"/>
    </w:rPr>
  </w:style>
  <w:style w:type="character" w:customStyle="1" w:styleId="77">
    <w:name w:val="正文首行缩进 2 Char1"/>
    <w:qFormat/>
    <w:uiPriority w:val="0"/>
    <w:rPr>
      <w:rFonts w:ascii="Times New Roman" w:hAnsi="Times New Roman" w:eastAsia="宋体" w:cs="Times New Roman"/>
    </w:rPr>
  </w:style>
  <w:style w:type="character" w:customStyle="1" w:styleId="78">
    <w:name w:val="列出段落 Char"/>
    <w:link w:val="79"/>
    <w:qFormat/>
    <w:uiPriority w:val="0"/>
    <w:rPr>
      <w:rFonts w:ascii="Calibri" w:hAnsi="Calibri" w:eastAsia="宋体" w:cs="Times New Roman"/>
      <w:kern w:val="2"/>
      <w:sz w:val="21"/>
      <w:szCs w:val="22"/>
      <w:lang w:val="en-US" w:eastAsia="zh-CN" w:bidi="ar-SA"/>
    </w:rPr>
  </w:style>
  <w:style w:type="paragraph" w:customStyle="1" w:styleId="79">
    <w:name w:val="List Paragraph1"/>
    <w:basedOn w:val="1"/>
    <w:link w:val="78"/>
    <w:qFormat/>
    <w:uiPriority w:val="0"/>
    <w:pPr>
      <w:spacing w:line="312" w:lineRule="auto"/>
      <w:ind w:firstLine="420" w:firstLineChars="200"/>
    </w:pPr>
    <w:rPr>
      <w:rFonts w:ascii="Calibri" w:hAnsi="Calibri"/>
      <w:szCs w:val="22"/>
    </w:rPr>
  </w:style>
  <w:style w:type="character" w:customStyle="1" w:styleId="80">
    <w:name w:val="bds_nopic2"/>
    <w:qFormat/>
    <w:uiPriority w:val="0"/>
    <w:rPr>
      <w:rFonts w:ascii="Times New Roman" w:hAnsi="Times New Roman" w:eastAsia="宋体" w:cs="Times New Roman"/>
    </w:rPr>
  </w:style>
  <w:style w:type="character" w:customStyle="1" w:styleId="81">
    <w:name w:val="font61"/>
    <w:qFormat/>
    <w:uiPriority w:val="0"/>
    <w:rPr>
      <w:rFonts w:hint="default" w:ascii="MS Sans Serif" w:hAnsi="MS Sans Serif" w:eastAsia="MS Sans Serif" w:cs="MS Sans Serif"/>
      <w:color w:val="000000"/>
      <w:sz w:val="18"/>
      <w:szCs w:val="18"/>
      <w:u w:val="none"/>
    </w:rPr>
  </w:style>
  <w:style w:type="character" w:customStyle="1" w:styleId="82">
    <w:name w:val="bds_more1"/>
    <w:qFormat/>
    <w:uiPriority w:val="0"/>
    <w:rPr>
      <w:rFonts w:ascii="Times New Roman" w:hAnsi="Times New Roman" w:eastAsia="宋体" w:cs="Times New Roman"/>
    </w:rPr>
  </w:style>
  <w:style w:type="character" w:customStyle="1" w:styleId="83">
    <w:name w:val="font71"/>
    <w:qFormat/>
    <w:uiPriority w:val="0"/>
    <w:rPr>
      <w:rFonts w:hint="default" w:ascii="MS Sans Serif" w:hAnsi="MS Sans Serif" w:eastAsia="MS Sans Serif" w:cs="MS Sans Serif"/>
      <w:color w:val="000000"/>
      <w:sz w:val="18"/>
      <w:szCs w:val="18"/>
      <w:u w:val="none"/>
    </w:rPr>
  </w:style>
  <w:style w:type="character" w:customStyle="1" w:styleId="84">
    <w:name w:val="first-child"/>
    <w:qFormat/>
    <w:uiPriority w:val="0"/>
    <w:rPr>
      <w:rFonts w:ascii="Times New Roman" w:hAnsi="Times New Roman" w:eastAsia="宋体" w:cs="Times New Roman"/>
    </w:rPr>
  </w:style>
  <w:style w:type="character" w:customStyle="1" w:styleId="85">
    <w:name w:val="bds_nopic1"/>
    <w:qFormat/>
    <w:uiPriority w:val="0"/>
    <w:rPr>
      <w:rFonts w:ascii="Times New Roman" w:hAnsi="Times New Roman" w:eastAsia="宋体" w:cs="Times New Roman"/>
    </w:rPr>
  </w:style>
  <w:style w:type="character" w:customStyle="1" w:styleId="86">
    <w:name w:val="layui-this"/>
    <w:qFormat/>
    <w:uiPriority w:val="0"/>
    <w:rPr>
      <w:rFonts w:ascii="Times New Roman" w:hAnsi="Times New Roman" w:eastAsia="宋体" w:cs="Times New Roman"/>
      <w:bdr w:val="single" w:color="EEEEEE" w:sz="6" w:space="0"/>
      <w:shd w:val="clear" w:color="auto" w:fill="FFFFFF"/>
    </w:rPr>
  </w:style>
  <w:style w:type="character" w:customStyle="1" w:styleId="87">
    <w:name w:val="font81"/>
    <w:qFormat/>
    <w:uiPriority w:val="0"/>
    <w:rPr>
      <w:rFonts w:ascii="Arial Unicode MS" w:hAnsi="Arial Unicode MS" w:eastAsia="Arial Unicode MS" w:cs="Arial Unicode MS"/>
      <w:color w:val="000000"/>
      <w:sz w:val="18"/>
      <w:szCs w:val="18"/>
      <w:u w:val="none"/>
    </w:rPr>
  </w:style>
  <w:style w:type="character" w:customStyle="1" w:styleId="88">
    <w:name w:val="apple-converted-space"/>
    <w:qFormat/>
    <w:uiPriority w:val="0"/>
    <w:rPr>
      <w:rFonts w:ascii="Times New Roman" w:hAnsi="Times New Roman" w:eastAsia="宋体" w:cs="Times New Roman"/>
    </w:rPr>
  </w:style>
  <w:style w:type="character" w:customStyle="1" w:styleId="89">
    <w:name w:val="displayarti"/>
    <w:qFormat/>
    <w:uiPriority w:val="0"/>
    <w:rPr>
      <w:rFonts w:ascii="Times New Roman" w:hAnsi="Times New Roman" w:eastAsia="宋体" w:cs="Times New Roman"/>
      <w:color w:val="FFFFFF"/>
      <w:shd w:val="clear" w:color="auto" w:fill="A00000"/>
    </w:rPr>
  </w:style>
  <w:style w:type="character" w:customStyle="1" w:styleId="90">
    <w:name w:val="font131"/>
    <w:qFormat/>
    <w:uiPriority w:val="0"/>
    <w:rPr>
      <w:rFonts w:hint="eastAsia" w:ascii="宋体" w:hAnsi="宋体" w:eastAsia="宋体" w:cs="宋体"/>
      <w:b/>
      <w:bCs/>
      <w:color w:val="000000"/>
      <w:sz w:val="20"/>
      <w:szCs w:val="20"/>
      <w:u w:val="none"/>
    </w:rPr>
  </w:style>
  <w:style w:type="character" w:customStyle="1" w:styleId="91">
    <w:name w:val="bds_more2"/>
    <w:qFormat/>
    <w:uiPriority w:val="0"/>
    <w:rPr>
      <w:rFonts w:ascii="Times New Roman" w:hAnsi="Times New Roman" w:eastAsia="宋体" w:cs="Times New Roman"/>
    </w:rPr>
  </w:style>
  <w:style w:type="character" w:customStyle="1" w:styleId="92">
    <w:name w:val="bds_more"/>
    <w:qFormat/>
    <w:uiPriority w:val="0"/>
    <w:rPr>
      <w:rFonts w:hint="eastAsia" w:ascii="宋体" w:hAnsi="宋体" w:eastAsia="宋体" w:cs="宋体"/>
    </w:rPr>
  </w:style>
  <w:style w:type="paragraph" w:customStyle="1" w:styleId="93">
    <w:name w:val="Char Char Char Char"/>
    <w:basedOn w:val="1"/>
    <w:qFormat/>
    <w:uiPriority w:val="0"/>
    <w:rPr>
      <w:rFonts w:ascii="Tahoma" w:hAnsi="Tahoma"/>
      <w:sz w:val="24"/>
      <w:szCs w:val="20"/>
    </w:rPr>
  </w:style>
  <w:style w:type="paragraph" w:customStyle="1" w:styleId="94">
    <w:name w:val="标题4"/>
    <w:basedOn w:val="1"/>
    <w:qFormat/>
    <w:uiPriority w:val="0"/>
    <w:pPr>
      <w:numPr>
        <w:ilvl w:val="0"/>
        <w:numId w:val="5"/>
      </w:numPr>
      <w:spacing w:line="360" w:lineRule="auto"/>
      <w:ind w:left="720" w:leftChars="300"/>
      <w:jc w:val="left"/>
    </w:pPr>
    <w:rPr>
      <w:rFonts w:ascii="宋体" w:hAnsi="宋体"/>
      <w:sz w:val="18"/>
      <w:szCs w:val="18"/>
    </w:rPr>
  </w:style>
  <w:style w:type="paragraph" w:customStyle="1" w:styleId="95">
    <w:name w:val="Table Paragraph"/>
    <w:basedOn w:val="1"/>
    <w:qFormat/>
    <w:uiPriority w:val="0"/>
    <w:rPr>
      <w:rFonts w:ascii="宋体" w:hAnsi="宋体" w:cs="宋体"/>
      <w:lang w:val="zh-CN" w:bidi="zh-CN"/>
    </w:rPr>
  </w:style>
  <w:style w:type="paragraph" w:customStyle="1" w:styleId="96">
    <w:name w:val="p0"/>
    <w:basedOn w:val="1"/>
    <w:qFormat/>
    <w:uiPriority w:val="0"/>
    <w:pPr>
      <w:widowControl/>
      <w:spacing w:line="365" w:lineRule="atLeast"/>
      <w:ind w:left="1"/>
      <w:textAlignment w:val="bottom"/>
    </w:pPr>
    <w:rPr>
      <w:rFonts w:ascii="Calibri" w:hAnsi="Calibri"/>
      <w:kern w:val="0"/>
      <w:sz w:val="20"/>
      <w:szCs w:val="22"/>
    </w:rPr>
  </w:style>
  <w:style w:type="paragraph" w:customStyle="1" w:styleId="97">
    <w:name w:val="正文 New"/>
    <w:next w:val="98"/>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98">
    <w:name w:val="正文缩进1"/>
    <w:basedOn w:val="1"/>
    <w:next w:val="15"/>
    <w:qFormat/>
    <w:uiPriority w:val="0"/>
    <w:pPr>
      <w:spacing w:line="360" w:lineRule="atLeast"/>
      <w:ind w:firstLine="482"/>
    </w:pPr>
    <w:rPr>
      <w:sz w:val="24"/>
    </w:rPr>
  </w:style>
  <w:style w:type="paragraph" w:customStyle="1" w:styleId="99">
    <w:name w:val="Char Char Char Char Char Char Char1 Char"/>
    <w:basedOn w:val="1"/>
    <w:qFormat/>
    <w:uiPriority w:val="0"/>
    <w:rPr>
      <w:rFonts w:ascii="Tahoma" w:hAnsi="Tahoma"/>
      <w:sz w:val="24"/>
      <w:szCs w:val="20"/>
    </w:rPr>
  </w:style>
  <w:style w:type="paragraph" w:customStyle="1" w:styleId="100">
    <w:name w:val="Char"/>
    <w:basedOn w:val="1"/>
    <w:qFormat/>
    <w:uiPriority w:val="0"/>
  </w:style>
  <w:style w:type="paragraph" w:customStyle="1" w:styleId="101">
    <w:name w:val="（无样式）"/>
    <w:basedOn w:val="1"/>
    <w:qFormat/>
    <w:uiPriority w:val="0"/>
    <w:pPr>
      <w:widowControl/>
      <w:numPr>
        <w:ilvl w:val="0"/>
        <w:numId w:val="6"/>
      </w:numPr>
      <w:spacing w:line="360" w:lineRule="auto"/>
      <w:ind w:firstLine="0"/>
    </w:pPr>
    <w:rPr>
      <w:sz w:val="24"/>
      <w:szCs w:val="20"/>
    </w:rPr>
  </w:style>
  <w:style w:type="paragraph" w:customStyle="1" w:styleId="10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03">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104">
    <w:name w:val="_Style 102"/>
    <w:qFormat/>
    <w:uiPriority w:val="0"/>
    <w:rPr>
      <w:rFonts w:ascii="Times New Roman" w:hAnsi="Times New Roman" w:eastAsia="宋体" w:cs="Times New Roman"/>
      <w:kern w:val="2"/>
      <w:sz w:val="21"/>
      <w:szCs w:val="24"/>
      <w:lang w:val="en-US" w:eastAsia="zh-CN" w:bidi="ar-SA"/>
    </w:rPr>
  </w:style>
  <w:style w:type="paragraph" w:customStyle="1" w:styleId="105">
    <w:name w:val="Char1"/>
    <w:basedOn w:val="1"/>
    <w:next w:val="1"/>
    <w:qFormat/>
    <w:uiPriority w:val="0"/>
    <w:pPr>
      <w:widowControl/>
      <w:spacing w:line="360" w:lineRule="auto"/>
      <w:jc w:val="left"/>
    </w:pPr>
    <w:rPr>
      <w:kern w:val="0"/>
      <w:szCs w:val="20"/>
      <w:lang w:eastAsia="en-US"/>
    </w:rPr>
  </w:style>
  <w:style w:type="paragraph" w:customStyle="1" w:styleId="106">
    <w:name w:val="_Style 2"/>
    <w:basedOn w:val="1"/>
    <w:qFormat/>
    <w:uiPriority w:val="0"/>
  </w:style>
  <w:style w:type="paragraph" w:customStyle="1" w:styleId="107">
    <w:name w:val="列出段落2"/>
    <w:basedOn w:val="1"/>
    <w:qFormat/>
    <w:uiPriority w:val="0"/>
    <w:pPr>
      <w:ind w:firstLine="420" w:firstLineChars="200"/>
    </w:pPr>
    <w:rPr>
      <w:rFonts w:ascii="Calibri" w:hAnsi="Calibri"/>
      <w:szCs w:val="22"/>
    </w:rPr>
  </w:style>
  <w:style w:type="paragraph" w:customStyle="1" w:styleId="108">
    <w:name w:val="*正文"/>
    <w:basedOn w:val="1"/>
    <w:qFormat/>
    <w:uiPriority w:val="0"/>
    <w:pPr>
      <w:widowControl/>
      <w:snapToGrid w:val="0"/>
      <w:ind w:firstLine="560"/>
      <w:jc w:val="left"/>
    </w:pPr>
    <w:rPr>
      <w:rFonts w:ascii="仿宋_GB2312"/>
      <w:color w:val="191919"/>
      <w:sz w:val="28"/>
      <w:szCs w:val="28"/>
    </w:rPr>
  </w:style>
  <w:style w:type="paragraph" w:customStyle="1" w:styleId="109">
    <w:name w:val="列出段落1"/>
    <w:basedOn w:val="1"/>
    <w:qFormat/>
    <w:uiPriority w:val="0"/>
    <w:pPr>
      <w:ind w:firstLine="420" w:firstLineChars="200"/>
    </w:pPr>
  </w:style>
  <w:style w:type="paragraph" w:customStyle="1" w:styleId="110">
    <w:name w:val="HtmlNormal"/>
    <w:basedOn w:val="1"/>
    <w:qFormat/>
    <w:uiPriority w:val="0"/>
    <w:pPr>
      <w:widowControl/>
      <w:spacing w:before="100" w:beforeAutospacing="1" w:after="100" w:afterAutospacing="1"/>
      <w:jc w:val="left"/>
    </w:pPr>
    <w:rPr>
      <w:rFonts w:ascii="宋体" w:hAnsi="宋体"/>
      <w:kern w:val="0"/>
      <w:sz w:val="24"/>
    </w:rPr>
  </w:style>
  <w:style w:type="paragraph" w:styleId="111">
    <w:name w:val="List Paragraph"/>
    <w:basedOn w:val="1"/>
    <w:qFormat/>
    <w:uiPriority w:val="0"/>
    <w:pPr>
      <w:spacing w:line="360" w:lineRule="auto"/>
      <w:ind w:firstLine="420" w:firstLineChars="200"/>
    </w:pPr>
    <w:rPr>
      <w:rFonts w:ascii="宋体" w:hAnsi="宋体" w:cs="宋体"/>
      <w:sz w:val="24"/>
    </w:rPr>
  </w:style>
  <w:style w:type="paragraph" w:customStyle="1" w:styleId="112">
    <w:name w:val="列出段落11"/>
    <w:basedOn w:val="1"/>
    <w:qFormat/>
    <w:uiPriority w:val="0"/>
    <w:pPr>
      <w:spacing w:after="120" w:line="360" w:lineRule="auto"/>
      <w:ind w:firstLine="420" w:firstLineChars="200"/>
    </w:pPr>
    <w:rPr>
      <w:rFonts w:ascii="Calibri" w:hAnsi="Calibri"/>
      <w:szCs w:val="22"/>
    </w:rPr>
  </w:style>
  <w:style w:type="paragraph" w:customStyle="1" w:styleId="113">
    <w:name w:val="_Style 4"/>
    <w:basedOn w:val="1"/>
    <w:qFormat/>
    <w:uiPriority w:val="0"/>
    <w:pPr>
      <w:adjustRightInd w:val="0"/>
      <w:ind w:firstLine="420" w:firstLineChars="200"/>
      <w:jc w:val="left"/>
      <w:textAlignment w:val="baseline"/>
    </w:pPr>
    <w:rPr>
      <w:kern w:val="0"/>
      <w:szCs w:val="20"/>
    </w:rPr>
  </w:style>
  <w:style w:type="paragraph" w:customStyle="1" w:styleId="114">
    <w:name w:val="List Paragraph2"/>
    <w:basedOn w:val="1"/>
    <w:qFormat/>
    <w:uiPriority w:val="0"/>
    <w:pPr>
      <w:spacing w:line="360" w:lineRule="auto"/>
      <w:ind w:firstLine="420"/>
    </w:pPr>
    <w:rPr>
      <w:color w:val="000000"/>
      <w:sz w:val="24"/>
      <w:szCs w:val="21"/>
    </w:rPr>
  </w:style>
  <w:style w:type="paragraph" w:customStyle="1" w:styleId="115">
    <w:name w:val="正文文字 8"/>
    <w:basedOn w:val="1"/>
    <w:next w:val="1"/>
    <w:qFormat/>
    <w:uiPriority w:val="0"/>
    <w:pPr>
      <w:ind w:left="240"/>
    </w:pPr>
    <w:rPr>
      <w:sz w:val="16"/>
    </w:rPr>
  </w:style>
  <w:style w:type="paragraph" w:customStyle="1" w:styleId="116">
    <w:name w:val="样式1"/>
    <w:basedOn w:val="1"/>
    <w:qFormat/>
    <w:uiPriority w:val="0"/>
    <w:pPr>
      <w:spacing w:line="360" w:lineRule="auto"/>
      <w:jc w:val="center"/>
    </w:pPr>
    <w:rPr>
      <w:b/>
      <w:sz w:val="30"/>
      <w:szCs w:val="30"/>
    </w:rPr>
  </w:style>
  <w:style w:type="paragraph" w:customStyle="1" w:styleId="117">
    <w:name w:val="列表2"/>
    <w:basedOn w:val="1"/>
    <w:next w:val="1"/>
    <w:qFormat/>
    <w:uiPriority w:val="0"/>
    <w:pPr>
      <w:numPr>
        <w:ilvl w:val="0"/>
        <w:numId w:val="7"/>
      </w:numPr>
      <w:spacing w:line="200" w:lineRule="atLeast"/>
    </w:pPr>
    <w:rPr>
      <w:rFonts w:eastAsia="仿宋"/>
      <w:sz w:val="28"/>
    </w:rPr>
  </w:style>
  <w:style w:type="paragraph" w:customStyle="1" w:styleId="118">
    <w:name w:val="标题3-副本"/>
    <w:basedOn w:val="26"/>
    <w:qFormat/>
    <w:uiPriority w:val="0"/>
    <w:pPr>
      <w:numPr>
        <w:ilvl w:val="0"/>
        <w:numId w:val="0"/>
      </w:numPr>
      <w:ind w:left="840"/>
    </w:pPr>
    <w:rPr>
      <w:rFonts w:ascii="Times New Roman" w:hAnsi="Times New Roman"/>
    </w:rPr>
  </w:style>
  <w:style w:type="paragraph" w:customStyle="1" w:styleId="119">
    <w:name w:val="_Style 117"/>
    <w:basedOn w:val="1"/>
    <w:next w:val="1"/>
    <w:qFormat/>
    <w:uiPriority w:val="0"/>
    <w:pPr>
      <w:pBdr>
        <w:bottom w:val="single" w:color="auto" w:sz="6" w:space="1"/>
      </w:pBdr>
      <w:jc w:val="center"/>
    </w:pPr>
    <w:rPr>
      <w:rFonts w:ascii="Arial"/>
      <w:vanish/>
      <w:sz w:val="16"/>
    </w:rPr>
  </w:style>
  <w:style w:type="paragraph" w:customStyle="1" w:styleId="120">
    <w:name w:val="_Style 118"/>
    <w:basedOn w:val="1"/>
    <w:next w:val="1"/>
    <w:qFormat/>
    <w:uiPriority w:val="0"/>
    <w:pPr>
      <w:pBdr>
        <w:top w:val="single" w:color="auto" w:sz="6" w:space="1"/>
      </w:pBdr>
      <w:jc w:val="center"/>
    </w:pPr>
    <w:rPr>
      <w:rFonts w:ascii="Arial"/>
      <w:vanish/>
      <w:sz w:val="16"/>
    </w:rPr>
  </w:style>
  <w:style w:type="paragraph" w:customStyle="1" w:styleId="121">
    <w:name w:val="无间隔1"/>
    <w:basedOn w:val="1"/>
    <w:qFormat/>
    <w:uiPriority w:val="0"/>
    <w:pPr>
      <w:widowControl/>
      <w:adjustRightInd w:val="0"/>
      <w:snapToGrid w:val="0"/>
      <w:jc w:val="left"/>
    </w:pPr>
    <w:rPr>
      <w:rFonts w:ascii="Tahoma" w:hAnsi="Tahoma" w:eastAsia="微软雅黑"/>
      <w:kern w:val="0"/>
      <w:sz w:val="24"/>
      <w:szCs w:val="22"/>
    </w:rPr>
  </w:style>
  <w:style w:type="paragraph" w:customStyle="1" w:styleId="122">
    <w:name w:val="text-tag1"/>
    <w:basedOn w:val="1"/>
    <w:qFormat/>
    <w:uiPriority w:val="0"/>
    <w:pPr>
      <w:widowControl/>
      <w:spacing w:before="100" w:beforeAutospacing="1" w:after="100" w:afterAutospacing="1"/>
      <w:jc w:val="left"/>
    </w:pPr>
    <w:rPr>
      <w:rFonts w:ascii="宋体" w:hAnsi="宋体" w:cs="宋体"/>
      <w:kern w:val="0"/>
      <w:sz w:val="24"/>
    </w:rPr>
  </w:style>
  <w:style w:type="character" w:customStyle="1" w:styleId="123">
    <w:name w:val="font11"/>
    <w:qFormat/>
    <w:uiPriority w:val="0"/>
    <w:rPr>
      <w:rFonts w:hint="eastAsia" w:ascii="宋体" w:hAnsi="宋体" w:eastAsia="宋体" w:cs="宋体"/>
      <w:color w:val="000000"/>
      <w:sz w:val="16"/>
      <w:szCs w:val="16"/>
      <w:u w:val="none"/>
    </w:rPr>
  </w:style>
  <w:style w:type="character" w:customStyle="1" w:styleId="124">
    <w:name w:val="font31"/>
    <w:basedOn w:val="37"/>
    <w:qFormat/>
    <w:uiPriority w:val="0"/>
    <w:rPr>
      <w:rFonts w:ascii="宋体" w:hAnsi="宋体" w:eastAsia="宋体" w:cs="宋体"/>
      <w:color w:val="000000"/>
      <w:sz w:val="16"/>
      <w:szCs w:val="16"/>
      <w:u w:val="none"/>
    </w:rPr>
  </w:style>
  <w:style w:type="character" w:customStyle="1" w:styleId="125">
    <w:name w:val="font41"/>
    <w:basedOn w:val="37"/>
    <w:qFormat/>
    <w:uiPriority w:val="0"/>
    <w:rPr>
      <w:rFonts w:hint="eastAsia" w:ascii="宋体" w:hAnsi="宋体" w:eastAsia="宋体" w:cs="宋体"/>
      <w:color w:val="000000"/>
      <w:sz w:val="21"/>
      <w:szCs w:val="21"/>
      <w:u w:val="none"/>
    </w:rPr>
  </w:style>
  <w:style w:type="character" w:customStyle="1" w:styleId="126">
    <w:name w:val="hover"/>
    <w:basedOn w:val="37"/>
    <w:qFormat/>
    <w:uiPriority w:val="0"/>
  </w:style>
  <w:style w:type="character" w:customStyle="1" w:styleId="127">
    <w:name w:val="hover1"/>
    <w:basedOn w:val="37"/>
    <w:qFormat/>
    <w:uiPriority w:val="0"/>
    <w:rPr>
      <w:color w:val="2590EB"/>
    </w:rPr>
  </w:style>
  <w:style w:type="character" w:customStyle="1" w:styleId="128">
    <w:name w:val="hover2"/>
    <w:basedOn w:val="37"/>
    <w:qFormat/>
    <w:uiPriority w:val="0"/>
    <w:rPr>
      <w:color w:val="2590EB"/>
    </w:rPr>
  </w:style>
  <w:style w:type="character" w:customStyle="1" w:styleId="129">
    <w:name w:val="hover3"/>
    <w:basedOn w:val="37"/>
    <w:qFormat/>
    <w:uiPriority w:val="0"/>
    <w:rPr>
      <w:color w:val="2590EB"/>
      <w:shd w:val="clear" w:color="auto" w:fill="E9F4FD"/>
    </w:rPr>
  </w:style>
  <w:style w:type="table" w:customStyle="1" w:styleId="1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70</Pages>
  <Words>36713</Words>
  <Characters>39515</Characters>
  <Lines>334</Lines>
  <Paragraphs>94</Paragraphs>
  <TotalTime>1</TotalTime>
  <ScaleCrop>false</ScaleCrop>
  <LinksUpToDate>false</LinksUpToDate>
  <CharactersWithSpaces>42203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2025-08-21T01:45:00Z</dcterms:created>
  <dc:creator>陈倩倩</dc:creator>
  <cp:lastModifiedBy>韦韦</cp:lastModifiedBy>
  <cp:lastPrinted>2023-02-03T03:19:00Z</cp:lastPrinted>
  <dcterms:modified xsi:type="dcterms:W3CDTF">2025-09-22T05:46:55Z</dcterms:modified>
  <dc:title>滁州市人力资源和社会保障信息中心信息网络设备采购及安装项目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8DB45D7797904C5B98A3CC3408F11A01_13</vt:lpwstr>
  </property>
  <property fmtid="{D5CDD505-2E9C-101B-9397-08002B2CF9AE}" pid="4" name="KSOTemplateDocerSaveRecord">
    <vt:lpwstr>eyJoZGlkIjoiZmQ5MGI3YTdkMjVkZTZjM2ZjZTQ5YjMxYTJjZjRlOWEiLCJ1c2VySWQiOiIzNjE4MjQ5In0=</vt:lpwstr>
  </property>
</Properties>
</file>