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A126">
      <w:pPr>
        <w:rPr>
          <w:rFonts w:hint="eastAsia"/>
          <w:color w:val="auto"/>
          <w:highlight w:val="none"/>
        </w:rPr>
      </w:pPr>
      <w:bookmarkStart w:id="0" w:name="OLE_LINK1"/>
    </w:p>
    <w:p w14:paraId="7AD5EE92">
      <w:pPr>
        <w:keepNext w:val="0"/>
        <w:keepLines w:val="0"/>
        <w:pageBreakBefore w:val="0"/>
        <w:widowControl w:val="0"/>
        <w:kinsoku/>
        <w:wordWrap/>
        <w:overflowPunct/>
        <w:topLinePunct w:val="0"/>
        <w:autoSpaceDE/>
        <w:autoSpaceDN/>
        <w:bidi w:val="0"/>
        <w:adjustRightInd/>
        <w:snapToGrid/>
        <w:spacing w:before="95" w:beforeLines="30" w:after="95" w:afterLines="30" w:line="720" w:lineRule="exact"/>
        <w:jc w:val="center"/>
        <w:textAlignment w:val="auto"/>
        <w:rPr>
          <w:rFonts w:hint="eastAsia" w:ascii="宋体"/>
          <w:bCs/>
          <w:color w:val="auto"/>
          <w:szCs w:val="21"/>
          <w:highlight w:val="none"/>
        </w:rPr>
      </w:pPr>
      <w:r>
        <w:rPr>
          <w:rFonts w:hint="eastAsia" w:ascii="宋体" w:hAnsi="宋体" w:cs="宋体"/>
          <w:b/>
          <w:bCs/>
          <w:color w:val="auto"/>
          <w:w w:val="85"/>
          <w:sz w:val="48"/>
          <w:szCs w:val="48"/>
          <w:highlight w:val="none"/>
          <w:lang w:eastAsia="zh-CN"/>
        </w:rPr>
        <w:t>扬子大道768号园区消防改造及室外附属配套施工监理服务项目</w:t>
      </w:r>
    </w:p>
    <w:p w14:paraId="0CDC5DC4">
      <w:pPr>
        <w:rPr>
          <w:rFonts w:hint="eastAsia" w:ascii="宋体"/>
          <w:bCs/>
          <w:color w:val="auto"/>
          <w:szCs w:val="21"/>
          <w:highlight w:val="none"/>
        </w:rPr>
      </w:pPr>
    </w:p>
    <w:p w14:paraId="4B6788DC">
      <w:pPr>
        <w:spacing w:line="360" w:lineRule="auto"/>
        <w:jc w:val="center"/>
        <w:rPr>
          <w:rFonts w:hint="eastAsia" w:ascii="宋体" w:hAnsi="宋体" w:cs="宋体"/>
          <w:b/>
          <w:color w:val="auto"/>
          <w:sz w:val="96"/>
          <w:szCs w:val="96"/>
          <w:highlight w:val="none"/>
        </w:rPr>
      </w:pPr>
    </w:p>
    <w:p w14:paraId="732B09F0">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6A72FF8">
      <w:pPr>
        <w:rPr>
          <w:rFonts w:hint="eastAsia" w:ascii="宋体" w:hAnsi="宋体"/>
          <w:b/>
          <w:color w:val="auto"/>
          <w:sz w:val="84"/>
          <w:szCs w:val="84"/>
          <w:highlight w:val="none"/>
        </w:rPr>
      </w:pPr>
    </w:p>
    <w:p w14:paraId="6F9B41F8">
      <w:pPr>
        <w:pStyle w:val="34"/>
        <w:rPr>
          <w:rFonts w:hint="eastAsia"/>
          <w:color w:val="auto"/>
          <w:highlight w:val="none"/>
        </w:rPr>
      </w:pPr>
    </w:p>
    <w:p w14:paraId="0B7E0817">
      <w:pPr>
        <w:rPr>
          <w:rFonts w:hint="eastAsia"/>
          <w:color w:val="auto"/>
          <w:highlight w:val="none"/>
        </w:rPr>
      </w:pPr>
    </w:p>
    <w:p w14:paraId="31447BF3">
      <w:pPr>
        <w:rPr>
          <w:rFonts w:hint="eastAsia" w:ascii="宋体"/>
          <w:color w:val="auto"/>
          <w:sz w:val="28"/>
          <w:szCs w:val="28"/>
          <w:highlight w:val="none"/>
        </w:rPr>
      </w:pPr>
    </w:p>
    <w:p w14:paraId="4A9B6B37">
      <w:pPr>
        <w:pStyle w:val="20"/>
        <w:rPr>
          <w:rFonts w:hint="eastAsia"/>
          <w:color w:val="auto"/>
          <w:highlight w:val="none"/>
        </w:rPr>
      </w:pPr>
    </w:p>
    <w:p w14:paraId="71737E66">
      <w:pPr>
        <w:rPr>
          <w:rFonts w:hint="eastAsia" w:ascii="宋体"/>
          <w:b/>
          <w:color w:val="auto"/>
          <w:sz w:val="32"/>
          <w:szCs w:val="32"/>
          <w:highlight w:val="none"/>
        </w:rPr>
      </w:pPr>
    </w:p>
    <w:p w14:paraId="355D03DC">
      <w:pPr>
        <w:pStyle w:val="34"/>
        <w:rPr>
          <w:rFonts w:hint="eastAsia"/>
          <w:color w:val="auto"/>
          <w:highlight w:val="none"/>
        </w:rPr>
      </w:pPr>
    </w:p>
    <w:p w14:paraId="2D977D99">
      <w:pPr>
        <w:pStyle w:val="26"/>
        <w:rPr>
          <w:rFonts w:hint="eastAsia"/>
          <w:color w:val="auto"/>
          <w:highlight w:val="none"/>
        </w:rPr>
      </w:pPr>
    </w:p>
    <w:p w14:paraId="7D5BD9FA">
      <w:pPr>
        <w:pStyle w:val="26"/>
        <w:rPr>
          <w:rFonts w:hint="eastAsia"/>
          <w:color w:val="auto"/>
          <w:highlight w:val="none"/>
        </w:rPr>
      </w:pPr>
    </w:p>
    <w:p w14:paraId="7CA20BB5">
      <w:pPr>
        <w:pStyle w:val="26"/>
        <w:rPr>
          <w:rFonts w:hint="eastAsia"/>
          <w:color w:val="auto"/>
          <w:highlight w:val="none"/>
        </w:rPr>
      </w:pPr>
    </w:p>
    <w:p w14:paraId="5F66AD2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标  </w:t>
      </w:r>
      <w:r>
        <w:rPr>
          <w:rFonts w:hint="eastAsia" w:ascii="宋体"/>
          <w:b/>
          <w:color w:val="auto"/>
          <w:sz w:val="32"/>
          <w:szCs w:val="32"/>
          <w:highlight w:val="none"/>
        </w:rPr>
        <w:t xml:space="preserve"> 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val="en-US" w:eastAsia="zh-CN"/>
        </w:rPr>
        <w:t xml:space="preserve">    </w:t>
      </w:r>
      <w:r>
        <w:rPr>
          <w:rFonts w:hint="eastAsia" w:ascii="宋体" w:hAnsi="Times New Roman" w:eastAsia="宋体" w:cs="Times New Roman"/>
          <w:b/>
          <w:color w:val="auto"/>
          <w:sz w:val="32"/>
          <w:szCs w:val="32"/>
          <w:highlight w:val="none"/>
          <w:u w:val="single"/>
          <w:lang w:eastAsia="zh-CN"/>
        </w:rPr>
        <w:t>中国扬子集团有限公司</w:t>
      </w:r>
      <w:r>
        <w:rPr>
          <w:rFonts w:hint="eastAsia" w:ascii="宋体" w:hAnsi="Times New Roman" w:eastAsia="宋体" w:cs="Times New Roman"/>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18961C30">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1FD2D27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7</w:t>
      </w:r>
      <w:r>
        <w:rPr>
          <w:rFonts w:hint="eastAsia" w:ascii="宋体"/>
          <w:b/>
          <w:color w:val="auto"/>
          <w:sz w:val="32"/>
          <w:szCs w:val="32"/>
          <w:highlight w:val="none"/>
        </w:rPr>
        <w:t>月</w:t>
      </w:r>
    </w:p>
    <w:p w14:paraId="23C5652D">
      <w:pPr>
        <w:spacing w:line="360" w:lineRule="exact"/>
        <w:jc w:val="both"/>
        <w:rPr>
          <w:rFonts w:hint="eastAsia"/>
          <w:b/>
          <w:color w:val="auto"/>
          <w:sz w:val="36"/>
          <w:highlight w:val="none"/>
        </w:rPr>
      </w:pPr>
      <w:r>
        <w:rPr>
          <w:rFonts w:hint="eastAsia"/>
          <w:b/>
          <w:color w:val="auto"/>
          <w:sz w:val="36"/>
          <w:highlight w:val="none"/>
        </w:rPr>
        <w:br w:type="page"/>
      </w:r>
    </w:p>
    <w:p w14:paraId="0387D298">
      <w:pPr>
        <w:spacing w:line="360" w:lineRule="exact"/>
        <w:jc w:val="center"/>
        <w:rPr>
          <w:rFonts w:hint="eastAsia"/>
          <w:b/>
          <w:color w:val="auto"/>
          <w:sz w:val="36"/>
          <w:highlight w:val="none"/>
        </w:rPr>
      </w:pPr>
      <w:r>
        <w:rPr>
          <w:rFonts w:hint="eastAsia"/>
          <w:b/>
          <w:color w:val="auto"/>
          <w:sz w:val="36"/>
          <w:highlight w:val="none"/>
        </w:rPr>
        <w:t>目  录</w:t>
      </w:r>
    </w:p>
    <w:p w14:paraId="63D2CA29">
      <w:pPr>
        <w:spacing w:line="360" w:lineRule="exact"/>
        <w:jc w:val="center"/>
        <w:rPr>
          <w:rFonts w:hint="eastAsia"/>
          <w:b/>
          <w:color w:val="auto"/>
          <w:sz w:val="36"/>
          <w:highlight w:val="none"/>
        </w:rPr>
      </w:pPr>
    </w:p>
    <w:p w14:paraId="581F4B1A">
      <w:pPr>
        <w:pStyle w:val="24"/>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6"/>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6"/>
          <w:rFonts w:ascii="宋体" w:hAnsi="宋体"/>
          <w:color w:val="auto"/>
          <w:sz w:val="24"/>
          <w:highlight w:val="none"/>
        </w:rPr>
        <w:instrText xml:space="preserve"> </w:instrText>
      </w:r>
      <w:r>
        <w:rPr>
          <w:rFonts w:ascii="宋体" w:hAnsi="宋体"/>
          <w:color w:val="auto"/>
          <w:sz w:val="24"/>
          <w:highlight w:val="none"/>
        </w:rPr>
        <w:fldChar w:fldCharType="separate"/>
      </w:r>
      <w:r>
        <w:rPr>
          <w:rStyle w:val="46"/>
          <w:rFonts w:hint="eastAsia" w:ascii="宋体" w:hAnsi="宋体"/>
          <w:b/>
          <w:color w:val="auto"/>
          <w:sz w:val="24"/>
          <w:highlight w:val="none"/>
        </w:rPr>
        <w:t>第一章</w:t>
      </w:r>
      <w:r>
        <w:rPr>
          <w:rStyle w:val="46"/>
          <w:rFonts w:ascii="宋体" w:hAnsi="宋体"/>
          <w:b/>
          <w:color w:val="auto"/>
          <w:sz w:val="24"/>
          <w:highlight w:val="none"/>
        </w:rPr>
        <w:t xml:space="preserve"> </w:t>
      </w:r>
      <w:r>
        <w:rPr>
          <w:rStyle w:val="46"/>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1</w:t>
      </w:r>
      <w:r>
        <w:rPr>
          <w:rFonts w:ascii="宋体" w:hAnsi="宋体"/>
          <w:b/>
          <w:color w:val="auto"/>
          <w:sz w:val="24"/>
          <w:highlight w:val="none"/>
        </w:rPr>
        <w:fldChar w:fldCharType="end"/>
      </w:r>
    </w:p>
    <w:p w14:paraId="4978DF48">
      <w:pPr>
        <w:pStyle w:val="24"/>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第二章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6AB8532C">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第三章</w:t>
      </w:r>
      <w:r>
        <w:rPr>
          <w:rStyle w:val="46"/>
          <w:rFonts w:ascii="宋体" w:hAnsi="宋体"/>
          <w:b/>
          <w:color w:val="auto"/>
          <w:sz w:val="24"/>
          <w:highlight w:val="none"/>
        </w:rPr>
        <w:t xml:space="preserve"> </w:t>
      </w:r>
      <w:r>
        <w:rPr>
          <w:rStyle w:val="46"/>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19</w:t>
      </w:r>
    </w:p>
    <w:p w14:paraId="16E13669">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第四章 合同格式</w:t>
      </w:r>
      <w:r>
        <w:rPr>
          <w:rFonts w:ascii="宋体" w:hAnsi="宋体"/>
          <w:b/>
          <w:color w:val="auto"/>
          <w:sz w:val="24"/>
          <w:highlight w:val="none"/>
        </w:rPr>
        <w:tab/>
      </w:r>
      <w:r>
        <w:rPr>
          <w:rFonts w:hint="eastAsia" w:ascii="宋体" w:hAnsi="宋体"/>
          <w:b/>
          <w:color w:val="auto"/>
          <w:sz w:val="24"/>
          <w:highlight w:val="none"/>
          <w:lang w:val="en-US" w:eastAsia="zh-CN"/>
        </w:rPr>
        <w:t>27</w:t>
      </w:r>
    </w:p>
    <w:p w14:paraId="6850A267">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6"/>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6"/>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6"/>
          <w:rFonts w:hint="eastAsia" w:ascii="宋体" w:hAnsi="宋体"/>
          <w:b/>
          <w:color w:val="auto"/>
          <w:sz w:val="24"/>
          <w:highlight w:val="none"/>
        </w:rPr>
        <w:t>第</w:t>
      </w:r>
      <w:r>
        <w:rPr>
          <w:rStyle w:val="46"/>
          <w:rFonts w:hint="eastAsia" w:ascii="宋体" w:hAnsi="宋体"/>
          <w:b/>
          <w:color w:val="auto"/>
          <w:sz w:val="24"/>
          <w:highlight w:val="none"/>
          <w:lang w:val="en-US" w:eastAsia="zh-CN"/>
        </w:rPr>
        <w:t>五</w:t>
      </w:r>
      <w:r>
        <w:rPr>
          <w:rStyle w:val="46"/>
          <w:rFonts w:hint="eastAsia" w:ascii="宋体" w:hAnsi="宋体"/>
          <w:b/>
          <w:color w:val="auto"/>
          <w:sz w:val="24"/>
          <w:highlight w:val="none"/>
        </w:rPr>
        <w:t>章</w:t>
      </w:r>
      <w:r>
        <w:rPr>
          <w:rStyle w:val="46"/>
          <w:rFonts w:ascii="宋体" w:hAnsi="宋体"/>
          <w:b/>
          <w:color w:val="auto"/>
          <w:sz w:val="24"/>
          <w:highlight w:val="none"/>
        </w:rPr>
        <w:t xml:space="preserve"> </w:t>
      </w:r>
      <w:r>
        <w:rPr>
          <w:rStyle w:val="46"/>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38</w:t>
      </w:r>
    </w:p>
    <w:p w14:paraId="364B1684">
      <w:pPr>
        <w:pStyle w:val="24"/>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5A88F254">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45ED2E4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5017AA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扬子大道768号园区消防改造及室外附属配套施工监理服务项目</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各潜在投标人</w:t>
      </w:r>
      <w:r>
        <w:rPr>
          <w:rFonts w:hint="eastAsia" w:ascii="仿宋" w:hAnsi="仿宋" w:eastAsia="仿宋" w:cs="仿宋"/>
          <w:color w:val="auto"/>
          <w:sz w:val="28"/>
          <w:szCs w:val="28"/>
          <w:highlight w:val="none"/>
        </w:rPr>
        <w:t>应在</w:t>
      </w:r>
      <w:r>
        <w:rPr>
          <w:rFonts w:hint="eastAsia" w:ascii="仿宋" w:hAnsi="仿宋" w:eastAsia="仿宋" w:cs="仿宋"/>
          <w:color w:val="auto"/>
          <w:sz w:val="28"/>
          <w:szCs w:val="28"/>
          <w:highlight w:val="none"/>
          <w:u w:val="single"/>
          <w:lang w:val="en-US" w:eastAsia="zh-CN"/>
        </w:rPr>
        <w:t>滁州市城投工程咨询管理有限公司网站（https://www.czctgczx.com/）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31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2EEB9A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2BE7AB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val="en-US" w:eastAsia="zh-CN"/>
        </w:rPr>
        <w:t xml:space="preserve">扬子大道768号园区消防改造及室外附属配套施工监理服务项目 </w:t>
      </w:r>
    </w:p>
    <w:p w14:paraId="4ADFF288">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本项目建安费约2520万元，服务费约20.16万元</w:t>
      </w:r>
    </w:p>
    <w:p w14:paraId="45F5CEE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val="en-US" w:eastAsia="zh-CN"/>
        </w:rPr>
        <w:t>最高限价0.8％</w:t>
      </w:r>
    </w:p>
    <w:p w14:paraId="364BA877">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lang w:val="en-US" w:eastAsia="zh-CN"/>
        </w:rPr>
        <w:t>扬子大道768号园区消防改造及室外附属配套施工监理服务</w:t>
      </w:r>
    </w:p>
    <w:p w14:paraId="7428063B">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合同履行期限：自本合同签订之日起至本项目竣工结算及保修阶段（缺陷责任期）期满止。</w:t>
      </w:r>
    </w:p>
    <w:p w14:paraId="022551FF">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4CBFF0C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28359080"/>
      <w:bookmarkStart w:id="4" w:name="_Toc28359003"/>
      <w:bookmarkStart w:id="5" w:name="_Toc35393622"/>
      <w:bookmarkStart w:id="6" w:name="_Toc35393791"/>
      <w:r>
        <w:rPr>
          <w:rFonts w:hint="eastAsia" w:ascii="黑体" w:hAnsi="黑体" w:eastAsia="黑体" w:cs="黑体"/>
          <w:color w:val="auto"/>
          <w:sz w:val="28"/>
          <w:szCs w:val="28"/>
          <w:highlight w:val="none"/>
        </w:rPr>
        <w:t>二、申请人的资格要求</w:t>
      </w:r>
      <w:bookmarkEnd w:id="3"/>
      <w:bookmarkEnd w:id="4"/>
      <w:bookmarkEnd w:id="5"/>
      <w:bookmarkEnd w:id="6"/>
    </w:p>
    <w:p w14:paraId="3AA719F6">
      <w:pPr>
        <w:ind w:right="-313" w:rightChars="-149" w:firstLine="560" w:firstLineChars="200"/>
        <w:rPr>
          <w:rFonts w:hint="eastAsia" w:ascii="仿宋" w:hAnsi="仿宋" w:eastAsia="仿宋"/>
          <w:color w:val="auto"/>
          <w:sz w:val="28"/>
          <w:szCs w:val="28"/>
          <w:highlight w:val="none"/>
          <w:lang w:val="en-US" w:eastAsia="zh-CN"/>
        </w:rPr>
      </w:pPr>
      <w:bookmarkStart w:id="7" w:name="_Toc28359004"/>
      <w:bookmarkStart w:id="8" w:name="_Toc35393623"/>
      <w:bookmarkStart w:id="9" w:name="_Toc28359081"/>
      <w:bookmarkStart w:id="10" w:name="_Toc35393792"/>
      <w:r>
        <w:rPr>
          <w:rFonts w:hint="eastAsia" w:ascii="仿宋" w:hAnsi="仿宋" w:eastAsia="仿宋"/>
          <w:color w:val="auto"/>
          <w:sz w:val="28"/>
          <w:szCs w:val="28"/>
          <w:highlight w:val="none"/>
          <w:lang w:val="en-US" w:eastAsia="zh-CN"/>
        </w:rPr>
        <w:t>1.企业要求：投标人须具备建设行政主管部门颁发的监理综合资质或建设行政主管部门颁发的房屋建筑工程监理乙级（或以上）资质；</w:t>
      </w:r>
    </w:p>
    <w:p w14:paraId="67A16787">
      <w:pPr>
        <w:pStyle w:val="28"/>
        <w:ind w:right="-199" w:rightChars="-95" w:firstLine="56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2.项目负责人（总监理工程师）要求：须具备房屋建筑工程专业国家注册监理工程师注册执业资格；</w:t>
      </w:r>
    </w:p>
    <w:p w14:paraId="1CB9BB9D">
      <w:pPr>
        <w:pStyle w:val="28"/>
        <w:ind w:right="-199" w:rightChars="-95" w:firstLine="560"/>
        <w:rPr>
          <w:rFonts w:hint="eastAsia"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注：1.依据安徽省住房和城乡建设厅 《建筑与市政工程项目管理人员职业标准》，拟派的项目负责人(总监理工程师）在本项目所在市行政区域外无在建，在本项目所在市行政区域内不多于两个在建项目【由投标单位自行出具投标人拟派项目负责人（总监理工程师）在本项目所在市行政区域内不多于2个在监理项目承诺书；如有在建项目，需在建项目所属建设单位书面同意其参加本项目投标或投标人出具：在建项目所属建设单位同意其参加本项目投标的承诺函。】，否则取消中标资格。</w:t>
      </w:r>
    </w:p>
    <w:p w14:paraId="74836061">
      <w:pPr>
        <w:pStyle w:val="28"/>
        <w:ind w:right="-199" w:rightChars="-95" w:firstLine="560"/>
        <w:rPr>
          <w:rFonts w:hint="default" w:ascii="仿宋" w:hAnsi="仿宋" w:eastAsia="仿宋" w:cs="Times New Roman"/>
          <w:b/>
          <w:bCs/>
          <w:color w:val="auto"/>
          <w:kern w:val="2"/>
          <w:sz w:val="28"/>
          <w:szCs w:val="28"/>
          <w:highlight w:val="none"/>
          <w:lang w:val="en-US" w:eastAsia="zh-CN" w:bidi="ar-SA"/>
        </w:rPr>
      </w:pPr>
      <w:r>
        <w:rPr>
          <w:rFonts w:hint="eastAsia" w:ascii="仿宋" w:hAnsi="仿宋" w:eastAsia="仿宋" w:cs="Times New Roman"/>
          <w:b/>
          <w:bCs/>
          <w:color w:val="auto"/>
          <w:kern w:val="2"/>
          <w:sz w:val="28"/>
          <w:szCs w:val="28"/>
          <w:highlight w:val="none"/>
          <w:lang w:val="en-US" w:eastAsia="zh-CN" w:bidi="ar-SA"/>
        </w:rPr>
        <w:t>2.在建项目是指以项目负责人（总监理工程师）的身份承担其他尚未完工（以竣工或交工或完工验收报告等手续为准）的项目或已中标的项目（以发放中标通知书为准）。</w:t>
      </w:r>
    </w:p>
    <w:p w14:paraId="3C49B49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944036F">
      <w:pPr>
        <w:ind w:firstLine="540"/>
        <w:rPr>
          <w:rFonts w:hint="eastAsia" w:ascii="仿宋" w:hAnsi="仿宋" w:eastAsia="仿宋" w:cs="宋体"/>
          <w:iCs/>
          <w:color w:val="auto"/>
          <w:sz w:val="28"/>
          <w:szCs w:val="28"/>
          <w:highlight w:val="none"/>
          <w:u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none"/>
        </w:rPr>
        <w:t>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7</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23</w:t>
      </w:r>
      <w:r>
        <w:rPr>
          <w:rFonts w:hint="eastAsia" w:ascii="仿宋" w:hAnsi="仿宋" w:eastAsia="仿宋" w:cs="宋体"/>
          <w:color w:val="auto"/>
          <w:sz w:val="28"/>
          <w:szCs w:val="28"/>
          <w:highlight w:val="none"/>
          <w:u w:val="none"/>
        </w:rPr>
        <w:t>日至 202</w:t>
      </w:r>
      <w:r>
        <w:rPr>
          <w:rFonts w:hint="eastAsia" w:ascii="仿宋" w:hAnsi="仿宋" w:eastAsia="仿宋" w:cs="宋体"/>
          <w:color w:val="auto"/>
          <w:sz w:val="28"/>
          <w:szCs w:val="28"/>
          <w:highlight w:val="none"/>
          <w:u w:val="none"/>
          <w:lang w:val="en-US" w:eastAsia="zh-CN"/>
        </w:rPr>
        <w:t>6</w:t>
      </w:r>
      <w:r>
        <w:rPr>
          <w:rFonts w:hint="eastAsia" w:ascii="仿宋" w:hAnsi="仿宋" w:eastAsia="仿宋" w:cs="宋体"/>
          <w:color w:val="auto"/>
          <w:sz w:val="28"/>
          <w:szCs w:val="28"/>
          <w:highlight w:val="none"/>
          <w:u w:val="none"/>
        </w:rPr>
        <w:t>年</w:t>
      </w:r>
      <w:r>
        <w:rPr>
          <w:rFonts w:hint="eastAsia" w:ascii="仿宋" w:hAnsi="仿宋" w:eastAsia="仿宋" w:cs="宋体"/>
          <w:color w:val="auto"/>
          <w:sz w:val="28"/>
          <w:szCs w:val="28"/>
          <w:highlight w:val="none"/>
          <w:u w:val="none"/>
          <w:lang w:val="en-US" w:eastAsia="zh-CN"/>
        </w:rPr>
        <w:t>7</w:t>
      </w:r>
      <w:r>
        <w:rPr>
          <w:rFonts w:hint="eastAsia" w:ascii="仿宋" w:hAnsi="仿宋" w:eastAsia="仿宋" w:cs="宋体"/>
          <w:color w:val="auto"/>
          <w:sz w:val="28"/>
          <w:szCs w:val="28"/>
          <w:highlight w:val="none"/>
          <w:u w:val="none"/>
        </w:rPr>
        <w:t>月</w:t>
      </w:r>
      <w:r>
        <w:rPr>
          <w:rFonts w:hint="eastAsia" w:ascii="仿宋" w:hAnsi="仿宋" w:eastAsia="仿宋" w:cs="宋体"/>
          <w:color w:val="auto"/>
          <w:sz w:val="28"/>
          <w:szCs w:val="28"/>
          <w:highlight w:val="none"/>
          <w:u w:val="none"/>
          <w:lang w:val="en-US" w:eastAsia="zh-CN"/>
        </w:rPr>
        <w:t>31</w:t>
      </w:r>
      <w:r>
        <w:rPr>
          <w:rFonts w:hint="eastAsia" w:ascii="仿宋" w:hAnsi="仿宋" w:eastAsia="仿宋" w:cs="宋体"/>
          <w:color w:val="auto"/>
          <w:sz w:val="28"/>
          <w:szCs w:val="28"/>
          <w:highlight w:val="none"/>
          <w:u w:val="none"/>
        </w:rPr>
        <w:t>日</w:t>
      </w:r>
    </w:p>
    <w:p w14:paraId="0997B67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EDDFFB2">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3121A92">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793"/>
      <w:bookmarkStart w:id="14" w:name="_Toc35393624"/>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3B2694F0">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7</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31</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72EE8B47">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地点：新点电子交易平台【滁州专区】</w:t>
      </w:r>
    </w:p>
    <w:p w14:paraId="25B4CBF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1424E71A">
      <w:pPr>
        <w:pStyle w:val="127"/>
        <w:rPr>
          <w:color w:val="auto"/>
          <w:highlight w:val="none"/>
        </w:rPr>
      </w:pPr>
      <w:bookmarkStart w:id="15" w:name="_Toc35393795"/>
      <w:bookmarkStart w:id="16" w:name="_Toc35393626"/>
      <w:r>
        <w:rPr>
          <w:color w:val="auto"/>
          <w:highlight w:val="none"/>
        </w:rPr>
        <w:t>窗体顶端</w:t>
      </w:r>
    </w:p>
    <w:p w14:paraId="5F4E68C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14:paraId="0DAC3816">
      <w:pPr>
        <w:pStyle w:val="128"/>
        <w:rPr>
          <w:color w:val="auto"/>
          <w:highlight w:val="none"/>
        </w:rPr>
      </w:pPr>
      <w:r>
        <w:rPr>
          <w:color w:val="auto"/>
          <w:highlight w:val="none"/>
        </w:rPr>
        <w:t>窗体底端</w:t>
      </w:r>
    </w:p>
    <w:bookmarkEnd w:id="15"/>
    <w:bookmarkEnd w:id="16"/>
    <w:p w14:paraId="054AED3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5C37F2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投标人从滁州市城投工程咨询管理有限公司（https://www.czctgczx.com/）下载。投标人自行承担因未按要求获取招标文件导致无法上传电子投标文件的风险。</w:t>
      </w:r>
    </w:p>
    <w:p w14:paraId="2CDB365A">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投标人登录新点电子交易平台【滁州专区】获取询价文件及其它资料（含澄清和补充说明等）。如在招标文件获取过程中遇到系统问题，请拨打技术支持服务热线0512-58151515（工作日）或者网站首页在线客服。</w:t>
      </w:r>
    </w:p>
    <w:p w14:paraId="1EF2986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2.招标文件及相关资料售价：人民币0元/套。</w:t>
      </w:r>
    </w:p>
    <w:p w14:paraId="7862F86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4.本项目采用不见面开标，投标人登录滁州市城投工程咨询有限公司不见面开标系统参与网上开标（网址：http://js.etrading.cn/EpointBidOpening/bidopeninghallaction/hall/login）。</w:t>
      </w:r>
    </w:p>
    <w:p w14:paraId="22D42C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投标人应在投标截止时间之前，登录新点电子交易平台【滁州专区】上传投标文件</w:t>
      </w:r>
    </w:p>
    <w:p w14:paraId="625CCB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5.本项目仅接受加密电子投标文件投标人在投标截止时间前通过新点电子交易平台后在【滁州专区】</w:t>
      </w:r>
    </w:p>
    <w:p w14:paraId="712DCAF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（https://www.etrading.cn/BREpointSSO/login/oauth2login?regioncode=DQ_ChuZhou）交易系统递交电子投标文件。</w:t>
      </w:r>
    </w:p>
    <w:p w14:paraId="7570B9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投标软件制作工具下载：</w:t>
      </w:r>
    </w:p>
    <w:p w14:paraId="6B421E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https://download.bqpoint.com/download/downloaddetail.html?SourceFrom=Ztb&amp;ZtbSoftXiaQuCode=0128&amp;ZtbSoftType=tballinclusive</w:t>
      </w:r>
    </w:p>
    <w:p w14:paraId="3D3E748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307E47C">
      <w:pPr>
        <w:pStyle w:val="4"/>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4ADC35">
      <w:pPr>
        <w:ind w:left="-199" w:leftChars="-95" w:firstLine="840" w:firstLineChars="300"/>
        <w:jc w:val="left"/>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中国扬子集团有限公司</w:t>
      </w:r>
    </w:p>
    <w:p w14:paraId="4191A14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滁州市南谯区中都大道与醉翁路交叉口西南角城投大厦4楼</w:t>
      </w:r>
    </w:p>
    <w:p w14:paraId="22A045A5">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0550-3166090</w:t>
      </w:r>
    </w:p>
    <w:p w14:paraId="46F6CDF9">
      <w:pPr>
        <w:pStyle w:val="4"/>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503ED29">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AB9D21A">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335066C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787AA301">
      <w:pPr>
        <w:pStyle w:val="4"/>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70DF41EB">
      <w:pPr>
        <w:pStyle w:val="18"/>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叶来明、</w:t>
      </w:r>
      <w:r>
        <w:rPr>
          <w:rFonts w:hint="eastAsia" w:ascii="仿宋" w:hAnsi="仿宋" w:eastAsia="仿宋" w:cs="仿宋"/>
          <w:color w:val="auto"/>
          <w:sz w:val="28"/>
          <w:szCs w:val="28"/>
          <w:highlight w:val="none"/>
          <w:u w:val="single" w:color="auto"/>
        </w:rPr>
        <w:t>杨韦</w:t>
      </w:r>
    </w:p>
    <w:p w14:paraId="42608EA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0550-3166090</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0550-3519590 </w:t>
      </w:r>
    </w:p>
    <w:p w14:paraId="29FC2FC7">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5FA043">
      <w:pPr>
        <w:snapToGrid w:val="0"/>
        <w:spacing w:line="500" w:lineRule="exact"/>
        <w:jc w:val="center"/>
        <w:outlineLvl w:val="1"/>
        <w:rPr>
          <w:rFonts w:hint="eastAsia" w:ascii="宋体"/>
          <w:b/>
          <w:color w:val="auto"/>
          <w:sz w:val="28"/>
          <w:szCs w:val="28"/>
          <w:highlight w:val="none"/>
        </w:rPr>
      </w:pPr>
      <w:bookmarkStart w:id="17" w:name="_Toc58430314"/>
      <w:bookmarkStart w:id="18"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5"/>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51"/>
        <w:gridCol w:w="1005"/>
        <w:gridCol w:w="6824"/>
      </w:tblGrid>
      <w:tr w14:paraId="0949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62DF8FF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56" w:type="dxa"/>
            <w:gridSpan w:val="2"/>
            <w:noWrap w:val="0"/>
            <w:vAlign w:val="center"/>
          </w:tcPr>
          <w:p w14:paraId="1626C36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24" w:type="dxa"/>
            <w:noWrap w:val="0"/>
            <w:vAlign w:val="center"/>
          </w:tcPr>
          <w:p w14:paraId="25E8DE9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4F3E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020" w:type="dxa"/>
            <w:noWrap w:val="0"/>
            <w:vAlign w:val="center"/>
          </w:tcPr>
          <w:p w14:paraId="13A7E25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497CC027">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4" w:type="dxa"/>
            <w:noWrap w:val="0"/>
            <w:vAlign w:val="center"/>
          </w:tcPr>
          <w:p w14:paraId="230E47C3">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扬子大道768号园区消防改造及室外附属配套施工监理服务项目</w:t>
            </w:r>
          </w:p>
        </w:tc>
      </w:tr>
      <w:tr w14:paraId="7E18C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7BDC3FD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076C073A">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24" w:type="dxa"/>
            <w:noWrap w:val="0"/>
            <w:vAlign w:val="center"/>
          </w:tcPr>
          <w:p w14:paraId="3076B2FD">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自本合同签订之日起至本项目竣工结算及保修阶段（缺陷责任期）期满止。</w:t>
            </w:r>
          </w:p>
        </w:tc>
      </w:tr>
      <w:tr w14:paraId="1CA3C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020" w:type="dxa"/>
            <w:noWrap w:val="0"/>
            <w:vAlign w:val="center"/>
          </w:tcPr>
          <w:p w14:paraId="1689B35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66546174">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24" w:type="dxa"/>
            <w:noWrap w:val="0"/>
            <w:vAlign w:val="center"/>
          </w:tcPr>
          <w:p w14:paraId="49BFE41F">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滁州市琅琊区扬子大道768号</w:t>
            </w:r>
          </w:p>
        </w:tc>
      </w:tr>
      <w:tr w14:paraId="0A4C2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20" w:type="dxa"/>
            <w:noWrap w:val="0"/>
            <w:vAlign w:val="center"/>
          </w:tcPr>
          <w:p w14:paraId="7266B7DD">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1CC5A0D9">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24" w:type="dxa"/>
            <w:noWrap w:val="0"/>
            <w:vAlign w:val="center"/>
          </w:tcPr>
          <w:p w14:paraId="2FEDBC9E">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r>
              <w:rPr>
                <w:rFonts w:hint="eastAsia" w:hAnsi="宋体" w:cs="宋体"/>
                <w:color w:val="auto"/>
                <w:sz w:val="21"/>
                <w:szCs w:val="21"/>
                <w:highlight w:val="none"/>
                <w:lang w:val="en-US" w:eastAsia="zh-CN"/>
              </w:rPr>
              <w:t>叶来明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电话：0550-3166090</w:t>
            </w:r>
          </w:p>
        </w:tc>
      </w:tr>
      <w:tr w14:paraId="53C8D2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20" w:type="dxa"/>
            <w:noWrap w:val="0"/>
            <w:vAlign w:val="center"/>
          </w:tcPr>
          <w:p w14:paraId="7C37C4F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7849B6BD">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24" w:type="dxa"/>
            <w:noWrap w:val="0"/>
            <w:vAlign w:val="center"/>
          </w:tcPr>
          <w:p w14:paraId="3EEC10F8">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联系人：杨韦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电话0550-3519590、18005501210</w:t>
            </w:r>
          </w:p>
        </w:tc>
      </w:tr>
      <w:tr w14:paraId="358A5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020" w:type="dxa"/>
            <w:noWrap w:val="0"/>
            <w:vAlign w:val="center"/>
          </w:tcPr>
          <w:p w14:paraId="5B535AE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356" w:type="dxa"/>
            <w:gridSpan w:val="2"/>
            <w:noWrap w:val="0"/>
            <w:vAlign w:val="center"/>
          </w:tcPr>
          <w:p w14:paraId="43474B4D">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824" w:type="dxa"/>
            <w:noWrap w:val="0"/>
            <w:vAlign w:val="center"/>
          </w:tcPr>
          <w:p w14:paraId="051DE1C6">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61825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20" w:type="dxa"/>
            <w:noWrap w:val="0"/>
            <w:vAlign w:val="center"/>
          </w:tcPr>
          <w:p w14:paraId="25FDD47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356" w:type="dxa"/>
            <w:gridSpan w:val="2"/>
            <w:noWrap w:val="0"/>
            <w:vAlign w:val="center"/>
          </w:tcPr>
          <w:p w14:paraId="587006A5">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24" w:type="dxa"/>
            <w:noWrap w:val="0"/>
            <w:vAlign w:val="center"/>
          </w:tcPr>
          <w:p w14:paraId="271872FE">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本项目建安费约</w:t>
            </w:r>
            <w:r>
              <w:rPr>
                <w:rFonts w:hint="eastAsia" w:hAnsi="宋体" w:cs="宋体"/>
                <w:color w:val="auto"/>
                <w:sz w:val="21"/>
                <w:szCs w:val="21"/>
                <w:highlight w:val="none"/>
                <w:lang w:val="en-US" w:eastAsia="zh-CN"/>
              </w:rPr>
              <w:t>2520</w:t>
            </w:r>
            <w:r>
              <w:rPr>
                <w:rFonts w:hint="default" w:ascii="宋体" w:hAnsi="宋体" w:eastAsia="宋体" w:cs="宋体"/>
                <w:color w:val="auto"/>
                <w:sz w:val="21"/>
                <w:szCs w:val="21"/>
                <w:highlight w:val="none"/>
                <w:lang w:val="en-US" w:eastAsia="zh-CN"/>
              </w:rPr>
              <w:t>万元，服务费约</w:t>
            </w:r>
            <w:r>
              <w:rPr>
                <w:rFonts w:hint="eastAsia" w:hAnsi="宋体" w:cs="宋体"/>
                <w:color w:val="auto"/>
                <w:sz w:val="21"/>
                <w:szCs w:val="21"/>
                <w:highlight w:val="none"/>
                <w:lang w:val="en-US" w:eastAsia="zh-CN"/>
              </w:rPr>
              <w:t>20.16</w:t>
            </w:r>
            <w:r>
              <w:rPr>
                <w:rFonts w:hint="default" w:ascii="宋体" w:hAnsi="宋体" w:eastAsia="宋体" w:cs="宋体"/>
                <w:color w:val="auto"/>
                <w:sz w:val="21"/>
                <w:szCs w:val="21"/>
                <w:highlight w:val="none"/>
                <w:lang w:val="en-US" w:eastAsia="zh-CN"/>
              </w:rPr>
              <w:t>万元</w:t>
            </w:r>
          </w:p>
        </w:tc>
      </w:tr>
      <w:tr w14:paraId="633F1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1C3159F">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356" w:type="dxa"/>
            <w:gridSpan w:val="2"/>
            <w:noWrap w:val="0"/>
            <w:vAlign w:val="center"/>
          </w:tcPr>
          <w:p w14:paraId="386764A9">
            <w:pPr>
              <w:pStyle w:val="18"/>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费率）</w:t>
            </w:r>
          </w:p>
        </w:tc>
        <w:tc>
          <w:tcPr>
            <w:tcW w:w="6824" w:type="dxa"/>
            <w:noWrap w:val="0"/>
            <w:vAlign w:val="center"/>
          </w:tcPr>
          <w:p w14:paraId="15B126C3">
            <w:pPr>
              <w:pStyle w:val="18"/>
              <w:keepNext w:val="0"/>
              <w:keepLines w:val="0"/>
              <w:pageBreakBefore w:val="0"/>
              <w:kinsoku/>
              <w:overflowPunct/>
              <w:topLinePunct w:val="0"/>
              <w:autoSpaceDE/>
              <w:autoSpaceDN/>
              <w:bidi w:val="0"/>
              <w:adjustRightInd/>
              <w:spacing w:line="500" w:lineRule="exact"/>
              <w:textAlignment w:val="auto"/>
              <w:rPr>
                <w:rFonts w:hint="default"/>
                <w:color w:val="auto"/>
                <w:highlight w:val="none"/>
                <w:lang w:val="en-US"/>
              </w:rPr>
            </w:pPr>
            <w:r>
              <w:rPr>
                <w:rFonts w:hint="default"/>
                <w:color w:val="auto"/>
                <w:highlight w:val="none"/>
                <w:lang w:val="en-US"/>
              </w:rPr>
              <w:t>1.本项目最高限价（费率）：</w:t>
            </w:r>
            <w:r>
              <w:rPr>
                <w:rFonts w:hint="eastAsia"/>
                <w:color w:val="auto"/>
                <w:highlight w:val="none"/>
                <w:lang w:val="en-US" w:eastAsia="zh-CN"/>
              </w:rPr>
              <w:t>0.8％</w:t>
            </w:r>
          </w:p>
          <w:p w14:paraId="67AC57F8">
            <w:pPr>
              <w:pStyle w:val="18"/>
              <w:keepNext w:val="0"/>
              <w:keepLines w:val="0"/>
              <w:pageBreakBefore w:val="0"/>
              <w:kinsoku/>
              <w:overflowPunct/>
              <w:topLinePunct w:val="0"/>
              <w:autoSpaceDE/>
              <w:autoSpaceDN/>
              <w:bidi w:val="0"/>
              <w:adjustRightInd/>
              <w:spacing w:line="500" w:lineRule="exact"/>
              <w:textAlignment w:val="auto"/>
              <w:rPr>
                <w:rFonts w:hint="default"/>
                <w:b/>
                <w:bCs/>
                <w:color w:val="auto"/>
                <w:highlight w:val="none"/>
                <w:lang w:val="en-US"/>
              </w:rPr>
            </w:pPr>
            <w:r>
              <w:rPr>
                <w:rFonts w:hint="default"/>
                <w:b/>
                <w:bCs/>
                <w:color w:val="auto"/>
                <w:highlight w:val="none"/>
                <w:lang w:val="en-US"/>
              </w:rPr>
              <w:t>注：投标报价费率要求精确到小数点后第二位，如填报多位小数的，按小数点后第三位四舍五入修正投标报价费率。投标单位所报费率不得高于招标人发布的最高限价（费率），否则按无效标处理。</w:t>
            </w:r>
          </w:p>
          <w:p w14:paraId="646241EE">
            <w:pPr>
              <w:pStyle w:val="18"/>
              <w:keepNext w:val="0"/>
              <w:keepLines w:val="0"/>
              <w:pageBreakBefore w:val="0"/>
              <w:numPr>
                <w:ilvl w:val="0"/>
                <w:numId w:val="0"/>
              </w:numPr>
              <w:kinsoku/>
              <w:overflowPunct/>
              <w:topLinePunct w:val="0"/>
              <w:autoSpaceDE/>
              <w:autoSpaceDN/>
              <w:bidi w:val="0"/>
              <w:adjustRightInd/>
              <w:spacing w:line="500" w:lineRule="exact"/>
              <w:textAlignment w:val="auto"/>
              <w:rPr>
                <w:rFonts w:hint="default"/>
                <w:color w:val="auto"/>
                <w:highlight w:val="none"/>
                <w:lang w:val="en-US"/>
              </w:rPr>
            </w:pPr>
            <w:r>
              <w:rPr>
                <w:rFonts w:hint="eastAsia"/>
                <w:color w:val="auto"/>
                <w:highlight w:val="none"/>
                <w:lang w:val="en-US" w:eastAsia="zh-CN"/>
              </w:rPr>
              <w:t>2.</w:t>
            </w:r>
            <w:r>
              <w:rPr>
                <w:rFonts w:hint="default"/>
                <w:color w:val="auto"/>
                <w:highlight w:val="none"/>
                <w:lang w:val="en-US"/>
              </w:rPr>
              <w:t>本项目监理费用最终支付以工程结算价为计费基数，监理费用=工程结算价*中标费率。中标后中标费率不予调整。无论任何原因导致的施工工期延长，委托人均不再增加监理费用。无论任何原因导致的工程造价增加或减少，委托人必须按招标文件要求完成所有监理服务内容。</w:t>
            </w:r>
          </w:p>
          <w:p w14:paraId="435C02BD">
            <w:pPr>
              <w:pStyle w:val="18"/>
              <w:keepNext w:val="0"/>
              <w:keepLines w:val="0"/>
              <w:pageBreakBefore w:val="0"/>
              <w:numPr>
                <w:ilvl w:val="0"/>
                <w:numId w:val="0"/>
              </w:numPr>
              <w:kinsoku/>
              <w:overflowPunct/>
              <w:topLinePunct w:val="0"/>
              <w:autoSpaceDE/>
              <w:autoSpaceDN/>
              <w:bidi w:val="0"/>
              <w:adjustRightInd/>
              <w:spacing w:line="500" w:lineRule="exact"/>
              <w:textAlignment w:val="auto"/>
              <w:rPr>
                <w:rFonts w:hint="default"/>
                <w:color w:val="auto"/>
                <w:highlight w:val="none"/>
                <w:lang w:val="en-US"/>
              </w:rPr>
            </w:pPr>
            <w:r>
              <w:rPr>
                <w:rFonts w:hint="default"/>
                <w:b/>
                <w:bCs/>
                <w:color w:val="auto"/>
                <w:highlight w:val="none"/>
                <w:lang w:val="en-US"/>
              </w:rPr>
              <w:t>注：暂以</w:t>
            </w:r>
            <w:r>
              <w:rPr>
                <w:rFonts w:hint="eastAsia"/>
                <w:b/>
                <w:bCs/>
                <w:color w:val="auto"/>
                <w:highlight w:val="none"/>
                <w:lang w:val="en-US" w:eastAsia="zh-CN"/>
              </w:rPr>
              <w:t>2520万元</w:t>
            </w:r>
            <w:r>
              <w:rPr>
                <w:rFonts w:hint="default"/>
                <w:b/>
                <w:bCs/>
                <w:color w:val="auto"/>
                <w:highlight w:val="none"/>
                <w:lang w:val="en-US"/>
              </w:rPr>
              <w:t>为计费基数计算监理费，最终支付以工程结算价为计费基数计算监理费。</w:t>
            </w:r>
          </w:p>
        </w:tc>
      </w:tr>
      <w:tr w14:paraId="60778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CA7CFB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356" w:type="dxa"/>
            <w:gridSpan w:val="2"/>
            <w:noWrap w:val="0"/>
            <w:vAlign w:val="center"/>
          </w:tcPr>
          <w:p w14:paraId="3F08F91F">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24" w:type="dxa"/>
            <w:noWrap w:val="0"/>
            <w:vAlign w:val="center"/>
          </w:tcPr>
          <w:p w14:paraId="6C8F4277">
            <w:pPr>
              <w:pStyle w:val="18"/>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包括但不限于施工准备阶段、施工阶段、工程收尾阶段（包括但不限于竣工验收、整改、工程移交、工程结算等）及工程质量保修阶段的质量控制、进度控制、投资控制、职业健康安全及环境监督管理、合同管理、信息管理、组织协调等所有方面进行全面控制和管理的工程建设期内的所有监理服务。 </w:t>
            </w:r>
          </w:p>
        </w:tc>
      </w:tr>
      <w:tr w14:paraId="7DCF0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1020" w:type="dxa"/>
            <w:noWrap w:val="0"/>
            <w:vAlign w:val="center"/>
          </w:tcPr>
          <w:p w14:paraId="1A0E67D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356" w:type="dxa"/>
            <w:gridSpan w:val="2"/>
            <w:noWrap w:val="0"/>
            <w:vAlign w:val="center"/>
          </w:tcPr>
          <w:p w14:paraId="56631A72">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24" w:type="dxa"/>
            <w:noWrap w:val="0"/>
            <w:vAlign w:val="center"/>
          </w:tcPr>
          <w:p w14:paraId="32FADC15">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4FD90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020" w:type="dxa"/>
            <w:noWrap w:val="0"/>
            <w:vAlign w:val="center"/>
          </w:tcPr>
          <w:p w14:paraId="3E46C7A2">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356" w:type="dxa"/>
            <w:gridSpan w:val="2"/>
            <w:noWrap w:val="0"/>
            <w:vAlign w:val="center"/>
          </w:tcPr>
          <w:p w14:paraId="5BAC495D">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24" w:type="dxa"/>
            <w:noWrap w:val="0"/>
            <w:vAlign w:val="center"/>
          </w:tcPr>
          <w:p w14:paraId="6BA5C1C0">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公开</w:t>
            </w:r>
            <w:r>
              <w:rPr>
                <w:rFonts w:hint="eastAsia" w:ascii="宋体" w:hAnsi="宋体" w:eastAsia="宋体" w:cs="宋体"/>
                <w:color w:val="auto"/>
                <w:sz w:val="21"/>
                <w:szCs w:val="21"/>
                <w:highlight w:val="none"/>
                <w:lang w:val="en-US" w:eastAsia="zh-CN"/>
              </w:rPr>
              <w:t>招标</w:t>
            </w:r>
          </w:p>
        </w:tc>
      </w:tr>
      <w:tr w14:paraId="0F01E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020" w:type="dxa"/>
            <w:noWrap w:val="0"/>
            <w:vAlign w:val="center"/>
          </w:tcPr>
          <w:p w14:paraId="3E12EAFC">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56" w:type="dxa"/>
            <w:gridSpan w:val="2"/>
            <w:noWrap w:val="0"/>
            <w:vAlign w:val="center"/>
          </w:tcPr>
          <w:p w14:paraId="576874AC">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824" w:type="dxa"/>
            <w:noWrap w:val="0"/>
            <w:vAlign w:val="center"/>
          </w:tcPr>
          <w:p w14:paraId="1A8B0DFE">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20491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190AD7C2">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356" w:type="dxa"/>
            <w:gridSpan w:val="2"/>
            <w:noWrap w:val="0"/>
            <w:vAlign w:val="center"/>
          </w:tcPr>
          <w:p w14:paraId="37EBE7DB">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24" w:type="dxa"/>
            <w:noWrap w:val="0"/>
            <w:vAlign w:val="center"/>
          </w:tcPr>
          <w:p w14:paraId="08DBD487">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70B87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1EECDC1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356" w:type="dxa"/>
            <w:gridSpan w:val="2"/>
            <w:noWrap w:val="0"/>
            <w:vAlign w:val="center"/>
          </w:tcPr>
          <w:p w14:paraId="25E7B329">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24" w:type="dxa"/>
            <w:noWrap w:val="0"/>
            <w:vAlign w:val="center"/>
          </w:tcPr>
          <w:p w14:paraId="6F65784E">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EE0A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1020" w:type="dxa"/>
            <w:noWrap w:val="0"/>
            <w:vAlign w:val="center"/>
          </w:tcPr>
          <w:p w14:paraId="6C5B4A3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356" w:type="dxa"/>
            <w:gridSpan w:val="2"/>
            <w:noWrap w:val="0"/>
            <w:vAlign w:val="center"/>
          </w:tcPr>
          <w:p w14:paraId="10D1D6DD">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24" w:type="dxa"/>
            <w:noWrap w:val="0"/>
            <w:vAlign w:val="center"/>
          </w:tcPr>
          <w:p w14:paraId="3ECA2BC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3CDF0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1020" w:type="dxa"/>
            <w:noWrap w:val="0"/>
            <w:vAlign w:val="center"/>
          </w:tcPr>
          <w:p w14:paraId="701C422D">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356" w:type="dxa"/>
            <w:gridSpan w:val="2"/>
            <w:noWrap w:val="0"/>
            <w:vAlign w:val="center"/>
          </w:tcPr>
          <w:p w14:paraId="05BFC0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24" w:type="dxa"/>
            <w:noWrap w:val="0"/>
            <w:vAlign w:val="center"/>
          </w:tcPr>
          <w:p w14:paraId="2A8F499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2000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14:paraId="51FE684A">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FF637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0D0EB9D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356" w:type="dxa"/>
            <w:gridSpan w:val="2"/>
            <w:noWrap w:val="0"/>
            <w:vAlign w:val="center"/>
          </w:tcPr>
          <w:p w14:paraId="4925A657">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24" w:type="dxa"/>
            <w:noWrap w:val="0"/>
            <w:vAlign w:val="center"/>
          </w:tcPr>
          <w:p w14:paraId="5393634A">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w:t>
            </w:r>
            <w:r>
              <w:rPr>
                <w:rFonts w:hint="eastAsia" w:ascii="宋体" w:hAnsi="宋体" w:cs="宋体"/>
                <w:color w:val="auto"/>
                <w:sz w:val="21"/>
                <w:szCs w:val="21"/>
                <w:highlight w:val="none"/>
                <w:lang w:val="en-US" w:eastAsia="zh-CN"/>
              </w:rPr>
              <w:t>滁州市城投工程咨询管理有限公司网站（https://www.czctgczx.com/）</w:t>
            </w:r>
            <w:r>
              <w:rPr>
                <w:rFonts w:hint="eastAsia" w:ascii="宋体" w:hAnsi="宋体" w:eastAsia="宋体" w:cs="宋体"/>
                <w:color w:val="auto"/>
                <w:sz w:val="21"/>
                <w:szCs w:val="21"/>
                <w:highlight w:val="none"/>
                <w:lang w:val="en-US" w:eastAsia="zh-CN"/>
              </w:rPr>
              <w:t>予以公布。</w:t>
            </w:r>
          </w:p>
        </w:tc>
      </w:tr>
      <w:tr w14:paraId="5281A2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46C8136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56" w:type="dxa"/>
            <w:gridSpan w:val="2"/>
            <w:noWrap w:val="0"/>
            <w:vAlign w:val="center"/>
          </w:tcPr>
          <w:p w14:paraId="1860036F">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24" w:type="dxa"/>
            <w:noWrap w:val="0"/>
            <w:vAlign w:val="center"/>
          </w:tcPr>
          <w:p w14:paraId="399376C8">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93B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4BC4FB0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356" w:type="dxa"/>
            <w:gridSpan w:val="2"/>
            <w:noWrap w:val="0"/>
            <w:vAlign w:val="center"/>
          </w:tcPr>
          <w:p w14:paraId="1051690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24" w:type="dxa"/>
            <w:noWrap w:val="0"/>
            <w:vAlign w:val="top"/>
          </w:tcPr>
          <w:p w14:paraId="3B55E0DA">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749D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5" w:hRule="atLeast"/>
          <w:jc w:val="center"/>
        </w:trPr>
        <w:tc>
          <w:tcPr>
            <w:tcW w:w="1020" w:type="dxa"/>
            <w:noWrap w:val="0"/>
            <w:vAlign w:val="center"/>
          </w:tcPr>
          <w:p w14:paraId="673B3DC2">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356" w:type="dxa"/>
            <w:gridSpan w:val="2"/>
            <w:noWrap w:val="0"/>
            <w:vAlign w:val="center"/>
          </w:tcPr>
          <w:p w14:paraId="6A3448DD">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hAnsi="宋体" w:cs="宋体"/>
                <w:color w:val="auto"/>
                <w:sz w:val="21"/>
                <w:szCs w:val="21"/>
                <w:highlight w:val="none"/>
                <w:lang w:val="en-US" w:eastAsia="zh-CN"/>
              </w:rPr>
              <w:t>份数</w:t>
            </w:r>
          </w:p>
        </w:tc>
        <w:tc>
          <w:tcPr>
            <w:tcW w:w="6824" w:type="dxa"/>
            <w:noWrap w:val="0"/>
            <w:vAlign w:val="center"/>
          </w:tcPr>
          <w:p w14:paraId="6147BFCA">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加密电子投标文件供应商应在投标截止时间前通过新点电子交易平台后在【滁州专区】</w:t>
            </w:r>
          </w:p>
          <w:p w14:paraId="3995E74C">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66A92907">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投标人中标</w:t>
            </w:r>
            <w:r>
              <w:rPr>
                <w:rFonts w:hint="eastAsia" w:ascii="宋体" w:hAnsi="宋体" w:eastAsia="宋体" w:cs="宋体"/>
                <w:color w:val="auto"/>
                <w:sz w:val="21"/>
                <w:szCs w:val="21"/>
                <w:highlight w:val="none"/>
                <w:lang w:val="en-US" w:eastAsia="zh-CN"/>
              </w:rPr>
              <w:t>后须递交与网上电子投标文件完全一致的纸质版</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文件，并按要求加盖单位章；份数：正本1份，副本1份；</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领取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通知书时，一并递交给代理机构）</w:t>
            </w:r>
          </w:p>
        </w:tc>
      </w:tr>
      <w:tr w14:paraId="01707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5FEA48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356" w:type="dxa"/>
            <w:gridSpan w:val="2"/>
            <w:noWrap w:val="0"/>
            <w:vAlign w:val="center"/>
          </w:tcPr>
          <w:p w14:paraId="63E3E5A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24" w:type="dxa"/>
            <w:noWrap w:val="0"/>
            <w:vAlign w:val="center"/>
          </w:tcPr>
          <w:p w14:paraId="3FC1CA6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1EF6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20" w:type="dxa"/>
            <w:noWrap w:val="0"/>
            <w:vAlign w:val="center"/>
          </w:tcPr>
          <w:p w14:paraId="512EFE0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356" w:type="dxa"/>
            <w:gridSpan w:val="2"/>
            <w:noWrap w:val="0"/>
            <w:vAlign w:val="center"/>
          </w:tcPr>
          <w:p w14:paraId="0726E870">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投标文件提交截止时间</w:t>
            </w:r>
            <w:r>
              <w:rPr>
                <w:rFonts w:hint="eastAsia" w:ascii="宋体" w:hAnsi="宋体" w:cs="宋体"/>
                <w:color w:val="auto"/>
                <w:sz w:val="21"/>
                <w:szCs w:val="21"/>
                <w:highlight w:val="none"/>
                <w:lang w:val="en-US" w:eastAsia="zh-CN"/>
              </w:rPr>
              <w:t>及地点</w:t>
            </w:r>
          </w:p>
        </w:tc>
        <w:tc>
          <w:tcPr>
            <w:tcW w:w="6824" w:type="dxa"/>
            <w:noWrap w:val="0"/>
            <w:vAlign w:val="center"/>
          </w:tcPr>
          <w:p w14:paraId="6FE98E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139084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地点：通过新点电子交易平台后在【滁州专区】（https://www.etrading.cn/BREpointSSO/login/oauth2login?regioncode=DQ_ChuZhou）交易系统递交加密电子投标文件。</w:t>
            </w:r>
          </w:p>
        </w:tc>
      </w:tr>
      <w:tr w14:paraId="66B28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20" w:type="dxa"/>
            <w:noWrap w:val="0"/>
            <w:vAlign w:val="center"/>
          </w:tcPr>
          <w:p w14:paraId="199D89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356" w:type="dxa"/>
            <w:gridSpan w:val="2"/>
            <w:noWrap w:val="0"/>
            <w:vAlign w:val="center"/>
          </w:tcPr>
          <w:p w14:paraId="75E01BD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824" w:type="dxa"/>
            <w:noWrap w:val="0"/>
            <w:vAlign w:val="center"/>
          </w:tcPr>
          <w:p w14:paraId="4CEA9BF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F3826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6F2EE8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356" w:type="dxa"/>
            <w:gridSpan w:val="2"/>
            <w:noWrap w:val="0"/>
            <w:vAlign w:val="center"/>
          </w:tcPr>
          <w:p w14:paraId="4DF99F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824" w:type="dxa"/>
            <w:noWrap w:val="0"/>
            <w:vAlign w:val="center"/>
          </w:tcPr>
          <w:p w14:paraId="2E7E26E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362D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77B4048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356" w:type="dxa"/>
            <w:gridSpan w:val="2"/>
            <w:noWrap w:val="0"/>
            <w:vAlign w:val="center"/>
          </w:tcPr>
          <w:p w14:paraId="1C2EA3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24" w:type="dxa"/>
            <w:noWrap w:val="0"/>
            <w:vAlign w:val="center"/>
          </w:tcPr>
          <w:p w14:paraId="612FECC3">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w:t>
            </w:r>
            <w:r>
              <w:rPr>
                <w:rFonts w:hint="eastAsia" w:ascii="宋体" w:hAnsi="宋体" w:cs="宋体"/>
                <w:color w:val="auto"/>
                <w:spacing w:val="-4"/>
                <w:kern w:val="0"/>
                <w:szCs w:val="21"/>
                <w:highlight w:val="none"/>
              </w:rPr>
              <w:t>至</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31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rPr>
              <w:t>分</w:t>
            </w:r>
            <w:r>
              <w:rPr>
                <w:rFonts w:hint="eastAsia" w:ascii="宋体" w:hAnsi="宋体" w:cs="宋体"/>
                <w:color w:val="auto"/>
                <w:spacing w:val="-4"/>
                <w:kern w:val="0"/>
                <w:szCs w:val="21"/>
                <w:highlight w:val="none"/>
              </w:rPr>
              <w:t>。</w:t>
            </w:r>
          </w:p>
          <w:p w14:paraId="400808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14:paraId="7EECF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338EA4D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356" w:type="dxa"/>
            <w:gridSpan w:val="2"/>
            <w:noWrap w:val="0"/>
            <w:vAlign w:val="center"/>
          </w:tcPr>
          <w:p w14:paraId="5F1041AB">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24" w:type="dxa"/>
            <w:noWrap w:val="0"/>
            <w:vAlign w:val="top"/>
          </w:tcPr>
          <w:p w14:paraId="25283D63">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664F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20" w:type="dxa"/>
            <w:noWrap w:val="0"/>
            <w:vAlign w:val="center"/>
          </w:tcPr>
          <w:p w14:paraId="39C113BE">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356" w:type="dxa"/>
            <w:gridSpan w:val="2"/>
            <w:noWrap w:val="0"/>
            <w:vAlign w:val="center"/>
          </w:tcPr>
          <w:p w14:paraId="18DAF9A6">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24" w:type="dxa"/>
            <w:noWrap w:val="0"/>
            <w:vAlign w:val="center"/>
          </w:tcPr>
          <w:p w14:paraId="70B2677A">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29A1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7AA5E14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356" w:type="dxa"/>
            <w:gridSpan w:val="2"/>
            <w:noWrap w:val="0"/>
            <w:vAlign w:val="center"/>
          </w:tcPr>
          <w:p w14:paraId="54EDD3E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24" w:type="dxa"/>
            <w:noWrap w:val="0"/>
            <w:vAlign w:val="center"/>
          </w:tcPr>
          <w:p w14:paraId="7AB3A22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E805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1020" w:type="dxa"/>
            <w:noWrap w:val="0"/>
            <w:vAlign w:val="center"/>
          </w:tcPr>
          <w:p w14:paraId="632D810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356" w:type="dxa"/>
            <w:gridSpan w:val="2"/>
            <w:noWrap w:val="0"/>
            <w:vAlign w:val="center"/>
          </w:tcPr>
          <w:p w14:paraId="2973429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24" w:type="dxa"/>
            <w:noWrap w:val="0"/>
            <w:vAlign w:val="center"/>
          </w:tcPr>
          <w:p w14:paraId="4CD25D4B">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11FB73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21B303E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356" w:type="dxa"/>
            <w:gridSpan w:val="2"/>
            <w:noWrap w:val="0"/>
            <w:vAlign w:val="center"/>
          </w:tcPr>
          <w:p w14:paraId="135098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24" w:type="dxa"/>
            <w:noWrap w:val="0"/>
            <w:vAlign w:val="center"/>
          </w:tcPr>
          <w:p w14:paraId="26E992C2">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w:t>
            </w:r>
            <w:bookmarkStart w:id="124" w:name="_GoBack"/>
            <w:bookmarkEnd w:id="124"/>
            <w:r>
              <w:rPr>
                <w:rFonts w:hint="eastAsia" w:ascii="宋体" w:hAnsi="宋体" w:eastAsia="宋体" w:cs="宋体"/>
                <w:color w:val="auto"/>
                <w:sz w:val="21"/>
                <w:szCs w:val="21"/>
                <w:highlight w:val="none"/>
              </w:rPr>
              <w:t>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27</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时将疑问内容通过登录新点电子交易平台【滁州专区】线上提出异议。</w:t>
            </w:r>
            <w:r>
              <w:rPr>
                <w:rFonts w:hint="eastAsia" w:ascii="宋体" w:hAnsi="宋体" w:eastAsia="宋体" w:cs="宋体"/>
                <w:color w:val="auto"/>
                <w:sz w:val="21"/>
                <w:szCs w:val="21"/>
                <w:highlight w:val="none"/>
                <w:lang w:val="en-US" w:eastAsia="zh-CN"/>
              </w:rPr>
              <w:t xml:space="preserve">招标人不再集中召开招标答疑会；投标人自行组织勘察现场。  </w:t>
            </w:r>
          </w:p>
        </w:tc>
      </w:tr>
      <w:tr w14:paraId="59A01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08CBBC3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356" w:type="dxa"/>
            <w:gridSpan w:val="2"/>
            <w:noWrap w:val="0"/>
            <w:vAlign w:val="center"/>
          </w:tcPr>
          <w:p w14:paraId="09402876">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824" w:type="dxa"/>
            <w:noWrap w:val="0"/>
            <w:vAlign w:val="center"/>
          </w:tcPr>
          <w:p w14:paraId="257C5C58">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5757C0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2371" w:type="dxa"/>
            <w:gridSpan w:val="2"/>
            <w:noWrap w:val="0"/>
            <w:vAlign w:val="center"/>
          </w:tcPr>
          <w:p w14:paraId="66621BB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付款方式、时间、条件</w:t>
            </w:r>
          </w:p>
        </w:tc>
        <w:tc>
          <w:tcPr>
            <w:tcW w:w="7829" w:type="dxa"/>
            <w:gridSpan w:val="2"/>
            <w:noWrap w:val="0"/>
            <w:vAlign w:val="center"/>
          </w:tcPr>
          <w:p w14:paraId="75E80B87">
            <w:pPr>
              <w:pStyle w:val="28"/>
              <w:keepNext w:val="0"/>
              <w:keepLines w:val="0"/>
              <w:pageBreakBefore w:val="0"/>
              <w:widowControl w:val="0"/>
              <w:kinsoku/>
              <w:wordWrap/>
              <w:overflowPunct/>
              <w:topLinePunct w:val="0"/>
              <w:autoSpaceDE/>
              <w:autoSpaceDN/>
              <w:bidi w:val="0"/>
              <w:adjustRightInd/>
              <w:snapToGrid/>
              <w:spacing w:after="0" w:line="500" w:lineRule="exact"/>
              <w:jc w:val="left"/>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竣工验收合格后付至监理范围内全部工程量的90%监理费（即监理范围内全部工程量*90%*中标费率）</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施工结算、资料归档及审计结束后付至结算总价的98%监理费（即结算价*98%*中标费率），监理费的余款（即结算价*2%*中标费率）待工程缺陷责任期（缺陷责任期两年，从竣工验收合格之日起计算）满后一次性付清。</w:t>
            </w:r>
          </w:p>
        </w:tc>
      </w:tr>
      <w:tr w14:paraId="61670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2371" w:type="dxa"/>
            <w:gridSpan w:val="2"/>
            <w:noWrap w:val="0"/>
            <w:vAlign w:val="center"/>
          </w:tcPr>
          <w:p w14:paraId="292441FC">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bookmarkStart w:id="19" w:name="_Toc58430315"/>
            <w:bookmarkStart w:id="20" w:name="_Toc449028866"/>
            <w:r>
              <w:rPr>
                <w:rFonts w:hint="eastAsia" w:ascii="宋体" w:hAnsi="宋体" w:cs="宋体"/>
                <w:color w:val="auto"/>
                <w:sz w:val="21"/>
                <w:szCs w:val="21"/>
                <w:highlight w:val="none"/>
                <w:lang w:val="en-US" w:eastAsia="zh-CN"/>
              </w:rPr>
              <w:t>其他要求</w:t>
            </w:r>
          </w:p>
        </w:tc>
        <w:tc>
          <w:tcPr>
            <w:tcW w:w="7829" w:type="dxa"/>
            <w:gridSpan w:val="2"/>
            <w:noWrap w:val="0"/>
            <w:vAlign w:val="center"/>
          </w:tcPr>
          <w:p w14:paraId="35CFFEF3">
            <w:pPr>
              <w:keepNext w:val="0"/>
              <w:keepLines w:val="0"/>
              <w:pageBreakBefore w:val="0"/>
              <w:numPr>
                <w:ilvl w:val="0"/>
                <w:numId w:val="0"/>
              </w:numPr>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监理机构人员配置须满足</w:t>
            </w:r>
            <w:r>
              <w:rPr>
                <w:rFonts w:hint="default" w:ascii="宋体" w:hAnsi="宋体" w:eastAsia="宋体" w:cs="宋体"/>
                <w:color w:val="auto"/>
                <w:sz w:val="21"/>
                <w:szCs w:val="21"/>
                <w:highlight w:val="none"/>
                <w:lang w:val="en-US" w:eastAsia="zh-CN"/>
              </w:rPr>
              <w:t>安徽省住房和城乡建设厅 《建筑与市政工程项目管理人员职业标准》</w:t>
            </w:r>
            <w:r>
              <w:rPr>
                <w:rFonts w:hint="eastAsia" w:ascii="宋体" w:hAnsi="宋体" w:cs="宋体"/>
                <w:color w:val="auto"/>
                <w:sz w:val="21"/>
                <w:szCs w:val="21"/>
                <w:highlight w:val="none"/>
                <w:lang w:val="en-US" w:eastAsia="zh-CN"/>
              </w:rPr>
              <w:t>。</w:t>
            </w:r>
          </w:p>
        </w:tc>
      </w:tr>
    </w:tbl>
    <w:p w14:paraId="367AAA42">
      <w:pPr>
        <w:pageBreakBefore/>
        <w:spacing w:before="312" w:beforeLines="100" w:after="312" w:afterLines="100" w:line="440" w:lineRule="exact"/>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71C5E524">
      <w:pPr>
        <w:spacing w:line="440" w:lineRule="exact"/>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751CB15">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1.项目概况</w:t>
      </w:r>
    </w:p>
    <w:p w14:paraId="2794C4BA">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5F0FC197">
      <w:pPr>
        <w:snapToGrid w:val="0"/>
        <w:spacing w:line="440" w:lineRule="exact"/>
        <w:ind w:firstLine="840" w:firstLineChars="400"/>
        <w:rPr>
          <w:rFonts w:hint="eastAsia" w:ascii="宋体" w:hAnsi="宋体" w:cs="宋体"/>
          <w:color w:val="auto"/>
          <w:szCs w:val="21"/>
          <w:highlight w:val="none"/>
          <w:u w:val="single"/>
        </w:rPr>
      </w:pPr>
      <w:r>
        <w:rPr>
          <w:rFonts w:hint="eastAsia" w:ascii="宋体" w:hAnsi="宋体" w:cs="宋体"/>
          <w:color w:val="auto"/>
          <w:szCs w:val="21"/>
          <w:highlight w:val="none"/>
        </w:rPr>
        <w:t>项目编号：见投标人须知前附表。</w:t>
      </w:r>
    </w:p>
    <w:p w14:paraId="6C4DA563">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342C6A91">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期：见投标人须知前附表。</w:t>
      </w:r>
    </w:p>
    <w:p w14:paraId="357F27A4">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地点：见投标人须知前附表。</w:t>
      </w:r>
    </w:p>
    <w:p w14:paraId="4992A507">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及联系人: 见投标人须知前附表。</w:t>
      </w:r>
    </w:p>
    <w:p w14:paraId="0C184FFA">
      <w:pPr>
        <w:snapToGrid w:val="0"/>
        <w:spacing w:line="44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 xml:space="preserve">  代理机构及联系人: 见投标人须知前附表。</w:t>
      </w:r>
    </w:p>
    <w:p w14:paraId="188B78C4">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313A93F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4DB87F7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72B7BF8">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2.招标范围：</w:t>
      </w:r>
    </w:p>
    <w:p w14:paraId="1983D489">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2.1 采购内容：见投标人须知前附表。</w:t>
      </w:r>
    </w:p>
    <w:p w14:paraId="260899ED">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3.标包划分：</w:t>
      </w:r>
    </w:p>
    <w:p w14:paraId="3470692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6AB9D787">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4.招标方式：</w:t>
      </w:r>
    </w:p>
    <w:p w14:paraId="62FC6562">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00F9DE79">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5.计价方式：</w:t>
      </w:r>
    </w:p>
    <w:p w14:paraId="2CE341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固定费率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w:t>
      </w:r>
    </w:p>
    <w:p w14:paraId="76A9A77C">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6.评标办法：</w:t>
      </w:r>
    </w:p>
    <w:p w14:paraId="4128FE8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lang w:val="en-US" w:eastAsia="zh-CN"/>
        </w:rPr>
        <w:t>综合评估法</w:t>
      </w:r>
      <w:r>
        <w:rPr>
          <w:rFonts w:hint="eastAsia" w:ascii="宋体" w:hAnsi="宋体" w:cs="宋体"/>
          <w:color w:val="auto"/>
          <w:szCs w:val="21"/>
          <w:highlight w:val="none"/>
        </w:rPr>
        <w:t>（详见第三章评标办法）</w:t>
      </w:r>
    </w:p>
    <w:p w14:paraId="2165EE83">
      <w:pPr>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7.投标人资格：</w:t>
      </w:r>
    </w:p>
    <w:p w14:paraId="7691ED36">
      <w:pPr>
        <w:widowControl/>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7.1本项目投标人资格：见投标人须知前附表。</w:t>
      </w:r>
    </w:p>
    <w:p w14:paraId="6E10BC6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 投标费用</w:t>
      </w:r>
    </w:p>
    <w:p w14:paraId="2948CC2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2BCAF23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w:t>
      </w:r>
      <w:bookmarkStart w:id="22" w:name="_Toc247592876"/>
      <w:bookmarkStart w:id="23" w:name="_Toc152045539"/>
      <w:bookmarkStart w:id="24" w:name="_Toc296602429"/>
      <w:bookmarkStart w:id="25" w:name="_Toc247513962"/>
      <w:bookmarkStart w:id="26" w:name="_Toc152042315"/>
      <w:bookmarkStart w:id="27" w:name="_Toc247527563"/>
      <w:bookmarkStart w:id="28" w:name="_Toc144974507"/>
      <w:r>
        <w:rPr>
          <w:rFonts w:hint="eastAsia" w:ascii="宋体" w:hAnsi="宋体" w:cs="宋体"/>
          <w:b/>
          <w:color w:val="auto"/>
          <w:szCs w:val="21"/>
          <w:highlight w:val="none"/>
        </w:rPr>
        <w:t xml:space="preserve"> 踏勘现场</w:t>
      </w:r>
      <w:bookmarkEnd w:id="22"/>
      <w:bookmarkEnd w:id="23"/>
      <w:bookmarkEnd w:id="24"/>
      <w:bookmarkEnd w:id="25"/>
      <w:bookmarkEnd w:id="26"/>
      <w:bookmarkEnd w:id="27"/>
      <w:bookmarkEnd w:id="28"/>
    </w:p>
    <w:p w14:paraId="75C9E8AA">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9.1 投标人须知前附表规定组织踏勘现场的，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 xml:space="preserve">按投标人须知前附表规定的时间、地点组织投标人踏勘项目现场。 </w:t>
      </w:r>
    </w:p>
    <w:p w14:paraId="285F926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23FA28D6">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9.3 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的原因外，投标人自行负责在踏勘现场中所发生的人员伤亡和财产损失。</w:t>
      </w:r>
    </w:p>
    <w:p w14:paraId="36C87362">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 xml:space="preserve">9.4 </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在踏勘现场中介绍的场地和相关的周边环境情况，供投标人在编制投标文件时参考，</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不对投标人据此作出的判断和决策负责。</w:t>
      </w:r>
      <w:bookmarkStart w:id="29" w:name="_Toc144974508"/>
      <w:bookmarkStart w:id="30" w:name="_Toc152045540"/>
      <w:bookmarkStart w:id="31" w:name="_Toc296602430"/>
      <w:bookmarkStart w:id="32" w:name="_Toc152042316"/>
      <w:bookmarkStart w:id="33" w:name="_Toc247527564"/>
      <w:bookmarkStart w:id="34" w:name="_Toc247592877"/>
      <w:bookmarkStart w:id="35" w:name="_Toc247513963"/>
    </w:p>
    <w:p w14:paraId="72301C1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rPr>
        <w:t>（本项目不采用）</w:t>
      </w:r>
    </w:p>
    <w:p w14:paraId="151E551C">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10.1投标人须知前附表规定召开投标预备会的，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按投标人须知前附表规定的时间和地点召开投标预备会，澄清投标人提出的问题。</w:t>
      </w:r>
    </w:p>
    <w:p w14:paraId="1711C381">
      <w:pPr>
        <w:numPr>
          <w:ilvl w:val="0"/>
          <w:numId w:val="8"/>
        </w:num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联合投标、合同分包（本项目不采用）</w:t>
      </w:r>
    </w:p>
    <w:p w14:paraId="5E4C1394">
      <w:pPr>
        <w:numPr>
          <w:ilvl w:val="0"/>
          <w:numId w:val="0"/>
        </w:num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cs="宋体"/>
          <w:color w:val="auto"/>
          <w:szCs w:val="21"/>
          <w:highlight w:val="none"/>
          <w:lang w:val="en-US" w:eastAsia="zh-CN"/>
        </w:rPr>
        <w:t>相关要求</w:t>
      </w:r>
      <w:r>
        <w:rPr>
          <w:rFonts w:hint="eastAsia" w:ascii="宋体" w:hAnsi="宋体" w:cs="宋体"/>
          <w:color w:val="auto"/>
          <w:szCs w:val="21"/>
          <w:highlight w:val="none"/>
        </w:rPr>
        <w:t>。</w:t>
      </w:r>
    </w:p>
    <w:p w14:paraId="4E3E8685">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。联合体各方签订共同投标协议后，不得再以自己名义单独在同一项目中投标，也不得组成新的联合体参加同一项目投标。</w:t>
      </w:r>
    </w:p>
    <w:p w14:paraId="4632889C">
      <w:pPr>
        <w:spacing w:line="44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11.3 联合体应当确定其中一个单位为投标的全权代表，负责参加投标的一切事务，并承担投标及履约中应承担的全部责任与义务。</w:t>
      </w:r>
    </w:p>
    <w:p w14:paraId="2B079823">
      <w:pPr>
        <w:spacing w:line="440" w:lineRule="exact"/>
        <w:ind w:firstLine="435"/>
        <w:rPr>
          <w:rFonts w:hint="eastAsia" w:ascii="宋体" w:hAnsi="宋体" w:cs="宋体"/>
          <w:color w:val="auto"/>
          <w:szCs w:val="21"/>
          <w:highlight w:val="none"/>
        </w:rPr>
      </w:pPr>
      <w:r>
        <w:rPr>
          <w:rFonts w:hint="eastAsia" w:ascii="宋体" w:hAnsi="宋体" w:cs="宋体"/>
          <w:color w:val="auto"/>
          <w:szCs w:val="21"/>
          <w:highlight w:val="none"/>
        </w:rPr>
        <w:t>11.4 联合体各方应当共同与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签订采购合同，就采购合同约定的事项对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承担连带责任。</w:t>
      </w:r>
    </w:p>
    <w:p w14:paraId="0552FA51">
      <w:pPr>
        <w:spacing w:line="440" w:lineRule="exact"/>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11.5 联合体中有同类资质的供应商按照联合体分工承担相同工作的，应当按照资质等级较低的供应商确定资质等级。</w:t>
      </w:r>
    </w:p>
    <w:p w14:paraId="73F505EE">
      <w:pPr>
        <w:spacing w:line="440" w:lineRule="exact"/>
        <w:ind w:firstLine="413" w:firstLineChars="196"/>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12.招标代理费和</w:t>
      </w:r>
      <w:r>
        <w:rPr>
          <w:rFonts w:hint="eastAsia" w:ascii="宋体" w:hAnsi="宋体" w:cs="宋体"/>
          <w:b/>
          <w:color w:val="auto"/>
          <w:szCs w:val="21"/>
          <w:highlight w:val="none"/>
          <w:lang w:val="en-US" w:eastAsia="zh-CN"/>
        </w:rPr>
        <w:t>其他费用</w:t>
      </w:r>
    </w:p>
    <w:p w14:paraId="729DF70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见投标人须知前附表。</w:t>
      </w:r>
    </w:p>
    <w:p w14:paraId="1210020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13.投标人应注意的事项</w:t>
      </w:r>
    </w:p>
    <w:p w14:paraId="2ECE2C1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06171C2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13.2投标人对采购内容中规定的</w:t>
      </w:r>
      <w:r>
        <w:rPr>
          <w:rFonts w:hint="eastAsia" w:ascii="宋体" w:hAnsi="宋体" w:cs="宋体"/>
          <w:color w:val="auto"/>
          <w:szCs w:val="21"/>
          <w:highlight w:val="none"/>
          <w:lang w:val="en-US" w:eastAsia="zh-CN"/>
        </w:rPr>
        <w:t>服务需求</w:t>
      </w:r>
      <w:r>
        <w:rPr>
          <w:rFonts w:hint="eastAsia" w:ascii="宋体" w:hAnsi="宋体" w:cs="宋体"/>
          <w:color w:val="auto"/>
          <w:szCs w:val="21"/>
          <w:highlight w:val="none"/>
        </w:rPr>
        <w:t>和要求等必须</w:t>
      </w:r>
      <w:r>
        <w:rPr>
          <w:rFonts w:hint="eastAsia" w:ascii="宋体" w:hAnsi="宋体" w:cs="宋体"/>
          <w:color w:val="auto"/>
          <w:szCs w:val="21"/>
          <w:highlight w:val="none"/>
          <w:lang w:val="en-US" w:eastAsia="zh-CN"/>
        </w:rPr>
        <w:t>响应或优于</w:t>
      </w:r>
      <w:r>
        <w:rPr>
          <w:rFonts w:hint="eastAsia" w:ascii="宋体" w:hAnsi="宋体" w:cs="宋体"/>
          <w:color w:val="auto"/>
          <w:szCs w:val="21"/>
          <w:highlight w:val="none"/>
        </w:rPr>
        <w:t>招标文件的相关要求。</w:t>
      </w:r>
    </w:p>
    <w:p w14:paraId="50220D8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r>
        <w:rPr>
          <w:rFonts w:hint="eastAsia" w:ascii="宋体" w:hAnsi="宋体" w:cs="宋体"/>
          <w:color w:val="auto"/>
          <w:szCs w:val="21"/>
          <w:highlight w:val="none"/>
          <w:lang w:val="en-US" w:eastAsia="zh-CN"/>
        </w:rPr>
        <w:t>3</w:t>
      </w:r>
      <w:r>
        <w:rPr>
          <w:rFonts w:hint="eastAsia" w:ascii="宋体" w:hAnsi="宋体" w:cs="宋体"/>
          <w:bCs/>
          <w:color w:val="auto"/>
          <w:szCs w:val="21"/>
          <w:highlight w:val="none"/>
        </w:rPr>
        <w:t>单位负责人为同一人或者存在直接控股、管理关系的不同投标人，不得参加同一合同项下的政府采购活动。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7BBE4780">
      <w:pPr>
        <w:spacing w:line="440" w:lineRule="exact"/>
        <w:ind w:firstLine="417" w:firstLineChars="199"/>
        <w:jc w:val="left"/>
        <w:rPr>
          <w:rFonts w:hint="eastAsia" w:ascii="宋体" w:hAnsi="宋体" w:cs="宋体"/>
          <w:color w:val="auto"/>
          <w:szCs w:val="21"/>
          <w:highlight w:val="none"/>
        </w:rPr>
      </w:pPr>
      <w:r>
        <w:rPr>
          <w:rFonts w:hint="eastAsia" w:ascii="宋体" w:hAnsi="宋体" w:cs="宋体"/>
          <w:color w:val="auto"/>
          <w:szCs w:val="21"/>
          <w:highlight w:val="none"/>
        </w:rPr>
        <w:t>13.5投标人被视为充分熟悉本招标项目所在地的与履行合同有关的各种情况，包括但不限于：</w:t>
      </w:r>
    </w:p>
    <w:p w14:paraId="3DCA839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（1）国家对本次投标货物和服务的生产、安装调试、验收、维修等有关法律、法规及行业管理标准；</w:t>
      </w:r>
    </w:p>
    <w:p w14:paraId="35AE652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（2）安徽省及滁州市等有关管理部门的相关规定；</w:t>
      </w:r>
    </w:p>
    <w:p w14:paraId="544402F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的相关场地情况、基础建设、电力供应情况及相关设计标准。</w:t>
      </w:r>
    </w:p>
    <w:p w14:paraId="4F80E7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本招标文件不再对上述情况进行描述。</w:t>
      </w:r>
    </w:p>
    <w:p w14:paraId="709FD345">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中标候选人无正当理由放弃中标候选人资格的，其将被记不良信息记录。</w:t>
      </w:r>
    </w:p>
    <w:p w14:paraId="701428F5">
      <w:pPr>
        <w:spacing w:before="312" w:beforeLines="100" w:after="312" w:afterLines="100" w:line="440" w:lineRule="exact"/>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22B409E7">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22DC08B7">
      <w:pPr>
        <w:spacing w:line="440" w:lineRule="exact"/>
        <w:ind w:firstLine="420" w:firstLineChars="200"/>
        <w:rPr>
          <w:rFonts w:hint="eastAsia" w:ascii="宋体"/>
          <w:color w:val="auto"/>
          <w:spacing w:val="-2"/>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025B44AF">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6E6227A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58CAF91F">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A8A5114">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BF394C0">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6C7325F0">
      <w:pPr>
        <w:spacing w:line="440" w:lineRule="exact"/>
        <w:ind w:firstLine="1470" w:firstLineChars="7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合同格式</w:t>
      </w:r>
    </w:p>
    <w:p w14:paraId="29C022FF">
      <w:pPr>
        <w:spacing w:line="440" w:lineRule="exact"/>
        <w:ind w:firstLine="1470" w:firstLineChars="700"/>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E9C480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0A3D104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60DA9C6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15.4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将以更正公告形式在滁州市城投工程咨询管理有限公司网站（https://www.czctgczx.com/）予以公布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14:paraId="63F69C71">
      <w:p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19B55D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在滁州市城投工程咨询管理有限公司网站（https://www.czctgczx.com/）予以公布。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5BFCBEB">
      <w:pPr>
        <w:spacing w:line="44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招标文件的解释</w:t>
      </w:r>
    </w:p>
    <w:p w14:paraId="14C616F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17.1</w:t>
      </w:r>
      <w:r>
        <w:rPr>
          <w:rFonts w:hint="eastAsia" w:ascii="宋体" w:hAnsi="宋体" w:cs="宋体"/>
          <w:color w:val="auto"/>
          <w:szCs w:val="21"/>
          <w:highlight w:val="none"/>
        </w:rPr>
        <w:t>构成本招标文件的各个组成文件应互为解释，互为说明；</w:t>
      </w:r>
    </w:p>
    <w:p w14:paraId="44DCD2E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同一组成文件中就同一事项的规定或约定不一致的，以编排顺序在后者为准；</w:t>
      </w:r>
    </w:p>
    <w:p w14:paraId="7C663F7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14:paraId="24334E6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37CB6FC">
      <w:p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 招标文件的发出</w:t>
      </w:r>
    </w:p>
    <w:p w14:paraId="3E48E06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14:paraId="087E6BAC">
      <w:pPr>
        <w:spacing w:before="312" w:beforeLines="100" w:after="312" w:afterLines="100" w:line="440" w:lineRule="exact"/>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65D2CF94">
      <w:pPr>
        <w:spacing w:line="440" w:lineRule="exact"/>
        <w:ind w:firstLine="306" w:firstLineChars="145"/>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5666AB1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1A721E07">
      <w:pPr>
        <w:spacing w:line="440" w:lineRule="exact"/>
        <w:ind w:left="267" w:leftChars="127" w:firstLine="105" w:firstLineChars="50"/>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0EEAD9A7">
      <w:pPr>
        <w:spacing w:line="440" w:lineRule="exact"/>
        <w:ind w:firstLine="207" w:firstLineChars="98"/>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0580E6B">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1FCC553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14:paraId="1361D8CC">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1365148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14:paraId="5675E8FC">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p w14:paraId="71D12E53">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4C4487C7">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76B1B23D">
      <w:pPr>
        <w:spacing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投标人中标后须递交与网上电子响应文件完全一致的纸质版投标文件，在领取中标通知书时，一并递交给代理机构。</w:t>
      </w:r>
    </w:p>
    <w:p w14:paraId="65A30418">
      <w:pPr>
        <w:spacing w:line="44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70545F5F">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本项目采用费率报价</w:t>
      </w:r>
      <w:r>
        <w:rPr>
          <w:rFonts w:hint="eastAsia" w:ascii="宋体" w:hAnsi="宋体" w:cs="宋体"/>
          <w:color w:val="auto"/>
          <w:szCs w:val="21"/>
          <w:highlight w:val="none"/>
        </w:rPr>
        <w:t>。投标人的报价应含有服务（货物）、利润、税金、政策性文件规定及合同包含的所有风险、责任、义务等，即为完成招标文件要求的服务（货物）内容所包含的一切应有费用，</w:t>
      </w:r>
      <w:r>
        <w:rPr>
          <w:rFonts w:hint="eastAsia" w:ascii="宋体" w:hAnsi="宋体" w:cs="宋体"/>
          <w:color w:val="auto"/>
          <w:szCs w:val="21"/>
          <w:highlight w:val="none"/>
          <w:lang w:val="en-US" w:eastAsia="zh-CN"/>
        </w:rPr>
        <w:t>中标费率</w:t>
      </w:r>
      <w:r>
        <w:rPr>
          <w:rFonts w:hint="eastAsia" w:ascii="宋体" w:hAnsi="宋体" w:cs="宋体"/>
          <w:color w:val="auto"/>
          <w:szCs w:val="21"/>
          <w:highlight w:val="none"/>
        </w:rPr>
        <w:t>今后将不作任何调整，</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后期不再追加费用，投标</w:t>
      </w:r>
      <w:r>
        <w:rPr>
          <w:rFonts w:hint="eastAsia" w:ascii="宋体" w:hAnsi="宋体" w:cs="宋体"/>
          <w:color w:val="auto"/>
          <w:szCs w:val="21"/>
          <w:highlight w:val="none"/>
          <w:lang w:val="en-US" w:eastAsia="zh-CN"/>
        </w:rPr>
        <w:t>人</w:t>
      </w:r>
      <w:r>
        <w:rPr>
          <w:rFonts w:hint="eastAsia" w:ascii="宋体" w:hAnsi="宋体" w:cs="宋体"/>
          <w:color w:val="auto"/>
          <w:szCs w:val="21"/>
          <w:highlight w:val="none"/>
        </w:rPr>
        <w:t>自行考虑投标风险。</w:t>
      </w:r>
    </w:p>
    <w:p w14:paraId="4B56881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投标人只允许有一个方案、一个报价。</w:t>
      </w:r>
    </w:p>
    <w:p w14:paraId="56263A2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投标报价应由法定代表人或被授权人签署。</w:t>
      </w:r>
    </w:p>
    <w:p w14:paraId="082C64E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w:t>
      </w:r>
      <w:r>
        <w:rPr>
          <w:rFonts w:hint="eastAsia" w:ascii="宋体" w:hAnsi="宋体" w:cs="宋体"/>
          <w:bCs/>
          <w:color w:val="auto"/>
          <w:szCs w:val="21"/>
          <w:highlight w:val="none"/>
          <w:lang w:val="en-US" w:eastAsia="zh-CN"/>
        </w:rPr>
        <w:t>4</w:t>
      </w:r>
      <w:r>
        <w:rPr>
          <w:rFonts w:hint="eastAsia" w:ascii="宋体"/>
          <w:bCs/>
          <w:color w:val="auto"/>
          <w:szCs w:val="21"/>
          <w:highlight w:val="none"/>
        </w:rPr>
        <w:t>投标人的报价不得高于本次招标最高限价</w:t>
      </w:r>
      <w:r>
        <w:rPr>
          <w:rFonts w:hint="eastAsia" w:ascii="宋体" w:hAnsi="宋体"/>
          <w:b/>
          <w:color w:val="auto"/>
          <w:szCs w:val="21"/>
          <w:highlight w:val="none"/>
        </w:rPr>
        <w:t>，</w:t>
      </w:r>
      <w:r>
        <w:rPr>
          <w:rFonts w:hint="eastAsia" w:ascii="宋体" w:hAnsi="宋体"/>
          <w:b/>
          <w:bCs/>
          <w:color w:val="auto"/>
          <w:szCs w:val="21"/>
          <w:highlight w:val="none"/>
        </w:rPr>
        <w:t>否则将作为无效投标处理。</w:t>
      </w:r>
    </w:p>
    <w:p w14:paraId="7AC7708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总投标价中不得包含招标文件要求以外的内容，否则，在评标时不予核减，但在授予合同时，</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有权将这部分价格从其中标价格中扣除。</w:t>
      </w:r>
    </w:p>
    <w:p w14:paraId="31EE4337">
      <w:pPr>
        <w:spacing w:line="440" w:lineRule="exact"/>
        <w:ind w:firstLine="403" w:firstLineChars="192"/>
        <w:rPr>
          <w:rFonts w:hint="eastAsia" w:ascii="宋体" w:hAnsi="宋体" w:cs="宋体"/>
          <w:color w:val="auto"/>
          <w:szCs w:val="21"/>
          <w:highlight w:val="none"/>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1B1907D">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0EB2C52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14:paraId="028F237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108AF37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1D034C2E">
      <w:pPr>
        <w:spacing w:line="440" w:lineRule="exact"/>
        <w:ind w:firstLine="405" w:firstLineChars="192"/>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F2A595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14:paraId="1724861B">
      <w:pPr>
        <w:spacing w:before="312" w:beforeLines="100" w:after="312" w:afterLines="100" w:line="440" w:lineRule="exact"/>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651B01A6">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24.投标文件的份数和签署</w:t>
      </w:r>
    </w:p>
    <w:p w14:paraId="1CCF219C">
      <w:pPr>
        <w:spacing w:line="440" w:lineRule="exact"/>
        <w:ind w:firstLine="420" w:firstLineChars="200"/>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1投标人中标后须递交与网上电子投标文件完全一致的纸质版投标文件，并按要求加盖单位章；份数：正本1份，副本1份；中标人领取中标通知书时，一并递交给代理机构。</w:t>
      </w:r>
    </w:p>
    <w:p w14:paraId="3D7843B5">
      <w:pPr>
        <w:spacing w:line="440" w:lineRule="exact"/>
        <w:ind w:firstLine="312" w:firstLineChars="148"/>
        <w:jc w:val="left"/>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14:paraId="0DEF7F48">
      <w:pPr>
        <w:spacing w:line="440" w:lineRule="exact"/>
        <w:ind w:firstLine="310" w:firstLineChars="148"/>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25.1投标人应在投标人须知前附表规定的投标递交时间内在网上递交投标文件。将加密投标文件上传至电子交易系统。未在递交时间内上传投标文件的，不予接收，投标将被拒绝。</w:t>
      </w:r>
    </w:p>
    <w:p w14:paraId="35B17B0B">
      <w:pPr>
        <w:spacing w:line="440" w:lineRule="exact"/>
        <w:ind w:firstLine="314" w:firstLineChars="149"/>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4D57C942">
      <w:pPr>
        <w:spacing w:line="440" w:lineRule="exact"/>
        <w:ind w:firstLine="310" w:firstLineChars="148"/>
        <w:jc w:val="lef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eastAsia="宋体" w:cs="宋体"/>
          <w:b w:val="0"/>
          <w:bCs w:val="0"/>
          <w:color w:val="auto"/>
          <w:szCs w:val="21"/>
          <w:highlight w:val="none"/>
        </w:rPr>
        <w:t>在第一章“招标公告”规定的投标截止时间前，投标人可以自行从网上开评标系统撤回已递交的投标文件，并可修改后重新加密上传，开标时以开标截止时间前供应商最终上传的</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文件为准。</w:t>
      </w:r>
    </w:p>
    <w:p w14:paraId="13CF36C7">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D9DFDEC">
      <w:pPr>
        <w:spacing w:line="440" w:lineRule="exact"/>
        <w:rPr>
          <w:rFonts w:hint="eastAsia" w:ascii="宋体" w:hAnsi="宋体" w:cs="宋体"/>
          <w:b/>
          <w:color w:val="auto"/>
          <w:szCs w:val="21"/>
          <w:highlight w:val="none"/>
        </w:rPr>
      </w:pPr>
      <w:r>
        <w:rPr>
          <w:rFonts w:hint="eastAsia" w:ascii="宋体" w:hAnsi="宋体" w:cs="宋体"/>
          <w:b/>
          <w:color w:val="auto"/>
          <w:sz w:val="24"/>
          <w:highlight w:val="none"/>
        </w:rPr>
        <w:t xml:space="preserve">  </w:t>
      </w:r>
      <w:r>
        <w:rPr>
          <w:rFonts w:hint="eastAsia" w:ascii="宋体" w:hAnsi="宋体" w:cs="宋体"/>
          <w:b/>
          <w:color w:val="auto"/>
          <w:szCs w:val="21"/>
          <w:highlight w:val="none"/>
        </w:rPr>
        <w:t xml:space="preserve"> 27.开标</w:t>
      </w:r>
    </w:p>
    <w:p w14:paraId="3B1ADD3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 开标的时间和地点</w:t>
      </w:r>
    </w:p>
    <w:p w14:paraId="463FECB4">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27.1.1</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按招标公告中的开标时间和地点公开开标，并邀请所有投标人参加。</w:t>
      </w:r>
    </w:p>
    <w:p w14:paraId="7E09DECC">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 参与开标的监督部门</w:t>
      </w:r>
    </w:p>
    <w:p w14:paraId="5516DCCD">
      <w:pPr>
        <w:spacing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27.2.1</w:t>
      </w:r>
      <w:r>
        <w:rPr>
          <w:rFonts w:hint="eastAsia" w:ascii="宋体" w:hAnsi="宋体" w:cs="宋体"/>
          <w:color w:val="auto"/>
          <w:highlight w:val="none"/>
          <w:lang w:eastAsia="zh-CN"/>
        </w:rPr>
        <w:t>招标人</w:t>
      </w:r>
      <w:r>
        <w:rPr>
          <w:rFonts w:hint="eastAsia" w:ascii="宋体" w:hAnsi="宋体" w:cs="宋体"/>
          <w:color w:val="auto"/>
          <w:highlight w:val="none"/>
        </w:rPr>
        <w:t>可以邀请相关监管部门参加</w:t>
      </w:r>
      <w:r>
        <w:rPr>
          <w:rFonts w:hint="eastAsia" w:ascii="宋体" w:hAnsi="宋体" w:cs="宋体"/>
          <w:color w:val="auto"/>
          <w:szCs w:val="21"/>
          <w:highlight w:val="none"/>
        </w:rPr>
        <w:t>。</w:t>
      </w:r>
    </w:p>
    <w:p w14:paraId="0062CDD2">
      <w:pPr>
        <w:adjustRightInd w:val="0"/>
        <w:snapToGrid w:val="0"/>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27.3开标程序</w:t>
      </w:r>
    </w:p>
    <w:p w14:paraId="1B09DAD5">
      <w:pPr>
        <w:spacing w:line="440" w:lineRule="exact"/>
        <w:ind w:right="-155" w:rightChars="-74"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开标会议由代理机构主持。</w:t>
      </w:r>
    </w:p>
    <w:p w14:paraId="7856B94A">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（1）宣布开标纪律；</w:t>
      </w:r>
    </w:p>
    <w:p w14:paraId="26C3C7B9">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2A0037D5">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（3）公布投标截止时间前，系统递交加密投标文件的投标人名称情况等； </w:t>
      </w:r>
    </w:p>
    <w:p w14:paraId="3BE49EB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75959A4E">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（5）公布投标人投标报价、质量目标、工期及其他内容，并记录在案；</w:t>
      </w:r>
    </w:p>
    <w:p w14:paraId="6A4D3C4C">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（6）开标结束。</w:t>
      </w:r>
    </w:p>
    <w:p w14:paraId="5146B014">
      <w:pPr>
        <w:spacing w:line="440" w:lineRule="exact"/>
        <w:ind w:right="-155" w:rightChars="-74"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 xml:space="preserve"> 27.4开标疑义</w:t>
      </w:r>
    </w:p>
    <w:p w14:paraId="44028A3B">
      <w:pPr>
        <w:spacing w:line="440" w:lineRule="exact"/>
        <w:ind w:right="-155" w:rightChars="-74"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投标人代表对开标过程和开标记录有疑义，以及认为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、采购代理机构相关工作人员有需要回避的情形的，应当场提出询问或者回避申请。</w:t>
      </w:r>
    </w:p>
    <w:p w14:paraId="7D67594E">
      <w:pPr>
        <w:spacing w:line="440" w:lineRule="exact"/>
        <w:ind w:firstLine="421"/>
        <w:jc w:val="left"/>
        <w:rPr>
          <w:rFonts w:hint="eastAsia" w:ascii="宋体" w:hAnsi="宋体" w:cs="宋体"/>
          <w:b/>
          <w:color w:val="auto"/>
          <w:szCs w:val="21"/>
          <w:highlight w:val="none"/>
        </w:rPr>
      </w:pPr>
      <w:r>
        <w:rPr>
          <w:rFonts w:hint="eastAsia" w:ascii="宋体" w:hAnsi="宋体" w:cs="宋体"/>
          <w:b/>
          <w:color w:val="auto"/>
          <w:szCs w:val="21"/>
          <w:highlight w:val="none"/>
        </w:rPr>
        <w:t>28.评标委员会</w:t>
      </w:r>
    </w:p>
    <w:p w14:paraId="13810358">
      <w:pPr>
        <w:spacing w:line="420" w:lineRule="exact"/>
        <w:ind w:firstLine="420" w:firstLineChars="200"/>
        <w:jc w:val="left"/>
        <w:rPr>
          <w:rFonts w:ascii="宋体" w:cs="宋体"/>
          <w:color w:val="auto"/>
          <w:szCs w:val="21"/>
          <w:highlight w:val="none"/>
        </w:rPr>
      </w:pPr>
      <w:r>
        <w:rPr>
          <w:rFonts w:hint="eastAsia" w:ascii="宋体"/>
          <w:color w:val="auto"/>
          <w:szCs w:val="21"/>
          <w:highlight w:val="none"/>
          <w:lang w:val="en-US" w:eastAsia="zh-CN"/>
        </w:rPr>
        <w:t>28</w:t>
      </w:r>
      <w:r>
        <w:rPr>
          <w:rFonts w:hint="eastAsia" w:ascii="宋体"/>
          <w:color w:val="auto"/>
          <w:szCs w:val="21"/>
          <w:highlight w:val="none"/>
        </w:rPr>
        <w:t>.1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43ECA6">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lang w:val="en-US" w:eastAsia="zh-CN"/>
        </w:rPr>
        <w:t>28</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7606EF8B">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3DB4ABE1">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8B1484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2EF40F98">
      <w:pPr>
        <w:spacing w:line="42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3CE528A">
      <w:pPr>
        <w:spacing w:line="420" w:lineRule="exact"/>
        <w:ind w:firstLine="420" w:firstLineChars="200"/>
        <w:jc w:val="left"/>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08EA1690">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6279A94D">
      <w:pPr>
        <w:spacing w:line="420" w:lineRule="exact"/>
        <w:ind w:firstLine="421"/>
        <w:jc w:val="left"/>
        <w:rPr>
          <w:rFonts w:hint="eastAsia" w:ascii="宋体"/>
          <w:b/>
          <w:color w:val="auto"/>
          <w:szCs w:val="21"/>
          <w:highlight w:val="none"/>
        </w:rPr>
      </w:pPr>
      <w:bookmarkStart w:id="40" w:name="_Toc449028873"/>
      <w:r>
        <w:rPr>
          <w:rFonts w:hint="eastAsia" w:ascii="宋体"/>
          <w:b/>
          <w:color w:val="auto"/>
          <w:szCs w:val="21"/>
          <w:highlight w:val="none"/>
          <w:lang w:val="en-US" w:eastAsia="zh-CN"/>
        </w:rPr>
        <w:t>29</w:t>
      </w:r>
      <w:r>
        <w:rPr>
          <w:rFonts w:hint="eastAsia" w:ascii="宋体"/>
          <w:b/>
          <w:color w:val="auto"/>
          <w:szCs w:val="21"/>
          <w:highlight w:val="none"/>
        </w:rPr>
        <w:t>.评标</w:t>
      </w:r>
    </w:p>
    <w:p w14:paraId="20712703">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5C4A5AA">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.2评标完成后，评标委员会应向招标人提交书面评标报告和中标候选人名单。评标委员会推荐中标候选人的人数见投标人须知前附表。</w:t>
      </w:r>
    </w:p>
    <w:p w14:paraId="0C07A47D">
      <w:pPr>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.3评标原则：遵循公平、公正、科学和择优的原则。</w:t>
      </w:r>
    </w:p>
    <w:p w14:paraId="2336DC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.4投标文件的澄清</w:t>
      </w:r>
    </w:p>
    <w:p w14:paraId="6F0C216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.4.1在评标过程中，评标委员会认为需要，在</w:t>
      </w:r>
      <w:r>
        <w:rPr>
          <w:rFonts w:hint="eastAsia" w:ascii="宋体"/>
          <w:color w:val="auto"/>
          <w:szCs w:val="21"/>
          <w:highlight w:val="none"/>
          <w:lang w:val="en-US" w:eastAsia="zh-CN"/>
        </w:rPr>
        <w:t>招标人</w:t>
      </w:r>
      <w:r>
        <w:rPr>
          <w:rFonts w:hint="eastAsia" w:ascii="宋体"/>
          <w:color w:val="auto"/>
          <w:szCs w:val="21"/>
          <w:highlight w:val="none"/>
        </w:rPr>
        <w:t>的监督下，可要求投标人对投标文件中的有关问题进行澄清或提供补充说明及有关资料，投标人应做出书面答复。</w:t>
      </w:r>
    </w:p>
    <w:p w14:paraId="3AF1449E">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.4.2书面答复须经投标人法定代表人或其委托代理人签字或盖章，签字或盖章的书面答复将被视为投标文件的组成部分。</w:t>
      </w:r>
    </w:p>
    <w:p w14:paraId="4776B253">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.5报价合理性的判断</w:t>
      </w:r>
    </w:p>
    <w:p w14:paraId="57CD62B5">
      <w:pPr>
        <w:spacing w:line="420" w:lineRule="exact"/>
        <w:ind w:firstLine="420" w:firstLineChars="200"/>
        <w:jc w:val="left"/>
        <w:rPr>
          <w:rFonts w:hint="eastAsia" w:ascii="宋体" w:hAnsi="宋体"/>
          <w:b w:val="0"/>
          <w:bCs w:val="0"/>
          <w:color w:val="auto"/>
          <w:szCs w:val="21"/>
          <w:highlight w:val="none"/>
        </w:rPr>
      </w:pPr>
      <w:r>
        <w:rPr>
          <w:rFonts w:hint="eastAsia" w:ascii="宋体" w:hAnsi="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CF53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.6评审意见分歧的处理办法</w:t>
      </w:r>
    </w:p>
    <w:p w14:paraId="5F4FED1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298CCD7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（2）招标投标当事人对评标结果提出异议或者投诉，</w:t>
      </w:r>
      <w:r>
        <w:rPr>
          <w:rFonts w:hint="eastAsia" w:ascii="宋体"/>
          <w:color w:val="auto"/>
          <w:szCs w:val="21"/>
          <w:highlight w:val="none"/>
          <w:lang w:val="en-US" w:eastAsia="zh-CN"/>
        </w:rPr>
        <w:t>招标人</w:t>
      </w:r>
      <w:r>
        <w:rPr>
          <w:rFonts w:hint="eastAsia" w:ascii="宋体"/>
          <w:color w:val="auto"/>
          <w:szCs w:val="21"/>
          <w:highlight w:val="none"/>
        </w:rPr>
        <w:t>认为需要重新进行评标的，评标委员会成员应当按照</w:t>
      </w:r>
      <w:r>
        <w:rPr>
          <w:rFonts w:hint="eastAsia" w:ascii="宋体"/>
          <w:color w:val="auto"/>
          <w:szCs w:val="21"/>
          <w:highlight w:val="none"/>
          <w:lang w:val="en-US" w:eastAsia="zh-CN"/>
        </w:rPr>
        <w:t>招标人</w:t>
      </w:r>
      <w:r>
        <w:rPr>
          <w:rFonts w:hint="eastAsia" w:ascii="宋体"/>
          <w:color w:val="auto"/>
          <w:szCs w:val="21"/>
          <w:highlight w:val="none"/>
        </w:rPr>
        <w:t>要求重新评标。</w:t>
      </w:r>
    </w:p>
    <w:p w14:paraId="154DB6B5">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.7评标报告的签署</w:t>
      </w:r>
    </w:p>
    <w:p w14:paraId="689BF34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671444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.8评标过程的保密</w:t>
      </w:r>
    </w:p>
    <w:p w14:paraId="42B262BF">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6AA0348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lang w:val="en-US" w:eastAsia="zh-CN"/>
        </w:rPr>
        <w:t>29</w:t>
      </w:r>
      <w:r>
        <w:rPr>
          <w:rFonts w:hint="eastAsia" w:ascii="宋体"/>
          <w:color w:val="auto"/>
          <w:szCs w:val="21"/>
          <w:highlight w:val="none"/>
        </w:rPr>
        <w:t>.9评标结果公告</w:t>
      </w:r>
    </w:p>
    <w:p w14:paraId="7F5EC5AC">
      <w:pPr>
        <w:tabs>
          <w:tab w:val="left" w:pos="720"/>
        </w:tabs>
        <w:spacing w:line="420" w:lineRule="exact"/>
        <w:ind w:right="-313" w:rightChars="-149" w:firstLine="420" w:firstLineChars="200"/>
        <w:jc w:val="left"/>
        <w:rPr>
          <w:color w:val="auto"/>
          <w:highlight w:val="none"/>
        </w:rPr>
      </w:pPr>
      <w:r>
        <w:rPr>
          <w:rFonts w:hint="eastAsia" w:ascii="宋体"/>
          <w:color w:val="auto"/>
          <w:szCs w:val="21"/>
          <w:highlight w:val="none"/>
        </w:rPr>
        <w:t>招标人应将中标人的情况在</w:t>
      </w:r>
      <w:r>
        <w:rPr>
          <w:rFonts w:hint="eastAsia" w:ascii="宋体"/>
          <w:color w:val="auto"/>
          <w:szCs w:val="21"/>
          <w:highlight w:val="none"/>
          <w:lang w:val="en-US" w:eastAsia="zh-CN"/>
        </w:rPr>
        <w:t>滁州市城投工程咨询管理有限公司网站（https://www.czctgczx.com/）</w:t>
      </w:r>
      <w:r>
        <w:rPr>
          <w:rFonts w:hint="eastAsia" w:ascii="宋体"/>
          <w:color w:val="auto"/>
          <w:szCs w:val="21"/>
          <w:highlight w:val="none"/>
        </w:rPr>
        <w:t>上予以公告，公告期为3日。投标人或其他利害关系人对评标结果有异议的，应在中标候选人公示期内提出。招标人将在收到异议之日起</w:t>
      </w:r>
      <w:r>
        <w:rPr>
          <w:rFonts w:hint="eastAsia" w:ascii="宋体"/>
          <w:color w:val="auto"/>
          <w:szCs w:val="21"/>
          <w:highlight w:val="none"/>
          <w:lang w:val="en-US" w:eastAsia="zh-CN"/>
        </w:rPr>
        <w:t>3</w:t>
      </w:r>
      <w:r>
        <w:rPr>
          <w:rFonts w:hint="eastAsia" w:ascii="宋体"/>
          <w:color w:val="auto"/>
          <w:szCs w:val="21"/>
          <w:highlight w:val="none"/>
        </w:rPr>
        <w:t>日内作出答复；作出答复前，将暂停招标投标活动。</w:t>
      </w:r>
    </w:p>
    <w:p w14:paraId="1285831F">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0</w:t>
      </w:r>
      <w:r>
        <w:rPr>
          <w:rFonts w:hint="eastAsia" w:ascii="宋体"/>
          <w:b/>
          <w:color w:val="auto"/>
          <w:szCs w:val="21"/>
          <w:highlight w:val="none"/>
        </w:rPr>
        <w:t>.定标</w:t>
      </w:r>
    </w:p>
    <w:p w14:paraId="485F0B11">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 中标人的确定</w:t>
      </w:r>
    </w:p>
    <w:p w14:paraId="0D8141F6">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.1.1招标人确定</w:t>
      </w:r>
      <w:r>
        <w:rPr>
          <w:rFonts w:hint="eastAsia" w:ascii="宋体"/>
          <w:color w:val="auto"/>
          <w:szCs w:val="21"/>
          <w:highlight w:val="none"/>
          <w:lang w:val="en-US" w:eastAsia="zh-CN"/>
        </w:rPr>
        <w:t>排名第一的中标候选人为</w:t>
      </w:r>
      <w:r>
        <w:rPr>
          <w:rFonts w:hint="eastAsia" w:ascii="宋体"/>
          <w:color w:val="auto"/>
          <w:szCs w:val="21"/>
          <w:highlight w:val="none"/>
        </w:rPr>
        <w:t>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B847F9">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.1.2中标人确定后，招标人应将中标信息在</w:t>
      </w:r>
      <w:r>
        <w:rPr>
          <w:rFonts w:hint="eastAsia" w:ascii="宋体"/>
          <w:color w:val="auto"/>
          <w:szCs w:val="21"/>
          <w:highlight w:val="none"/>
          <w:lang w:val="en-US" w:eastAsia="zh-CN"/>
        </w:rPr>
        <w:t>滁州市城投工程咨询管理有限公司网站（https://www.czctgczx.com/）</w:t>
      </w:r>
      <w:r>
        <w:rPr>
          <w:rFonts w:hint="eastAsia" w:ascii="宋体"/>
          <w:color w:val="auto"/>
          <w:szCs w:val="21"/>
          <w:highlight w:val="none"/>
        </w:rPr>
        <w:t>上公告。</w:t>
      </w:r>
    </w:p>
    <w:p w14:paraId="36630B2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 中标通知书</w:t>
      </w:r>
    </w:p>
    <w:p w14:paraId="20C30054">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.2.1招标人或代理机构应在中标人确定之日起2个工作日内，在滁州市城投工程咨询管理有限公司网站（https://www.czctgczx.com/）公告中标结果并同时向中标人发出中标通知书。</w:t>
      </w:r>
    </w:p>
    <w:p w14:paraId="3FEA5E8A">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.2.2中标通知书须加盖招标人、代理机构公章后，方可发出。</w:t>
      </w:r>
    </w:p>
    <w:p w14:paraId="27F2400B">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3</w:t>
      </w:r>
      <w:r>
        <w:rPr>
          <w:rFonts w:hint="eastAsia" w:ascii="宋体"/>
          <w:color w:val="auto"/>
          <w:szCs w:val="21"/>
          <w:highlight w:val="none"/>
          <w:lang w:val="en-US" w:eastAsia="zh-CN"/>
        </w:rPr>
        <w:t>0</w:t>
      </w:r>
      <w:r>
        <w:rPr>
          <w:rFonts w:hint="eastAsia" w:ascii="宋体"/>
          <w:color w:val="auto"/>
          <w:szCs w:val="21"/>
          <w:highlight w:val="none"/>
        </w:rPr>
        <w:t>.2.3招标人将在发出中标通知书的同时，向未通过资格审查的投标人告知其未通过的原因。</w:t>
      </w:r>
    </w:p>
    <w:p w14:paraId="06B4880B">
      <w:pPr>
        <w:spacing w:line="420" w:lineRule="exact"/>
        <w:ind w:firstLine="421"/>
        <w:jc w:val="left"/>
        <w:rPr>
          <w:rFonts w:hint="eastAsia" w:ascii="宋体"/>
          <w:b/>
          <w:color w:val="auto"/>
          <w:szCs w:val="21"/>
          <w:highlight w:val="none"/>
        </w:rPr>
      </w:pPr>
      <w:r>
        <w:rPr>
          <w:rFonts w:hint="eastAsia" w:ascii="宋体"/>
          <w:b/>
          <w:color w:val="auto"/>
          <w:szCs w:val="21"/>
          <w:highlight w:val="none"/>
        </w:rPr>
        <w:t>3</w:t>
      </w:r>
      <w:r>
        <w:rPr>
          <w:rFonts w:hint="eastAsia" w:ascii="宋体"/>
          <w:b/>
          <w:color w:val="auto"/>
          <w:szCs w:val="21"/>
          <w:highlight w:val="none"/>
          <w:lang w:val="en-US" w:eastAsia="zh-CN"/>
        </w:rPr>
        <w:t>1</w:t>
      </w:r>
      <w:r>
        <w:rPr>
          <w:rFonts w:hint="eastAsia" w:ascii="宋体"/>
          <w:b/>
          <w:color w:val="auto"/>
          <w:szCs w:val="21"/>
          <w:highlight w:val="none"/>
        </w:rPr>
        <w:t>.开评标异常情况处理</w:t>
      </w:r>
    </w:p>
    <w:p w14:paraId="21213BD7">
      <w:pPr>
        <w:spacing w:line="420" w:lineRule="exact"/>
        <w:ind w:firstLine="421"/>
        <w:jc w:val="left"/>
        <w:rPr>
          <w:rFonts w:hint="eastAsia" w:ascii="宋体"/>
          <w:b/>
          <w:bCs/>
          <w:color w:val="auto"/>
          <w:szCs w:val="21"/>
          <w:highlight w:val="none"/>
        </w:rPr>
      </w:pPr>
      <w:r>
        <w:rPr>
          <w:rFonts w:hint="eastAsia" w:ascii="宋体"/>
          <w:b/>
          <w:bCs/>
          <w:color w:val="auto"/>
          <w:kern w:val="10"/>
          <w:szCs w:val="21"/>
          <w:highlight w:val="none"/>
        </w:rPr>
        <w:t>3</w:t>
      </w:r>
      <w:r>
        <w:rPr>
          <w:rFonts w:hint="eastAsia" w:ascii="宋体"/>
          <w:b/>
          <w:bCs/>
          <w:color w:val="auto"/>
          <w:kern w:val="10"/>
          <w:szCs w:val="21"/>
          <w:highlight w:val="none"/>
          <w:lang w:val="en-US" w:eastAsia="zh-CN"/>
        </w:rPr>
        <w:t>1</w:t>
      </w:r>
      <w:r>
        <w:rPr>
          <w:rFonts w:hint="eastAsia" w:ascii="宋体"/>
          <w:b/>
          <w:bCs/>
          <w:color w:val="auto"/>
          <w:kern w:val="10"/>
          <w:szCs w:val="21"/>
          <w:highlight w:val="none"/>
        </w:rPr>
        <w:t>.1</w:t>
      </w:r>
      <w:r>
        <w:rPr>
          <w:rFonts w:hint="eastAsia" w:ascii="宋体"/>
          <w:b/>
          <w:bCs/>
          <w:color w:val="auto"/>
          <w:szCs w:val="21"/>
          <w:highlight w:val="none"/>
        </w:rPr>
        <w:t xml:space="preserve">重新招标 </w:t>
      </w:r>
    </w:p>
    <w:p w14:paraId="31A5D012">
      <w:pPr>
        <w:tabs>
          <w:tab w:val="left" w:pos="720"/>
        </w:tabs>
        <w:spacing w:line="420" w:lineRule="exact"/>
        <w:ind w:firstLine="420" w:firstLineChars="200"/>
        <w:jc w:val="left"/>
        <w:rPr>
          <w:rFonts w:hint="eastAsia" w:ascii="宋体"/>
          <w:color w:val="auto"/>
          <w:szCs w:val="21"/>
          <w:highlight w:val="none"/>
        </w:rPr>
      </w:pPr>
      <w:r>
        <w:rPr>
          <w:rFonts w:hint="eastAsia" w:ascii="宋体"/>
          <w:color w:val="auto"/>
          <w:szCs w:val="21"/>
          <w:highlight w:val="none"/>
        </w:rPr>
        <w:t>项目有下列情形之一的，招标人将重新招标：</w:t>
      </w:r>
    </w:p>
    <w:p w14:paraId="61AA2F3A">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04C25708">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15B0F175">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(3)出现影响招标公正的违法、违规行为的；</w:t>
      </w:r>
    </w:p>
    <w:p w14:paraId="1EA8BFE1">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(4)投标人的报价均脱离实际且无充分证据的；</w:t>
      </w:r>
    </w:p>
    <w:p w14:paraId="747198F9">
      <w:pPr>
        <w:adjustRightInd w:val="0"/>
        <w:snapToGrid w:val="0"/>
        <w:spacing w:line="420" w:lineRule="exact"/>
        <w:ind w:firstLine="420" w:firstLineChars="200"/>
        <w:rPr>
          <w:rFonts w:hint="eastAsia" w:ascii="宋体"/>
          <w:color w:val="auto"/>
          <w:kern w:val="10"/>
          <w:szCs w:val="21"/>
          <w:highlight w:val="none"/>
        </w:rPr>
      </w:pPr>
      <w:r>
        <w:rPr>
          <w:rFonts w:hint="eastAsia" w:ascii="宋体"/>
          <w:color w:val="auto"/>
          <w:kern w:val="10"/>
          <w:szCs w:val="21"/>
          <w:highlight w:val="none"/>
        </w:rPr>
        <w:t>(</w:t>
      </w:r>
      <w:r>
        <w:rPr>
          <w:rFonts w:hint="eastAsia" w:ascii="宋体"/>
          <w:color w:val="auto"/>
          <w:kern w:val="10"/>
          <w:szCs w:val="21"/>
          <w:highlight w:val="none"/>
          <w:lang w:val="en-US" w:eastAsia="zh-CN"/>
        </w:rPr>
        <w:t>5</w:t>
      </w:r>
      <w:r>
        <w:rPr>
          <w:rFonts w:hint="eastAsia" w:ascii="宋体"/>
          <w:color w:val="auto"/>
          <w:kern w:val="10"/>
          <w:szCs w:val="21"/>
          <w:highlight w:val="none"/>
        </w:rPr>
        <w:t>)因重大变故，采购任务取消的。</w:t>
      </w:r>
    </w:p>
    <w:p w14:paraId="191876E3">
      <w:pPr>
        <w:spacing w:before="312" w:beforeLines="100" w:after="312" w:afterLines="100"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4884662A">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14:paraId="434236C3">
      <w:pPr>
        <w:adjustRightInd w:val="0"/>
        <w:snapToGrid w:val="0"/>
        <w:spacing w:line="440" w:lineRule="exact"/>
        <w:ind w:firstLine="420" w:firstLineChars="200"/>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14:paraId="635DC074">
      <w:pPr>
        <w:spacing w:line="440" w:lineRule="exact"/>
        <w:ind w:firstLine="521" w:firstLineChars="247"/>
        <w:jc w:val="left"/>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14:paraId="4DB0191D">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给招标人造成的损失的，中标人还应当予以赔偿。</w:t>
      </w:r>
    </w:p>
    <w:p w14:paraId="5EC2A393">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33.2发出中标通知书后，招标人无正当理由拒签合同的，给中标人造成损失的，还应当赔偿损失。</w:t>
      </w:r>
    </w:p>
    <w:p w14:paraId="5D88ED25">
      <w:pPr>
        <w:adjustRightInd w:val="0"/>
        <w:snapToGrid w:val="0"/>
        <w:spacing w:line="420" w:lineRule="exact"/>
        <w:ind w:firstLine="420" w:firstLineChars="200"/>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14:paraId="288371C3">
      <w:pPr>
        <w:spacing w:line="440" w:lineRule="exact"/>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559919D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3FA9EC0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845F2C2">
      <w:pPr>
        <w:spacing w:before="312" w:beforeLines="100" w:after="312" w:afterLines="100" w:line="440" w:lineRule="exact"/>
        <w:jc w:val="center"/>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5090B799">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4C7F1D7A">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693F0AF3">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2542ABBD">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23CB9A1C">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9EC1424">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0510A183">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7E56DAA">
      <w:pPr>
        <w:spacing w:line="440" w:lineRule="exact"/>
        <w:ind w:firstLine="310" w:firstLineChars="147"/>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57AC920">
      <w:pPr>
        <w:adjustRightInd w:val="0"/>
        <w:snapToGrid w:val="0"/>
        <w:spacing w:line="440" w:lineRule="exact"/>
        <w:ind w:firstLine="315" w:firstLineChars="150"/>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6F9FE4">
      <w:pPr>
        <w:spacing w:before="312" w:beforeLines="100" w:after="312" w:afterLines="100" w:line="440" w:lineRule="exact"/>
        <w:jc w:val="center"/>
        <w:rPr>
          <w:rFonts w:hint="eastAsia" w:ascii="宋体" w:hAnsi="宋体" w:eastAsia="宋体" w:cs="宋体"/>
          <w:b/>
          <w:color w:val="auto"/>
          <w:sz w:val="28"/>
          <w:szCs w:val="28"/>
          <w:highlight w:val="none"/>
          <w:lang w:eastAsia="zh-CN"/>
        </w:rPr>
      </w:pPr>
      <w:bookmarkStart w:id="43" w:name="_Toc449028875"/>
      <w:r>
        <w:rPr>
          <w:rFonts w:hint="eastAsia" w:ascii="宋体" w:hAnsi="宋体" w:eastAsia="宋体" w:cs="宋体"/>
          <w:b/>
          <w:color w:val="auto"/>
          <w:sz w:val="28"/>
          <w:szCs w:val="28"/>
          <w:highlight w:val="none"/>
        </w:rPr>
        <w:t>（八）</w:t>
      </w:r>
      <w:bookmarkEnd w:id="43"/>
      <w:r>
        <w:rPr>
          <w:rFonts w:hint="eastAsia" w:ascii="宋体" w:hAnsi="宋体" w:cs="宋体"/>
          <w:b/>
          <w:color w:val="auto"/>
          <w:sz w:val="28"/>
          <w:szCs w:val="28"/>
          <w:highlight w:val="none"/>
          <w:lang w:val="en-US" w:eastAsia="zh-CN"/>
        </w:rPr>
        <w:t>投诉</w:t>
      </w:r>
    </w:p>
    <w:p w14:paraId="539744AE">
      <w:pPr>
        <w:spacing w:line="440" w:lineRule="exact"/>
        <w:ind w:firstLine="314" w:firstLineChars="149"/>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14:paraId="1CA6CD96">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bookmarkStart w:id="44"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38576950">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.2投标人和其他利害关系人对招标文件、开标和评标结果事项投诉的，应当按照投标人须知的规定先向招标人提出异议。异议答复期间不计算在规定的期限内。</w:t>
      </w:r>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4"/>
    </w:p>
    <w:p w14:paraId="77B91577">
      <w:pPr>
        <w:spacing w:before="156" w:beforeLines="50" w:after="156" w:afterLines="50" w:line="440" w:lineRule="exact"/>
        <w:jc w:val="center"/>
        <w:outlineLvl w:val="1"/>
        <w:rPr>
          <w:rFonts w:hint="eastAsia" w:ascii="宋体"/>
          <w:b/>
          <w:color w:val="auto"/>
          <w:sz w:val="28"/>
          <w:szCs w:val="28"/>
          <w:highlight w:val="none"/>
        </w:rPr>
      </w:pPr>
      <w:bookmarkStart w:id="45" w:name="_Toc362983801"/>
      <w:bookmarkStart w:id="46" w:name="_Toc58430317"/>
      <w:bookmarkStart w:id="47" w:name="_Toc449028877"/>
      <w:bookmarkStart w:id="48" w:name="_Toc267320058"/>
      <w:bookmarkStart w:id="49" w:name="_Toc363135205"/>
      <w:r>
        <w:rPr>
          <w:rFonts w:hint="eastAsia" w:ascii="宋体"/>
          <w:b/>
          <w:color w:val="auto"/>
          <w:sz w:val="28"/>
          <w:szCs w:val="28"/>
          <w:highlight w:val="none"/>
        </w:rPr>
        <w:t>一、总则</w:t>
      </w:r>
      <w:bookmarkEnd w:id="45"/>
      <w:bookmarkEnd w:id="46"/>
      <w:bookmarkEnd w:id="47"/>
    </w:p>
    <w:p w14:paraId="4DA06D06">
      <w:pPr>
        <w:spacing w:line="440" w:lineRule="exact"/>
        <w:ind w:firstLine="316" w:firstLineChars="150"/>
        <w:jc w:val="left"/>
        <w:rPr>
          <w:rFonts w:hint="default" w:ascii="宋体" w:eastAsia="宋体"/>
          <w:b/>
          <w:color w:val="auto"/>
          <w:szCs w:val="21"/>
          <w:highlight w:val="none"/>
          <w:lang w:val="en-US" w:eastAsia="zh-CN"/>
        </w:rPr>
      </w:pPr>
      <w:bookmarkStart w:id="50" w:name="_Toc449028878"/>
      <w:bookmarkStart w:id="51" w:name="_Toc362983802"/>
      <w:bookmarkStart w:id="52" w:name="_Toc58430318"/>
      <w:r>
        <w:rPr>
          <w:rFonts w:hint="eastAsia" w:ascii="宋体"/>
          <w:b/>
          <w:color w:val="auto"/>
          <w:szCs w:val="21"/>
          <w:highlight w:val="none"/>
        </w:rPr>
        <w:t xml:space="preserve"> 1. 本次评标采用</w:t>
      </w:r>
      <w:r>
        <w:rPr>
          <w:rFonts w:hint="eastAsia" w:ascii="宋体"/>
          <w:b/>
          <w:color w:val="auto"/>
          <w:szCs w:val="21"/>
          <w:highlight w:val="none"/>
          <w:lang w:val="en-US" w:eastAsia="zh-CN"/>
        </w:rPr>
        <w:t>综合评估法</w:t>
      </w:r>
    </w:p>
    <w:p w14:paraId="06868751">
      <w:pPr>
        <w:spacing w:line="44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1.1本次评标采用</w:t>
      </w:r>
      <w:r>
        <w:rPr>
          <w:rFonts w:hint="eastAsia" w:ascii="宋体" w:cs="Times New Roman"/>
          <w:color w:val="auto"/>
          <w:szCs w:val="21"/>
          <w:highlight w:val="none"/>
          <w:lang w:val="en-US" w:eastAsia="zh-CN"/>
        </w:rPr>
        <w:t>综合评估法</w:t>
      </w:r>
      <w:r>
        <w:rPr>
          <w:rFonts w:hint="eastAsia" w:ascii="宋体" w:hAnsi="Times New Roman" w:eastAsia="宋体" w:cs="Times New Roman"/>
          <w:color w:val="auto"/>
          <w:szCs w:val="21"/>
          <w:highlight w:val="none"/>
        </w:rPr>
        <w:t>。评标委员会对满足招标文件实质性要求的投标文件，按照本章规定的评分标准计算得分，并按总得分由高到低顺序推荐3名中标候选，并标明排序，但投标报价低于其成本的除外。总得分相等，以投标报价低的优先，投标报价仍相等，由评标委员会或招标人随机抽取确定排名。</w:t>
      </w:r>
    </w:p>
    <w:p w14:paraId="7C53964E">
      <w:pPr>
        <w:spacing w:line="440" w:lineRule="exact"/>
        <w:ind w:firstLine="422" w:firstLineChars="200"/>
        <w:jc w:val="left"/>
        <w:rPr>
          <w:rFonts w:hint="eastAsia" w:ascii="宋体"/>
          <w:b/>
          <w:color w:val="auto"/>
          <w:szCs w:val="21"/>
          <w:highlight w:val="none"/>
        </w:rPr>
      </w:pPr>
      <w:r>
        <w:rPr>
          <w:rFonts w:hint="eastAsia" w:ascii="宋体"/>
          <w:b/>
          <w:color w:val="auto"/>
          <w:szCs w:val="21"/>
          <w:highlight w:val="none"/>
        </w:rPr>
        <w:t>2．评标程序</w:t>
      </w:r>
    </w:p>
    <w:p w14:paraId="26AB7B8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2.1投标文件的初审</w:t>
      </w:r>
    </w:p>
    <w:p w14:paraId="0CD1CC5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2.2投标文件的澄清</w:t>
      </w:r>
    </w:p>
    <w:p w14:paraId="5665DDD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2.3比较与评价</w:t>
      </w:r>
    </w:p>
    <w:p w14:paraId="5BD72171">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2.4推荐中标候选人名单</w:t>
      </w:r>
    </w:p>
    <w:p w14:paraId="110BD1D5">
      <w:pPr>
        <w:spacing w:line="440" w:lineRule="exact"/>
        <w:ind w:firstLine="420" w:firstLineChars="200"/>
        <w:jc w:val="left"/>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spacing w:line="440" w:lineRule="exact"/>
        <w:ind w:firstLine="420" w:firstLineChars="200"/>
        <w:jc w:val="left"/>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jc w:val="center"/>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50"/>
      <w:bookmarkEnd w:id="51"/>
      <w:bookmarkEnd w:id="52"/>
    </w:p>
    <w:p w14:paraId="51BB9995">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spacing w:line="440" w:lineRule="exact"/>
        <w:ind w:firstLine="308" w:firstLineChars="147"/>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4844"/>
        <w:gridCol w:w="3016"/>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6210" w:type="dxa"/>
            <w:gridSpan w:val="2"/>
            <w:noWrap w:val="0"/>
            <w:vAlign w:val="center"/>
          </w:tcPr>
          <w:p w14:paraId="317DFDDF">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3016" w:type="dxa"/>
            <w:noWrap w:val="0"/>
            <w:vAlign w:val="center"/>
          </w:tcPr>
          <w:p w14:paraId="12EF048E">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4844" w:type="dxa"/>
            <w:noWrap w:val="0"/>
            <w:vAlign w:val="center"/>
          </w:tcPr>
          <w:p w14:paraId="308A1E8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3016" w:type="dxa"/>
            <w:noWrap w:val="0"/>
            <w:vAlign w:val="center"/>
          </w:tcPr>
          <w:p w14:paraId="4B0BE00E">
            <w:pPr>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484D86DC">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p>
        </w:tc>
        <w:tc>
          <w:tcPr>
            <w:tcW w:w="1366" w:type="dxa"/>
            <w:vMerge w:val="restart"/>
            <w:noWrap w:val="0"/>
            <w:vAlign w:val="center"/>
          </w:tcPr>
          <w:p w14:paraId="4C55880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4844" w:type="dxa"/>
            <w:noWrap w:val="0"/>
            <w:vAlign w:val="center"/>
          </w:tcPr>
          <w:p w14:paraId="0F7F3050">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3016" w:type="dxa"/>
            <w:noWrap w:val="0"/>
            <w:vAlign w:val="center"/>
          </w:tcPr>
          <w:p w14:paraId="041A0B6D">
            <w:pPr>
              <w:spacing w:line="440" w:lineRule="exact"/>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70F38C35">
            <w:pPr>
              <w:spacing w:line="440" w:lineRule="exact"/>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有效的营业执照及资质证书</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F4128C5">
            <w:pPr>
              <w:spacing w:line="440" w:lineRule="exact"/>
              <w:jc w:val="center"/>
              <w:rPr>
                <w:rFonts w:hint="eastAsia" w:ascii="宋体" w:hAnsi="宋体" w:eastAsia="宋体" w:cs="宋体"/>
                <w:color w:val="auto"/>
                <w:szCs w:val="21"/>
                <w:highlight w:val="none"/>
                <w:lang w:eastAsia="zh-CN"/>
              </w:rPr>
            </w:pPr>
          </w:p>
        </w:tc>
        <w:tc>
          <w:tcPr>
            <w:tcW w:w="1366" w:type="dxa"/>
            <w:vMerge w:val="continue"/>
            <w:noWrap w:val="0"/>
            <w:vAlign w:val="center"/>
          </w:tcPr>
          <w:p w14:paraId="788A23E8">
            <w:pPr>
              <w:spacing w:line="440" w:lineRule="exact"/>
              <w:rPr>
                <w:rFonts w:hint="eastAsia" w:ascii="宋体" w:hAnsi="宋体" w:cs="宋体"/>
                <w:color w:val="auto"/>
                <w:szCs w:val="21"/>
                <w:highlight w:val="none"/>
              </w:rPr>
            </w:pPr>
          </w:p>
        </w:tc>
        <w:tc>
          <w:tcPr>
            <w:tcW w:w="4844" w:type="dxa"/>
            <w:noWrap w:val="0"/>
            <w:vAlign w:val="top"/>
          </w:tcPr>
          <w:p w14:paraId="60066964">
            <w:pPr>
              <w:spacing w:line="440" w:lineRule="exac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）诚信投标承诺书</w:t>
            </w:r>
          </w:p>
        </w:tc>
        <w:tc>
          <w:tcPr>
            <w:tcW w:w="3016" w:type="dxa"/>
            <w:noWrap w:val="0"/>
            <w:vAlign w:val="top"/>
          </w:tcPr>
          <w:p w14:paraId="3EDC332C">
            <w:pPr>
              <w:spacing w:line="440" w:lineRule="exact"/>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r w14:paraId="106A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2953642F">
            <w:pPr>
              <w:spacing w:line="440" w:lineRule="exact"/>
              <w:jc w:val="center"/>
              <w:rPr>
                <w:rFonts w:hint="eastAsia" w:ascii="宋体" w:hAnsi="宋体" w:cs="宋体"/>
                <w:color w:val="auto"/>
                <w:szCs w:val="21"/>
                <w:highlight w:val="none"/>
                <w:lang w:eastAsia="zh-CN"/>
              </w:rPr>
            </w:pPr>
          </w:p>
        </w:tc>
        <w:tc>
          <w:tcPr>
            <w:tcW w:w="1366" w:type="dxa"/>
            <w:vMerge w:val="continue"/>
            <w:noWrap w:val="0"/>
            <w:vAlign w:val="center"/>
          </w:tcPr>
          <w:p w14:paraId="3DCDEED2">
            <w:pPr>
              <w:spacing w:line="440" w:lineRule="exact"/>
              <w:rPr>
                <w:rFonts w:hint="eastAsia" w:ascii="宋体" w:hAnsi="宋体" w:cs="宋体"/>
                <w:color w:val="auto"/>
                <w:szCs w:val="21"/>
                <w:highlight w:val="none"/>
              </w:rPr>
            </w:pPr>
          </w:p>
        </w:tc>
        <w:tc>
          <w:tcPr>
            <w:tcW w:w="4844" w:type="dxa"/>
            <w:noWrap w:val="0"/>
            <w:vAlign w:val="top"/>
          </w:tcPr>
          <w:p w14:paraId="32B6E8FD">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4）项目负责人有效身份证及注册证书</w:t>
            </w:r>
          </w:p>
        </w:tc>
        <w:tc>
          <w:tcPr>
            <w:tcW w:w="3016" w:type="dxa"/>
            <w:noWrap w:val="0"/>
            <w:vAlign w:val="center"/>
          </w:tcPr>
          <w:p w14:paraId="5A4E4FEF">
            <w:pPr>
              <w:spacing w:line="440" w:lineRule="exact"/>
              <w:jc w:val="both"/>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6E00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106F90D5">
            <w:pPr>
              <w:spacing w:line="440" w:lineRule="exact"/>
              <w:jc w:val="center"/>
              <w:rPr>
                <w:rFonts w:hint="eastAsia" w:ascii="宋体" w:hAnsi="宋体" w:cs="宋体"/>
                <w:color w:val="auto"/>
                <w:szCs w:val="21"/>
                <w:highlight w:val="none"/>
                <w:lang w:eastAsia="zh-CN"/>
              </w:rPr>
            </w:pPr>
          </w:p>
        </w:tc>
        <w:tc>
          <w:tcPr>
            <w:tcW w:w="1366" w:type="dxa"/>
            <w:vMerge w:val="continue"/>
            <w:noWrap w:val="0"/>
            <w:vAlign w:val="center"/>
          </w:tcPr>
          <w:p w14:paraId="1C26069F">
            <w:pPr>
              <w:spacing w:line="440" w:lineRule="exact"/>
              <w:rPr>
                <w:rFonts w:hint="eastAsia" w:ascii="宋体" w:hAnsi="宋体" w:cs="宋体"/>
                <w:color w:val="auto"/>
                <w:szCs w:val="21"/>
                <w:highlight w:val="none"/>
              </w:rPr>
            </w:pPr>
          </w:p>
        </w:tc>
        <w:tc>
          <w:tcPr>
            <w:tcW w:w="4844" w:type="dxa"/>
            <w:noWrap w:val="0"/>
            <w:vAlign w:val="top"/>
          </w:tcPr>
          <w:p w14:paraId="42C76D43">
            <w:pPr>
              <w:spacing w:line="44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依据安徽省住房和城乡建设厅 《建筑与市政工程项目管理人员职业标准》，拟派的项目负责人(总监理工程师）在本项目所在市行政区域外无在建，在本项目所在市行政区域内不多于两个在建项目【由投标单位自行出具投标人拟派项目负责人（总监理工程师）在本项目所在市行政区域内不多于2个在监理项目承诺书；如有在建项目，需在建项目所属建设单位书面同意其参加本项目投标或投标人出具：在建项目所属建设单位同意其参加本项目投标的承诺函。】，否则取消中标资格。</w:t>
            </w:r>
          </w:p>
        </w:tc>
        <w:tc>
          <w:tcPr>
            <w:tcW w:w="3016" w:type="dxa"/>
            <w:noWrap w:val="0"/>
            <w:vAlign w:val="center"/>
          </w:tcPr>
          <w:p w14:paraId="43AC8C29">
            <w:pPr>
              <w:spacing w:line="440" w:lineRule="exact"/>
              <w:jc w:val="both"/>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bl>
    <w:p w14:paraId="4BC832D8">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spacing w:line="440" w:lineRule="exact"/>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spacing w:line="44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spacing w:line="44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spacing w:line="440" w:lineRule="exact"/>
              <w:rPr>
                <w:rFonts w:hint="eastAsia" w:ascii="宋体" w:hAnsi="宋体" w:cs="宋体"/>
                <w:color w:val="auto"/>
                <w:szCs w:val="21"/>
                <w:highlight w:val="none"/>
              </w:rPr>
            </w:pPr>
          </w:p>
        </w:tc>
        <w:tc>
          <w:tcPr>
            <w:tcW w:w="1204" w:type="dxa"/>
            <w:vMerge w:val="continue"/>
            <w:noWrap w:val="0"/>
            <w:vAlign w:val="center"/>
          </w:tcPr>
          <w:p w14:paraId="14A50888">
            <w:pPr>
              <w:spacing w:line="440" w:lineRule="exact"/>
              <w:rPr>
                <w:rFonts w:hint="eastAsia" w:ascii="宋体" w:hAnsi="宋体" w:cs="宋体"/>
                <w:color w:val="auto"/>
                <w:szCs w:val="21"/>
                <w:highlight w:val="none"/>
              </w:rPr>
            </w:pPr>
          </w:p>
        </w:tc>
        <w:tc>
          <w:tcPr>
            <w:tcW w:w="2931" w:type="dxa"/>
            <w:noWrap w:val="0"/>
            <w:vAlign w:val="center"/>
          </w:tcPr>
          <w:p w14:paraId="0999086C">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spacing w:line="440" w:lineRule="exact"/>
              <w:rPr>
                <w:rFonts w:hint="eastAsia" w:ascii="宋体" w:hAnsi="宋体" w:cs="宋体"/>
                <w:color w:val="auto"/>
                <w:szCs w:val="21"/>
                <w:highlight w:val="none"/>
              </w:rPr>
            </w:pPr>
          </w:p>
        </w:tc>
        <w:tc>
          <w:tcPr>
            <w:tcW w:w="1204" w:type="dxa"/>
            <w:vMerge w:val="continue"/>
            <w:noWrap w:val="0"/>
            <w:vAlign w:val="center"/>
          </w:tcPr>
          <w:p w14:paraId="06E85D35">
            <w:pPr>
              <w:spacing w:line="440" w:lineRule="exact"/>
              <w:rPr>
                <w:rFonts w:hint="eastAsia" w:ascii="宋体" w:hAnsi="宋体" w:cs="宋体"/>
                <w:color w:val="auto"/>
                <w:szCs w:val="21"/>
                <w:highlight w:val="none"/>
              </w:rPr>
            </w:pPr>
          </w:p>
        </w:tc>
        <w:tc>
          <w:tcPr>
            <w:tcW w:w="2931" w:type="dxa"/>
            <w:noWrap w:val="0"/>
            <w:vAlign w:val="center"/>
          </w:tcPr>
          <w:p w14:paraId="26DCF9F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spacing w:line="440" w:lineRule="exact"/>
              <w:rPr>
                <w:rFonts w:hint="eastAsia" w:ascii="宋体" w:hAnsi="宋体" w:cs="宋体"/>
                <w:color w:val="auto"/>
                <w:szCs w:val="21"/>
                <w:highlight w:val="none"/>
              </w:rPr>
            </w:pPr>
          </w:p>
        </w:tc>
        <w:tc>
          <w:tcPr>
            <w:tcW w:w="1204" w:type="dxa"/>
            <w:vMerge w:val="continue"/>
            <w:noWrap w:val="0"/>
            <w:vAlign w:val="center"/>
          </w:tcPr>
          <w:p w14:paraId="5F181361">
            <w:pPr>
              <w:spacing w:line="440" w:lineRule="exact"/>
              <w:rPr>
                <w:rFonts w:hint="eastAsia" w:ascii="宋体" w:hAnsi="宋体" w:cs="宋体"/>
                <w:color w:val="auto"/>
                <w:szCs w:val="21"/>
                <w:highlight w:val="none"/>
              </w:rPr>
            </w:pPr>
          </w:p>
        </w:tc>
        <w:tc>
          <w:tcPr>
            <w:tcW w:w="2931" w:type="dxa"/>
            <w:noWrap w:val="0"/>
            <w:vAlign w:val="center"/>
          </w:tcPr>
          <w:p w14:paraId="4F2754B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spacing w:line="440" w:lineRule="exact"/>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网上递交一份</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spacing w:line="440" w:lineRule="exact"/>
              <w:rPr>
                <w:rFonts w:hint="eastAsia" w:ascii="宋体" w:hAnsi="宋体" w:cs="宋体"/>
                <w:color w:val="auto"/>
                <w:szCs w:val="21"/>
                <w:highlight w:val="none"/>
              </w:rPr>
            </w:pPr>
          </w:p>
        </w:tc>
        <w:tc>
          <w:tcPr>
            <w:tcW w:w="1204" w:type="dxa"/>
            <w:vMerge w:val="continue"/>
            <w:noWrap w:val="0"/>
            <w:vAlign w:val="center"/>
          </w:tcPr>
          <w:p w14:paraId="6A942C3C">
            <w:pPr>
              <w:spacing w:line="440" w:lineRule="exact"/>
              <w:rPr>
                <w:rFonts w:hint="eastAsia" w:ascii="宋体" w:hAnsi="宋体" w:cs="宋体"/>
                <w:color w:val="auto"/>
                <w:szCs w:val="21"/>
                <w:highlight w:val="none"/>
              </w:rPr>
            </w:pPr>
          </w:p>
        </w:tc>
        <w:tc>
          <w:tcPr>
            <w:tcW w:w="2931" w:type="dxa"/>
            <w:noWrap w:val="0"/>
            <w:vAlign w:val="center"/>
          </w:tcPr>
          <w:p w14:paraId="6F3AA6E5">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spacing w:line="440" w:lineRule="exact"/>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spacing w:line="440" w:lineRule="exact"/>
              <w:rPr>
                <w:rFonts w:hint="eastAsia" w:ascii="宋体" w:hAnsi="宋体" w:cs="宋体"/>
                <w:color w:val="auto"/>
                <w:szCs w:val="21"/>
                <w:highlight w:val="none"/>
              </w:rPr>
            </w:pPr>
          </w:p>
        </w:tc>
        <w:tc>
          <w:tcPr>
            <w:tcW w:w="1204" w:type="dxa"/>
            <w:vMerge w:val="continue"/>
            <w:noWrap w:val="0"/>
            <w:vAlign w:val="center"/>
          </w:tcPr>
          <w:p w14:paraId="6258B2F9">
            <w:pPr>
              <w:spacing w:line="440" w:lineRule="exact"/>
              <w:rPr>
                <w:rFonts w:hint="eastAsia" w:ascii="宋体" w:hAnsi="宋体" w:cs="宋体"/>
                <w:color w:val="auto"/>
                <w:szCs w:val="21"/>
                <w:highlight w:val="none"/>
              </w:rPr>
            </w:pPr>
          </w:p>
        </w:tc>
        <w:tc>
          <w:tcPr>
            <w:tcW w:w="2931" w:type="dxa"/>
            <w:noWrap w:val="0"/>
            <w:vAlign w:val="center"/>
          </w:tcPr>
          <w:p w14:paraId="5998BA8A">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spacing w:line="4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spacing w:line="440" w:lineRule="exact"/>
        <w:ind w:firstLine="506" w:firstLineChars="241"/>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spacing w:line="440" w:lineRule="exact"/>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jc w:val="center"/>
        <w:outlineLvl w:val="1"/>
        <w:rPr>
          <w:rFonts w:hint="eastAsia" w:ascii="宋体" w:hAnsi="Times New Roman" w:eastAsia="宋体" w:cs="Times New Roman"/>
          <w:b/>
          <w:color w:val="auto"/>
          <w:sz w:val="28"/>
          <w:szCs w:val="28"/>
          <w:highlight w:val="none"/>
        </w:rPr>
      </w:pPr>
      <w:bookmarkStart w:id="53" w:name="_Toc449028879"/>
      <w:bookmarkStart w:id="54" w:name="_Toc362983803"/>
      <w:bookmarkStart w:id="55" w:name="_Toc58430319"/>
      <w:r>
        <w:rPr>
          <w:rFonts w:hint="eastAsia" w:ascii="宋体" w:hAnsi="Times New Roman" w:eastAsia="宋体" w:cs="Times New Roman"/>
          <w:b/>
          <w:color w:val="auto"/>
          <w:sz w:val="28"/>
          <w:szCs w:val="28"/>
          <w:highlight w:val="none"/>
        </w:rPr>
        <w:t>三、投标文件的澄清和补正</w:t>
      </w:r>
      <w:bookmarkEnd w:id="53"/>
      <w:bookmarkEnd w:id="54"/>
      <w:bookmarkEnd w:id="55"/>
    </w:p>
    <w:p w14:paraId="3228516B">
      <w:pPr>
        <w:spacing w:line="440" w:lineRule="exact"/>
        <w:ind w:firstLine="525" w:firstLineChars="250"/>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spacing w:line="440" w:lineRule="exact"/>
        <w:ind w:firstLine="525" w:firstLineChars="250"/>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spacing w:line="440" w:lineRule="exact"/>
        <w:ind w:firstLine="525" w:firstLineChars="250"/>
        <w:rPr>
          <w:rFonts w:hint="eastAsia" w:ascii="宋体"/>
          <w:color w:val="auto"/>
          <w:szCs w:val="21"/>
          <w:highlight w:val="none"/>
        </w:rPr>
      </w:pPr>
      <w:r>
        <w:rPr>
          <w:rFonts w:hint="eastAsia" w:ascii="宋体"/>
          <w:color w:val="auto"/>
          <w:szCs w:val="21"/>
          <w:highlight w:val="none"/>
        </w:rPr>
        <w:t>5.3评委会修正错误的原则：</w:t>
      </w:r>
    </w:p>
    <w:p w14:paraId="4125A76F">
      <w:pPr>
        <w:spacing w:line="440" w:lineRule="exact"/>
        <w:ind w:firstLine="525" w:firstLineChars="250"/>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spacing w:line="440" w:lineRule="exact"/>
        <w:ind w:firstLine="525" w:firstLineChars="250"/>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spacing w:line="440" w:lineRule="exact"/>
        <w:ind w:firstLine="403" w:firstLineChars="192"/>
        <w:jc w:val="left"/>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56" w:name="_Toc58430320"/>
      <w:bookmarkStart w:id="57" w:name="_Toc449028880"/>
    </w:p>
    <w:p w14:paraId="4E078817">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6"/>
      <w:bookmarkEnd w:id="57"/>
    </w:p>
    <w:p w14:paraId="7F5C09E7">
      <w:pPr>
        <w:spacing w:line="440" w:lineRule="exact"/>
        <w:ind w:firstLine="525" w:firstLineChars="250"/>
        <w:rPr>
          <w:rFonts w:hint="eastAsia" w:ascii="宋体" w:hAnsi="Times New Roman" w:eastAsia="宋体" w:cs="Times New Roman"/>
          <w:color w:val="auto"/>
          <w:szCs w:val="21"/>
          <w:highlight w:val="none"/>
        </w:rPr>
      </w:pPr>
      <w:bookmarkStart w:id="58" w:name="_Toc449028881"/>
      <w:bookmarkStart w:id="59" w:name="_Toc362983805"/>
      <w:bookmarkStart w:id="60" w:name="_Toc58430321"/>
      <w:r>
        <w:rPr>
          <w:rFonts w:hint="eastAsia" w:ascii="宋体" w:hAnsi="Times New Roman" w:eastAsia="宋体" w:cs="Times New Roman"/>
          <w:color w:val="auto"/>
          <w:szCs w:val="21"/>
          <w:highlight w:val="none"/>
        </w:rPr>
        <w:t>6.详细评审即按</w:t>
      </w:r>
      <w:r>
        <w:rPr>
          <w:rFonts w:hint="eastAsia" w:ascii="宋体" w:hAnsi="Times New Roman" w:eastAsia="宋体" w:cs="Times New Roman"/>
          <w:color w:val="auto"/>
          <w:szCs w:val="21"/>
          <w:highlight w:val="none"/>
          <w:lang w:val="en-US" w:eastAsia="zh-CN"/>
        </w:rPr>
        <w:t>招标</w:t>
      </w:r>
      <w:r>
        <w:rPr>
          <w:rFonts w:hint="eastAsia" w:ascii="宋体" w:hAnsi="Times New Roman" w:eastAsia="宋体" w:cs="Times New Roman"/>
          <w:color w:val="auto"/>
          <w:szCs w:val="21"/>
          <w:highlight w:val="none"/>
          <w:lang w:eastAsia="zh-CN"/>
        </w:rPr>
        <w:t>文件</w:t>
      </w:r>
      <w:r>
        <w:rPr>
          <w:rFonts w:hint="eastAsia" w:ascii="宋体" w:hAnsi="Times New Roman" w:eastAsia="宋体" w:cs="Times New Roman"/>
          <w:color w:val="auto"/>
          <w:szCs w:val="21"/>
          <w:highlight w:val="none"/>
        </w:rPr>
        <w:t>中规定的评标方法和标准，评标委员会将对通过</w:t>
      </w:r>
      <w:r>
        <w:rPr>
          <w:rFonts w:hint="eastAsia" w:ascii="宋体" w:hAnsi="Times New Roman" w:eastAsia="宋体" w:cs="Times New Roman"/>
          <w:color w:val="auto"/>
          <w:szCs w:val="21"/>
          <w:highlight w:val="none"/>
          <w:lang w:val="en-US" w:eastAsia="zh-CN"/>
        </w:rPr>
        <w:t>符合性审查</w:t>
      </w:r>
      <w:r>
        <w:rPr>
          <w:rFonts w:hint="eastAsia" w:ascii="宋体" w:hAnsi="Times New Roman" w:eastAsia="宋体" w:cs="Times New Roman"/>
          <w:color w:val="auto"/>
          <w:szCs w:val="21"/>
          <w:highlight w:val="none"/>
        </w:rPr>
        <w:t>的</w:t>
      </w:r>
      <w:r>
        <w:rPr>
          <w:rFonts w:hint="eastAsia" w:ascii="宋体" w:hAnsi="Times New Roman" w:eastAsia="宋体" w:cs="Times New Roman"/>
          <w:color w:val="auto"/>
          <w:szCs w:val="21"/>
          <w:highlight w:val="none"/>
          <w:lang w:val="en-US" w:eastAsia="zh-CN"/>
        </w:rPr>
        <w:t>投标</w:t>
      </w:r>
      <w:r>
        <w:rPr>
          <w:rFonts w:hint="eastAsia" w:ascii="宋体" w:hAnsi="Times New Roman" w:eastAsia="宋体" w:cs="Times New Roman"/>
          <w:color w:val="auto"/>
          <w:szCs w:val="21"/>
          <w:highlight w:val="none"/>
          <w:lang w:eastAsia="zh-CN"/>
        </w:rPr>
        <w:t>文件</w:t>
      </w:r>
      <w:r>
        <w:rPr>
          <w:rFonts w:hint="eastAsia" w:ascii="宋体" w:hAnsi="Times New Roman" w:eastAsia="宋体" w:cs="Times New Roman"/>
          <w:color w:val="auto"/>
          <w:szCs w:val="21"/>
          <w:highlight w:val="none"/>
        </w:rPr>
        <w:t>，进行商务报价评审，综合比较与评价。</w:t>
      </w:r>
    </w:p>
    <w:p w14:paraId="475715C5">
      <w:pPr>
        <w:spacing w:line="440" w:lineRule="exact"/>
        <w:ind w:firstLine="525" w:firstLineChars="250"/>
        <w:rPr>
          <w:rFonts w:hint="default" w:ascii="宋体" w:cs="Times New Roman"/>
          <w:color w:val="auto"/>
          <w:szCs w:val="21"/>
          <w:highlight w:val="none"/>
          <w:lang w:val="en-US" w:eastAsia="zh-CN"/>
        </w:rPr>
      </w:pPr>
      <w:r>
        <w:rPr>
          <w:rFonts w:hint="eastAsia" w:ascii="宋体" w:cs="Times New Roman"/>
          <w:color w:val="auto"/>
          <w:szCs w:val="21"/>
          <w:highlight w:val="none"/>
          <w:lang w:val="en-US" w:eastAsia="zh-CN"/>
        </w:rPr>
        <w:t>6.1资信评分（20分）</w:t>
      </w:r>
    </w:p>
    <w:tbl>
      <w:tblPr>
        <w:tblStyle w:val="35"/>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48"/>
        <w:gridCol w:w="881"/>
        <w:gridCol w:w="7409"/>
      </w:tblGrid>
      <w:tr w14:paraId="7AD2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6B58F06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48" w:type="dxa"/>
            <w:vAlign w:val="center"/>
          </w:tcPr>
          <w:p w14:paraId="32EA7F82">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881" w:type="dxa"/>
            <w:vAlign w:val="center"/>
          </w:tcPr>
          <w:p w14:paraId="65E33FB1">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分值</w:t>
            </w:r>
          </w:p>
        </w:tc>
        <w:tc>
          <w:tcPr>
            <w:tcW w:w="7409" w:type="dxa"/>
            <w:vAlign w:val="center"/>
          </w:tcPr>
          <w:p w14:paraId="138FE79E">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评审细则</w:t>
            </w:r>
          </w:p>
        </w:tc>
      </w:tr>
      <w:tr w14:paraId="3DF2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3C4BF8A1">
            <w:pPr>
              <w:spacing w:line="440" w:lineRule="exact"/>
              <w:jc w:val="center"/>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048" w:type="dxa"/>
            <w:vAlign w:val="center"/>
          </w:tcPr>
          <w:p w14:paraId="22C7ACC1">
            <w:pPr>
              <w:spacing w:line="440" w:lineRule="exact"/>
              <w:rPr>
                <w:rFonts w:hint="default" w:ascii="宋体" w:hAnsi="宋体" w:eastAsia="宋体" w:cs="宋体"/>
                <w:b/>
                <w:bCs/>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投标人业绩</w:t>
            </w:r>
          </w:p>
        </w:tc>
        <w:tc>
          <w:tcPr>
            <w:tcW w:w="881" w:type="dxa"/>
            <w:vAlign w:val="center"/>
          </w:tcPr>
          <w:p w14:paraId="7A624DE1">
            <w:pPr>
              <w:spacing w:line="440" w:lineRule="exact"/>
              <w:jc w:val="center"/>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5分</w:t>
            </w:r>
          </w:p>
        </w:tc>
        <w:tc>
          <w:tcPr>
            <w:tcW w:w="7409" w:type="dxa"/>
            <w:vAlign w:val="center"/>
          </w:tcPr>
          <w:p w14:paraId="5C4BD403">
            <w:pPr>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年1月1日至投标截止日完成过房屋建筑工程</w:t>
            </w:r>
            <w:r>
              <w:rPr>
                <w:rFonts w:hint="eastAsia" w:ascii="宋体" w:hAnsi="宋体" w:cs="宋体"/>
                <w:b w:val="0"/>
                <w:bCs w:val="0"/>
                <w:color w:val="auto"/>
                <w:sz w:val="21"/>
                <w:szCs w:val="21"/>
                <w:highlight w:val="none"/>
                <w:lang w:val="en-US" w:eastAsia="zh-CN"/>
              </w:rPr>
              <w:t>监理服务业绩</w:t>
            </w:r>
            <w:r>
              <w:rPr>
                <w:rFonts w:hint="eastAsia" w:ascii="宋体" w:hAnsi="宋体" w:eastAsia="宋体" w:cs="宋体"/>
                <w:b w:val="0"/>
                <w:bCs w:val="0"/>
                <w:color w:val="auto"/>
                <w:sz w:val="21"/>
                <w:szCs w:val="21"/>
                <w:highlight w:val="none"/>
                <w:lang w:val="en-US" w:eastAsia="zh-CN"/>
              </w:rPr>
              <w:t>的得5分，本项满分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636753EB">
            <w:pPr>
              <w:spacing w:line="44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须同时提供</w:t>
            </w:r>
            <w:r>
              <w:rPr>
                <w:rFonts w:hint="eastAsia" w:ascii="宋体" w:hAnsi="宋体" w:eastAsia="宋体" w:cs="宋体"/>
                <w:b/>
                <w:bCs/>
                <w:color w:val="auto"/>
                <w:sz w:val="21"/>
                <w:szCs w:val="21"/>
                <w:highlight w:val="none"/>
                <w:lang w:val="en-US" w:eastAsia="zh-CN"/>
              </w:rPr>
              <w:t>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监理合同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②竣工验收报告或竣工验收证书或竣工验收证明书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时间以竣工验收报告或竣工验收证书或竣工验收证明书为准。若上述证明材料不能明确反映项目类型等内容的，应另行提供委托单位出具并加盖其公章的证明材料。</w:t>
            </w:r>
          </w:p>
          <w:p w14:paraId="76AB5637">
            <w:pPr>
              <w:spacing w:line="440" w:lineRule="exact"/>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2.项目负责人业绩与企业业绩不重复计分。</w:t>
            </w:r>
          </w:p>
        </w:tc>
      </w:tr>
      <w:tr w14:paraId="079D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45" w:type="dxa"/>
            <w:vAlign w:val="center"/>
          </w:tcPr>
          <w:p w14:paraId="61EAC481">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048" w:type="dxa"/>
            <w:vAlign w:val="center"/>
          </w:tcPr>
          <w:p w14:paraId="3E6F5128">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项目负责人</w:t>
            </w:r>
            <w:r>
              <w:rPr>
                <w:rFonts w:hint="eastAsia" w:ascii="宋体" w:hAnsi="宋体" w:eastAsia="宋体" w:cs="宋体"/>
                <w:b w:val="0"/>
                <w:bCs w:val="0"/>
                <w:color w:val="auto"/>
                <w:sz w:val="21"/>
                <w:szCs w:val="21"/>
                <w:highlight w:val="none"/>
                <w:lang w:val="zh-CN"/>
              </w:rPr>
              <w:t>业绩</w:t>
            </w:r>
          </w:p>
        </w:tc>
        <w:tc>
          <w:tcPr>
            <w:tcW w:w="881" w:type="dxa"/>
            <w:vAlign w:val="center"/>
          </w:tcPr>
          <w:p w14:paraId="2AA14B39">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5分</w:t>
            </w:r>
          </w:p>
        </w:tc>
        <w:tc>
          <w:tcPr>
            <w:tcW w:w="7409" w:type="dxa"/>
            <w:vAlign w:val="center"/>
          </w:tcPr>
          <w:p w14:paraId="4C392BF0">
            <w:pPr>
              <w:keepNext w:val="0"/>
              <w:keepLines w:val="0"/>
              <w:pageBreakBefore w:val="0"/>
              <w:widowControl w:val="0"/>
              <w:kinsoku/>
              <w:wordWrap/>
              <w:overflowPunct/>
              <w:topLinePunct w:val="0"/>
              <w:bidi w:val="0"/>
              <w:adjustRightInd w:val="0"/>
              <w:snapToGrid/>
              <w:spacing w:line="44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w:t>
            </w:r>
            <w:r>
              <w:rPr>
                <w:rFonts w:hint="eastAsia" w:ascii="宋体" w:hAnsi="宋体" w:cs="宋体"/>
                <w:b w:val="0"/>
                <w:bCs w:val="0"/>
                <w:color w:val="auto"/>
                <w:sz w:val="21"/>
                <w:szCs w:val="21"/>
                <w:highlight w:val="none"/>
                <w:lang w:val="en-US" w:eastAsia="zh-CN"/>
              </w:rPr>
              <w:t>拟派项目负责人</w:t>
            </w:r>
            <w:r>
              <w:rPr>
                <w:rFonts w:hint="eastAsia" w:ascii="宋体" w:hAnsi="宋体" w:eastAsia="宋体" w:cs="宋体"/>
                <w:b w:val="0"/>
                <w:bCs w:val="0"/>
                <w:color w:val="auto"/>
                <w:sz w:val="21"/>
                <w:szCs w:val="21"/>
                <w:highlight w:val="none"/>
                <w:lang w:val="en-US" w:eastAsia="zh-CN"/>
              </w:rPr>
              <w:t>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年1月1日至投标截止日完成过房屋建筑工程</w:t>
            </w:r>
            <w:r>
              <w:rPr>
                <w:rFonts w:hint="eastAsia" w:ascii="宋体" w:hAnsi="宋体" w:cs="宋体"/>
                <w:b w:val="0"/>
                <w:bCs w:val="0"/>
                <w:color w:val="auto"/>
                <w:sz w:val="21"/>
                <w:szCs w:val="21"/>
                <w:highlight w:val="none"/>
                <w:lang w:val="en-US" w:eastAsia="zh-CN"/>
              </w:rPr>
              <w:t>监理服务业绩</w:t>
            </w:r>
            <w:r>
              <w:rPr>
                <w:rFonts w:hint="eastAsia" w:ascii="宋体" w:hAnsi="宋体" w:eastAsia="宋体" w:cs="宋体"/>
                <w:b w:val="0"/>
                <w:bCs w:val="0"/>
                <w:color w:val="auto"/>
                <w:sz w:val="21"/>
                <w:szCs w:val="21"/>
                <w:highlight w:val="none"/>
                <w:lang w:val="en-US" w:eastAsia="zh-CN"/>
              </w:rPr>
              <w:t>的得5分，本项满分</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09A63E00">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须同时提供</w:t>
            </w:r>
            <w:r>
              <w:rPr>
                <w:rFonts w:hint="eastAsia" w:ascii="宋体" w:hAnsi="宋体" w:eastAsia="宋体" w:cs="宋体"/>
                <w:b/>
                <w:bCs/>
                <w:color w:val="auto"/>
                <w:sz w:val="21"/>
                <w:szCs w:val="21"/>
                <w:highlight w:val="none"/>
                <w:lang w:val="en-US" w:eastAsia="zh-CN"/>
              </w:rPr>
              <w:t>下列材料</w:t>
            </w:r>
            <w:r>
              <w:rPr>
                <w:rFonts w:hint="eastAsia" w:ascii="宋体" w:hAnsi="宋体" w:cs="宋体"/>
                <w:b/>
                <w:bCs/>
                <w:color w:val="auto"/>
                <w:sz w:val="21"/>
                <w:szCs w:val="21"/>
                <w:highlight w:val="none"/>
                <w:lang w:val="en-US" w:eastAsia="zh-CN"/>
              </w:rPr>
              <w:t>扫描件</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监理合同</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②竣工验收报告或竣工验收证书或竣工验收证明书</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时间以竣工验收报告或竣工验收证书或竣工验收证明书为准。若上述证明材料不能明确反映项目类</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项目负责人姓名</w:t>
            </w:r>
            <w:r>
              <w:rPr>
                <w:rFonts w:hint="eastAsia" w:ascii="宋体" w:hAnsi="宋体" w:eastAsia="宋体" w:cs="宋体"/>
                <w:b/>
                <w:bCs/>
                <w:color w:val="auto"/>
                <w:sz w:val="21"/>
                <w:szCs w:val="21"/>
                <w:highlight w:val="none"/>
              </w:rPr>
              <w:t>等内容的，应另行提供委托单位出具并加盖其公章的证明材料。</w:t>
            </w:r>
          </w:p>
          <w:p w14:paraId="1AA05B95">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项目负责人（总监理工程师）发生变更的，须提供经建设行政主管部门或招投标行政主管部门备案的项目负责人（总监理工程师）变更证明材料（或同时提供网上变更申请截图、网站公示截图及查询链接）扫描件。</w:t>
            </w:r>
          </w:p>
          <w:p w14:paraId="709DC50F">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项目负责人必须是以项目负责人（总监理工程师）身份参与的业绩，以其他管理人员身份参与的无效。</w:t>
            </w:r>
          </w:p>
          <w:p w14:paraId="73EF4F7C">
            <w:pPr>
              <w:pStyle w:val="109"/>
              <w:keepNext w:val="0"/>
              <w:keepLines w:val="0"/>
              <w:pageBreakBefore w:val="0"/>
              <w:numPr>
                <w:ilvl w:val="0"/>
                <w:numId w:val="0"/>
              </w:numPr>
              <w:tabs>
                <w:tab w:val="left" w:pos="1800"/>
                <w:tab w:val="left" w:pos="2340"/>
                <w:tab w:val="left" w:pos="2700"/>
              </w:tabs>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.项目负责人业绩与企业业绩不重复计分。</w:t>
            </w:r>
          </w:p>
        </w:tc>
      </w:tr>
      <w:tr w14:paraId="17A9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4AA9A995">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048" w:type="dxa"/>
            <w:vAlign w:val="center"/>
          </w:tcPr>
          <w:p w14:paraId="7DB6358F">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企业荣誉</w:t>
            </w:r>
          </w:p>
        </w:tc>
        <w:tc>
          <w:tcPr>
            <w:tcW w:w="881" w:type="dxa"/>
            <w:vAlign w:val="center"/>
          </w:tcPr>
          <w:p w14:paraId="45CB903B">
            <w:pPr>
              <w:keepNext w:val="0"/>
              <w:keepLines w:val="0"/>
              <w:pageBreakBefore w:val="0"/>
              <w:kinsoku/>
              <w:wordWrap/>
              <w:overflowPunct/>
              <w:topLinePunct w:val="0"/>
              <w:autoSpaceDE/>
              <w:autoSpaceDN/>
              <w:bidi w:val="0"/>
              <w:adjustRightInd/>
              <w:spacing w:line="440" w:lineRule="exact"/>
              <w:jc w:val="center"/>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val="en-US" w:eastAsia="zh-CN"/>
              </w:rPr>
              <w:t>5分</w:t>
            </w:r>
          </w:p>
        </w:tc>
        <w:tc>
          <w:tcPr>
            <w:tcW w:w="7409" w:type="dxa"/>
            <w:vAlign w:val="center"/>
          </w:tcPr>
          <w:p w14:paraId="5FEDCC0D">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自2023年1月1日至投标截止日期，投标人获得过市级及以上优秀（或先进）监理企业称号的得5分，本项满分5分。</w:t>
            </w:r>
          </w:p>
          <w:p w14:paraId="3A7786EE">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Times New Roman" w:hAnsi="宋体" w:eastAsia="宋体" w:cs="宋体"/>
                <w:b/>
                <w:bCs/>
                <w:color w:val="auto"/>
                <w:sz w:val="21"/>
                <w:szCs w:val="21"/>
                <w:highlight w:val="none"/>
                <w:lang w:val="en-US" w:eastAsia="zh-CN"/>
              </w:rPr>
              <w:t>注：</w:t>
            </w:r>
            <w:r>
              <w:rPr>
                <w:rFonts w:hint="eastAsia" w:hAnsi="宋体" w:eastAsia="宋体" w:cs="宋体"/>
                <w:b/>
                <w:bCs/>
                <w:color w:val="auto"/>
                <w:sz w:val="21"/>
                <w:szCs w:val="21"/>
                <w:highlight w:val="none"/>
                <w:lang w:val="en-US" w:eastAsia="zh-CN"/>
              </w:rPr>
              <w:t>1.</w:t>
            </w:r>
            <w:r>
              <w:rPr>
                <w:rFonts w:hint="eastAsia" w:ascii="宋体" w:hAnsi="宋体" w:eastAsia="宋体" w:cs="宋体"/>
                <w:b/>
                <w:bCs/>
                <w:color w:val="auto"/>
                <w:kern w:val="0"/>
                <w:sz w:val="21"/>
                <w:szCs w:val="21"/>
                <w:highlight w:val="none"/>
                <w:lang w:val="en-US" w:eastAsia="zh-CN" w:bidi="ar-SA"/>
              </w:rPr>
              <w:t>时间以荣誉证书（或红头文件）中注明的落款日期为准。</w:t>
            </w:r>
          </w:p>
          <w:p w14:paraId="31B35AB9">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2.“获奖证明材料 ”是指：以行政主管部门（或建设管理部门或行业协会）颁发的获奖证书（或红头文件）为准，若当年度荣誉已评选公示，但暂未发文发证的，可提供颁奖单位官方网站发布的公示名单截图。</w:t>
            </w:r>
          </w:p>
          <w:p w14:paraId="55662A37">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3.企业荣誉称号仅限以投标单位名称（不含总公司或下属公司）所获得的荣誉称号。</w:t>
            </w:r>
          </w:p>
          <w:p w14:paraId="69698313">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4.获奖证书（或文件）不足以明确显示获奖单位名称时，须同时提供发证（文）单位证明文件作为附件。</w:t>
            </w:r>
          </w:p>
          <w:p w14:paraId="74AD9696">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color w:val="auto"/>
                <w:highlight w:val="none"/>
              </w:rPr>
            </w:pPr>
            <w:r>
              <w:rPr>
                <w:rFonts w:hint="eastAsia" w:ascii="宋体" w:hAnsi="宋体" w:eastAsia="宋体" w:cs="宋体"/>
                <w:b/>
                <w:bCs/>
                <w:color w:val="auto"/>
                <w:kern w:val="0"/>
                <w:sz w:val="21"/>
                <w:szCs w:val="21"/>
                <w:highlight w:val="none"/>
                <w:lang w:val="en-US" w:eastAsia="zh-CN" w:bidi="ar-SA"/>
              </w:rPr>
              <w:t>5.获奖证明材料扫描件放入投标文件中。</w:t>
            </w:r>
          </w:p>
        </w:tc>
      </w:tr>
      <w:tr w14:paraId="30C6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584A70C2">
            <w:pPr>
              <w:spacing w:line="44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048" w:type="dxa"/>
            <w:vAlign w:val="center"/>
          </w:tcPr>
          <w:p w14:paraId="665D4368">
            <w:pPr>
              <w:keepNext w:val="0"/>
              <w:keepLines w:val="0"/>
              <w:pageBreakBefore w:val="0"/>
              <w:kinsoku/>
              <w:wordWrap/>
              <w:overflowPunct/>
              <w:topLinePunct w:val="0"/>
              <w:autoSpaceDE/>
              <w:autoSpaceDN/>
              <w:bidi w:val="0"/>
              <w:adjustRightInd/>
              <w:spacing w:line="44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项目负责人（总监理工程师）能力</w:t>
            </w:r>
          </w:p>
        </w:tc>
        <w:tc>
          <w:tcPr>
            <w:tcW w:w="881" w:type="dxa"/>
            <w:vAlign w:val="center"/>
          </w:tcPr>
          <w:p w14:paraId="5D12918E">
            <w:pPr>
              <w:keepNext w:val="0"/>
              <w:keepLines w:val="0"/>
              <w:pageBreakBefore w:val="0"/>
              <w:kinsoku/>
              <w:wordWrap/>
              <w:overflowPunct/>
              <w:topLinePunct w:val="0"/>
              <w:autoSpaceDE/>
              <w:autoSpaceDN/>
              <w:bidi w:val="0"/>
              <w:adjustRightInd/>
              <w:spacing w:line="44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5分</w:t>
            </w:r>
          </w:p>
        </w:tc>
        <w:tc>
          <w:tcPr>
            <w:tcW w:w="7409" w:type="dxa"/>
            <w:vAlign w:val="center"/>
          </w:tcPr>
          <w:p w14:paraId="508CFE4A">
            <w:pPr>
              <w:pStyle w:val="152"/>
              <w:spacing w:before="117" w:line="360" w:lineRule="auto"/>
              <w:ind w:right="103"/>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自2023年1月1日至投标截止日期，拟派总监理工程师获得过市级及以上优秀总监理工程师称号的得5分；本项满分5分。</w:t>
            </w:r>
          </w:p>
          <w:p w14:paraId="592A0393">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注：1.时间以荣誉证书（或红头文件）中注明的落款日期为准。</w:t>
            </w:r>
          </w:p>
          <w:p w14:paraId="7D2BE8DC">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获奖证明材料”是指：以行政主管部门（或建设管理部门或建设主管部门授权的行业协会）颁发的获奖证书（或红头文件）为准。若当年度荣誉已评选公示，但暂未发文发证的，可提供颁奖单位官方网站发布的公示名单截图。</w:t>
            </w:r>
          </w:p>
          <w:p w14:paraId="53591E17">
            <w:pPr>
              <w:pStyle w:val="3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3.证明材料中必须能体现总监理工程师姓名，且必须与本项目的拟派总监理工程师一致。</w:t>
            </w:r>
          </w:p>
        </w:tc>
      </w:tr>
      <w:tr w14:paraId="2927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83" w:type="dxa"/>
            <w:gridSpan w:val="4"/>
            <w:vAlign w:val="center"/>
          </w:tcPr>
          <w:p w14:paraId="6759BCA4">
            <w:pPr>
              <w:spacing w:line="440" w:lineRule="exact"/>
              <w:rPr>
                <w:rFonts w:ascii="宋体" w:hAnsi="宋体" w:cs="宋体"/>
                <w:color w:val="auto"/>
                <w:spacing w:val="-2"/>
                <w:szCs w:val="21"/>
                <w:highlight w:val="none"/>
              </w:rPr>
            </w:pPr>
            <w:r>
              <w:rPr>
                <w:rFonts w:hint="eastAsia" w:ascii="宋体" w:hAnsi="宋体" w:cs="宋体"/>
                <w:b/>
                <w:color w:val="auto"/>
                <w:szCs w:val="21"/>
                <w:highlight w:val="none"/>
              </w:rPr>
              <w:t>注：各评委得分的平均值为供应商资信标得分，分值保留两位小数点。</w:t>
            </w:r>
          </w:p>
        </w:tc>
      </w:tr>
    </w:tbl>
    <w:p w14:paraId="197DBB70">
      <w:pPr>
        <w:spacing w:line="440" w:lineRule="exact"/>
        <w:ind w:firstLine="525" w:firstLineChars="250"/>
        <w:rPr>
          <w:rFonts w:hint="default" w:ascii="宋体" w:cs="Times New Roman"/>
          <w:color w:val="auto"/>
          <w:szCs w:val="21"/>
          <w:highlight w:val="none"/>
          <w:lang w:val="en-US" w:eastAsia="zh-CN"/>
        </w:rPr>
      </w:pPr>
      <w:r>
        <w:rPr>
          <w:rFonts w:hint="eastAsia" w:ascii="宋体" w:cs="Times New Roman"/>
          <w:color w:val="auto"/>
          <w:szCs w:val="21"/>
          <w:highlight w:val="none"/>
          <w:lang w:val="en-US" w:eastAsia="zh-CN"/>
        </w:rPr>
        <w:t>6.2技术标评分（30分）</w:t>
      </w:r>
    </w:p>
    <w:tbl>
      <w:tblPr>
        <w:tblStyle w:val="35"/>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99"/>
        <w:gridCol w:w="7409"/>
      </w:tblGrid>
      <w:tr w14:paraId="2A3B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31F1EF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0" w:type="dxa"/>
            <w:vAlign w:val="center"/>
          </w:tcPr>
          <w:p w14:paraId="7E24F2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699" w:type="dxa"/>
            <w:vAlign w:val="center"/>
          </w:tcPr>
          <w:p w14:paraId="012BB1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7409" w:type="dxa"/>
            <w:vAlign w:val="center"/>
          </w:tcPr>
          <w:p w14:paraId="107BFD5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3C67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48D38D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0" w:type="dxa"/>
            <w:vAlign w:val="center"/>
          </w:tcPr>
          <w:p w14:paraId="1F7663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w:t>
            </w:r>
          </w:p>
        </w:tc>
        <w:tc>
          <w:tcPr>
            <w:tcW w:w="699" w:type="dxa"/>
            <w:vAlign w:val="center"/>
          </w:tcPr>
          <w:p w14:paraId="086E53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7409" w:type="dxa"/>
            <w:vAlign w:val="top"/>
          </w:tcPr>
          <w:p w14:paraId="3EFAD1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工程质量管理体系健全、制度完善、质量控制措施可行性。对此进行横向比较、综合打分，优秀的得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分，良好的得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分，一般的得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分，合格的得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分，不合格或缺项不得分， 本项满分</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分。（核验电子标书，投标文件须能反映上述评审内容）</w:t>
            </w:r>
          </w:p>
        </w:tc>
      </w:tr>
      <w:tr w14:paraId="62F8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29DCBB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0" w:type="dxa"/>
            <w:vAlign w:val="center"/>
          </w:tcPr>
          <w:p w14:paraId="1DDB1C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w:t>
            </w:r>
          </w:p>
        </w:tc>
        <w:tc>
          <w:tcPr>
            <w:tcW w:w="699" w:type="dxa"/>
            <w:vAlign w:val="center"/>
          </w:tcPr>
          <w:p w14:paraId="249D84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top"/>
          </w:tcPr>
          <w:p w14:paraId="69F1C3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工程进度控制措施有效、可行，内容全面、科学、合理。对 此进行横向比较、综合打分，优秀的得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分，良好的得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分，一般的得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分，合格的得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分，不合格或缺项不得分， 本项满分</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分。（核验电子标书，投标文件须能反映上述评审内容）</w:t>
            </w:r>
          </w:p>
        </w:tc>
      </w:tr>
      <w:tr w14:paraId="7D1A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67E07C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30" w:type="dxa"/>
            <w:vAlign w:val="center"/>
          </w:tcPr>
          <w:p w14:paraId="1CC16F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成本</w:t>
            </w:r>
            <w:r>
              <w:rPr>
                <w:rFonts w:hint="eastAsia" w:ascii="宋体" w:hAnsi="宋体" w:eastAsia="宋体" w:cs="宋体"/>
                <w:color w:val="auto"/>
                <w:sz w:val="21"/>
                <w:szCs w:val="21"/>
                <w:highlight w:val="none"/>
              </w:rPr>
              <w:t>控制</w:t>
            </w:r>
          </w:p>
        </w:tc>
        <w:tc>
          <w:tcPr>
            <w:tcW w:w="699" w:type="dxa"/>
            <w:vAlign w:val="center"/>
          </w:tcPr>
          <w:p w14:paraId="6897F8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top"/>
          </w:tcPr>
          <w:p w14:paraId="7B5D7EC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
              </w:rPr>
              <w:t>成本</w:t>
            </w:r>
            <w:r>
              <w:rPr>
                <w:rFonts w:hint="eastAsia" w:ascii="宋体" w:hAnsi="宋体" w:eastAsia="宋体" w:cs="宋体"/>
                <w:color w:val="auto"/>
                <w:sz w:val="21"/>
                <w:szCs w:val="21"/>
                <w:highlight w:val="none"/>
                <w:lang w:eastAsia="zh-CN" w:bidi="ar"/>
              </w:rPr>
              <w:t>控制价目标明确、工作方案详密，内容全面、科学、合理、可行，管控措施得力。对此进行横向比较、综合打分，优秀的得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分，良好的得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分，一般的得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分，合格的得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分，不合格或缺项不得分， 本项满分</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分。（核验电子标书，投标文件须能反映上述评审内容）</w:t>
            </w:r>
          </w:p>
        </w:tc>
      </w:tr>
      <w:tr w14:paraId="2326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19FC93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30" w:type="dxa"/>
            <w:vAlign w:val="center"/>
          </w:tcPr>
          <w:p w14:paraId="425EB2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安全生产</w:t>
            </w:r>
          </w:p>
        </w:tc>
        <w:tc>
          <w:tcPr>
            <w:tcW w:w="699" w:type="dxa"/>
            <w:vAlign w:val="center"/>
          </w:tcPr>
          <w:p w14:paraId="34FA5D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top"/>
          </w:tcPr>
          <w:p w14:paraId="002BF5C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安全措施有效、工作方案内容全面、科学、合理、可行。对此进行横向比较、综合打分，优秀的得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分，良好的得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分，一般的得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分，合格的得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分，不合格或缺项不得分， 本项满分</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分。（核验电子标书，投标文件须能反映上述评审内容）</w:t>
            </w:r>
          </w:p>
        </w:tc>
      </w:tr>
      <w:tr w14:paraId="315E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3963B1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30" w:type="dxa"/>
            <w:vAlign w:val="center"/>
          </w:tcPr>
          <w:p w14:paraId="0495A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文明施工管理、组织协调方法</w:t>
            </w:r>
          </w:p>
        </w:tc>
        <w:tc>
          <w:tcPr>
            <w:tcW w:w="699" w:type="dxa"/>
            <w:vAlign w:val="center"/>
          </w:tcPr>
          <w:p w14:paraId="1A80F9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top"/>
          </w:tcPr>
          <w:p w14:paraId="60F71C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工作方案内容全面、科学、合理、可行。对此进行横向比较、综合打分，优秀的得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分，良好的得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分，一般的得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分，合格的得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分，不合格或缺项不得分， 本项满分</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分。（核验电子标书，投标文件须能反映上述评审内容）</w:t>
            </w:r>
          </w:p>
        </w:tc>
      </w:tr>
      <w:tr w14:paraId="516E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vAlign w:val="center"/>
          </w:tcPr>
          <w:p w14:paraId="737EC9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30" w:type="dxa"/>
            <w:vAlign w:val="center"/>
          </w:tcPr>
          <w:p w14:paraId="5E948A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对本</w:t>
            </w:r>
            <w:r>
              <w:rPr>
                <w:rFonts w:hint="eastAsia" w:ascii="宋体" w:hAnsi="宋体" w:eastAsia="宋体" w:cs="宋体"/>
                <w:color w:val="auto"/>
                <w:sz w:val="21"/>
                <w:szCs w:val="21"/>
                <w:highlight w:val="none"/>
                <w:lang w:eastAsia="zh-CN"/>
              </w:rPr>
              <w:t>项监理的重点和难点分析</w:t>
            </w:r>
          </w:p>
        </w:tc>
        <w:tc>
          <w:tcPr>
            <w:tcW w:w="699" w:type="dxa"/>
            <w:vAlign w:val="center"/>
          </w:tcPr>
          <w:p w14:paraId="05E5A1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5分</w:t>
            </w:r>
          </w:p>
        </w:tc>
        <w:tc>
          <w:tcPr>
            <w:tcW w:w="7409" w:type="dxa"/>
            <w:vAlign w:val="top"/>
          </w:tcPr>
          <w:p w14:paraId="33931D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重点难点分析准确、有针对性，建议合理，科学、可行。对 此进行横向比较、综合打分，优秀的得</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分，良好的得</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eastAsia="zh-CN" w:bidi="ar"/>
              </w:rPr>
              <w:t>分，一般的得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eastAsia="zh-CN" w:bidi="ar"/>
              </w:rPr>
              <w:t>分，合格的得</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eastAsia="zh-CN" w:bidi="ar"/>
              </w:rPr>
              <w:t>分，不合格或缺项不得分， 本项满分</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eastAsia="zh-CN" w:bidi="ar"/>
              </w:rPr>
              <w:t>分。（核验电子标书，投标文件须能反映上述评审内容）</w:t>
            </w:r>
          </w:p>
        </w:tc>
      </w:tr>
      <w:tr w14:paraId="2231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83" w:type="dxa"/>
            <w:gridSpan w:val="4"/>
            <w:vAlign w:val="center"/>
          </w:tcPr>
          <w:p w14:paraId="40300B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2"/>
                <w:sz w:val="21"/>
                <w:szCs w:val="21"/>
                <w:highlight w:val="none"/>
              </w:rPr>
            </w:pPr>
            <w:r>
              <w:rPr>
                <w:rFonts w:hint="eastAsia" w:ascii="宋体" w:hAnsi="宋体" w:eastAsia="宋体" w:cs="宋体"/>
                <w:b/>
                <w:color w:val="auto"/>
                <w:sz w:val="21"/>
                <w:szCs w:val="21"/>
                <w:highlight w:val="none"/>
              </w:rPr>
              <w:t>注：各评委得分的平均值为供应商技术标得分，分值保留两位小数点。</w:t>
            </w:r>
          </w:p>
        </w:tc>
      </w:tr>
    </w:tbl>
    <w:p w14:paraId="11A6490D">
      <w:pPr>
        <w:spacing w:line="440" w:lineRule="exact"/>
        <w:ind w:firstLine="525" w:firstLineChars="250"/>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6.</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商务</w:t>
      </w:r>
      <w:r>
        <w:rPr>
          <w:rFonts w:hint="eastAsia" w:ascii="宋体" w:hAnsi="Times New Roman" w:eastAsia="宋体" w:cs="Times New Roman"/>
          <w:color w:val="auto"/>
          <w:szCs w:val="21"/>
          <w:highlight w:val="none"/>
          <w:lang w:val="en-US" w:eastAsia="zh-CN"/>
        </w:rPr>
        <w:t>报价</w:t>
      </w:r>
      <w:r>
        <w:rPr>
          <w:rFonts w:hint="eastAsia" w:ascii="宋体" w:cs="Times New Roman"/>
          <w:color w:val="auto"/>
          <w:szCs w:val="21"/>
          <w:highlight w:val="none"/>
          <w:lang w:val="en-US" w:eastAsia="zh-CN"/>
        </w:rPr>
        <w:t>评分细则</w:t>
      </w:r>
    </w:p>
    <w:tbl>
      <w:tblPr>
        <w:tblStyle w:val="35"/>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40"/>
        <w:gridCol w:w="8355"/>
      </w:tblGrid>
      <w:tr w14:paraId="254E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47" w:type="dxa"/>
            <w:noWrap w:val="0"/>
            <w:vAlign w:val="center"/>
          </w:tcPr>
          <w:p w14:paraId="27D944D4">
            <w:pPr>
              <w:widowControl/>
              <w:adjustRightInd w:val="0"/>
              <w:snapToGrid w:val="0"/>
              <w:spacing w:line="56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序号</w:t>
            </w:r>
          </w:p>
        </w:tc>
        <w:tc>
          <w:tcPr>
            <w:tcW w:w="1140" w:type="dxa"/>
            <w:noWrap w:val="0"/>
            <w:vAlign w:val="center"/>
          </w:tcPr>
          <w:p w14:paraId="5A3B6012">
            <w:pPr>
              <w:spacing w:line="560" w:lineRule="exact"/>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分值</w:t>
            </w:r>
          </w:p>
        </w:tc>
        <w:tc>
          <w:tcPr>
            <w:tcW w:w="8355" w:type="dxa"/>
            <w:noWrap w:val="0"/>
            <w:vAlign w:val="center"/>
          </w:tcPr>
          <w:p w14:paraId="5CEDEFF7">
            <w:pPr>
              <w:spacing w:line="56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评分标准</w:t>
            </w:r>
          </w:p>
        </w:tc>
      </w:tr>
      <w:tr w14:paraId="24C0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47" w:type="dxa"/>
            <w:noWrap w:val="0"/>
            <w:vAlign w:val="center"/>
          </w:tcPr>
          <w:p w14:paraId="20F4ECB4">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140" w:type="dxa"/>
            <w:noWrap w:val="0"/>
            <w:vAlign w:val="center"/>
          </w:tcPr>
          <w:p w14:paraId="70D5D5F2">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投标报价（费率）</w:t>
            </w:r>
            <w:r>
              <w:rPr>
                <w:rFonts w:hint="eastAsia" w:ascii="宋体" w:hAnsi="宋体" w:cs="宋体"/>
                <w:color w:val="auto"/>
                <w:szCs w:val="21"/>
                <w:highlight w:val="none"/>
                <w:u w:val="single"/>
                <w:lang w:val="en-US" w:eastAsia="zh-CN"/>
              </w:rPr>
              <w:t>50</w:t>
            </w:r>
            <w:r>
              <w:rPr>
                <w:rFonts w:hint="eastAsia" w:ascii="宋体" w:hAnsi="宋体" w:cs="宋体"/>
                <w:color w:val="auto"/>
                <w:szCs w:val="21"/>
                <w:highlight w:val="none"/>
              </w:rPr>
              <w:t>分</w:t>
            </w:r>
          </w:p>
        </w:tc>
        <w:tc>
          <w:tcPr>
            <w:tcW w:w="8355" w:type="dxa"/>
            <w:noWrap w:val="0"/>
            <w:vAlign w:val="center"/>
          </w:tcPr>
          <w:p w14:paraId="00727DB2">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评分按下列步骤计算：</w:t>
            </w:r>
          </w:p>
          <w:p w14:paraId="0CA9284A">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第一步：评标基准价。</w:t>
            </w:r>
          </w:p>
          <w:p w14:paraId="3DF13A82">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①评标基准价为计算范围内有效投标人报价的算术平均值。</w:t>
            </w:r>
          </w:p>
          <w:p w14:paraId="07FCCCD7">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第二步：计算报价偏差率。</w:t>
            </w:r>
          </w:p>
          <w:p w14:paraId="00956C1B">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03714815">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第三步：计算报价得分</w:t>
            </w:r>
          </w:p>
          <w:p w14:paraId="5F2EE75A">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5AF8149A">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②投标报价高于评标基准价的，投标报价得分=报价满分值-偏差率×100×1</w:t>
            </w:r>
          </w:p>
          <w:p w14:paraId="5A966163">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③投标报价低于评标基准价的，投标报价得分=报价满分值-偏差率×100×0.5</w:t>
            </w:r>
          </w:p>
          <w:p w14:paraId="1A716D97">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5ABE28DF">
            <w:pPr>
              <w:keepNext w:val="0"/>
              <w:keepLines w:val="0"/>
              <w:pageBreakBefore w:val="0"/>
              <w:kinsoku/>
              <w:wordWrap/>
              <w:overflowPunct/>
              <w:topLinePunct w:val="0"/>
              <w:autoSpaceDE/>
              <w:autoSpaceDN/>
              <w:bidi w:val="0"/>
              <w:spacing w:line="500" w:lineRule="exact"/>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1、计算过程中，评标基准价、偏差率、报价得分均保留两位小数，小数点后第三位四舍五入。</w:t>
            </w:r>
          </w:p>
          <w:p w14:paraId="60BF52E6">
            <w:pPr>
              <w:keepNext w:val="0"/>
              <w:keepLines w:val="0"/>
              <w:pageBreakBefore w:val="0"/>
              <w:kinsoku/>
              <w:wordWrap/>
              <w:overflowPunct/>
              <w:topLinePunct w:val="0"/>
              <w:autoSpaceDE/>
              <w:autoSpaceDN/>
              <w:bidi w:val="0"/>
              <w:spacing w:line="500" w:lineRule="exact"/>
              <w:jc w:val="left"/>
              <w:textAlignment w:val="auto"/>
              <w:rPr>
                <w:rFonts w:hint="default"/>
                <w:color w:val="auto"/>
                <w:highlight w:val="none"/>
                <w:lang w:val="en-US" w:eastAsia="zh-CN"/>
              </w:rPr>
            </w:pPr>
            <w:r>
              <w:rPr>
                <w:rFonts w:hint="eastAsia" w:ascii="宋体" w:hAnsi="宋体" w:cs="宋体"/>
                <w:b/>
                <w:bCs/>
                <w:color w:val="auto"/>
                <w:szCs w:val="21"/>
                <w:highlight w:val="none"/>
              </w:rPr>
              <w:t>2、本项分值由评标委员会负责组织计算。</w:t>
            </w:r>
          </w:p>
        </w:tc>
      </w:tr>
    </w:tbl>
    <w:p w14:paraId="08FD77AE">
      <w:pPr>
        <w:spacing w:line="440" w:lineRule="exact"/>
        <w:ind w:firstLine="525" w:firstLineChars="25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6.</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评标委员会对满足招标文件实质性要求的投标文件，按照本章规定的评分标准计算得分，并按</w:t>
      </w:r>
      <w:r>
        <w:rPr>
          <w:rFonts w:hint="eastAsia" w:ascii="宋体" w:eastAsia="宋体" w:cs="Times New Roman"/>
          <w:color w:val="auto"/>
          <w:szCs w:val="21"/>
          <w:highlight w:val="none"/>
          <w:lang w:val="en-US" w:eastAsia="zh-CN"/>
        </w:rPr>
        <w:t>总</w:t>
      </w:r>
      <w:r>
        <w:rPr>
          <w:rFonts w:hint="eastAsia" w:ascii="宋体" w:hAnsi="Times New Roman" w:eastAsia="宋体" w:cs="Times New Roman"/>
          <w:color w:val="auto"/>
          <w:szCs w:val="21"/>
          <w:highlight w:val="none"/>
        </w:rPr>
        <w:t>得分由高到低顺序推荐3名中标候选，并标明排序，但投标报价低于其成本的除外。总得分相等，以投标报价低的优先，投标报价仍相等，由评标委员会或招标人随机抽取确定排名。</w:t>
      </w:r>
    </w:p>
    <w:p w14:paraId="3800892F">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58"/>
      <w:bookmarkEnd w:id="59"/>
      <w:bookmarkEnd w:id="60"/>
    </w:p>
    <w:bookmarkEnd w:id="48"/>
    <w:p w14:paraId="2F62E0BE">
      <w:pPr>
        <w:spacing w:line="440" w:lineRule="exact"/>
        <w:ind w:firstLine="525" w:firstLineChars="25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7.评标委员会按总得分由高到低顺序推荐3名中标候选</w:t>
      </w:r>
      <w:r>
        <w:rPr>
          <w:rFonts w:hint="eastAsia" w:ascii="宋体" w:hAnsi="Times New Roman" w:eastAsia="宋体" w:cs="Times New Roman"/>
          <w:color w:val="auto"/>
          <w:szCs w:val="21"/>
          <w:highlight w:val="none"/>
          <w:lang w:eastAsia="zh-CN"/>
        </w:rPr>
        <w:t>。</w:t>
      </w:r>
    </w:p>
    <w:p w14:paraId="3AEB97C9">
      <w:pPr>
        <w:spacing w:line="440" w:lineRule="exact"/>
        <w:ind w:firstLine="525" w:firstLineChars="25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rPr>
        <w:t>7.1</w:t>
      </w:r>
      <w:r>
        <w:rPr>
          <w:rFonts w:hint="eastAsia" w:ascii="宋体" w:hAnsi="Times New Roman" w:eastAsia="宋体" w:cs="Times New Roman"/>
          <w:color w:val="auto"/>
          <w:szCs w:val="21"/>
          <w:highlight w:val="none"/>
          <w:lang w:val="en-US" w:eastAsia="zh-CN"/>
        </w:rPr>
        <w:t>如出现总得分相等，以投标报价低的优先，投标报价仍相等，由评标委员会或招标人随机抽取确定排名。</w:t>
      </w:r>
    </w:p>
    <w:p w14:paraId="05DCF2AC">
      <w:pPr>
        <w:spacing w:line="440" w:lineRule="exact"/>
        <w:ind w:firstLine="525" w:firstLineChars="25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DFDF3F9">
      <w:pPr>
        <w:snapToGrid w:val="0"/>
        <w:spacing w:line="440" w:lineRule="exact"/>
        <w:ind w:left="0" w:leftChars="0"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0617F08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B0D8921">
      <w:pPr>
        <w:snapToGrid w:val="0"/>
        <w:spacing w:line="440" w:lineRule="exact"/>
        <w:ind w:right="-212" w:rightChars="-101"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（1）未在开标截止时间前通过网上招标投标系统递交有效电子投标文件的，开标系统不予接收，投标将被拒绝。</w:t>
      </w:r>
    </w:p>
    <w:p w14:paraId="4639F7C3">
      <w:pPr>
        <w:snapToGrid w:val="0"/>
        <w:spacing w:line="440" w:lineRule="exact"/>
        <w:ind w:right="-212" w:rightChars="-101"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172C2E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snapToGrid w:val="0"/>
        <w:spacing w:line="440" w:lineRule="exact"/>
        <w:ind w:left="0" w:leftChars="0"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snapToGrid w:val="0"/>
        <w:spacing w:line="440" w:lineRule="exact"/>
        <w:ind w:left="0" w:leftChars="0" w:firstLine="420" w:firstLineChars="200"/>
        <w:jc w:val="left"/>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snapToGrid w:val="0"/>
        <w:spacing w:line="440" w:lineRule="exact"/>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D63D24D">
      <w:pPr>
        <w:snapToGrid w:val="0"/>
        <w:spacing w:line="440" w:lineRule="exact"/>
        <w:ind w:left="0" w:leftChars="0" w:firstLine="420" w:firstLineChars="200"/>
        <w:jc w:val="left"/>
        <w:rPr>
          <w:rFonts w:hint="eastAsia" w:ascii="仿宋" w:hAnsi="仿宋" w:eastAsia="仿宋" w:cs="仿宋"/>
          <w:b/>
          <w:bCs/>
          <w:i w:val="0"/>
          <w:iCs w:val="0"/>
          <w:color w:val="auto"/>
          <w:kern w:val="0"/>
          <w:sz w:val="22"/>
          <w:szCs w:val="22"/>
          <w:highlight w:val="none"/>
          <w:u w:val="none"/>
          <w:lang w:val="en-US" w:eastAsia="zh-CN" w:bidi="ar"/>
        </w:rPr>
        <w:sectPr>
          <w:footerReference r:id="rId8" w:type="default"/>
          <w:pgSz w:w="11906" w:h="16838"/>
          <w:pgMar w:top="1440" w:right="1486" w:bottom="1440" w:left="1800" w:header="851" w:footer="992" w:gutter="0"/>
          <w:pgNumType w:fmt="decimal" w:start="1"/>
          <w:cols w:space="720" w:num="1"/>
          <w:docGrid w:type="lines" w:linePitch="312" w:charSpace="0"/>
        </w:sect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9"/>
      <w:bookmarkEnd w:id="61"/>
      <w:bookmarkStart w:id="62" w:name="_Toc449028945"/>
      <w:bookmarkStart w:id="63" w:name="_Toc58430329"/>
    </w:p>
    <w:p w14:paraId="5EAC221E">
      <w:pPr>
        <w:numPr>
          <w:ilvl w:val="0"/>
          <w:numId w:val="0"/>
        </w:numPr>
        <w:spacing w:before="156" w:beforeLines="50" w:after="156" w:afterLines="50"/>
        <w:jc w:val="center"/>
        <w:outlineLvl w:val="0"/>
        <w:rPr>
          <w:rFonts w:hint="eastAsia" w:ascii="宋体"/>
          <w:b/>
          <w:color w:val="auto"/>
          <w:sz w:val="32"/>
          <w:szCs w:val="32"/>
          <w:highlight w:val="none"/>
          <w:lang w:val="en-US" w:eastAsia="zh-CN"/>
        </w:rPr>
      </w:pPr>
      <w:r>
        <w:rPr>
          <w:rFonts w:hint="eastAsia" w:ascii="宋体"/>
          <w:b/>
          <w:color w:val="auto"/>
          <w:sz w:val="32"/>
          <w:szCs w:val="32"/>
          <w:highlight w:val="none"/>
          <w:lang w:val="en-US" w:eastAsia="zh-CN"/>
        </w:rPr>
        <w:t xml:space="preserve">第四章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合同格式</w:t>
      </w:r>
    </w:p>
    <w:p w14:paraId="4996D458">
      <w:pPr>
        <w:spacing w:line="560" w:lineRule="exact"/>
        <w:rPr>
          <w:rFonts w:hint="eastAsia" w:ascii="仿宋_GB2312" w:eastAsia="仿宋_GB2312"/>
          <w:b/>
          <w:color w:val="auto"/>
          <w:sz w:val="32"/>
          <w:szCs w:val="32"/>
          <w:highlight w:val="none"/>
        </w:rPr>
      </w:pPr>
      <w:bookmarkStart w:id="64" w:name="_Toc331685784"/>
    </w:p>
    <w:p w14:paraId="53A746D8">
      <w:pPr>
        <w:spacing w:line="560" w:lineRule="exact"/>
        <w:ind w:firstLine="2570" w:firstLineChars="800"/>
        <w:rPr>
          <w:rFonts w:hint="eastAsia" w:ascii="华文中宋" w:hAnsi="华文中宋" w:eastAsia="华文中宋"/>
          <w:b/>
          <w:bCs/>
          <w:color w:val="auto"/>
          <w:sz w:val="48"/>
          <w:szCs w:val="48"/>
          <w:highlight w:val="none"/>
        </w:rPr>
      </w:pPr>
      <w:r>
        <w:rPr>
          <w:rFonts w:hint="eastAsia" w:ascii="仿宋_GB2312" w:eastAsia="仿宋_GB2312"/>
          <w:b/>
          <w:color w:val="auto"/>
          <w:sz w:val="32"/>
          <w:szCs w:val="32"/>
          <w:highlight w:val="none"/>
        </w:rPr>
        <w:t>（ＧＦ－2012－0202）</w:t>
      </w:r>
    </w:p>
    <w:p w14:paraId="630A9C69">
      <w:pPr>
        <w:spacing w:line="560" w:lineRule="exact"/>
        <w:jc w:val="center"/>
        <w:rPr>
          <w:rFonts w:hint="eastAsia" w:ascii="华文中宋" w:hAnsi="华文中宋" w:eastAsia="华文中宋"/>
          <w:b/>
          <w:bCs/>
          <w:color w:val="auto"/>
          <w:sz w:val="48"/>
          <w:szCs w:val="48"/>
          <w:highlight w:val="none"/>
        </w:rPr>
      </w:pPr>
    </w:p>
    <w:p w14:paraId="1A0843B2">
      <w:pPr>
        <w:spacing w:line="560" w:lineRule="exact"/>
        <w:jc w:val="center"/>
        <w:rPr>
          <w:rFonts w:hint="eastAsia" w:ascii="华文中宋" w:hAnsi="华文中宋" w:eastAsia="华文中宋"/>
          <w:b/>
          <w:bCs/>
          <w:color w:val="auto"/>
          <w:sz w:val="52"/>
          <w:szCs w:val="52"/>
          <w:highlight w:val="none"/>
        </w:rPr>
      </w:pPr>
      <w:r>
        <w:rPr>
          <w:rFonts w:hint="eastAsia" w:ascii="华文中宋" w:hAnsi="华文中宋" w:eastAsia="华文中宋"/>
          <w:b/>
          <w:bCs/>
          <w:color w:val="auto"/>
          <w:sz w:val="52"/>
          <w:szCs w:val="52"/>
          <w:highlight w:val="none"/>
        </w:rPr>
        <w:t>建设工程监理合同</w:t>
      </w:r>
    </w:p>
    <w:p w14:paraId="70C8E10A">
      <w:pPr>
        <w:spacing w:line="560" w:lineRule="exact"/>
        <w:jc w:val="center"/>
        <w:rPr>
          <w:rFonts w:hint="eastAsia" w:ascii="华文楷体" w:hAnsi="华文楷体" w:eastAsia="华文楷体"/>
          <w:b/>
          <w:bCs/>
          <w:color w:val="auto"/>
          <w:sz w:val="52"/>
          <w:szCs w:val="52"/>
          <w:highlight w:val="none"/>
        </w:rPr>
      </w:pPr>
      <w:r>
        <w:rPr>
          <w:rFonts w:hint="eastAsia" w:ascii="华文楷体" w:hAnsi="华文楷体" w:eastAsia="华文楷体"/>
          <w:b/>
          <w:bCs/>
          <w:color w:val="auto"/>
          <w:sz w:val="52"/>
          <w:szCs w:val="52"/>
          <w:highlight w:val="none"/>
        </w:rPr>
        <w:t>（示范文本）</w:t>
      </w:r>
    </w:p>
    <w:p w14:paraId="1A7CEA44">
      <w:pPr>
        <w:spacing w:line="560" w:lineRule="exact"/>
        <w:rPr>
          <w:rFonts w:hint="eastAsia"/>
          <w:color w:val="auto"/>
          <w:highlight w:val="none"/>
        </w:rPr>
      </w:pPr>
    </w:p>
    <w:p w14:paraId="514BCF57">
      <w:pPr>
        <w:spacing w:line="560" w:lineRule="exact"/>
        <w:rPr>
          <w:rFonts w:hint="eastAsia" w:ascii="仿宋_GB2312" w:hAnsi="宋体" w:eastAsia="仿宋_GB2312"/>
          <w:b/>
          <w:bCs/>
          <w:color w:val="auto"/>
          <w:sz w:val="24"/>
          <w:highlight w:val="none"/>
        </w:rPr>
      </w:pPr>
    </w:p>
    <w:p w14:paraId="33100796">
      <w:pPr>
        <w:pStyle w:val="34"/>
        <w:spacing w:line="560" w:lineRule="exact"/>
        <w:ind w:firstLine="482"/>
        <w:rPr>
          <w:rFonts w:hint="eastAsia" w:ascii="仿宋_GB2312" w:hAnsi="宋体" w:eastAsia="仿宋_GB2312"/>
          <w:b/>
          <w:bCs/>
          <w:color w:val="auto"/>
          <w:sz w:val="24"/>
          <w:highlight w:val="none"/>
        </w:rPr>
      </w:pPr>
    </w:p>
    <w:p w14:paraId="2CEAFFBC">
      <w:pPr>
        <w:spacing w:line="560" w:lineRule="exact"/>
        <w:rPr>
          <w:rFonts w:hint="eastAsia" w:ascii="仿宋_GB2312" w:hAnsi="宋体" w:eastAsia="仿宋_GB2312"/>
          <w:b/>
          <w:bCs/>
          <w:color w:val="auto"/>
          <w:sz w:val="24"/>
          <w:highlight w:val="none"/>
        </w:rPr>
      </w:pPr>
    </w:p>
    <w:p w14:paraId="6F15AC6B">
      <w:pPr>
        <w:pStyle w:val="34"/>
        <w:spacing w:line="560" w:lineRule="exact"/>
        <w:ind w:firstLine="482"/>
        <w:rPr>
          <w:rFonts w:hint="eastAsia" w:ascii="仿宋_GB2312" w:hAnsi="宋体" w:eastAsia="仿宋_GB2312"/>
          <w:b/>
          <w:bCs/>
          <w:color w:val="auto"/>
          <w:sz w:val="24"/>
          <w:highlight w:val="none"/>
        </w:rPr>
      </w:pPr>
    </w:p>
    <w:p w14:paraId="04DF60ED">
      <w:pPr>
        <w:spacing w:line="560" w:lineRule="exact"/>
        <w:rPr>
          <w:rFonts w:hint="eastAsia" w:ascii="仿宋_GB2312" w:hAnsi="宋体" w:eastAsia="仿宋_GB2312"/>
          <w:b/>
          <w:bCs/>
          <w:color w:val="auto"/>
          <w:sz w:val="24"/>
          <w:highlight w:val="none"/>
        </w:rPr>
      </w:pPr>
    </w:p>
    <w:p w14:paraId="36648392">
      <w:pPr>
        <w:pStyle w:val="34"/>
        <w:spacing w:line="560" w:lineRule="exact"/>
        <w:ind w:left="0" w:leftChars="0" w:firstLine="0" w:firstLineChars="0"/>
        <w:rPr>
          <w:rFonts w:hint="eastAsia" w:ascii="仿宋_GB2312" w:hAnsi="宋体" w:eastAsia="仿宋_GB2312"/>
          <w:b/>
          <w:bCs/>
          <w:color w:val="auto"/>
          <w:sz w:val="24"/>
          <w:highlight w:val="none"/>
        </w:rPr>
      </w:pPr>
    </w:p>
    <w:p w14:paraId="60559C7D">
      <w:pPr>
        <w:spacing w:line="560" w:lineRule="exact"/>
        <w:rPr>
          <w:rFonts w:hint="eastAsia" w:ascii="仿宋_GB2312" w:hAnsi="宋体" w:eastAsia="仿宋_GB2312"/>
          <w:b/>
          <w:bCs/>
          <w:color w:val="auto"/>
          <w:sz w:val="24"/>
          <w:highlight w:val="none"/>
        </w:rPr>
      </w:pPr>
    </w:p>
    <w:p w14:paraId="0A4EC61A">
      <w:pPr>
        <w:spacing w:line="560" w:lineRule="exact"/>
        <w:rPr>
          <w:rFonts w:hint="eastAsia" w:ascii="仿宋_GB2312" w:hAnsi="宋体" w:eastAsia="仿宋_GB2312"/>
          <w:b/>
          <w:bCs/>
          <w:color w:val="auto"/>
          <w:sz w:val="24"/>
          <w:highlight w:val="none"/>
        </w:rPr>
      </w:pPr>
    </w:p>
    <w:p w14:paraId="45AF8018">
      <w:pPr>
        <w:pStyle w:val="34"/>
        <w:spacing w:line="560" w:lineRule="exact"/>
        <w:rPr>
          <w:rFonts w:hint="eastAsia"/>
          <w:color w:val="auto"/>
          <w:highlight w:val="none"/>
        </w:rPr>
      </w:pPr>
    </w:p>
    <w:p w14:paraId="064AE14C">
      <w:pPr>
        <w:spacing w:line="560" w:lineRule="exact"/>
        <w:jc w:val="center"/>
        <w:rPr>
          <w:rFonts w:hint="eastAsia" w:ascii="华文中宋" w:hAnsi="华文中宋" w:eastAsia="华文中宋"/>
          <w:b/>
          <w:color w:val="auto"/>
          <w:highlight w:val="none"/>
        </w:rPr>
      </w:pPr>
      <w:r>
        <w:rPr>
          <w:rFonts w:hint="eastAsia" w:ascii="仿宋_GB2312" w:hAnsi="宋体" w:eastAsia="仿宋_GB2312"/>
          <w:b/>
          <w:bCs/>
          <w:color w:val="auto"/>
          <w:sz w:val="32"/>
          <w:szCs w:val="32"/>
          <w:highlight w:val="none"/>
        </w:rPr>
        <w:t xml:space="preserve">  </w:t>
      </w:r>
      <w:r>
        <w:rPr>
          <w:rFonts w:hint="eastAsia" w:ascii="华文中宋" w:hAnsi="华文中宋" w:eastAsia="华文中宋"/>
          <w:b/>
          <w:bCs/>
          <w:color w:val="auto"/>
          <w:sz w:val="32"/>
          <w:szCs w:val="32"/>
          <w:highlight w:val="none"/>
        </w:rPr>
        <w:t>住房和城乡建设部</w:t>
      </w:r>
    </w:p>
    <w:p w14:paraId="24181182">
      <w:pPr>
        <w:spacing w:line="560" w:lineRule="exact"/>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highlight w:val="none"/>
        </w:rPr>
        <w:t xml:space="preserve">                                                          </w:t>
      </w:r>
      <w:r>
        <w:rPr>
          <w:rFonts w:hint="eastAsia" w:ascii="华文中宋" w:hAnsi="华文中宋" w:eastAsia="华文中宋"/>
          <w:b/>
          <w:color w:val="auto"/>
          <w:sz w:val="32"/>
          <w:szCs w:val="32"/>
          <w:highlight w:val="none"/>
        </w:rPr>
        <w:t>制定</w:t>
      </w:r>
    </w:p>
    <w:p w14:paraId="0E1C64BB">
      <w:pPr>
        <w:spacing w:line="560" w:lineRule="exact"/>
        <w:jc w:val="center"/>
        <w:rPr>
          <w:rFonts w:hint="eastAsia" w:ascii="华文中宋" w:hAnsi="华文中宋" w:eastAsia="华文中宋"/>
          <w:b/>
          <w:color w:val="auto"/>
          <w:highlight w:val="none"/>
        </w:rPr>
      </w:pPr>
      <w:r>
        <w:rPr>
          <w:rFonts w:hint="eastAsia" w:ascii="华文中宋" w:hAnsi="华文中宋" w:eastAsia="华文中宋"/>
          <w:b/>
          <w:bCs/>
          <w:color w:val="auto"/>
          <w:sz w:val="32"/>
          <w:szCs w:val="32"/>
          <w:highlight w:val="none"/>
        </w:rPr>
        <w:t xml:space="preserve">   国家工商行政管理总局</w:t>
      </w:r>
    </w:p>
    <w:p w14:paraId="0BA4206A">
      <w:pPr>
        <w:spacing w:line="560" w:lineRule="exact"/>
        <w:jc w:val="center"/>
        <w:rPr>
          <w:rFonts w:hint="eastAsia" w:ascii="仿宋_GB2312" w:hAnsi="宋体" w:eastAsia="仿宋_GB2312"/>
          <w:b/>
          <w:color w:val="auto"/>
          <w:sz w:val="13"/>
          <w:szCs w:val="13"/>
          <w:highlight w:val="none"/>
        </w:rPr>
      </w:pPr>
      <w:r>
        <w:rPr>
          <w:rFonts w:hint="eastAsia"/>
          <w:color w:val="auto"/>
          <w:highlight w:val="none"/>
        </w:rPr>
        <w:br w:type="page"/>
      </w:r>
      <w:r>
        <w:rPr>
          <w:rFonts w:hint="eastAsia" w:ascii="宋体" w:hAnsi="宋体" w:cs="宋体"/>
          <w:b/>
          <w:bCs/>
          <w:color w:val="auto"/>
          <w:sz w:val="32"/>
          <w:szCs w:val="32"/>
          <w:highlight w:val="none"/>
        </w:rPr>
        <w:t xml:space="preserve"> </w:t>
      </w:r>
      <w:bookmarkStart w:id="65" w:name="_Toc7788"/>
      <w:bookmarkStart w:id="66" w:name="_Toc19644"/>
      <w:r>
        <w:rPr>
          <w:rFonts w:hint="eastAsia" w:ascii="宋体" w:hAnsi="宋体" w:cs="宋体"/>
          <w:b/>
          <w:bCs/>
          <w:color w:val="auto"/>
          <w:sz w:val="32"/>
          <w:szCs w:val="32"/>
          <w:highlight w:val="none"/>
        </w:rPr>
        <w:t>第一部分  协议书</w:t>
      </w:r>
      <w:bookmarkEnd w:id="65"/>
      <w:bookmarkEnd w:id="66"/>
    </w:p>
    <w:p w14:paraId="2B89565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委托人（全称）：</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p>
    <w:p w14:paraId="2A7DA50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监理人（全称）：</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2FF8D91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512A9245">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67" w:name="_Toc20679"/>
      <w:bookmarkStart w:id="68" w:name="_Toc9153"/>
      <w:bookmarkStart w:id="69" w:name="_Toc681"/>
      <w:r>
        <w:rPr>
          <w:rFonts w:hint="eastAsia" w:ascii="宋体" w:hAnsi="宋体" w:cs="宋体"/>
          <w:b/>
          <w:color w:val="auto"/>
          <w:szCs w:val="21"/>
          <w:highlight w:val="none"/>
        </w:rPr>
        <w:t>一、工程概况</w:t>
      </w:r>
      <w:bookmarkEnd w:id="67"/>
      <w:bookmarkEnd w:id="68"/>
      <w:bookmarkEnd w:id="69"/>
    </w:p>
    <w:p w14:paraId="6DACB3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28B0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D33A7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 工程规模：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72A9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 工程</w:t>
      </w:r>
      <w:r>
        <w:rPr>
          <w:rFonts w:hint="eastAsia" w:ascii="宋体" w:hAnsi="宋体" w:cs="宋体"/>
          <w:color w:val="auto"/>
          <w:kern w:val="0"/>
          <w:szCs w:val="21"/>
          <w:highlight w:val="none"/>
        </w:rPr>
        <w:t>概算投资额或建筑安装工程费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4A9E45E">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70" w:name="_Toc5109"/>
      <w:r>
        <w:rPr>
          <w:rFonts w:hint="eastAsia" w:ascii="宋体" w:hAnsi="宋体" w:cs="宋体"/>
          <w:b/>
          <w:color w:val="auto"/>
          <w:szCs w:val="21"/>
          <w:highlight w:val="none"/>
        </w:rPr>
        <w:t>二、词语限定</w:t>
      </w:r>
      <w:bookmarkEnd w:id="70"/>
    </w:p>
    <w:p w14:paraId="788C054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14:paraId="3FDCDA41">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71" w:name="_Toc21994"/>
      <w:bookmarkStart w:id="72" w:name="_Toc22199"/>
      <w:bookmarkStart w:id="73" w:name="_Toc28974"/>
      <w:r>
        <w:rPr>
          <w:rFonts w:hint="eastAsia" w:ascii="宋体" w:hAnsi="宋体" w:cs="宋体"/>
          <w:b/>
          <w:color w:val="auto"/>
          <w:szCs w:val="21"/>
          <w:highlight w:val="none"/>
        </w:rPr>
        <w:t>三、组成本合同的文件</w:t>
      </w:r>
      <w:bookmarkEnd w:id="71"/>
      <w:bookmarkEnd w:id="72"/>
      <w:bookmarkEnd w:id="73"/>
    </w:p>
    <w:p w14:paraId="5855C39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协议书；</w:t>
      </w:r>
    </w:p>
    <w:p w14:paraId="656F44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中标通知书（适用于招标工程）或委托书（适用于非招标工程）；</w:t>
      </w:r>
    </w:p>
    <w:p w14:paraId="780438D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 投标文件（适用于招标工程）或监理与相关服务建议书（适用于非招标工程）；</w:t>
      </w:r>
    </w:p>
    <w:p w14:paraId="46BA285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 专用条件；</w:t>
      </w:r>
    </w:p>
    <w:p w14:paraId="19C441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 通用条件；</w:t>
      </w:r>
    </w:p>
    <w:p w14:paraId="13E36D9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 附录，即：</w:t>
      </w:r>
    </w:p>
    <w:p w14:paraId="1467556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附录A  相关服务的范围和内容</w:t>
      </w:r>
    </w:p>
    <w:p w14:paraId="58974E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附录B  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p>
    <w:p w14:paraId="7D00F1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14:paraId="1D187CFA">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74" w:name="_Toc16696"/>
      <w:bookmarkStart w:id="75" w:name="_Toc7338"/>
      <w:bookmarkStart w:id="76" w:name="_Toc1406"/>
      <w:r>
        <w:rPr>
          <w:rFonts w:hint="eastAsia" w:ascii="宋体" w:hAnsi="宋体" w:cs="宋体"/>
          <w:b/>
          <w:color w:val="auto"/>
          <w:szCs w:val="21"/>
          <w:highlight w:val="none"/>
        </w:rPr>
        <w:t>四、总监理工程师</w:t>
      </w:r>
      <w:bookmarkEnd w:id="74"/>
      <w:bookmarkEnd w:id="75"/>
      <w:bookmarkEnd w:id="76"/>
    </w:p>
    <w:p w14:paraId="62EBA5D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总监理工程师姓名：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3C74707">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77" w:name="_Toc12474"/>
      <w:bookmarkStart w:id="78" w:name="_Toc30508"/>
      <w:bookmarkStart w:id="79" w:name="_Toc16314"/>
      <w:r>
        <w:rPr>
          <w:rFonts w:hint="eastAsia" w:ascii="宋体" w:hAnsi="宋体" w:cs="宋体"/>
          <w:b/>
          <w:color w:val="auto"/>
          <w:szCs w:val="21"/>
          <w:highlight w:val="none"/>
        </w:rPr>
        <w:t>五、签约酬金</w:t>
      </w:r>
      <w:bookmarkEnd w:id="77"/>
      <w:bookmarkEnd w:id="78"/>
      <w:bookmarkEnd w:id="79"/>
    </w:p>
    <w:p w14:paraId="2AC8076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签约酬金（大写）：</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w:t>
      </w:r>
      <w:r>
        <w:rPr>
          <w:rFonts w:ascii="宋体" w:cs="宋体"/>
          <w:b/>
          <w:bCs/>
          <w:color w:val="auto"/>
          <w:szCs w:val="21"/>
          <w:highlight w:val="none"/>
        </w:rPr>
        <w:t>¥</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。监理费率为</w:t>
      </w:r>
      <w:r>
        <w:rPr>
          <w:rFonts w:ascii="宋体" w:hAnsi="宋体" w:cs="宋体"/>
          <w:b/>
          <w:bCs/>
          <w:color w:val="auto"/>
          <w:szCs w:val="21"/>
          <w:highlight w:val="none"/>
          <w:u w:val="single"/>
        </w:rPr>
        <w:t xml:space="preserve">    </w:t>
      </w:r>
      <w:r>
        <w:rPr>
          <w:rFonts w:ascii="宋体" w:hAnsi="宋体" w:cs="宋体"/>
          <w:b/>
          <w:bCs/>
          <w:color w:val="auto"/>
          <w:szCs w:val="21"/>
          <w:highlight w:val="none"/>
        </w:rPr>
        <w:t>%</w:t>
      </w:r>
      <w:r>
        <w:rPr>
          <w:rFonts w:hint="eastAsia" w:ascii="宋体" w:hAnsi="宋体" w:cs="宋体"/>
          <w:b/>
          <w:bCs/>
          <w:color w:val="auto"/>
          <w:szCs w:val="21"/>
          <w:highlight w:val="none"/>
        </w:rPr>
        <w:t>。本项目监理费用最终支付以工程结算价为计费基数，监理费用=工程结算价*中标费率。中标后中标费率不予调整。无论任何原因导致的施工工期延长，委托人均不再增加监理费用。无论任何原因导致的工程造价增加或减少，委托人必须按招标文件要求完成所有监理服务内容。</w:t>
      </w:r>
    </w:p>
    <w:p w14:paraId="1A5742CA">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注：暂以</w:t>
      </w:r>
      <w:r>
        <w:rPr>
          <w:rFonts w:hint="eastAsia" w:ascii="宋体" w:hAnsi="宋体" w:cs="宋体"/>
          <w:b/>
          <w:bCs/>
          <w:color w:val="auto"/>
          <w:szCs w:val="21"/>
          <w:highlight w:val="none"/>
          <w:lang w:val="en-US" w:eastAsia="zh-CN"/>
        </w:rPr>
        <w:t>2520</w:t>
      </w:r>
      <w:r>
        <w:rPr>
          <w:rFonts w:hint="eastAsia" w:ascii="宋体" w:hAnsi="宋体" w:cs="宋体"/>
          <w:b/>
          <w:bCs/>
          <w:color w:val="auto"/>
          <w:szCs w:val="21"/>
          <w:highlight w:val="none"/>
        </w:rPr>
        <w:t>万元为计费基数计算监理费，最终支付以工程结算价为计费基数计算监理费。</w:t>
      </w:r>
    </w:p>
    <w:p w14:paraId="620C808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包括：</w:t>
      </w:r>
    </w:p>
    <w:p w14:paraId="54B1E20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监理酬金：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BA6D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07F0F0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其中：</w:t>
      </w:r>
    </w:p>
    <w:p w14:paraId="0601EBB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（1）勘察阶段服务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E8972A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（2）设计阶段服务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4FD52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（3）保修阶段服务</w:t>
      </w:r>
      <w:r>
        <w:rPr>
          <w:rFonts w:hint="eastAsia" w:ascii="宋体" w:hAnsi="宋体" w:cs="宋体"/>
          <w:color w:val="auto"/>
          <w:szCs w:val="21"/>
          <w:highlight w:val="none"/>
        </w:rPr>
        <w:t>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8FAE3B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其他相关服务酬金：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B62DAC">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80" w:name="_Toc9390"/>
      <w:bookmarkStart w:id="81" w:name="_Toc16163"/>
      <w:bookmarkStart w:id="82" w:name="_Toc19082"/>
      <w:r>
        <w:rPr>
          <w:rFonts w:hint="eastAsia" w:ascii="宋体" w:hAnsi="宋体" w:cs="宋体"/>
          <w:b/>
          <w:color w:val="auto"/>
          <w:szCs w:val="21"/>
          <w:highlight w:val="none"/>
        </w:rPr>
        <w:t>六、期限</w:t>
      </w:r>
      <w:bookmarkEnd w:id="80"/>
      <w:bookmarkEnd w:id="81"/>
      <w:bookmarkEnd w:id="82"/>
    </w:p>
    <w:p w14:paraId="1BFAEC0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监理期限：自本合同签订之日起至本项目竣工结算及保修阶段（缺陷责任期）期满止。自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3225372E">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83" w:name="_Toc3907"/>
      <w:bookmarkStart w:id="84" w:name="_Toc12274"/>
      <w:bookmarkStart w:id="85" w:name="_Toc27015"/>
      <w:r>
        <w:rPr>
          <w:rFonts w:hint="eastAsia" w:ascii="宋体" w:hAnsi="宋体" w:cs="宋体"/>
          <w:b/>
          <w:color w:val="auto"/>
          <w:szCs w:val="21"/>
          <w:highlight w:val="none"/>
        </w:rPr>
        <w:t>七、双方承诺</w:t>
      </w:r>
      <w:bookmarkEnd w:id="83"/>
      <w:bookmarkEnd w:id="84"/>
      <w:bookmarkEnd w:id="85"/>
      <w:r>
        <w:rPr>
          <w:rFonts w:hint="eastAsia" w:ascii="宋体" w:hAnsi="宋体" w:cs="宋体"/>
          <w:b/>
          <w:color w:val="auto"/>
          <w:szCs w:val="21"/>
          <w:highlight w:val="none"/>
        </w:rPr>
        <w:t xml:space="preserve"> </w:t>
      </w:r>
    </w:p>
    <w:p w14:paraId="24637866">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outlineLvl w:val="0"/>
        <w:rPr>
          <w:rFonts w:hint="eastAsia" w:ascii="宋体" w:hAnsi="宋体" w:cs="宋体"/>
          <w:b/>
          <w:color w:val="auto"/>
          <w:szCs w:val="21"/>
          <w:highlight w:val="none"/>
        </w:rPr>
      </w:pPr>
      <w:bookmarkStart w:id="86" w:name="_Toc2209"/>
      <w:bookmarkStart w:id="87" w:name="_Toc17889"/>
      <w:bookmarkStart w:id="88" w:name="_Toc25648"/>
      <w:r>
        <w:rPr>
          <w:rFonts w:hint="eastAsia" w:ascii="宋体" w:hAnsi="宋体" w:cs="宋体"/>
          <w:color w:val="auto"/>
          <w:szCs w:val="21"/>
          <w:highlight w:val="none"/>
        </w:rPr>
        <w:t>1. 监理人向委托人承诺，按照本合同约定</w:t>
      </w:r>
      <w:r>
        <w:rPr>
          <w:rFonts w:hint="eastAsia" w:ascii="宋体" w:hAnsi="宋体" w:cs="宋体"/>
          <w:color w:val="auto"/>
          <w:kern w:val="0"/>
          <w:szCs w:val="21"/>
          <w:highlight w:val="none"/>
        </w:rPr>
        <w:t>提供</w:t>
      </w:r>
      <w:r>
        <w:rPr>
          <w:rFonts w:hint="eastAsia" w:ascii="宋体" w:hAnsi="宋体" w:cs="宋体"/>
          <w:color w:val="auto"/>
          <w:szCs w:val="21"/>
          <w:highlight w:val="none"/>
        </w:rPr>
        <w:t>监理与相关服务。</w:t>
      </w:r>
      <w:bookmarkEnd w:id="86"/>
      <w:bookmarkEnd w:id="87"/>
      <w:bookmarkEnd w:id="88"/>
    </w:p>
    <w:p w14:paraId="47042DC2">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outlineLvl w:val="0"/>
        <w:rPr>
          <w:rFonts w:hint="eastAsia" w:ascii="宋体" w:hAnsi="宋体" w:cs="宋体"/>
          <w:color w:val="auto"/>
          <w:szCs w:val="21"/>
          <w:highlight w:val="none"/>
        </w:rPr>
      </w:pPr>
      <w:bookmarkStart w:id="89" w:name="_Toc11663"/>
      <w:bookmarkStart w:id="90" w:name="_Toc22188"/>
      <w:bookmarkStart w:id="91" w:name="_Toc14048"/>
      <w:r>
        <w:rPr>
          <w:rFonts w:hint="eastAsia" w:ascii="宋体" w:hAnsi="宋体" w:cs="宋体"/>
          <w:color w:val="auto"/>
          <w:szCs w:val="21"/>
          <w:highlight w:val="none"/>
        </w:rPr>
        <w:t>2. 委托人向监理人承诺，按照本合同约定派遣相应的人员，提供</w:t>
      </w:r>
      <w:r>
        <w:rPr>
          <w:rFonts w:hint="eastAsia" w:ascii="宋体" w:hAnsi="宋体" w:cs="宋体"/>
          <w:bCs/>
          <w:color w:val="auto"/>
          <w:szCs w:val="21"/>
          <w:highlight w:val="none"/>
        </w:rPr>
        <w:t>房屋、资料</w:t>
      </w:r>
      <w:r>
        <w:rPr>
          <w:rFonts w:hint="eastAsia" w:ascii="宋体" w:hAnsi="宋体" w:cs="宋体"/>
          <w:color w:val="auto"/>
          <w:szCs w:val="21"/>
          <w:highlight w:val="none"/>
        </w:rPr>
        <w:t>、设备，并按本合同约定支付酬金。</w:t>
      </w:r>
      <w:bookmarkEnd w:id="89"/>
      <w:bookmarkEnd w:id="90"/>
      <w:bookmarkEnd w:id="91"/>
    </w:p>
    <w:p w14:paraId="22D4BD04">
      <w:pPr>
        <w:keepNext w:val="0"/>
        <w:keepLines w:val="0"/>
        <w:pageBreakBefore w:val="0"/>
        <w:widowControl w:val="0"/>
        <w:kinsoku/>
        <w:wordWrap/>
        <w:overflowPunct/>
        <w:topLinePunct w:val="0"/>
        <w:autoSpaceDE/>
        <w:autoSpaceDN/>
        <w:bidi w:val="0"/>
        <w:spacing w:before="93" w:beforeLines="30" w:after="93" w:afterLines="30" w:line="400" w:lineRule="exact"/>
        <w:ind w:firstLine="422" w:firstLineChars="200"/>
        <w:jc w:val="left"/>
        <w:textAlignment w:val="auto"/>
        <w:outlineLvl w:val="0"/>
        <w:rPr>
          <w:rFonts w:hint="eastAsia" w:ascii="宋体" w:hAnsi="宋体" w:cs="宋体"/>
          <w:b/>
          <w:color w:val="auto"/>
          <w:szCs w:val="21"/>
          <w:highlight w:val="none"/>
        </w:rPr>
      </w:pPr>
      <w:bookmarkStart w:id="92" w:name="_Toc32139"/>
      <w:bookmarkStart w:id="93" w:name="_Toc5312"/>
      <w:bookmarkStart w:id="94" w:name="_Toc10244"/>
      <w:r>
        <w:rPr>
          <w:rFonts w:hint="eastAsia" w:ascii="宋体" w:hAnsi="宋体" w:cs="宋体"/>
          <w:b/>
          <w:color w:val="auto"/>
          <w:szCs w:val="21"/>
          <w:highlight w:val="none"/>
        </w:rPr>
        <w:t>八、合同订立</w:t>
      </w:r>
      <w:bookmarkEnd w:id="92"/>
      <w:bookmarkEnd w:id="93"/>
      <w:bookmarkEnd w:id="94"/>
    </w:p>
    <w:p w14:paraId="47C6D9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 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475580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 订立地点：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089D2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 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253F766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委托人：</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rPr>
        <w:t xml:space="preserve">               监理人：</w:t>
      </w:r>
      <w:r>
        <w:rPr>
          <w:rFonts w:hint="eastAsia" w:ascii="宋体" w:hAnsi="宋体" w:cs="宋体"/>
          <w:color w:val="auto"/>
          <w:szCs w:val="21"/>
          <w:highlight w:val="none"/>
          <w:u w:val="single"/>
        </w:rPr>
        <w:t xml:space="preserve">   （盖章）          </w:t>
      </w:r>
    </w:p>
    <w:p w14:paraId="2305788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住所：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 </w:t>
      </w:r>
      <w:r>
        <w:rPr>
          <w:rFonts w:hint="eastAsia" w:ascii="宋体" w:hAnsi="宋体" w:cs="宋体"/>
          <w:color w:val="auto"/>
          <w:szCs w:val="21"/>
          <w:highlight w:val="none"/>
          <w:u w:val="single"/>
        </w:rPr>
        <w:t xml:space="preserve">                      </w:t>
      </w:r>
    </w:p>
    <w:p w14:paraId="1A67222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BD2526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法定代表人或其授权                         法定代表人或其授权</w:t>
      </w:r>
    </w:p>
    <w:p w14:paraId="3D317A2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的代理人：</w:t>
      </w:r>
      <w:r>
        <w:rPr>
          <w:rFonts w:hint="eastAsia" w:ascii="宋体" w:hAnsi="宋体" w:cs="宋体"/>
          <w:color w:val="auto"/>
          <w:szCs w:val="21"/>
          <w:highlight w:val="none"/>
          <w:u w:val="single"/>
        </w:rPr>
        <w:t xml:space="preserve">（签字）            </w:t>
      </w:r>
    </w:p>
    <w:p w14:paraId="7BA6999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47FF02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1847EF8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2C31904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2FC16E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电子邮箱：</w:t>
      </w:r>
      <w:r>
        <w:rPr>
          <w:rFonts w:hint="eastAsia" w:ascii="宋体" w:hAnsi="宋体" w:cs="宋体"/>
          <w:color w:val="auto"/>
          <w:szCs w:val="21"/>
          <w:highlight w:val="none"/>
          <w:u w:val="single"/>
        </w:rPr>
        <w:t xml:space="preserve">                   </w:t>
      </w:r>
    </w:p>
    <w:p w14:paraId="34CF96BA">
      <w:pPr>
        <w:spacing w:before="156" w:beforeLines="50" w:after="156" w:afterLines="50" w:line="560" w:lineRule="exact"/>
        <w:jc w:val="both"/>
        <w:outlineLvl w:val="0"/>
        <w:rPr>
          <w:rFonts w:hint="eastAsia" w:ascii="宋体" w:hAnsi="宋体" w:cs="宋体"/>
          <w:b/>
          <w:bCs/>
          <w:color w:val="auto"/>
          <w:sz w:val="32"/>
          <w:szCs w:val="32"/>
          <w:highlight w:val="none"/>
        </w:rPr>
      </w:pPr>
      <w:bookmarkStart w:id="95" w:name="_Toc2308"/>
      <w:bookmarkStart w:id="96" w:name="_Toc29801"/>
    </w:p>
    <w:p w14:paraId="409E5C86">
      <w:pPr>
        <w:spacing w:before="156" w:beforeLines="50" w:after="156" w:afterLines="50" w:line="560" w:lineRule="exact"/>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第二部分  通用条件</w:t>
      </w:r>
      <w:bookmarkEnd w:id="95"/>
      <w:bookmarkEnd w:id="96"/>
    </w:p>
    <w:p w14:paraId="0F0EB607">
      <w:pPr>
        <w:spacing w:line="440" w:lineRule="exact"/>
        <w:ind w:firstLine="562" w:firstLineChars="200"/>
        <w:jc w:val="center"/>
        <w:rPr>
          <w:rFonts w:ascii="宋体" w:cs="宋体"/>
          <w:b/>
          <w:color w:val="auto"/>
          <w:sz w:val="28"/>
          <w:highlight w:val="none"/>
        </w:rPr>
      </w:pPr>
      <w:r>
        <w:rPr>
          <w:rFonts w:hint="eastAsia" w:ascii="宋体" w:hAnsi="宋体" w:cs="宋体"/>
          <w:b/>
          <w:color w:val="auto"/>
          <w:sz w:val="28"/>
          <w:highlight w:val="none"/>
        </w:rPr>
        <w:t>见建设工程委托监理合同（ＧＦ－</w:t>
      </w:r>
      <w:r>
        <w:rPr>
          <w:rFonts w:ascii="宋体" w:hAnsi="宋体" w:cs="宋体"/>
          <w:b/>
          <w:color w:val="auto"/>
          <w:sz w:val="28"/>
          <w:highlight w:val="none"/>
        </w:rPr>
        <w:t>2012</w:t>
      </w:r>
      <w:r>
        <w:rPr>
          <w:rFonts w:hint="eastAsia" w:ascii="宋体" w:hAnsi="宋体" w:cs="宋体"/>
          <w:b/>
          <w:color w:val="auto"/>
          <w:sz w:val="28"/>
          <w:highlight w:val="none"/>
        </w:rPr>
        <w:t>－</w:t>
      </w:r>
      <w:r>
        <w:rPr>
          <w:rFonts w:ascii="宋体" w:hAnsi="宋体" w:cs="宋体"/>
          <w:b/>
          <w:color w:val="auto"/>
          <w:sz w:val="28"/>
          <w:highlight w:val="none"/>
        </w:rPr>
        <w:t>0202</w:t>
      </w:r>
      <w:r>
        <w:rPr>
          <w:rFonts w:hint="eastAsia" w:ascii="宋体" w:hAnsi="宋体" w:cs="宋体"/>
          <w:b/>
          <w:color w:val="auto"/>
          <w:sz w:val="28"/>
          <w:highlight w:val="none"/>
        </w:rPr>
        <w:t>示范文本）</w:t>
      </w:r>
    </w:p>
    <w:p w14:paraId="7BAFA35C">
      <w:pPr>
        <w:spacing w:before="156" w:beforeLines="50" w:after="156" w:afterLines="50" w:line="560" w:lineRule="exact"/>
        <w:jc w:val="center"/>
        <w:outlineLvl w:val="0"/>
        <w:rPr>
          <w:rFonts w:hint="eastAsia" w:ascii="宋体" w:hAnsi="宋体" w:cs="宋体"/>
          <w:b/>
          <w:bCs/>
          <w:color w:val="auto"/>
          <w:sz w:val="32"/>
          <w:szCs w:val="32"/>
          <w:highlight w:val="none"/>
        </w:rPr>
      </w:pPr>
      <w:bookmarkStart w:id="97" w:name="_Toc4139"/>
      <w:bookmarkStart w:id="98" w:name="_Toc14492"/>
      <w:r>
        <w:rPr>
          <w:rFonts w:hint="eastAsia" w:ascii="宋体" w:hAnsi="宋体" w:cs="宋体"/>
          <w:b/>
          <w:bCs/>
          <w:color w:val="auto"/>
          <w:sz w:val="32"/>
          <w:szCs w:val="32"/>
          <w:highlight w:val="none"/>
        </w:rPr>
        <w:t>第三部分  专用条件</w:t>
      </w:r>
      <w:bookmarkEnd w:id="97"/>
      <w:bookmarkEnd w:id="98"/>
    </w:p>
    <w:p w14:paraId="0FA18738">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 定义与解释</w:t>
      </w:r>
    </w:p>
    <w:p w14:paraId="2261E018">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  解释</w:t>
      </w:r>
    </w:p>
    <w:p w14:paraId="6FD92DE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1.2.1 本合同文件除使用中文外，还可用</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87AB0E4">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1.2.2 约定本合同文件的解释顺序为：</w:t>
      </w:r>
      <w:r>
        <w:rPr>
          <w:rFonts w:hint="eastAsia" w:ascii="宋体" w:hAnsi="宋体" w:cs="宋体"/>
          <w:color w:val="auto"/>
          <w:szCs w:val="21"/>
          <w:highlight w:val="none"/>
          <w:u w:val="single"/>
        </w:rPr>
        <w:t>（1）协议书；（2）中标通知书（适用于招标工程）或委托书（适用于非招标工程）；（3）招标文件；（4）专用条件及附录A、附录B；（5）通用条件；（6）投标文件（适用于招标工程）或监理与相关服务建议书（适用于非招标工程）。</w:t>
      </w:r>
    </w:p>
    <w:p w14:paraId="4A81334B">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14:paraId="47D887C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 监理人义务</w:t>
      </w:r>
    </w:p>
    <w:p w14:paraId="424E904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 监理的范围和</w:t>
      </w:r>
      <w:r>
        <w:rPr>
          <w:rFonts w:hint="eastAsia" w:ascii="宋体" w:hAnsi="宋体" w:cs="宋体"/>
          <w:bCs/>
          <w:color w:val="auto"/>
          <w:szCs w:val="21"/>
          <w:highlight w:val="none"/>
        </w:rPr>
        <w:t>内容</w:t>
      </w:r>
    </w:p>
    <w:p w14:paraId="4017C649">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2.1.1 监理范围包括但不限于：</w:t>
      </w:r>
      <w:r>
        <w:rPr>
          <w:rFonts w:hint="eastAsia" w:ascii="宋体" w:hAnsi="宋体" w:cs="宋体"/>
          <w:color w:val="auto"/>
          <w:szCs w:val="21"/>
          <w:highlight w:val="none"/>
          <w:u w:val="single"/>
          <w:lang w:val="en-US" w:eastAsia="zh-CN"/>
        </w:rPr>
        <w:t>包括但不限于施工准备阶段、施工阶段、工程收尾阶段（包括但不限于竣工验收、整改、工程移交、工程结算等）及工程质量保修阶段的质量控制、进度控制、投资控制、职业健康安全及环境监督管理、合同管理、信息管理、组织协调等所有方面进行全面控制和管理的工程建设期内的所有监理服务。</w:t>
      </w:r>
      <w:r>
        <w:rPr>
          <w:rFonts w:hint="eastAsia" w:ascii="宋体" w:hAnsi="宋体" w:cs="宋体"/>
          <w:color w:val="auto"/>
          <w:szCs w:val="21"/>
          <w:highlight w:val="none"/>
          <w:u w:val="single"/>
        </w:rPr>
        <w:t xml:space="preserve"> </w:t>
      </w:r>
    </w:p>
    <w:p w14:paraId="1EF65E0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2.1.2 监理工作内容还包括：</w:t>
      </w:r>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）收到工程设计文件后编制监理规划，并在第一次工地会议</w:t>
      </w:r>
      <w:r>
        <w:rPr>
          <w:rFonts w:ascii="宋体" w:hAnsi="宋体" w:cs="宋体"/>
          <w:color w:val="auto"/>
          <w:szCs w:val="21"/>
          <w:highlight w:val="none"/>
          <w:u w:val="single"/>
        </w:rPr>
        <w:t>7</w:t>
      </w:r>
      <w:r>
        <w:rPr>
          <w:rFonts w:hint="eastAsia" w:ascii="宋体" w:hAnsi="宋体" w:cs="宋体"/>
          <w:color w:val="auto"/>
          <w:szCs w:val="21"/>
          <w:highlight w:val="none"/>
          <w:u w:val="single"/>
        </w:rPr>
        <w:t>天前报委托人。根据有关规定和监理工作需要，编制监理实施细则；（</w:t>
      </w:r>
      <w:r>
        <w:rPr>
          <w:rFonts w:ascii="宋体" w:hAnsi="宋体" w:cs="宋体"/>
          <w:color w:val="auto"/>
          <w:szCs w:val="21"/>
          <w:highlight w:val="none"/>
          <w:u w:val="single"/>
        </w:rPr>
        <w:t>2</w:t>
      </w:r>
      <w:r>
        <w:rPr>
          <w:rFonts w:hint="eastAsia" w:ascii="宋体" w:hAnsi="宋体" w:cs="宋体"/>
          <w:color w:val="auto"/>
          <w:szCs w:val="21"/>
          <w:highlight w:val="none"/>
          <w:u w:val="single"/>
        </w:rPr>
        <w:t>）熟悉工程设计文件，并参加由委托人主持的图纸会审和设计交底会议；（</w:t>
      </w:r>
      <w:r>
        <w:rPr>
          <w:rFonts w:ascii="宋体" w:hAnsi="宋体" w:cs="宋体"/>
          <w:color w:val="auto"/>
          <w:szCs w:val="21"/>
          <w:highlight w:val="none"/>
          <w:u w:val="single"/>
        </w:rPr>
        <w:t>3</w:t>
      </w:r>
      <w:r>
        <w:rPr>
          <w:rFonts w:hint="eastAsia" w:ascii="宋体" w:hAnsi="宋体" w:cs="宋体"/>
          <w:color w:val="auto"/>
          <w:szCs w:val="21"/>
          <w:highlight w:val="none"/>
          <w:u w:val="single"/>
        </w:rPr>
        <w:t>）参加由委托人主持的第一次工地会议；主持监理例会并根据工程需要主持或参加专题会议；（</w:t>
      </w:r>
      <w:r>
        <w:rPr>
          <w:rFonts w:ascii="宋体" w:hAnsi="宋体" w:cs="宋体"/>
          <w:color w:val="auto"/>
          <w:szCs w:val="21"/>
          <w:highlight w:val="none"/>
          <w:u w:val="single"/>
        </w:rPr>
        <w:t>4</w:t>
      </w:r>
      <w:r>
        <w:rPr>
          <w:rFonts w:hint="eastAsia" w:ascii="宋体" w:hAnsi="宋体" w:cs="宋体"/>
          <w:color w:val="auto"/>
          <w:szCs w:val="21"/>
          <w:highlight w:val="none"/>
          <w:u w:val="single"/>
        </w:rPr>
        <w:t>）审查施工承包人提交的施工组织设计，重点审查其中的质量安全技术措施、专项施工方案与工程建设强制性标准的符合性；（</w:t>
      </w:r>
      <w:r>
        <w:rPr>
          <w:rFonts w:ascii="宋体" w:hAnsi="宋体" w:cs="宋体"/>
          <w:color w:val="auto"/>
          <w:szCs w:val="21"/>
          <w:highlight w:val="none"/>
          <w:u w:val="single"/>
        </w:rPr>
        <w:t>5</w:t>
      </w:r>
      <w:r>
        <w:rPr>
          <w:rFonts w:hint="eastAsia" w:ascii="宋体" w:hAnsi="宋体" w:cs="宋体"/>
          <w:color w:val="auto"/>
          <w:szCs w:val="21"/>
          <w:highlight w:val="none"/>
          <w:u w:val="single"/>
        </w:rPr>
        <w:t>）检查施工承包人工程质量、安全生产管理制度及组织机构和人员资格；</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6</w:t>
      </w:r>
      <w:r>
        <w:rPr>
          <w:rFonts w:hint="eastAsia" w:ascii="宋体" w:hAnsi="宋体" w:cs="宋体"/>
          <w:color w:val="auto"/>
          <w:szCs w:val="21"/>
          <w:highlight w:val="none"/>
          <w:u w:val="single"/>
        </w:rPr>
        <w:t>）检查施工承包人专职安全生产管理人员的配备情况；（</w:t>
      </w:r>
      <w:r>
        <w:rPr>
          <w:rFonts w:ascii="宋体" w:hAnsi="宋体" w:cs="宋体"/>
          <w:color w:val="auto"/>
          <w:szCs w:val="21"/>
          <w:highlight w:val="none"/>
          <w:u w:val="single"/>
        </w:rPr>
        <w:t>7</w:t>
      </w:r>
      <w:r>
        <w:rPr>
          <w:rFonts w:hint="eastAsia" w:ascii="宋体" w:hAnsi="宋体" w:cs="宋体"/>
          <w:color w:val="auto"/>
          <w:szCs w:val="21"/>
          <w:highlight w:val="none"/>
          <w:u w:val="single"/>
        </w:rPr>
        <w:t>）审查施工承包人提交的施工进度计划，核查承包人对施工进度计划的调整；（</w:t>
      </w:r>
      <w:r>
        <w:rPr>
          <w:rFonts w:ascii="宋体" w:hAnsi="宋体" w:cs="宋体"/>
          <w:color w:val="auto"/>
          <w:szCs w:val="21"/>
          <w:highlight w:val="none"/>
          <w:u w:val="single"/>
        </w:rPr>
        <w:t>9</w:t>
      </w:r>
      <w:r>
        <w:rPr>
          <w:rFonts w:hint="eastAsia" w:ascii="宋体" w:hAnsi="宋体" w:cs="宋体"/>
          <w:color w:val="auto"/>
          <w:szCs w:val="21"/>
          <w:highlight w:val="none"/>
          <w:u w:val="single"/>
        </w:rPr>
        <w:t>）审核施工分包人资质条件；（</w:t>
      </w:r>
      <w:r>
        <w:rPr>
          <w:rFonts w:ascii="宋体" w:hAnsi="宋体" w:cs="宋体"/>
          <w:color w:val="auto"/>
          <w:szCs w:val="21"/>
          <w:highlight w:val="none"/>
          <w:u w:val="single"/>
        </w:rPr>
        <w:t>10</w:t>
      </w:r>
      <w:r>
        <w:rPr>
          <w:rFonts w:hint="eastAsia" w:ascii="宋体" w:hAnsi="宋体" w:cs="宋体"/>
          <w:color w:val="auto"/>
          <w:szCs w:val="21"/>
          <w:highlight w:val="none"/>
          <w:u w:val="single"/>
        </w:rPr>
        <w:t>）查验施工承包人的施工测量放线成果；（</w:t>
      </w:r>
      <w:r>
        <w:rPr>
          <w:rFonts w:ascii="宋体" w:hAnsi="宋体" w:cs="宋体"/>
          <w:color w:val="auto"/>
          <w:szCs w:val="21"/>
          <w:highlight w:val="none"/>
          <w:u w:val="single"/>
        </w:rPr>
        <w:t>11</w:t>
      </w:r>
      <w:r>
        <w:rPr>
          <w:rFonts w:hint="eastAsia" w:ascii="宋体" w:hAnsi="宋体" w:cs="宋体"/>
          <w:color w:val="auto"/>
          <w:szCs w:val="21"/>
          <w:highlight w:val="none"/>
          <w:u w:val="single"/>
        </w:rPr>
        <w:t>）审查工程开工条件，对条件具备的签发开工令；（</w:t>
      </w:r>
      <w:r>
        <w:rPr>
          <w:rFonts w:ascii="宋体" w:hAnsi="宋体" w:cs="宋体"/>
          <w:color w:val="auto"/>
          <w:szCs w:val="21"/>
          <w:highlight w:val="none"/>
          <w:u w:val="single"/>
        </w:rPr>
        <w:t>12</w:t>
      </w:r>
      <w:r>
        <w:rPr>
          <w:rFonts w:hint="eastAsia" w:ascii="宋体" w:hAnsi="宋体" w:cs="宋体"/>
          <w:color w:val="auto"/>
          <w:szCs w:val="21"/>
          <w:highlight w:val="none"/>
          <w:u w:val="single"/>
        </w:rPr>
        <w:t>）审查施工承包人报送的工程材料、构配件、设备质量证明文件的有效性和符合性，并按规定对用于工程的材料采取平行检验或见证取样方式进行抽检；（</w:t>
      </w:r>
      <w:r>
        <w:rPr>
          <w:rFonts w:ascii="宋体" w:hAnsi="宋体" w:cs="宋体"/>
          <w:color w:val="auto"/>
          <w:szCs w:val="21"/>
          <w:highlight w:val="none"/>
          <w:u w:val="single"/>
        </w:rPr>
        <w:t>13</w:t>
      </w:r>
      <w:r>
        <w:rPr>
          <w:rFonts w:hint="eastAsia" w:ascii="宋体" w:hAnsi="宋体" w:cs="宋体"/>
          <w:color w:val="auto"/>
          <w:szCs w:val="21"/>
          <w:highlight w:val="none"/>
          <w:u w:val="single"/>
        </w:rPr>
        <w:t>）审核施工承包人提交的工程款支付申请，签发或出具工程款支付证书，并报委托人审核、批准；（</w:t>
      </w:r>
      <w:r>
        <w:rPr>
          <w:rFonts w:ascii="宋体" w:hAnsi="宋体" w:cs="宋体"/>
          <w:color w:val="auto"/>
          <w:szCs w:val="21"/>
          <w:highlight w:val="none"/>
          <w:u w:val="single"/>
        </w:rPr>
        <w:t>14</w:t>
      </w:r>
      <w:r>
        <w:rPr>
          <w:rFonts w:hint="eastAsia" w:ascii="宋体" w:hAnsi="宋体" w:cs="宋体"/>
          <w:color w:val="auto"/>
          <w:szCs w:val="21"/>
          <w:highlight w:val="none"/>
          <w:u w:val="single"/>
        </w:rPr>
        <w:t>）在巡视、旁站和检验过程中，发现工程质量、施工安全存在事故隐患的，要求施工承包人整改并报委托人；（</w:t>
      </w:r>
      <w:r>
        <w:rPr>
          <w:rFonts w:ascii="宋体" w:hAnsi="宋体" w:cs="宋体"/>
          <w:color w:val="auto"/>
          <w:szCs w:val="21"/>
          <w:highlight w:val="none"/>
          <w:u w:val="single"/>
        </w:rPr>
        <w:t>15</w:t>
      </w:r>
      <w:r>
        <w:rPr>
          <w:rFonts w:hint="eastAsia" w:ascii="宋体" w:hAnsi="宋体" w:cs="宋体"/>
          <w:color w:val="auto"/>
          <w:szCs w:val="21"/>
          <w:highlight w:val="none"/>
          <w:u w:val="single"/>
        </w:rPr>
        <w:t>）经委托人同意，签发工程暂停令和复工令；（</w:t>
      </w:r>
      <w:r>
        <w:rPr>
          <w:rFonts w:ascii="宋体" w:hAnsi="宋体" w:cs="宋体"/>
          <w:color w:val="auto"/>
          <w:szCs w:val="21"/>
          <w:highlight w:val="none"/>
          <w:u w:val="single"/>
        </w:rPr>
        <w:t>16</w:t>
      </w:r>
      <w:r>
        <w:rPr>
          <w:rFonts w:hint="eastAsia" w:ascii="宋体" w:hAnsi="宋体" w:cs="宋体"/>
          <w:color w:val="auto"/>
          <w:szCs w:val="21"/>
          <w:highlight w:val="none"/>
          <w:u w:val="single"/>
        </w:rPr>
        <w:t>）审查施工承包人提交的采用新材料、新工艺、新技术、新设备的论证材料及相关验收标准；（</w:t>
      </w:r>
      <w:r>
        <w:rPr>
          <w:rFonts w:ascii="宋体" w:hAnsi="宋体" w:cs="宋体"/>
          <w:color w:val="auto"/>
          <w:szCs w:val="21"/>
          <w:highlight w:val="none"/>
          <w:u w:val="single"/>
        </w:rPr>
        <w:t>17</w:t>
      </w:r>
      <w:r>
        <w:rPr>
          <w:rFonts w:hint="eastAsia" w:ascii="宋体" w:hAnsi="宋体" w:cs="宋体"/>
          <w:color w:val="auto"/>
          <w:szCs w:val="21"/>
          <w:highlight w:val="none"/>
          <w:u w:val="single"/>
        </w:rPr>
        <w:t>）验收隐蔽工程、分部分项工程；（</w:t>
      </w:r>
      <w:r>
        <w:rPr>
          <w:rFonts w:ascii="宋体" w:hAnsi="宋体" w:cs="宋体"/>
          <w:color w:val="auto"/>
          <w:szCs w:val="21"/>
          <w:highlight w:val="none"/>
          <w:u w:val="single"/>
        </w:rPr>
        <w:t>18</w:t>
      </w:r>
      <w:r>
        <w:rPr>
          <w:rFonts w:hint="eastAsia" w:ascii="宋体" w:hAnsi="宋体" w:cs="宋体"/>
          <w:color w:val="auto"/>
          <w:szCs w:val="21"/>
          <w:highlight w:val="none"/>
          <w:u w:val="single"/>
        </w:rPr>
        <w:t>）审查施工承包人提交的工程变更申请，协调处理施工进度调整、费用索赔、合同争议等事项；（</w:t>
      </w:r>
      <w:r>
        <w:rPr>
          <w:rFonts w:ascii="宋体" w:hAnsi="宋体" w:cs="宋体"/>
          <w:color w:val="auto"/>
          <w:szCs w:val="21"/>
          <w:highlight w:val="none"/>
          <w:u w:val="single"/>
        </w:rPr>
        <w:t>19</w:t>
      </w:r>
      <w:r>
        <w:rPr>
          <w:rFonts w:hint="eastAsia" w:ascii="宋体" w:hAnsi="宋体" w:cs="宋体"/>
          <w:color w:val="auto"/>
          <w:szCs w:val="21"/>
          <w:highlight w:val="none"/>
          <w:u w:val="single"/>
        </w:rPr>
        <w:t>）审查施工承包人提交的竣工验收申请，编写工程质量评估报告；（</w:t>
      </w:r>
      <w:r>
        <w:rPr>
          <w:rFonts w:ascii="宋体" w:hAnsi="宋体" w:cs="宋体"/>
          <w:color w:val="auto"/>
          <w:szCs w:val="21"/>
          <w:highlight w:val="none"/>
          <w:u w:val="single"/>
        </w:rPr>
        <w:t>20</w:t>
      </w:r>
      <w:r>
        <w:rPr>
          <w:rFonts w:hint="eastAsia" w:ascii="宋体" w:hAnsi="宋体" w:cs="宋体"/>
          <w:color w:val="auto"/>
          <w:szCs w:val="21"/>
          <w:highlight w:val="none"/>
          <w:u w:val="single"/>
        </w:rPr>
        <w:t>）参加工程竣工验收，签署竣工验收意见；（</w:t>
      </w:r>
      <w:r>
        <w:rPr>
          <w:rFonts w:ascii="宋体" w:hAnsi="宋体" w:cs="宋体"/>
          <w:color w:val="auto"/>
          <w:szCs w:val="21"/>
          <w:highlight w:val="none"/>
          <w:u w:val="single"/>
        </w:rPr>
        <w:t>21</w:t>
      </w:r>
      <w:r>
        <w:rPr>
          <w:rFonts w:hint="eastAsia" w:ascii="宋体" w:hAnsi="宋体" w:cs="宋体"/>
          <w:color w:val="auto"/>
          <w:szCs w:val="21"/>
          <w:highlight w:val="none"/>
          <w:u w:val="single"/>
        </w:rPr>
        <w:t>）审查施工承包人提交的竣工结算申请并报委托人；（</w:t>
      </w:r>
      <w:r>
        <w:rPr>
          <w:rFonts w:ascii="宋体" w:hAnsi="宋体" w:cs="宋体"/>
          <w:color w:val="auto"/>
          <w:szCs w:val="21"/>
          <w:highlight w:val="none"/>
          <w:u w:val="single"/>
        </w:rPr>
        <w:t>22</w:t>
      </w:r>
      <w:r>
        <w:rPr>
          <w:rFonts w:hint="eastAsia" w:ascii="宋体" w:hAnsi="宋体" w:cs="宋体"/>
          <w:color w:val="auto"/>
          <w:szCs w:val="21"/>
          <w:highlight w:val="none"/>
          <w:u w:val="single"/>
        </w:rPr>
        <w:t>）编制、整理工程监理归档文件并报委托人</w:t>
      </w:r>
      <w:r>
        <w:rPr>
          <w:rFonts w:hint="eastAsia" w:ascii="宋体" w:hAnsi="宋体" w:cs="宋体"/>
          <w:color w:val="auto"/>
          <w:szCs w:val="21"/>
          <w:highlight w:val="none"/>
          <w:u w:val="single"/>
          <w:lang w:eastAsia="zh-CN"/>
        </w:rPr>
        <w:t>。</w:t>
      </w:r>
    </w:p>
    <w:p w14:paraId="506C6701">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 监理与相关服务依据</w:t>
      </w:r>
    </w:p>
    <w:p w14:paraId="4E3BD201">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2.2.1 监理依据包括：</w:t>
      </w:r>
      <w:r>
        <w:rPr>
          <w:rFonts w:hint="eastAsia" w:ascii="宋体" w:hAnsi="宋体" w:cs="宋体"/>
          <w:color w:val="auto"/>
          <w:szCs w:val="21"/>
          <w:highlight w:val="none"/>
          <w:u w:val="single"/>
        </w:rPr>
        <w:t>（</w:t>
      </w:r>
      <w:r>
        <w:rPr>
          <w:rFonts w:ascii="宋体" w:hAnsi="宋体" w:cs="宋体"/>
          <w:color w:val="auto"/>
          <w:szCs w:val="21"/>
          <w:highlight w:val="none"/>
          <w:u w:val="single"/>
        </w:rPr>
        <w:t>1</w:t>
      </w:r>
      <w:r>
        <w:rPr>
          <w:rFonts w:hint="eastAsia" w:ascii="宋体" w:hAnsi="宋体" w:cs="宋体"/>
          <w:color w:val="auto"/>
          <w:szCs w:val="21"/>
          <w:highlight w:val="none"/>
          <w:u w:val="single"/>
        </w:rPr>
        <w:t>）适用的法律、行政法规及部门规章；（</w:t>
      </w:r>
      <w:r>
        <w:rPr>
          <w:rFonts w:ascii="宋体" w:hAnsi="宋体" w:cs="宋体"/>
          <w:color w:val="auto"/>
          <w:szCs w:val="21"/>
          <w:highlight w:val="none"/>
          <w:u w:val="single"/>
        </w:rPr>
        <w:t>2</w:t>
      </w:r>
      <w:r>
        <w:rPr>
          <w:rFonts w:hint="eastAsia" w:ascii="宋体" w:hAnsi="宋体" w:cs="宋体"/>
          <w:color w:val="auto"/>
          <w:szCs w:val="21"/>
          <w:highlight w:val="none"/>
          <w:u w:val="single"/>
        </w:rPr>
        <w:t>）与工程有关的标准；（</w:t>
      </w:r>
      <w:r>
        <w:rPr>
          <w:rFonts w:ascii="宋体" w:hAnsi="宋体" w:cs="宋体"/>
          <w:color w:val="auto"/>
          <w:szCs w:val="21"/>
          <w:highlight w:val="none"/>
          <w:u w:val="single"/>
        </w:rPr>
        <w:t>3</w:t>
      </w:r>
      <w:r>
        <w:rPr>
          <w:rFonts w:hint="eastAsia" w:ascii="宋体" w:hAnsi="宋体" w:cs="宋体"/>
          <w:color w:val="auto"/>
          <w:szCs w:val="21"/>
          <w:highlight w:val="none"/>
          <w:u w:val="single"/>
        </w:rPr>
        <w:t>）工程设计及有关文件；（</w:t>
      </w:r>
      <w:r>
        <w:rPr>
          <w:rFonts w:ascii="宋体" w:hAnsi="宋体" w:cs="宋体"/>
          <w:color w:val="auto"/>
          <w:szCs w:val="21"/>
          <w:highlight w:val="none"/>
          <w:u w:val="single"/>
        </w:rPr>
        <w:t>4</w:t>
      </w:r>
      <w:r>
        <w:rPr>
          <w:rFonts w:hint="eastAsia" w:ascii="宋体" w:hAnsi="宋体" w:cs="宋体"/>
          <w:color w:val="auto"/>
          <w:szCs w:val="21"/>
          <w:highlight w:val="none"/>
          <w:u w:val="single"/>
        </w:rPr>
        <w:t>）本合同及委托人与第三方签订的与实施工程有关的其他合同。</w:t>
      </w:r>
    </w:p>
    <w:p w14:paraId="74C0A709">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dstrike/>
          <w:color w:val="auto"/>
          <w:szCs w:val="21"/>
          <w:highlight w:val="none"/>
        </w:rPr>
      </w:pPr>
      <w:r>
        <w:rPr>
          <w:rFonts w:hint="eastAsia" w:ascii="宋体" w:hAnsi="宋体" w:cs="宋体"/>
          <w:color w:val="auto"/>
          <w:szCs w:val="21"/>
          <w:highlight w:val="none"/>
        </w:rPr>
        <w:t>2.2.2 相关服务依据包括：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CB5F5A6">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2.3</w:t>
      </w:r>
      <w:r>
        <w:rPr>
          <w:rFonts w:hint="eastAsia" w:ascii="宋体" w:hAnsi="宋体" w:cs="宋体"/>
          <w:color w:val="auto"/>
          <w:kern w:val="0"/>
          <w:szCs w:val="21"/>
          <w:highlight w:val="none"/>
        </w:rPr>
        <w:t>项目监理机构和人员</w:t>
      </w:r>
    </w:p>
    <w:p w14:paraId="77A0E24B">
      <w:pPr>
        <w:keepNext w:val="0"/>
        <w:keepLines w:val="0"/>
        <w:pageBreakBefore w:val="0"/>
        <w:widowControl/>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 xml:space="preserve">2.3.4 </w:t>
      </w:r>
      <w:r>
        <w:rPr>
          <w:rFonts w:hint="eastAsia" w:ascii="宋体" w:hAnsi="宋体" w:cs="宋体"/>
          <w:color w:val="auto"/>
          <w:kern w:val="0"/>
          <w:szCs w:val="21"/>
          <w:highlight w:val="none"/>
        </w:rPr>
        <w:t>更换监理人员的其他情形：</w:t>
      </w:r>
    </w:p>
    <w:p w14:paraId="3C9B136A">
      <w:pPr>
        <w:keepNext w:val="0"/>
        <w:keepLines w:val="0"/>
        <w:pageBreakBefore w:val="0"/>
        <w:widowControl/>
        <w:kinsoku/>
        <w:wordWrap/>
        <w:overflowPunct/>
        <w:topLinePunct w:val="0"/>
        <w:autoSpaceDE/>
        <w:autoSpaceDN/>
        <w:bidi w:val="0"/>
        <w:spacing w:line="400" w:lineRule="exact"/>
        <w:ind w:left="-420" w:leftChars="-200" w:right="-313" w:rightChars="-149" w:firstLine="420" w:firstLineChars="200"/>
        <w:jc w:val="left"/>
        <w:textAlignment w:val="auto"/>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（1）项目负责人变更必须经发包人批准，并满足《关于进一步加强建筑施工现场项目负责人变更行为管理的通知》及滁州市其他相关规定要求。 </w:t>
      </w:r>
    </w:p>
    <w:p w14:paraId="10BB9E9A">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u w:val="single"/>
        </w:rPr>
        <w:t xml:space="preserve">（2）总监代表（如有）、监理部等关键岗位人员变更必须经发包人批准，变更后的总监代表、监理部等关键岗位人员必须符合本项目招标文件和投标承诺配备的同等条件人员。    </w:t>
      </w:r>
    </w:p>
    <w:p w14:paraId="4CD62C84">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kern w:val="0"/>
          <w:szCs w:val="21"/>
          <w:highlight w:val="none"/>
        </w:rPr>
        <w:t>履行职责</w:t>
      </w:r>
    </w:p>
    <w:p w14:paraId="55B3810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2.4.3对监理人的授权范围：</w:t>
      </w:r>
      <w:r>
        <w:rPr>
          <w:rFonts w:hint="eastAsia" w:ascii="宋体" w:hAnsi="宋体" w:cs="宋体"/>
          <w:b w:val="0"/>
          <w:bCs w:val="0"/>
          <w:color w:val="auto"/>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w:t>
      </w:r>
      <w:r>
        <w:rPr>
          <w:rFonts w:hint="eastAsia" w:ascii="宋体" w:hAnsi="宋体" w:cs="宋体"/>
          <w:b w:val="0"/>
          <w:bCs w:val="0"/>
          <w:color w:val="auto"/>
          <w:szCs w:val="21"/>
          <w:highlight w:val="none"/>
        </w:rPr>
        <w:t>。</w:t>
      </w:r>
    </w:p>
    <w:p w14:paraId="21FEC203">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outlineLvl w:val="0"/>
        <w:rPr>
          <w:rFonts w:hint="eastAsia" w:ascii="宋体" w:hAnsi="宋体" w:cs="宋体"/>
          <w:color w:val="auto"/>
          <w:szCs w:val="21"/>
          <w:highlight w:val="none"/>
        </w:rPr>
      </w:pPr>
      <w:bookmarkStart w:id="99" w:name="_Toc5124"/>
      <w:bookmarkStart w:id="100" w:name="_Toc32002"/>
      <w:bookmarkStart w:id="101" w:name="_Toc23904"/>
      <w:r>
        <w:rPr>
          <w:rFonts w:hint="eastAsia" w:ascii="宋体" w:hAnsi="宋体" w:cs="宋体"/>
          <w:color w:val="auto"/>
          <w:szCs w:val="21"/>
          <w:highlight w:val="none"/>
        </w:rPr>
        <w:t>在涉及工程延期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天内和（或）金额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万元内的变更，监理人不需请示委托人即可向承包人发布变更通知。</w:t>
      </w:r>
      <w:bookmarkEnd w:id="99"/>
      <w:bookmarkEnd w:id="100"/>
      <w:bookmarkEnd w:id="101"/>
    </w:p>
    <w:p w14:paraId="0BA9A064">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2.4.4监理人有权要求承包人调换其人员</w:t>
      </w:r>
      <w:r>
        <w:rPr>
          <w:rFonts w:hint="eastAsia" w:ascii="宋体" w:hAnsi="宋体" w:cs="宋体"/>
          <w:color w:val="auto"/>
          <w:szCs w:val="21"/>
          <w:highlight w:val="none"/>
        </w:rPr>
        <w:t>的限制条件：</w:t>
      </w:r>
      <w:r>
        <w:rPr>
          <w:rFonts w:hint="eastAsia" w:ascii="宋体" w:hAnsi="宋体" w:cs="宋体"/>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均须建设单位书面同意</w:t>
      </w:r>
      <w:r>
        <w:rPr>
          <w:rFonts w:hint="eastAsia" w:ascii="宋体" w:hAnsi="宋体" w:cs="宋体"/>
          <w:color w:val="auto"/>
          <w:szCs w:val="21"/>
          <w:highlight w:val="none"/>
          <w:u w:val="single"/>
        </w:rPr>
        <w:t xml:space="preserve">   。    </w:t>
      </w:r>
    </w:p>
    <w:p w14:paraId="1B07D357">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2.5 </w:t>
      </w:r>
      <w:r>
        <w:rPr>
          <w:rFonts w:hint="eastAsia" w:ascii="宋体" w:hAnsi="宋体" w:cs="宋体"/>
          <w:color w:val="auto"/>
          <w:szCs w:val="21"/>
          <w:highlight w:val="none"/>
        </w:rPr>
        <w:t>提交</w:t>
      </w:r>
      <w:r>
        <w:rPr>
          <w:rFonts w:hint="eastAsia" w:ascii="宋体" w:hAnsi="宋体" w:cs="宋体"/>
          <w:color w:val="auto"/>
          <w:kern w:val="0"/>
          <w:szCs w:val="21"/>
          <w:highlight w:val="none"/>
        </w:rPr>
        <w:t>报告</w:t>
      </w:r>
    </w:p>
    <w:p w14:paraId="42A617FE">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监理人应提交报告的种类(</w:t>
      </w:r>
      <w:r>
        <w:rPr>
          <w:rFonts w:hint="eastAsia" w:ascii="宋体" w:hAnsi="宋体" w:cs="宋体"/>
          <w:color w:val="auto"/>
          <w:kern w:val="0"/>
          <w:szCs w:val="21"/>
          <w:highlight w:val="none"/>
        </w:rPr>
        <w:t>包括监理规划、监理月报及约定的专项报告)</w:t>
      </w:r>
      <w:r>
        <w:rPr>
          <w:rFonts w:hint="eastAsia" w:ascii="宋体" w:hAnsi="宋体" w:cs="宋体"/>
          <w:color w:val="auto"/>
          <w:szCs w:val="21"/>
          <w:highlight w:val="none"/>
        </w:rPr>
        <w:t>、时间和份数</w:t>
      </w:r>
      <w:r>
        <w:rPr>
          <w:rFonts w:hint="eastAsia" w:ascii="宋体" w:hAnsi="宋体" w:cs="宋体"/>
          <w:color w:val="auto"/>
          <w:kern w:val="0"/>
          <w:szCs w:val="21"/>
          <w:highlight w:val="none"/>
        </w:rPr>
        <w:t>：</w:t>
      </w:r>
      <w:r>
        <w:rPr>
          <w:rFonts w:hint="eastAsia" w:ascii="宋体" w:hAnsi="宋体" w:cs="宋体"/>
          <w:color w:val="auto"/>
          <w:szCs w:val="21"/>
          <w:highlight w:val="none"/>
          <w:u w:val="single"/>
        </w:rPr>
        <w:t xml:space="preserve"> </w:t>
      </w:r>
      <w:r>
        <w:rPr>
          <w:rFonts w:hint="eastAsia" w:ascii="宋体" w:hAnsi="宋体" w:cs="宋体"/>
          <w:b w:val="0"/>
          <w:bCs w:val="0"/>
          <w:color w:val="auto"/>
          <w:szCs w:val="21"/>
          <w:highlight w:val="none"/>
          <w:u w:val="single"/>
          <w:lang w:val="en-US" w:eastAsia="zh-CN"/>
        </w:rPr>
        <w:t>满足建设单位需求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01D41E">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2.7 使用委托人的财产</w:t>
      </w:r>
    </w:p>
    <w:p w14:paraId="47EDE12B">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附录B中由委托人无偿提供的房屋、设备的所有权属于：</w:t>
      </w:r>
      <w:r>
        <w:rPr>
          <w:rFonts w:hint="eastAsia" w:ascii="宋体" w:hAnsi="宋体" w:cs="宋体"/>
          <w:color w:val="auto"/>
          <w:szCs w:val="21"/>
          <w:highlight w:val="none"/>
          <w:u w:val="single"/>
        </w:rPr>
        <w:t xml:space="preserve">  委托人的财产     </w:t>
      </w:r>
      <w:r>
        <w:rPr>
          <w:rFonts w:hint="eastAsia" w:ascii="宋体" w:hAnsi="宋体" w:cs="宋体"/>
          <w:color w:val="auto"/>
          <w:szCs w:val="21"/>
          <w:highlight w:val="none"/>
        </w:rPr>
        <w:t>。</w:t>
      </w:r>
    </w:p>
    <w:p w14:paraId="0B923DF6">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监理人应在本合同终止后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天内移交委托人无偿提供的房屋、设备，移交的时间和方式为：</w:t>
      </w:r>
      <w:r>
        <w:rPr>
          <w:rFonts w:hint="eastAsia" w:ascii="宋体" w:hAnsi="宋体" w:cs="宋体"/>
          <w:color w:val="auto"/>
          <w:szCs w:val="21"/>
          <w:highlight w:val="none"/>
          <w:u w:val="single"/>
        </w:rPr>
        <w:t>委托人的财产</w:t>
      </w:r>
      <w:r>
        <w:rPr>
          <w:rFonts w:hint="eastAsia" w:ascii="宋体" w:hAnsi="宋体" w:cs="宋体"/>
          <w:color w:val="auto"/>
          <w:szCs w:val="21"/>
          <w:highlight w:val="none"/>
        </w:rPr>
        <w:t>。</w:t>
      </w:r>
    </w:p>
    <w:p w14:paraId="5720D6D5">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kern w:val="0"/>
          <w:szCs w:val="21"/>
          <w:highlight w:val="none"/>
        </w:rPr>
        <w:t xml:space="preserve">3. 委托人义务  </w:t>
      </w:r>
    </w:p>
    <w:p w14:paraId="46210FC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3.4 委托人代表</w:t>
      </w:r>
    </w:p>
    <w:p w14:paraId="6DE555A9">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委托人代表为：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700D1E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3.6 答复</w:t>
      </w:r>
    </w:p>
    <w:p w14:paraId="5794D525">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委托人同意在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天内，对监理人书面提交并要求做出决定的事宜给予书面答复。</w:t>
      </w:r>
    </w:p>
    <w:p w14:paraId="78F80CF9">
      <w:pPr>
        <w:keepNext w:val="0"/>
        <w:keepLines w:val="0"/>
        <w:pageBreakBefore w:val="0"/>
        <w:kinsoku/>
        <w:wordWrap/>
        <w:overflowPunct/>
        <w:topLinePunct w:val="0"/>
        <w:autoSpaceDE/>
        <w:autoSpaceDN/>
        <w:bidi w:val="0"/>
        <w:snapToGrid w:val="0"/>
        <w:spacing w:line="400" w:lineRule="exact"/>
        <w:ind w:left="-420" w:leftChars="-200" w:right="-313" w:rightChars="-149"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4. 违约责任</w:t>
      </w:r>
    </w:p>
    <w:p w14:paraId="2FEEB973">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4.1 监理人的违约责任</w:t>
      </w:r>
    </w:p>
    <w:p w14:paraId="7AC288D6">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4.1.1监理人赔偿金额按下列方法确定：</w:t>
      </w:r>
    </w:p>
    <w:p w14:paraId="42C34076">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赔偿金＝直接经济损失×正常工作酬金÷工程概算</w:t>
      </w:r>
      <w:r>
        <w:rPr>
          <w:rFonts w:hint="eastAsia" w:ascii="宋体" w:hAnsi="宋体" w:cs="宋体"/>
          <w:color w:val="auto"/>
          <w:kern w:val="0"/>
          <w:szCs w:val="21"/>
          <w:highlight w:val="none"/>
        </w:rPr>
        <w:t>投资额（或建筑安装工程费）</w:t>
      </w:r>
    </w:p>
    <w:p w14:paraId="49805699">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4.2 委托人的违约责任</w:t>
      </w:r>
    </w:p>
    <w:p w14:paraId="3449C932">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szCs w:val="21"/>
          <w:highlight w:val="none"/>
        </w:rPr>
        <w:t>4.2.3 委托人</w:t>
      </w:r>
      <w:r>
        <w:rPr>
          <w:rFonts w:hint="eastAsia" w:ascii="宋体" w:hAnsi="宋体" w:cs="宋体"/>
          <w:color w:val="auto"/>
          <w:kern w:val="0"/>
          <w:szCs w:val="21"/>
          <w:highlight w:val="none"/>
        </w:rPr>
        <w:t>逾期付款利息按下列方法确定：</w:t>
      </w:r>
    </w:p>
    <w:p w14:paraId="1A3D9DAD">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逾期付款利息＝当期应付款总额×银行同期贷款利率×拖延支付天数</w:t>
      </w:r>
    </w:p>
    <w:p w14:paraId="2D0269B4">
      <w:pPr>
        <w:keepNext w:val="0"/>
        <w:keepLines w:val="0"/>
        <w:pageBreakBefore w:val="0"/>
        <w:kinsoku/>
        <w:wordWrap/>
        <w:overflowPunct/>
        <w:topLinePunct w:val="0"/>
        <w:autoSpaceDE/>
        <w:autoSpaceDN/>
        <w:bidi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bCs/>
          <w:color w:val="auto"/>
          <w:szCs w:val="21"/>
          <w:highlight w:val="none"/>
        </w:rPr>
        <w:t>5. 支付</w:t>
      </w:r>
    </w:p>
    <w:p w14:paraId="7BE34C1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color w:val="auto"/>
          <w:szCs w:val="21"/>
          <w:highlight w:val="none"/>
        </w:rPr>
        <w:t xml:space="preserve">5.1 </w:t>
      </w:r>
      <w:r>
        <w:rPr>
          <w:rFonts w:hint="eastAsia" w:ascii="宋体" w:hAnsi="宋体" w:cs="宋体"/>
          <w:bCs/>
          <w:color w:val="auto"/>
          <w:szCs w:val="21"/>
          <w:highlight w:val="none"/>
        </w:rPr>
        <w:t>支付货币</w:t>
      </w:r>
    </w:p>
    <w:p w14:paraId="42EEAD8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币种为：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人民币 </w:t>
      </w:r>
      <w:r>
        <w:rPr>
          <w:rFonts w:hint="eastAsia" w:ascii="宋体" w:hAnsi="宋体" w:cs="宋体"/>
          <w:color w:val="auto"/>
          <w:szCs w:val="21"/>
          <w:highlight w:val="none"/>
        </w:rPr>
        <w:t>，比例为：</w:t>
      </w:r>
      <w:r>
        <w:rPr>
          <w:rFonts w:hint="eastAsia" w:ascii="宋体" w:hAnsi="宋体" w:cs="宋体"/>
          <w:color w:val="auto"/>
          <w:szCs w:val="21"/>
          <w:highlight w:val="none"/>
          <w:u w:val="single"/>
          <w:lang w:val="en-US" w:eastAsia="zh-CN"/>
        </w:rPr>
        <w:t>100%</w:t>
      </w:r>
      <w:r>
        <w:rPr>
          <w:rFonts w:hint="eastAsia" w:ascii="宋体" w:hAnsi="宋体" w:cs="宋体"/>
          <w:color w:val="auto"/>
          <w:szCs w:val="21"/>
          <w:highlight w:val="none"/>
        </w:rPr>
        <w:t>，汇率为：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073E5CF">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5.3 支付酬金</w:t>
      </w:r>
    </w:p>
    <w:p w14:paraId="3B45E23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color w:val="auto"/>
          <w:szCs w:val="21"/>
          <w:highlight w:val="none"/>
          <w:u w:val="none"/>
        </w:rPr>
        <w:t>支付方式：</w:t>
      </w:r>
      <w:r>
        <w:rPr>
          <w:rFonts w:hint="default" w:ascii="宋体" w:hAnsi="宋体" w:cs="宋体"/>
          <w:color w:val="auto"/>
          <w:sz w:val="21"/>
          <w:szCs w:val="21"/>
          <w:highlight w:val="none"/>
          <w:lang w:val="en-US" w:eastAsia="zh-CN"/>
        </w:rPr>
        <w:t>竣工验收合格后付至监理范围内全部工程量的90%监理费（即监理范围内全部工程量*90%*中标费率）</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施工结算、资料归档及审计结束后付至结算总价的98%监理费（即结算价*98%*中标费率），监理费的余款（即结算价*2%*中标费率）待工程缺陷责任期（缺陷责任期两年，从竣工验收合格之日起计算）满后一次性付清。</w:t>
      </w:r>
    </w:p>
    <w:p w14:paraId="50A2712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6</w:t>
      </w:r>
      <w:r>
        <w:rPr>
          <w:rFonts w:hint="eastAsia" w:ascii="宋体" w:hAnsi="宋体" w:cs="宋体"/>
          <w:b/>
          <w:bCs/>
          <w:color w:val="auto"/>
          <w:szCs w:val="21"/>
          <w:highlight w:val="none"/>
        </w:rPr>
        <w:t>. 合同生效、变更、暂停、解除与终止</w:t>
      </w:r>
    </w:p>
    <w:p w14:paraId="72050A84">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 生效</w:t>
      </w:r>
    </w:p>
    <w:p w14:paraId="34D77FCF">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本合同生效条件：</w:t>
      </w:r>
      <w:r>
        <w:rPr>
          <w:rFonts w:hint="eastAsia" w:ascii="宋体" w:hAnsi="宋体" w:cs="宋体"/>
          <w:color w:val="auto"/>
          <w:szCs w:val="21"/>
          <w:highlight w:val="none"/>
          <w:u w:val="single"/>
        </w:rPr>
        <w:t>委托人和</w:t>
      </w:r>
      <w:r>
        <w:rPr>
          <w:rFonts w:hint="eastAsia" w:ascii="宋体" w:hAnsi="宋体" w:eastAsia="宋体" w:cs="宋体"/>
          <w:color w:val="auto"/>
          <w:szCs w:val="21"/>
          <w:highlight w:val="none"/>
          <w:u w:val="single"/>
          <w:lang w:val="en-US" w:eastAsia="zh-CN"/>
        </w:rPr>
        <w:t>受托人</w:t>
      </w:r>
      <w:r>
        <w:rPr>
          <w:rFonts w:hint="eastAsia" w:ascii="宋体" w:hAnsi="宋体" w:eastAsia="宋体" w:cs="宋体"/>
          <w:color w:val="auto"/>
          <w:szCs w:val="21"/>
          <w:highlight w:val="none"/>
          <w:u w:val="single"/>
        </w:rPr>
        <w:t>的法定代</w:t>
      </w:r>
      <w:r>
        <w:rPr>
          <w:rFonts w:hint="eastAsia" w:ascii="宋体" w:hAnsi="宋体" w:cs="宋体"/>
          <w:color w:val="auto"/>
          <w:szCs w:val="21"/>
          <w:highlight w:val="none"/>
          <w:u w:val="single"/>
        </w:rPr>
        <w:t>表人或其授权代理人在协议书上签字并盖单位章后本合同生效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C92C62">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 变更</w:t>
      </w:r>
    </w:p>
    <w:p w14:paraId="58C8CF5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6.2.2 除不可抗力外， 因非监理人原因导致本合同期限延长时，附加工作酬金按下列方法确定：</w:t>
      </w:r>
    </w:p>
    <w:p w14:paraId="13668146">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附加工作</w:t>
      </w:r>
      <w:r>
        <w:rPr>
          <w:rFonts w:hint="eastAsia" w:ascii="宋体" w:hAnsi="宋体" w:cs="宋体"/>
          <w:color w:val="auto"/>
          <w:szCs w:val="21"/>
          <w:highlight w:val="none"/>
          <w:u w:val="single"/>
        </w:rPr>
        <w:t>酬金</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本合同期限延长</w:t>
      </w:r>
      <w:r>
        <w:rPr>
          <w:rFonts w:hint="eastAsia" w:ascii="宋体" w:hAnsi="宋体" w:cs="宋体"/>
          <w:color w:val="auto"/>
          <w:kern w:val="0"/>
          <w:szCs w:val="21"/>
          <w:highlight w:val="none"/>
          <w:u w:val="single"/>
        </w:rPr>
        <w:t>时间（天）×正常工作酬金÷</w:t>
      </w:r>
      <w:r>
        <w:rPr>
          <w:rFonts w:hint="eastAsia" w:ascii="宋体" w:hAnsi="宋体" w:cs="宋体"/>
          <w:color w:val="auto"/>
          <w:szCs w:val="21"/>
          <w:highlight w:val="none"/>
          <w:u w:val="single"/>
        </w:rPr>
        <w:t>协议书约定的监理与相关服务期限</w:t>
      </w:r>
      <w:r>
        <w:rPr>
          <w:rFonts w:hint="eastAsia" w:ascii="宋体" w:hAnsi="宋体" w:cs="宋体"/>
          <w:color w:val="auto"/>
          <w:kern w:val="0"/>
          <w:szCs w:val="21"/>
          <w:highlight w:val="none"/>
          <w:u w:val="single"/>
        </w:rPr>
        <w:t>（天）</w:t>
      </w:r>
    </w:p>
    <w:p w14:paraId="340941D6">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u w:val="single"/>
        </w:rPr>
      </w:pPr>
      <w:r>
        <w:rPr>
          <w:rFonts w:hint="eastAsia" w:ascii="宋体" w:hAnsi="宋体" w:cs="宋体"/>
          <w:color w:val="auto"/>
          <w:szCs w:val="21"/>
          <w:highlight w:val="none"/>
        </w:rPr>
        <w:t>6.2.3附加工作酬金按下列方法确定：</w:t>
      </w:r>
      <w:r>
        <w:rPr>
          <w:rFonts w:hint="eastAsia" w:ascii="宋体" w:hAnsi="宋体" w:cs="宋体"/>
          <w:color w:val="auto"/>
          <w:kern w:val="0"/>
          <w:szCs w:val="21"/>
          <w:highlight w:val="none"/>
          <w:u w:val="single"/>
        </w:rPr>
        <w:t>附加工作</w:t>
      </w:r>
      <w:r>
        <w:rPr>
          <w:rFonts w:hint="eastAsia" w:ascii="宋体" w:hAnsi="宋体" w:cs="宋体"/>
          <w:color w:val="auto"/>
          <w:szCs w:val="21"/>
          <w:highlight w:val="none"/>
          <w:u w:val="single"/>
        </w:rPr>
        <w:t>酬金</w:t>
      </w:r>
      <w:r>
        <w:rPr>
          <w:rFonts w:hint="eastAsia" w:ascii="宋体" w:hAnsi="宋体" w:cs="宋体"/>
          <w:color w:val="auto"/>
          <w:kern w:val="0"/>
          <w:szCs w:val="21"/>
          <w:highlight w:val="none"/>
          <w:u w:val="single"/>
        </w:rPr>
        <w:t>=善后工作及恢复服务的准备工作时间（天）×正常工作酬金÷</w:t>
      </w:r>
      <w:r>
        <w:rPr>
          <w:rFonts w:hint="eastAsia" w:ascii="宋体" w:hAnsi="宋体" w:cs="宋体"/>
          <w:color w:val="auto"/>
          <w:szCs w:val="21"/>
          <w:highlight w:val="none"/>
          <w:u w:val="single"/>
        </w:rPr>
        <w:t>协议书约定的监理与相关服务期限</w:t>
      </w:r>
      <w:r>
        <w:rPr>
          <w:rFonts w:hint="eastAsia" w:ascii="宋体" w:hAnsi="宋体" w:cs="宋体"/>
          <w:color w:val="auto"/>
          <w:kern w:val="0"/>
          <w:szCs w:val="21"/>
          <w:highlight w:val="none"/>
          <w:u w:val="single"/>
        </w:rPr>
        <w:t>（天）</w:t>
      </w:r>
    </w:p>
    <w:p w14:paraId="4D40B67F">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kern w:val="0"/>
          <w:szCs w:val="21"/>
          <w:highlight w:val="none"/>
          <w:u w:val="single"/>
        </w:rPr>
      </w:pPr>
      <w:r>
        <w:rPr>
          <w:rFonts w:hint="eastAsia" w:ascii="宋体" w:hAnsi="宋体" w:cs="宋体"/>
          <w:color w:val="auto"/>
          <w:szCs w:val="21"/>
          <w:highlight w:val="none"/>
        </w:rPr>
        <w:t>6.2.5 正常工作酬金增加额按下列方法确定：</w:t>
      </w:r>
      <w:r>
        <w:rPr>
          <w:rFonts w:hint="eastAsia" w:ascii="宋体" w:hAnsi="宋体" w:cs="宋体"/>
          <w:color w:val="auto"/>
          <w:szCs w:val="21"/>
          <w:highlight w:val="none"/>
          <w:u w:val="single"/>
        </w:rPr>
        <w:t>正常工作酬金增加额</w:t>
      </w:r>
      <w:r>
        <w:rPr>
          <w:rFonts w:hint="eastAsia" w:ascii="宋体" w:hAnsi="宋体" w:cs="宋体"/>
          <w:color w:val="auto"/>
          <w:kern w:val="0"/>
          <w:szCs w:val="21"/>
          <w:highlight w:val="none"/>
          <w:u w:val="single"/>
        </w:rPr>
        <w:t>=工程投资额</w:t>
      </w:r>
      <w:r>
        <w:rPr>
          <w:rFonts w:hint="eastAsia" w:ascii="宋体" w:hAnsi="宋体" w:cs="宋体"/>
          <w:color w:val="auto"/>
          <w:szCs w:val="21"/>
          <w:highlight w:val="none"/>
          <w:u w:val="single"/>
        </w:rPr>
        <w:t>或建筑安装工程费</w:t>
      </w:r>
      <w:r>
        <w:rPr>
          <w:rFonts w:hint="eastAsia" w:ascii="宋体" w:hAnsi="宋体" w:cs="宋体"/>
          <w:color w:val="auto"/>
          <w:kern w:val="0"/>
          <w:szCs w:val="21"/>
          <w:highlight w:val="none"/>
          <w:u w:val="single"/>
        </w:rPr>
        <w:t>增加额×正常工作酬金÷工程概算投资额（或建筑安装工程费）</w:t>
      </w:r>
    </w:p>
    <w:p w14:paraId="4A107422">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6.2.6 因工程规模、监理范围的变化导致监理人的正常工作量减少时，按减少工作量的比例从协议书约定的正常工作酬金中扣减相同比例的酬金。</w:t>
      </w:r>
    </w:p>
    <w:p w14:paraId="56B6A932">
      <w:pPr>
        <w:keepNext w:val="0"/>
        <w:keepLines w:val="0"/>
        <w:pageBreakBefore w:val="0"/>
        <w:kinsoku/>
        <w:wordWrap/>
        <w:overflowPunct/>
        <w:topLinePunct w:val="0"/>
        <w:autoSpaceDE/>
        <w:autoSpaceDN/>
        <w:bidi w:val="0"/>
        <w:snapToGrid w:val="0"/>
        <w:spacing w:line="400" w:lineRule="exact"/>
        <w:ind w:left="-420" w:leftChars="-200" w:right="-313" w:rightChars="-149" w:firstLine="422" w:firstLineChars="200"/>
        <w:jc w:val="left"/>
        <w:textAlignment w:val="auto"/>
        <w:rPr>
          <w:rFonts w:hint="eastAsia" w:ascii="宋体" w:hAnsi="宋体" w:cs="宋体"/>
          <w:b/>
          <w:color w:val="auto"/>
          <w:szCs w:val="21"/>
          <w:highlight w:val="none"/>
        </w:rPr>
      </w:pPr>
      <w:r>
        <w:rPr>
          <w:rFonts w:hint="eastAsia" w:ascii="宋体" w:hAnsi="宋体" w:cs="宋体"/>
          <w:b/>
          <w:bCs/>
          <w:color w:val="auto"/>
          <w:szCs w:val="21"/>
          <w:highlight w:val="none"/>
        </w:rPr>
        <w:t>7. 争议解决</w:t>
      </w:r>
    </w:p>
    <w:p w14:paraId="657B8F52">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7.2 </w:t>
      </w:r>
      <w:r>
        <w:rPr>
          <w:rFonts w:hint="eastAsia" w:ascii="宋体" w:hAnsi="宋体" w:cs="宋体"/>
          <w:bCs/>
          <w:color w:val="auto"/>
          <w:szCs w:val="21"/>
          <w:highlight w:val="none"/>
        </w:rPr>
        <w:t>调解</w:t>
      </w:r>
    </w:p>
    <w:p w14:paraId="7EE576E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本合同争议进行调解时，可提交</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进行调解。</w:t>
      </w:r>
    </w:p>
    <w:p w14:paraId="57C78B27">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7.3 </w:t>
      </w:r>
      <w:r>
        <w:rPr>
          <w:rFonts w:hint="eastAsia" w:ascii="宋体" w:hAnsi="宋体" w:cs="宋体"/>
          <w:bCs/>
          <w:color w:val="auto"/>
          <w:szCs w:val="21"/>
          <w:highlight w:val="none"/>
        </w:rPr>
        <w:t>仲裁或诉讼</w:t>
      </w:r>
    </w:p>
    <w:p w14:paraId="19FDE1D9">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合同争议的最终解决方式为下列第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043DFBFE">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14:paraId="03B3F1C2">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人民法院提起诉讼。</w:t>
      </w:r>
    </w:p>
    <w:p w14:paraId="6BEE2F34">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8. 其他</w:t>
      </w:r>
    </w:p>
    <w:p w14:paraId="088D4C1E">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8.2 检测费用</w:t>
      </w:r>
    </w:p>
    <w:p w14:paraId="6AA8D683">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委托人应在检测工作完成后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天内支付检测费用。</w:t>
      </w:r>
    </w:p>
    <w:p w14:paraId="432908F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8.3 咨询费用</w:t>
      </w:r>
    </w:p>
    <w:p w14:paraId="334A2BD2">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委托人应在咨询工作完成后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rPr>
        <w:t>天内支付咨询费用。</w:t>
      </w:r>
    </w:p>
    <w:p w14:paraId="18AC29F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8.4 奖励</w:t>
      </w:r>
    </w:p>
    <w:p w14:paraId="1A3D0BD1">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合理化建议的奖励金额按下列方法确定为：</w:t>
      </w:r>
    </w:p>
    <w:p w14:paraId="2DBE15D3">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奖励金额＝工程投资节省额×奖励金额的比率；</w:t>
      </w:r>
    </w:p>
    <w:p w14:paraId="326C9EE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奖励金额的比率为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0B39810">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8.6 保密</w:t>
      </w:r>
    </w:p>
    <w:p w14:paraId="714497B7">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委托人申明的保密事项和期限：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0C3DED">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监理人申明的保密事项和期限：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A3087B">
      <w:pPr>
        <w:keepNext w:val="0"/>
        <w:keepLines w:val="0"/>
        <w:pageBreakBefore w:val="0"/>
        <w:kinsoku/>
        <w:wordWrap/>
        <w:overflowPunct/>
        <w:topLinePunct w:val="0"/>
        <w:autoSpaceDE/>
        <w:autoSpaceDN/>
        <w:bidi w:val="0"/>
        <w:adjustRightInd w:val="0"/>
        <w:snapToGrid w:val="0"/>
        <w:spacing w:line="400" w:lineRule="exact"/>
        <w:ind w:left="-420" w:leftChars="-200" w:right="-313" w:rightChars="-149" w:firstLine="420" w:firstLineChars="200"/>
        <w:jc w:val="left"/>
        <w:textAlignment w:val="auto"/>
        <w:outlineLvl w:val="0"/>
        <w:rPr>
          <w:rFonts w:hint="eastAsia" w:ascii="宋体" w:hAnsi="宋体" w:cs="宋体"/>
          <w:color w:val="auto"/>
          <w:szCs w:val="21"/>
          <w:highlight w:val="none"/>
          <w:u w:val="single"/>
        </w:rPr>
      </w:pPr>
      <w:bookmarkStart w:id="102" w:name="_Toc25154"/>
      <w:bookmarkStart w:id="103" w:name="_Toc5493"/>
      <w:r>
        <w:rPr>
          <w:rFonts w:hint="eastAsia" w:ascii="宋体" w:hAnsi="宋体" w:cs="宋体"/>
          <w:color w:val="auto"/>
          <w:szCs w:val="21"/>
          <w:highlight w:val="none"/>
        </w:rPr>
        <w:t>第三方申明的保密事项和期限：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02"/>
      <w:bookmarkEnd w:id="103"/>
    </w:p>
    <w:p w14:paraId="6543651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outlineLvl w:val="0"/>
        <w:rPr>
          <w:rFonts w:hint="eastAsia" w:ascii="宋体" w:hAnsi="宋体" w:cs="宋体"/>
          <w:bCs/>
          <w:color w:val="auto"/>
          <w:szCs w:val="21"/>
          <w:highlight w:val="none"/>
        </w:rPr>
      </w:pPr>
      <w:bookmarkStart w:id="104" w:name="_Toc15769"/>
      <w:bookmarkStart w:id="105" w:name="_Toc25677"/>
      <w:r>
        <w:rPr>
          <w:rFonts w:hint="eastAsia" w:ascii="宋体" w:hAnsi="宋体" w:cs="宋体"/>
          <w:color w:val="auto"/>
          <w:szCs w:val="21"/>
          <w:highlight w:val="none"/>
        </w:rPr>
        <w:t>8.8</w:t>
      </w:r>
      <w:r>
        <w:rPr>
          <w:rFonts w:hint="eastAsia" w:ascii="宋体" w:hAnsi="宋体" w:cs="宋体"/>
          <w:bCs/>
          <w:color w:val="auto"/>
          <w:szCs w:val="21"/>
          <w:highlight w:val="none"/>
        </w:rPr>
        <w:t>著作权</w:t>
      </w:r>
      <w:bookmarkEnd w:id="104"/>
      <w:bookmarkEnd w:id="105"/>
    </w:p>
    <w:p w14:paraId="267738B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监理人在本合同履行期间及本合同终止后两年内出版涉及本工程的有关监理与相关服务的资料的限制条件：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11EAC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rPr>
        <w:t>9.补充条款</w:t>
      </w:r>
    </w:p>
    <w:p w14:paraId="2CD66D0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9.1 人员配备要求</w:t>
      </w:r>
    </w:p>
    <w:p w14:paraId="18148A8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9.1.1 监理人员要求</w:t>
      </w:r>
      <w:r>
        <w:rPr>
          <w:rFonts w:hint="eastAsia" w:ascii="宋体" w:hAnsi="宋体" w:cs="宋体"/>
          <w:color w:val="auto"/>
          <w:szCs w:val="21"/>
          <w:highlight w:val="none"/>
          <w:lang w:eastAsia="zh-CN"/>
        </w:rPr>
        <w:t>：</w:t>
      </w:r>
    </w:p>
    <w:p w14:paraId="16274825">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1.监理人员配备：</w:t>
      </w:r>
      <w:r>
        <w:rPr>
          <w:rFonts w:hint="eastAsia" w:ascii="宋体" w:hAnsi="宋体" w:eastAsia="宋体" w:cs="宋体"/>
          <w:color w:val="auto"/>
          <w:szCs w:val="21"/>
          <w:highlight w:val="none"/>
          <w:lang w:val="en-US" w:eastAsia="zh-CN"/>
        </w:rPr>
        <w:t>须满足安徽省住房和城乡建设厅 《建筑与市政工程项目管理人员职业标准》。</w:t>
      </w:r>
      <w:r>
        <w:rPr>
          <w:rFonts w:hint="eastAsia" w:ascii="宋体" w:hAnsi="宋体" w:cs="宋体"/>
          <w:color w:val="auto"/>
          <w:szCs w:val="21"/>
          <w:highlight w:val="none"/>
        </w:rPr>
        <w:t>受托人须单独设立监理部，产生所有费用由受托人自行承担。监理部实施电子考勤，并按期配合接受委托人检查。</w:t>
      </w:r>
    </w:p>
    <w:p w14:paraId="0AF1C9A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工程开工进场后（根据施工实际需要安排，按照经批准的人员进场），受托人必须按招标文件要求和投标承诺配备项目总监理工程师、专业监理工程师、监理员等监理部关键岗位人员，以受托人任命文件为准；并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个工作日内向委托人提供所有本项目监理人员的证书（已下文明确取消的证书，须提供相关证明材料）及委托人为其缴纳的</w:t>
      </w:r>
      <w:r>
        <w:rPr>
          <w:rFonts w:hint="eastAsia" w:ascii="宋体" w:hAnsi="宋体" w:cs="宋体"/>
          <w:color w:val="auto"/>
          <w:szCs w:val="21"/>
          <w:highlight w:val="none"/>
          <w:u w:val="single"/>
          <w:lang w:val="en-US" w:eastAsia="zh-CN"/>
        </w:rPr>
        <w:t>投标前近3</w:t>
      </w:r>
      <w:r>
        <w:rPr>
          <w:rFonts w:hint="eastAsia" w:ascii="宋体" w:hAnsi="宋体" w:cs="宋体"/>
          <w:color w:val="auto"/>
          <w:szCs w:val="21"/>
          <w:highlight w:val="none"/>
        </w:rPr>
        <w:t>个月社保材料进行审核。</w:t>
      </w:r>
    </w:p>
    <w:p w14:paraId="285134B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未经委托人同意的，受托人不得变更监理人员。确需变更的应提前7日向委托人提出书面申请。委托人因受托人所派人员管理能力不善未能满足相关服务而要求更换人员的，受托人必须无条件更换，同时委托人将处予受托人一定的违约金。具体要求如下：</w:t>
      </w:r>
    </w:p>
    <w:p w14:paraId="4924995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（1）总监理工程师变更必须经委托人</w:t>
      </w:r>
      <w:r>
        <w:rPr>
          <w:rFonts w:hint="eastAsia" w:ascii="宋体" w:hAnsi="宋体" w:cs="宋体"/>
          <w:color w:val="auto"/>
          <w:szCs w:val="21"/>
          <w:highlight w:val="none"/>
          <w:lang w:eastAsia="zh-CN"/>
        </w:rPr>
        <w:t>、公管局及住建部门同意，</w:t>
      </w:r>
      <w:r>
        <w:rPr>
          <w:rFonts w:hint="eastAsia" w:ascii="宋体" w:hAnsi="宋体" w:cs="宋体"/>
          <w:color w:val="auto"/>
          <w:szCs w:val="21"/>
          <w:highlight w:val="none"/>
        </w:rPr>
        <w:t>总监除亡故、重大疾病、出国、辞职等原因外，原则上不得变更。其中①亡故的需提供公安部门开具的死亡证明；②重大疾病的需提供三甲及以上医院证明；③出国、辞职等原因提出变更的，需提供相关证明；上述②和③变更除需提供相关证明外，均须缴纳</w:t>
      </w:r>
      <w:bookmarkStart w:id="106" w:name="OLE_LINK12"/>
      <w:bookmarkStart w:id="107" w:name="OLE_LINK13"/>
      <w:r>
        <w:rPr>
          <w:rFonts w:hint="eastAsia" w:ascii="宋体" w:hAnsi="宋体" w:cs="宋体"/>
          <w:color w:val="auto"/>
          <w:szCs w:val="21"/>
          <w:highlight w:val="none"/>
          <w:lang w:val="en-US" w:eastAsia="zh-CN"/>
        </w:rPr>
        <w:t>5000</w:t>
      </w:r>
      <w:r>
        <w:rPr>
          <w:rFonts w:hint="eastAsia" w:ascii="宋体" w:hAnsi="宋体" w:cs="宋体"/>
          <w:color w:val="auto"/>
          <w:szCs w:val="21"/>
          <w:highlight w:val="none"/>
        </w:rPr>
        <w:t>元违约金，</w:t>
      </w:r>
      <w:bookmarkEnd w:id="106"/>
      <w:bookmarkEnd w:id="107"/>
      <w:r>
        <w:rPr>
          <w:rFonts w:hint="eastAsia" w:ascii="宋体" w:hAnsi="宋体" w:cs="宋体"/>
          <w:color w:val="auto"/>
          <w:szCs w:val="21"/>
          <w:highlight w:val="none"/>
        </w:rPr>
        <w:t>否则不得变更。更换后的总监理工程师的资格、业绩等不得低于更换前的要求；</w:t>
      </w:r>
    </w:p>
    <w:p w14:paraId="7037751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专业监理工程师变更必须经委托人批准，专业监理工程师除亡故、重大疾病、出国、辞职等原因外，原则上不得变更。其中①亡故的需提供公安部门开具的死亡证明；②重大疾病的需提供三甲及以上医院证明；③出国、辞职等原因提出变更的，需提供相关证明；上述②和③变更除需提供相关证明外，</w:t>
      </w:r>
      <w:bookmarkStart w:id="108" w:name="OLE_LINK15"/>
      <w:bookmarkStart w:id="109" w:name="OLE_LINK14"/>
      <w:r>
        <w:rPr>
          <w:rFonts w:hint="eastAsia" w:ascii="宋体" w:hAnsi="宋体" w:cs="宋体"/>
          <w:color w:val="auto"/>
          <w:szCs w:val="21"/>
          <w:highlight w:val="none"/>
        </w:rPr>
        <w:t>均须缴纳</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元/人/次违约金，</w:t>
      </w:r>
      <w:bookmarkStart w:id="110" w:name="OLE_LINK18"/>
      <w:bookmarkStart w:id="111" w:name="OLE_LINK19"/>
      <w:r>
        <w:rPr>
          <w:rFonts w:hint="eastAsia" w:ascii="宋体" w:hAnsi="宋体" w:cs="宋体"/>
          <w:color w:val="auto"/>
          <w:szCs w:val="21"/>
          <w:highlight w:val="none"/>
        </w:rPr>
        <w:t>否则不得变更。</w:t>
      </w:r>
      <w:bookmarkEnd w:id="108"/>
      <w:bookmarkEnd w:id="109"/>
      <w:bookmarkEnd w:id="110"/>
      <w:bookmarkEnd w:id="111"/>
      <w:bookmarkStart w:id="112" w:name="OLE_LINK20"/>
      <w:bookmarkStart w:id="113" w:name="OLE_LINK21"/>
      <w:r>
        <w:rPr>
          <w:rFonts w:hint="eastAsia" w:ascii="宋体" w:hAnsi="宋体" w:cs="宋体"/>
          <w:color w:val="auto"/>
          <w:szCs w:val="21"/>
          <w:highlight w:val="none"/>
        </w:rPr>
        <w:t>更换后的专业监理工程师的资格、业绩等不得低于更换前的要求。</w:t>
      </w:r>
    </w:p>
    <w:bookmarkEnd w:id="112"/>
    <w:bookmarkEnd w:id="113"/>
    <w:p w14:paraId="4EF9B53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（3）更换其他监理人员，需经委托人同意并办理变更调整书面手续，否则不得变更。更换后的监理人员的资格等不得低于更换前的要求。</w:t>
      </w:r>
    </w:p>
    <w:p w14:paraId="5652BCC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（4）未经委托人同意擅自更换总监理工程师或专业监理工程师、未按上述要求配备监理人员、配备监理人员与投标文件中监理人员不同的，委托人对受托人予以</w:t>
      </w:r>
      <w:bookmarkStart w:id="114" w:name="OLE_LINK16"/>
      <w:bookmarkStart w:id="115" w:name="OLE_LINK17"/>
      <w:r>
        <w:rPr>
          <w:rFonts w:hint="eastAsia" w:ascii="宋体" w:hAnsi="宋体" w:cs="宋体"/>
          <w:color w:val="auto"/>
          <w:szCs w:val="21"/>
          <w:highlight w:val="none"/>
          <w:lang w:val="en-US" w:eastAsia="zh-CN"/>
        </w:rPr>
        <w:t>5000</w:t>
      </w:r>
      <w:r>
        <w:rPr>
          <w:rFonts w:hint="eastAsia" w:ascii="宋体" w:hAnsi="宋体" w:cs="宋体"/>
          <w:color w:val="auto"/>
          <w:szCs w:val="21"/>
          <w:highlight w:val="none"/>
        </w:rPr>
        <w:t>元/人/次违约金</w:t>
      </w:r>
      <w:bookmarkEnd w:id="114"/>
      <w:bookmarkEnd w:id="115"/>
      <w:r>
        <w:rPr>
          <w:rFonts w:hint="eastAsia" w:ascii="宋体" w:hAnsi="宋体" w:cs="宋体"/>
          <w:color w:val="auto"/>
          <w:szCs w:val="21"/>
          <w:highlight w:val="none"/>
        </w:rPr>
        <w:t>处理，直至解除合同，并追究由此给委托人和相关人带来的一切损失，同时上报建设行政主管部门处理。</w:t>
      </w:r>
    </w:p>
    <w:p w14:paraId="4D569E52">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4.拟派的总监理工程师在合同工期内每月在岗时间不得少于</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rPr>
        <w:t>天且每天在岗时间不得少于</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小时，每缺少一天（含在岗不足</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小时）将处以</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元/人/次违约金；专业监理工程师和其他监理人员在合同工期内每月在岗时间不得少于</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rPr>
        <w:t>天且每天在岗时间不得少于</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小时，专业监理工程师每缺少一天（含在岗不足</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小时）将处以</w:t>
      </w:r>
      <w:r>
        <w:rPr>
          <w:rFonts w:hint="eastAsia" w:ascii="宋体" w:hAnsi="宋体" w:cs="宋体"/>
          <w:color w:val="auto"/>
          <w:szCs w:val="21"/>
          <w:highlight w:val="none"/>
          <w:u w:val="single"/>
          <w:lang w:val="en-US" w:eastAsia="zh-CN"/>
        </w:rPr>
        <w:t>1000</w:t>
      </w:r>
      <w:r>
        <w:rPr>
          <w:rFonts w:hint="eastAsia" w:ascii="宋体" w:hAnsi="宋体" w:cs="宋体"/>
          <w:color w:val="auto"/>
          <w:szCs w:val="21"/>
          <w:highlight w:val="none"/>
        </w:rPr>
        <w:t>元/人/次违约金，其他监理人员每缺少一天（含在岗不足</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rPr>
        <w:t>小时）将处以</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rPr>
        <w:t>元/人/次违约金。</w:t>
      </w:r>
    </w:p>
    <w:p w14:paraId="4E47B54C">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9.1.2 其他要求</w:t>
      </w:r>
    </w:p>
    <w:p w14:paraId="082E57B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拟派驻的监理人员年龄均不得超过60周岁，其中监理负责人（总监理工程师）的国家级注册监理工程师证书在受托人单位注册且在有效期内的可延至65周岁。受托人须确保监理负责人的国家注册监理工程师证书在项目整体服务周期内均有效。否则除以</w:t>
      </w:r>
      <w:r>
        <w:rPr>
          <w:rFonts w:hint="eastAsia" w:ascii="宋体" w:hAnsi="宋体" w:eastAsia="宋体" w:cs="宋体"/>
          <w:color w:val="auto"/>
          <w:szCs w:val="21"/>
          <w:highlight w:val="none"/>
          <w:lang w:val="en-US" w:eastAsia="zh-CN"/>
        </w:rPr>
        <w:t>5000</w:t>
      </w:r>
      <w:r>
        <w:rPr>
          <w:rFonts w:hint="eastAsia" w:ascii="宋体" w:hAnsi="宋体" w:eastAsia="宋体" w:cs="宋体"/>
          <w:color w:val="auto"/>
          <w:szCs w:val="21"/>
          <w:highlight w:val="none"/>
        </w:rPr>
        <w:t>元/人违约金。</w:t>
      </w:r>
    </w:p>
    <w:p w14:paraId="1FA026B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9.2、质量管理</w:t>
      </w:r>
    </w:p>
    <w:p w14:paraId="15C7A09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9.2.1 受托人应当依照法律、法规以及有关技术标准、设计文件和建设工程承包合同，代表建设单位对施工质量实施监理，并对施工质量承担监理责任。</w:t>
      </w:r>
    </w:p>
    <w:p w14:paraId="069C5B09">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9.2.2受托人必须严格按照施工图和国家现行施工、验收规范和工程质量检验评定标准及技术要求，按施工企业投标承诺质量标准采取旁站、巡视和平行检验等形式，对本工程实施全过程监理。被委托人检查未履行上述职责的处每次</w:t>
      </w:r>
      <w:r>
        <w:rPr>
          <w:rFonts w:hint="eastAsia" w:ascii="宋体" w:hAnsi="宋体" w:cs="宋体"/>
          <w:color w:val="auto"/>
          <w:szCs w:val="21"/>
          <w:highlight w:val="none"/>
          <w:u w:val="single"/>
          <w:lang w:val="en-US" w:eastAsia="zh-CN"/>
        </w:rPr>
        <w:t>5000</w:t>
      </w:r>
      <w:r>
        <w:rPr>
          <w:rFonts w:hint="eastAsia" w:ascii="宋体" w:hAnsi="宋体" w:cs="宋体"/>
          <w:color w:val="auto"/>
          <w:szCs w:val="21"/>
          <w:highlight w:val="none"/>
        </w:rPr>
        <w:t>元违约金扣除。</w:t>
      </w:r>
    </w:p>
    <w:p w14:paraId="2A0AE74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9.2.3工程监理单位与被监理工程的施工承包单位以及建筑材料、建筑构配件和设备供应单位有隶属关系或者其他利害关系承担该项建设工程的监理业务的，被查证属实的，根据情节情况处</w:t>
      </w:r>
      <w:r>
        <w:rPr>
          <w:rFonts w:hint="eastAsia" w:ascii="宋体" w:hAnsi="宋体" w:cs="宋体"/>
          <w:color w:val="auto"/>
          <w:szCs w:val="21"/>
          <w:highlight w:val="none"/>
          <w:u w:val="single"/>
          <w:lang w:val="en-US" w:eastAsia="zh-CN"/>
        </w:rPr>
        <w:t>1000-3000元</w:t>
      </w:r>
      <w:r>
        <w:rPr>
          <w:rFonts w:hint="eastAsia" w:ascii="宋体" w:hAnsi="宋体" w:cs="宋体"/>
          <w:color w:val="auto"/>
          <w:szCs w:val="21"/>
          <w:highlight w:val="none"/>
        </w:rPr>
        <w:t>的违约金，同时报行业主管部门处理，降低资质等级或者吊销资质证书,有违法所得的予以没收。</w:t>
      </w:r>
    </w:p>
    <w:p w14:paraId="305B7C8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9.2.4对于不符合设计要求和合同约定及国家质量标准的材料、构配件、设备以及不符合规范和质量标准的工序、分部分项工程和不安全施工作业，受托人应立刻要求施工单位停止使用、停工整改及返工，否则受托人承担连带责任，委托人根据情节情况严重情况处</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元的违约金。</w:t>
      </w:r>
    </w:p>
    <w:p w14:paraId="63A2E3A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9.2.5工程施工质量的报验工作由受托人监督承包人完成。包括材料抽检、分部分项查验、验收程序组织等未按照建设行业相关程序实施的不允许下一步施工，同时履行监理相应职责勒令并监督整改。未纠正而造成损失由受托人承担连带责任，委托人根据情节情况严重情况处</w:t>
      </w:r>
      <w:r>
        <w:rPr>
          <w:rFonts w:hint="eastAsia" w:ascii="宋体" w:hAnsi="宋体" w:cs="宋体"/>
          <w:color w:val="auto"/>
          <w:szCs w:val="21"/>
          <w:highlight w:val="none"/>
          <w:u w:val="single"/>
          <w:lang w:val="en-US" w:eastAsia="zh-CN"/>
        </w:rPr>
        <w:t>1000-3000元</w:t>
      </w:r>
      <w:r>
        <w:rPr>
          <w:rFonts w:hint="eastAsia" w:ascii="宋体" w:hAnsi="宋体" w:cs="宋体"/>
          <w:color w:val="auto"/>
          <w:szCs w:val="21"/>
          <w:highlight w:val="none"/>
        </w:rPr>
        <w:t>的违约金扣除。</w:t>
      </w:r>
    </w:p>
    <w:p w14:paraId="0CD61D3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9.2.6监理人员在施工阶段对关键部位和关键工序的施工质量实施全过程跟班旁站，旁站时发现问题要及时予以纠正。当发现施工出现了安全隐患、工程质量出现的缺陷可能引发工程质量事故时，应先口头要求暂停施工并采取录相、摄影等手段予以记录，并立即向总监理工程师汇报，由总监理工程师签发《暂停施工令》，所发现问题及处理过程应记入监理日志。被委托人检查未履行上述职责的处每次</w:t>
      </w:r>
      <w:r>
        <w:rPr>
          <w:rFonts w:hint="eastAsia" w:ascii="宋体" w:hAnsi="宋体" w:cs="宋体"/>
          <w:color w:val="auto"/>
          <w:szCs w:val="21"/>
          <w:highlight w:val="none"/>
          <w:u w:val="single"/>
          <w:lang w:val="en-US" w:eastAsia="zh-CN"/>
        </w:rPr>
        <w:t>1000-3000元</w:t>
      </w:r>
      <w:r>
        <w:rPr>
          <w:rFonts w:hint="eastAsia" w:ascii="宋体" w:hAnsi="宋体" w:cs="宋体"/>
          <w:color w:val="auto"/>
          <w:szCs w:val="21"/>
          <w:highlight w:val="none"/>
        </w:rPr>
        <w:t>违约金扣除。</w:t>
      </w:r>
    </w:p>
    <w:p w14:paraId="03FE4C5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施工中存在质量问题，应能够及时发现并立即安排处理和复查，质量问题不得隐瞒并私自处理；否则发现一次处罚</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元。经验收合格的工程，应不得再有质量问题。验收后仍存在质量相关问题的，根据情节严重情况处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元的违约金扣除。</w:t>
      </w:r>
    </w:p>
    <w:p w14:paraId="205D7B9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委托人在工程施工期间，不定期地组织有关部门对工程质量进行抽查，如发现已施工完成的工程中，材料、质量未达到质量标准且未被监理人员发现并纠正，视为监理失误，委托人将予以监理费的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%作为违约金处理。业主代表对发现的监理渎职现象，对受托人将予以</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元/次的违约金，有重大损失的，按照有关规定移交司法部门处理。</w:t>
      </w:r>
    </w:p>
    <w:p w14:paraId="50995357">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9.2.7凡由于受托人责任而影响工程造价、工期和质量的，造成的质量问题、工期滞后和经济损失由受托人承担。有权从工程施工监理费用中扣减并追偿损失费用。</w:t>
      </w:r>
    </w:p>
    <w:p w14:paraId="4CCA487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9.2.8隐蔽工程隐蔽前由受托人监督承包人进行自检，自检合格书面通知委托人验收，委托人及受托人按监理大纲到现场进行验收，经委托人及受托人确认合格并办理签证后方可隐蔽；验收不合格，受托人要监督承包人在限定时间内修改后重新验收。</w:t>
      </w:r>
    </w:p>
    <w:p w14:paraId="0027C745">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9.2.9受托人监督承包人负责工程的成品保护，认真做好记录，在办理工程中间交接的同时，向委托人提供交接清单。</w:t>
      </w:r>
    </w:p>
    <w:p w14:paraId="5D84AAF9">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9.2.10受托人的工作人员因调动工作、退休等原因离开该单位后，被发现在该单位工作期间违反国家有关建设工程质量管理规定的，造成重大工程质量事故的，仍应追究法律责任。</w:t>
      </w:r>
    </w:p>
    <w:p w14:paraId="0915C8C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9.2.11 中标监理费总价最终结合投标人员到位数量来结算。即：投标总价/服务期（月）/投标承诺人数=每个投标人员每月应得的费用，经现场考勤，少投入1人扣除1人应得费用（以委托人签字认可的考勤表为准）。中标后，如实际到岗人数不满足招标文件要求的，将按上述标准从监理费用中予以扣除（各专业监理可结合项目的实施阶段经委托人签字认可后分期到岗）。</w:t>
      </w:r>
    </w:p>
    <w:p w14:paraId="1297DCBC">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9.2.12 拟派的专业监理工程师施工现场必须按出勤要求分别配备除手机以外相关影像视频设备，对关键环节部位进行影控留档，每个月考核一次，每发现一名人员一次未佩带的予以500元/次违约金，三次以上未佩带的，将予以2000元/次的违约金。</w:t>
      </w:r>
    </w:p>
    <w:p w14:paraId="2C82E8D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9.3安全管理</w:t>
      </w:r>
    </w:p>
    <w:p w14:paraId="3578B3C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9.3.1受托人负责施工区域或受施工影响的区域的安全监督，配备专职的安全监理员每日巡查，每周上报安全监督处理意见或处罚意见，并督促施工单位组织落实，委托人巡查发现安全隐患的，但监理单位未反馈，未上报的，委托人有权给予</w:t>
      </w:r>
      <w:r>
        <w:rPr>
          <w:rFonts w:hint="eastAsia" w:ascii="宋体" w:hAnsi="宋体" w:cs="宋体"/>
          <w:color w:val="auto"/>
          <w:szCs w:val="21"/>
          <w:highlight w:val="none"/>
          <w:lang w:val="en-US" w:eastAsia="zh-CN"/>
        </w:rPr>
        <w:t>3000</w:t>
      </w:r>
      <w:r>
        <w:rPr>
          <w:rFonts w:hint="eastAsia" w:ascii="宋体" w:hAnsi="宋体" w:cs="宋体"/>
          <w:color w:val="auto"/>
          <w:szCs w:val="21"/>
          <w:highlight w:val="none"/>
        </w:rPr>
        <w:t>元/次违约金；如产生较大安全事故或造成不良社会影响的，需承担由于监理措施不力造成的经济损失和责任，每出现一次给予受托人</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元违约金，直接从监理费用中扣除。</w:t>
      </w:r>
    </w:p>
    <w:p w14:paraId="49F6191F">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9.3.2发生重大工程质量事故隐藏不报、谎报或者拖延报告期限的，给予受托人处以</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元的违约金，对直接负责的监理人员依法报送执法机关给予处分，情节严重的将吊销执业资格证书。</w:t>
      </w:r>
    </w:p>
    <w:p w14:paraId="181A53F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9.3.3因受托人没有按照相关法律法规履行职责，根据《生产安全事故报告和调查处理条例》规定，出现一般事故、较大事故、重大事故、特别重大事故，或出现国家现行对工程质量造成损失严重程度进行分类中重大质量事故之一的，扣除所有监理费用，并追究相应责任。出现国家现行对工程质量造成损失严重程度进行分类中严重质量事故、一般质量事故的，每次扣除总监理费用的</w:t>
      </w:r>
      <w:r>
        <w:rPr>
          <w:rFonts w:hint="eastAsia" w:ascii="宋体" w:hAnsi="Times New Roman" w:eastAsia="宋体" w:cs="Times New Roman"/>
          <w:b w:val="0"/>
          <w:bCs/>
          <w:color w:val="auto"/>
          <w:kern w:val="2"/>
          <w:sz w:val="21"/>
          <w:szCs w:val="20"/>
          <w:highlight w:val="none"/>
          <w:lang w:val="en-US" w:eastAsia="zh-CN" w:bidi="ar-SA"/>
        </w:rPr>
        <w:t>10%-50%</w:t>
      </w:r>
      <w:r>
        <w:rPr>
          <w:rFonts w:hint="eastAsia" w:ascii="宋体" w:hAnsi="宋体" w:cs="宋体"/>
          <w:color w:val="auto"/>
          <w:szCs w:val="21"/>
          <w:highlight w:val="none"/>
        </w:rPr>
        <w:t>，并追究相应责任。</w:t>
      </w:r>
    </w:p>
    <w:p w14:paraId="2FE8909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安全文明和扬尘治理管理：</w:t>
      </w:r>
    </w:p>
    <w:p w14:paraId="61BCAEBC">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1.受托人应定期组织现场安全文明生产检查，对检查发现的问题应及时督促承包人整改，并将整改结果上报委托人。</w:t>
      </w:r>
    </w:p>
    <w:p w14:paraId="7C1A191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2.督促承包人严格执行大气污染防治措施，做好台账，若出现防治措施不到位，被巡查、检查发现的，按相关大气污染防治规定处罚。</w:t>
      </w:r>
    </w:p>
    <w:p w14:paraId="2022666F">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3.做好日常安全监护及督促，对发现下述情况，受托人不按照要求提出整改的，对受托人处罚     元/项。</w:t>
      </w:r>
    </w:p>
    <w:p w14:paraId="7117BEEC">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（1）工程标牌未设置，或设置位置不醒目，破损未及时修复的。</w:t>
      </w:r>
    </w:p>
    <w:p w14:paraId="21AB3E2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施工单位未建立安全生产责任制，未落实安全生产的组织保证体系，安全员缺岗或不到位；施工单位安全管理台帐未及时建立或不完善，未对施工作业人员进行安全生产教育或分部分项工程未进行安全技术交底，施工单位特种作业人员未持证上岗。</w:t>
      </w:r>
    </w:p>
    <w:p w14:paraId="1ACE4B1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（3）施工现场消防设施未按要求配置，施工脚手架未按规范搭设、报验不及时及未能满足安全防护要求的，现场安全帽、安全网、安全带等未按要求佩带或配置的。</w:t>
      </w:r>
    </w:p>
    <w:p w14:paraId="0A45BC20">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（4）施工现场扬尘、高空抛物或从高处倾倒物体、随意倾倒垃圾、损坏设施不及时修复的。</w:t>
      </w:r>
    </w:p>
    <w:p w14:paraId="0367C33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（5）外墙脚手架未保持整洁、美观，发生破损，钢管、扣件、栏杆颜色标识不清楚，围档及周边道路、工地出入口未保持清洁，绿化、广告、灯箱等发生破损未及时修复的。</w:t>
      </w:r>
    </w:p>
    <w:p w14:paraId="7368808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现场出入口、通道口、楼梯口、井道口、预留洞口、临边洞口、基坑边缘等容易发生坠落的地方未设置安全警示标志，临边防护未及时设置，现场塔吊、架桥机、吊车及其他施工机具未按要求配备有效的保险、限位等安全设施和装置或超过质检期违规使用的。</w:t>
      </w:r>
    </w:p>
    <w:p w14:paraId="790F49EA">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（7）施工现场成品、半成品及原材料未按规定堆放的。</w:t>
      </w:r>
    </w:p>
    <w:p w14:paraId="4B4A89D3">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施工现场用电设备、配电箱、开关箱未采用TN-S接零保护系统，未实行三级配电、两级保护系统，施工电缆随意拖拉，未架空或埋地，接头未保护，绝缘层有破损，现场用电设备漏电保护装置未按要求配置或失灵的。</w:t>
      </w:r>
    </w:p>
    <w:p w14:paraId="7B782475">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（9）发现生活区、职工集体宿舍、食堂违规使用电器，电线私拉乱接及未配设防火设备的。</w:t>
      </w:r>
    </w:p>
    <w:p w14:paraId="1F3B9504">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其他规定</w:t>
      </w:r>
    </w:p>
    <w:p w14:paraId="0F9B901B">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.1受托人对承包人请款必须严格按照请款程序审核把关，发现不按规定给予请款资料确认的，每次处违约金</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w:t>
      </w:r>
    </w:p>
    <w:p w14:paraId="0DD0011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 总监理工程师必须参加委托人组织的各项工程例会，每缺席一次按</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元处以违约金，确有特殊情况且已向业主代表申请并确认的除外。对未按委托人要求按时履行前期手续的每次处违约金</w:t>
      </w:r>
      <w:r>
        <w:rPr>
          <w:rFonts w:hint="eastAsia" w:ascii="宋体" w:hAnsi="宋体" w:cs="宋体"/>
          <w:color w:val="auto"/>
          <w:szCs w:val="21"/>
          <w:highlight w:val="none"/>
          <w:lang w:val="en-US" w:eastAsia="zh-CN"/>
        </w:rPr>
        <w:t>3000</w:t>
      </w:r>
      <w:r>
        <w:rPr>
          <w:rFonts w:hint="eastAsia" w:ascii="宋体" w:hAnsi="宋体" w:cs="宋体"/>
          <w:color w:val="auto"/>
          <w:szCs w:val="21"/>
          <w:highlight w:val="none"/>
        </w:rPr>
        <w:t>元。</w:t>
      </w:r>
    </w:p>
    <w:p w14:paraId="0B6E3D5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 受托人未按要求健全日志、台账、会议</w:t>
      </w:r>
      <w:r>
        <w:rPr>
          <w:rFonts w:hint="eastAsia" w:ascii="宋体" w:hAnsi="宋体" w:cs="宋体"/>
          <w:color w:val="auto"/>
          <w:szCs w:val="21"/>
          <w:highlight w:val="none"/>
          <w:lang w:eastAsia="zh-CN"/>
        </w:rPr>
        <w:t>记</w:t>
      </w:r>
      <w:r>
        <w:rPr>
          <w:rFonts w:hint="eastAsia" w:ascii="宋体" w:hAnsi="宋体" w:cs="宋体"/>
          <w:color w:val="auto"/>
          <w:szCs w:val="21"/>
          <w:highlight w:val="none"/>
        </w:rPr>
        <w:t>录，安全资料不完整，处以</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rPr>
        <w:t>元/次的违约金；未按有关规定编制，与工程进度不同步，发现资料出具不及时、与工程实体不相符的，处以</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rPr>
        <w:t>元/次的违约金；工程资料不完善，伪造资料报告或伪造检验结论的，予以通报批评，并处以</w:t>
      </w:r>
      <w:r>
        <w:rPr>
          <w:rFonts w:hint="eastAsia" w:ascii="宋体" w:hAnsi="宋体" w:cs="宋体"/>
          <w:color w:val="auto"/>
          <w:szCs w:val="21"/>
          <w:highlight w:val="none"/>
          <w:u w:val="single"/>
          <w:lang w:val="en-US" w:eastAsia="zh-CN"/>
        </w:rPr>
        <w:t>1000-3000</w:t>
      </w:r>
      <w:r>
        <w:rPr>
          <w:rFonts w:hint="eastAsia" w:ascii="宋体" w:hAnsi="宋体" w:cs="宋体"/>
          <w:color w:val="auto"/>
          <w:szCs w:val="21"/>
          <w:highlight w:val="none"/>
        </w:rPr>
        <w:t>元/次的违约金。</w:t>
      </w:r>
    </w:p>
    <w:p w14:paraId="4EC0F698">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受托人自行解决餐食问题，不得与承包方一起就餐（或动用承包方人力、物力），必须做到独立就餐，费用自理，一经发现，委托人有权给予</w:t>
      </w:r>
      <w:r>
        <w:rPr>
          <w:rFonts w:hint="eastAsia" w:ascii="宋体" w:hAnsi="宋体" w:cs="宋体"/>
          <w:color w:val="auto"/>
          <w:szCs w:val="21"/>
          <w:highlight w:val="none"/>
          <w:u w:val="single"/>
          <w:lang w:val="en-US" w:eastAsia="zh-CN"/>
        </w:rPr>
        <w:t>1000</w:t>
      </w:r>
      <w:r>
        <w:rPr>
          <w:rFonts w:hint="eastAsia" w:ascii="宋体" w:hAnsi="宋体" w:cs="宋体"/>
          <w:color w:val="auto"/>
          <w:szCs w:val="21"/>
          <w:highlight w:val="none"/>
        </w:rPr>
        <w:t>元/次的违约金处理。</w:t>
      </w:r>
    </w:p>
    <w:p w14:paraId="0CF7012E">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受托人应对承包方日常工作人员作考勤工作，每月报送至委托人处，此项纳入考核内容，未报送或报送虚假考勤内容、无法反应真实考勤情况的，委托人有权给予</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元违约金处理。受托人每月按时报送监理日志至委托人处，必须如实反应施工现场情况，未报送的或发现资料虚假与工程实际施工现场情况不一样的，委托人有权给予</w:t>
      </w:r>
      <w:r>
        <w:rPr>
          <w:rFonts w:hint="eastAsia" w:ascii="宋体" w:hAnsi="宋体" w:cs="宋体"/>
          <w:color w:val="auto"/>
          <w:szCs w:val="21"/>
          <w:highlight w:val="none"/>
          <w:u w:val="single"/>
          <w:lang w:val="en-US" w:eastAsia="zh-CN"/>
        </w:rPr>
        <w:t>3000</w:t>
      </w:r>
      <w:r>
        <w:rPr>
          <w:rFonts w:hint="eastAsia" w:ascii="宋体" w:hAnsi="宋体" w:cs="宋体"/>
          <w:color w:val="auto"/>
          <w:szCs w:val="21"/>
          <w:highlight w:val="none"/>
        </w:rPr>
        <w:t>元违约金处理。</w:t>
      </w:r>
    </w:p>
    <w:p w14:paraId="7679599D">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其他监理人员未持证上岗，处</w:t>
      </w:r>
      <w:r>
        <w:rPr>
          <w:rFonts w:hint="eastAsia" w:ascii="宋体" w:hAnsi="宋体" w:cs="宋体"/>
          <w:color w:val="auto"/>
          <w:szCs w:val="21"/>
          <w:highlight w:val="none"/>
          <w:u w:val="single"/>
          <w:lang w:val="en-US" w:eastAsia="zh-CN"/>
        </w:rPr>
        <w:t>500</w:t>
      </w:r>
      <w:r>
        <w:rPr>
          <w:rFonts w:hint="eastAsia" w:ascii="宋体" w:hAnsi="宋体" w:cs="宋体"/>
          <w:color w:val="auto"/>
          <w:szCs w:val="21"/>
          <w:highlight w:val="none"/>
        </w:rPr>
        <w:t>元/人次的违约金处理并责令改正。</w:t>
      </w:r>
    </w:p>
    <w:p w14:paraId="09DFA1F5">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rPr>
        <w:t>监理人员在责任期内的所有保险由受托人承担，委托人概不负责。</w:t>
      </w:r>
    </w:p>
    <w:p w14:paraId="657F1E16">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受托人不得将罚款、差旅费及相关费用转嫁给施工单位；不得代替承包人整理相关施工资料及相关有偿服务；不得以监理费支付等为由拒绝履行监理服务，如有发现，委托人有权立即予以清退出场，终止合同，并另行委托同等资质的监理单位完善后续服务。</w:t>
      </w:r>
    </w:p>
    <w:p w14:paraId="51CA27F9">
      <w:pPr>
        <w:keepNext w:val="0"/>
        <w:keepLines w:val="0"/>
        <w:pageBreakBefore w:val="0"/>
        <w:kinsoku/>
        <w:wordWrap/>
        <w:overflowPunct/>
        <w:topLinePunct w:val="0"/>
        <w:autoSpaceDE/>
        <w:autoSpaceDN/>
        <w:bidi w:val="0"/>
        <w:snapToGrid w:val="0"/>
        <w:spacing w:line="400" w:lineRule="exact"/>
        <w:ind w:left="-420" w:leftChars="-200" w:right="-313" w:rightChars="-149"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本条款中所有违约金方式直接从监理费用中直接扣除。</w:t>
      </w:r>
    </w:p>
    <w:p w14:paraId="6A31B2FE">
      <w:pPr>
        <w:keepNext w:val="0"/>
        <w:keepLines w:val="0"/>
        <w:pageBreakBefore w:val="0"/>
        <w:kinsoku/>
        <w:wordWrap/>
        <w:overflowPunct/>
        <w:topLinePunct w:val="0"/>
        <w:autoSpaceDE/>
        <w:autoSpaceDN/>
        <w:bidi w:val="0"/>
        <w:spacing w:line="400" w:lineRule="exact"/>
        <w:ind w:left="-420" w:leftChars="-200" w:right="-313" w:rightChars="-149" w:firstLine="420" w:firstLineChars="200"/>
        <w:jc w:val="left"/>
        <w:textAlignment w:val="auto"/>
        <w:rPr>
          <w:rFonts w:hint="eastAsia" w:ascii="宋体"/>
          <w:b/>
          <w:color w:val="auto"/>
          <w:sz w:val="32"/>
          <w:szCs w:val="32"/>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本补充条款是专用条款的一部分，其解释顺序优先于专用条款的其他条款。</w:t>
      </w:r>
      <w:r>
        <w:rPr>
          <w:rFonts w:hint="eastAsia" w:ascii="宋体" w:hAnsi="宋体" w:cs="宋体"/>
          <w:b/>
          <w:bCs/>
          <w:color w:val="auto"/>
          <w:sz w:val="32"/>
          <w:szCs w:val="32"/>
          <w:highlight w:val="none"/>
        </w:rPr>
        <w:br w:type="page"/>
      </w:r>
      <w:bookmarkEnd w:id="64"/>
    </w:p>
    <w:p w14:paraId="6E698501">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50187447">
      <w:pPr>
        <w:jc w:val="center"/>
        <w:rPr>
          <w:rFonts w:hint="eastAsia" w:eastAsia="黑体"/>
          <w:color w:val="auto"/>
          <w:sz w:val="20"/>
          <w:highlight w:val="none"/>
        </w:rPr>
      </w:pPr>
    </w:p>
    <w:p w14:paraId="2A05EDCE">
      <w:pPr>
        <w:rPr>
          <w:rFonts w:hint="eastAsia" w:eastAsia="黑体"/>
          <w:color w:val="auto"/>
          <w:sz w:val="20"/>
          <w:highlight w:val="none"/>
        </w:rPr>
      </w:pPr>
    </w:p>
    <w:p w14:paraId="43327C74">
      <w:pPr>
        <w:rPr>
          <w:rFonts w:hint="eastAsia" w:eastAsia="黑体"/>
          <w:color w:val="auto"/>
          <w:sz w:val="20"/>
          <w:highlight w:val="none"/>
        </w:rPr>
      </w:pPr>
    </w:p>
    <w:p w14:paraId="50C1D7A8">
      <w:pPr>
        <w:rPr>
          <w:rFonts w:hint="eastAsia" w:eastAsia="黑体"/>
          <w:color w:val="auto"/>
          <w:sz w:val="20"/>
          <w:highlight w:val="none"/>
        </w:rPr>
      </w:pPr>
    </w:p>
    <w:p w14:paraId="7672EDBC">
      <w:pPr>
        <w:jc w:val="center"/>
        <w:rPr>
          <w:rFonts w:hint="eastAsia" w:ascii="宋体"/>
          <w:b/>
          <w:color w:val="auto"/>
          <w:sz w:val="44"/>
          <w:szCs w:val="44"/>
          <w:highlight w:val="none"/>
        </w:rPr>
      </w:pPr>
      <w:bookmarkStart w:id="116" w:name="_Toc350698753"/>
      <w:bookmarkStart w:id="117" w:name="_Toc449028949"/>
      <w:r>
        <w:rPr>
          <w:rFonts w:hint="eastAsia" w:ascii="宋体"/>
          <w:b/>
          <w:color w:val="auto"/>
          <w:sz w:val="44"/>
          <w:szCs w:val="44"/>
          <w:highlight w:val="none"/>
          <w:lang w:val="en-US" w:eastAsia="zh-CN"/>
        </w:rPr>
        <w:t>资信证明</w:t>
      </w:r>
      <w:r>
        <w:rPr>
          <w:rFonts w:hint="eastAsia" w:ascii="宋体"/>
          <w:b/>
          <w:color w:val="auto"/>
          <w:sz w:val="44"/>
          <w:szCs w:val="44"/>
          <w:highlight w:val="none"/>
        </w:rPr>
        <w:t>文件</w:t>
      </w:r>
      <w:bookmarkEnd w:id="116"/>
      <w:bookmarkEnd w:id="117"/>
    </w:p>
    <w:p w14:paraId="5F0F4C41">
      <w:pPr>
        <w:jc w:val="center"/>
        <w:rPr>
          <w:rFonts w:hint="eastAsia" w:eastAsia="黑体"/>
          <w:color w:val="auto"/>
          <w:sz w:val="44"/>
          <w:szCs w:val="44"/>
          <w:highlight w:val="none"/>
        </w:rPr>
      </w:pPr>
    </w:p>
    <w:p w14:paraId="6295494C">
      <w:pPr>
        <w:jc w:val="center"/>
        <w:rPr>
          <w:rFonts w:hint="eastAsia" w:eastAsia="黑体"/>
          <w:color w:val="auto"/>
          <w:sz w:val="44"/>
          <w:szCs w:val="44"/>
          <w:highlight w:val="none"/>
        </w:rPr>
      </w:pPr>
    </w:p>
    <w:p w14:paraId="1D0816D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E78CC73">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BB06E75">
      <w:pPr>
        <w:rPr>
          <w:rFonts w:hint="eastAsia" w:ascii="宋体"/>
          <w:color w:val="auto"/>
          <w:sz w:val="28"/>
          <w:szCs w:val="28"/>
          <w:highlight w:val="none"/>
        </w:rPr>
      </w:pPr>
    </w:p>
    <w:p w14:paraId="309E9F1C">
      <w:pPr>
        <w:rPr>
          <w:rFonts w:hint="eastAsia" w:ascii="宋体"/>
          <w:color w:val="auto"/>
          <w:sz w:val="28"/>
          <w:szCs w:val="28"/>
          <w:highlight w:val="none"/>
        </w:rPr>
      </w:pPr>
    </w:p>
    <w:p w14:paraId="3E137C7D">
      <w:pPr>
        <w:rPr>
          <w:rFonts w:hint="eastAsia" w:ascii="宋体"/>
          <w:color w:val="auto"/>
          <w:sz w:val="28"/>
          <w:szCs w:val="28"/>
          <w:highlight w:val="none"/>
        </w:rPr>
      </w:pPr>
    </w:p>
    <w:p w14:paraId="13D25D07">
      <w:pPr>
        <w:rPr>
          <w:rFonts w:hint="eastAsia" w:ascii="宋体"/>
          <w:color w:val="auto"/>
          <w:sz w:val="28"/>
          <w:szCs w:val="28"/>
          <w:highlight w:val="none"/>
        </w:rPr>
      </w:pPr>
    </w:p>
    <w:p w14:paraId="1EB524F1">
      <w:pPr>
        <w:rPr>
          <w:rFonts w:hint="eastAsia" w:ascii="宋体"/>
          <w:color w:val="auto"/>
          <w:sz w:val="28"/>
          <w:szCs w:val="28"/>
          <w:highlight w:val="none"/>
        </w:rPr>
      </w:pPr>
    </w:p>
    <w:p w14:paraId="5ACE49DD">
      <w:pPr>
        <w:rPr>
          <w:rFonts w:hint="eastAsia" w:ascii="宋体"/>
          <w:color w:val="auto"/>
          <w:sz w:val="28"/>
          <w:szCs w:val="28"/>
          <w:highlight w:val="none"/>
        </w:rPr>
      </w:pPr>
    </w:p>
    <w:p w14:paraId="25C5C5E6">
      <w:pPr>
        <w:rPr>
          <w:rFonts w:hint="eastAsia" w:ascii="宋体"/>
          <w:color w:val="auto"/>
          <w:sz w:val="28"/>
          <w:szCs w:val="28"/>
          <w:highlight w:val="none"/>
        </w:rPr>
      </w:pPr>
    </w:p>
    <w:p w14:paraId="787FD766">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561284B">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75FE166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D822820">
      <w:pPr>
        <w:spacing w:line="720" w:lineRule="auto"/>
        <w:jc w:val="center"/>
        <w:rPr>
          <w:rFonts w:hint="eastAsia" w:ascii="宋体"/>
          <w:b/>
          <w:color w:val="auto"/>
          <w:sz w:val="36"/>
          <w:szCs w:val="36"/>
          <w:highlight w:val="none"/>
        </w:rPr>
      </w:pPr>
    </w:p>
    <w:p w14:paraId="3B7FC3EE">
      <w:pPr>
        <w:spacing w:line="400" w:lineRule="exact"/>
        <w:ind w:firstLine="4130" w:firstLineChars="935"/>
        <w:rPr>
          <w:rFonts w:hint="eastAsia"/>
          <w:b/>
          <w:color w:val="auto"/>
          <w:sz w:val="44"/>
          <w:szCs w:val="44"/>
          <w:highlight w:val="none"/>
        </w:rPr>
      </w:pPr>
    </w:p>
    <w:p w14:paraId="692DC988">
      <w:pPr>
        <w:spacing w:line="400" w:lineRule="exact"/>
        <w:ind w:firstLine="4130" w:firstLineChars="935"/>
        <w:rPr>
          <w:rFonts w:hint="eastAsia"/>
          <w:b/>
          <w:color w:val="auto"/>
          <w:sz w:val="44"/>
          <w:szCs w:val="44"/>
          <w:highlight w:val="none"/>
        </w:rPr>
      </w:pPr>
    </w:p>
    <w:p w14:paraId="5746488A">
      <w:pPr>
        <w:spacing w:line="400" w:lineRule="exact"/>
        <w:ind w:firstLine="4130" w:firstLineChars="935"/>
        <w:rPr>
          <w:rFonts w:hint="eastAsia"/>
          <w:b/>
          <w:color w:val="auto"/>
          <w:sz w:val="44"/>
          <w:szCs w:val="44"/>
          <w:highlight w:val="none"/>
        </w:rPr>
      </w:pPr>
    </w:p>
    <w:p w14:paraId="1026DC8D">
      <w:pPr>
        <w:jc w:val="center"/>
        <w:rPr>
          <w:rFonts w:hint="eastAsia"/>
          <w:b/>
          <w:color w:val="auto"/>
          <w:sz w:val="44"/>
          <w:szCs w:val="44"/>
          <w:highlight w:val="none"/>
        </w:rPr>
      </w:pPr>
      <w:r>
        <w:rPr>
          <w:rFonts w:hint="eastAsia"/>
          <w:b/>
          <w:color w:val="auto"/>
          <w:sz w:val="36"/>
          <w:szCs w:val="36"/>
          <w:highlight w:val="none"/>
        </w:rPr>
        <w:t>目   录</w:t>
      </w:r>
    </w:p>
    <w:p w14:paraId="66A8ACC8">
      <w:pPr>
        <w:spacing w:line="400" w:lineRule="exact"/>
        <w:ind w:firstLine="562" w:firstLineChars="200"/>
        <w:rPr>
          <w:rFonts w:hint="eastAsia"/>
          <w:b/>
          <w:color w:val="auto"/>
          <w:sz w:val="28"/>
          <w:szCs w:val="28"/>
          <w:highlight w:val="none"/>
        </w:rPr>
      </w:pPr>
    </w:p>
    <w:p w14:paraId="261FB3A2">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0418CE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1510FE7A">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3）投标人有效的资质证书；</w:t>
      </w:r>
    </w:p>
    <w:p w14:paraId="4EB04C27">
      <w:pPr>
        <w:spacing w:line="500" w:lineRule="exact"/>
        <w:ind w:firstLine="420" w:firstLineChars="200"/>
        <w:jc w:val="left"/>
        <w:rPr>
          <w:rFonts w:hint="default"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4）项目负责人有效身份证及证书；</w:t>
      </w:r>
    </w:p>
    <w:p w14:paraId="19E21BE8">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5）依据安徽省住房和城乡建设厅 《建筑与市政工程项目管理人员职业标准》，拟派的项目负责人(总监理工程师）在本项目所在市行政区域外无在建，在本项目所在市行政区域内不多于两个在建项目【由投标单位自行出具投标人拟派项目负责人（总监理工程师）在本项目所在市行政区域内不多于2个在监理项目承诺书；</w:t>
      </w:r>
      <w:r>
        <w:rPr>
          <w:rFonts w:hint="eastAsia" w:ascii="宋体" w:hAnsi="Times New Roman" w:eastAsia="宋体" w:cs="Times New Roman"/>
          <w:color w:val="auto"/>
          <w:szCs w:val="21"/>
          <w:highlight w:val="none"/>
        </w:rPr>
        <w:t>如有在建项目，需在建项目</w:t>
      </w:r>
      <w:r>
        <w:rPr>
          <w:rFonts w:hint="eastAsia" w:ascii="宋体" w:hAnsi="Times New Roman" w:eastAsia="宋体" w:cs="Times New Roman"/>
          <w:color w:val="auto"/>
          <w:szCs w:val="21"/>
          <w:highlight w:val="none"/>
          <w:lang w:val="en-US" w:eastAsia="zh-CN"/>
        </w:rPr>
        <w:t>所属</w:t>
      </w:r>
      <w:r>
        <w:rPr>
          <w:rFonts w:hint="eastAsia" w:ascii="宋体" w:hAnsi="Times New Roman" w:eastAsia="宋体" w:cs="Times New Roman"/>
          <w:color w:val="auto"/>
          <w:szCs w:val="21"/>
          <w:highlight w:val="none"/>
        </w:rPr>
        <w:t>建设单位书面同意</w:t>
      </w:r>
      <w:r>
        <w:rPr>
          <w:rFonts w:hint="eastAsia" w:ascii="宋体" w:hAnsi="Times New Roman" w:eastAsia="宋体" w:cs="Times New Roman"/>
          <w:color w:val="auto"/>
          <w:szCs w:val="21"/>
          <w:highlight w:val="none"/>
          <w:lang w:val="en-US" w:eastAsia="zh-CN"/>
        </w:rPr>
        <w:t>其参加本项目投标或投标人出具：在建项目所属建设单位同意其参加本项目投标的承诺函</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】，否则取消中标资格。</w:t>
      </w:r>
    </w:p>
    <w:p w14:paraId="72E58AC2">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6</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4B9F1141">
      <w:pPr>
        <w:spacing w:line="440" w:lineRule="exact"/>
        <w:ind w:left="420"/>
        <w:rPr>
          <w:rFonts w:hint="default" w:ascii="宋体" w:eastAsia="宋体"/>
          <w:color w:val="auto"/>
          <w:szCs w:val="21"/>
          <w:highlight w:val="none"/>
          <w:lang w:val="en-US" w:eastAsia="zh-CN"/>
        </w:rPr>
        <w:sectPr>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宋体" w:eastAsia="宋体"/>
          <w:color w:val="auto"/>
          <w:szCs w:val="21"/>
          <w:highlight w:val="none"/>
          <w:lang w:eastAsia="zh-CN"/>
        </w:rPr>
        <w:t>（</w:t>
      </w:r>
      <w:r>
        <w:rPr>
          <w:rFonts w:hint="eastAsia" w:ascii="宋体"/>
          <w:color w:val="auto"/>
          <w:szCs w:val="21"/>
          <w:highlight w:val="none"/>
          <w:lang w:val="en-US" w:eastAsia="zh-CN"/>
        </w:rPr>
        <w:t>7</w:t>
      </w:r>
      <w:r>
        <w:rPr>
          <w:rFonts w:hint="eastAsia" w:ascii="宋体" w:eastAsia="宋体"/>
          <w:color w:val="auto"/>
          <w:szCs w:val="21"/>
          <w:highlight w:val="none"/>
          <w:lang w:val="en-US" w:eastAsia="zh-CN"/>
        </w:rPr>
        <w:t>）</w:t>
      </w:r>
      <w:r>
        <w:rPr>
          <w:rFonts w:hint="eastAsia" w:ascii="宋体"/>
          <w:color w:val="auto"/>
          <w:szCs w:val="21"/>
          <w:highlight w:val="none"/>
          <w:lang w:val="en-US" w:eastAsia="zh-CN"/>
        </w:rPr>
        <w:t>资信评分及投标人认为需要提供的证明材料。</w:t>
      </w:r>
    </w:p>
    <w:p w14:paraId="12A309E3">
      <w:pPr>
        <w:spacing w:line="360" w:lineRule="auto"/>
        <w:rPr>
          <w:rFonts w:hint="eastAsia"/>
          <w:b/>
          <w:color w:val="auto"/>
          <w:sz w:val="28"/>
          <w:szCs w:val="28"/>
          <w:highlight w:val="none"/>
        </w:rPr>
      </w:pPr>
      <w:r>
        <w:rPr>
          <w:rFonts w:hint="eastAsia"/>
          <w:b/>
          <w:color w:val="auto"/>
          <w:sz w:val="28"/>
          <w:szCs w:val="28"/>
          <w:highlight w:val="none"/>
        </w:rPr>
        <w:t>附件1</w:t>
      </w:r>
    </w:p>
    <w:p w14:paraId="0297AD0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83D3138">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753793">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19663A">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B5DF85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B1CBFB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DA2303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BB6CD85">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B53ECF3">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3DC411F5">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43A445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726C06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F1660A">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D691DB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23EFD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B3C3182">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F2C4FEE">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F2B62F9">
      <w:pPr>
        <w:spacing w:line="480" w:lineRule="exact"/>
        <w:rPr>
          <w:rFonts w:hint="eastAsia" w:ascii="宋体"/>
          <w:color w:val="auto"/>
          <w:sz w:val="24"/>
          <w:szCs w:val="24"/>
          <w:highlight w:val="none"/>
        </w:rPr>
      </w:pPr>
      <w:r>
        <w:rPr>
          <w:rFonts w:hint="eastAsia" w:ascii="宋体"/>
          <w:color w:val="auto"/>
          <w:sz w:val="24"/>
          <w:highlight w:val="none"/>
        </w:rPr>
        <w:t xml:space="preserve">                                     投标人：            </w:t>
      </w:r>
      <w:r>
        <w:rPr>
          <w:rFonts w:hint="eastAsia" w:ascii="宋体"/>
          <w:color w:val="auto"/>
          <w:sz w:val="24"/>
          <w:szCs w:val="24"/>
          <w:highlight w:val="none"/>
        </w:rPr>
        <w:t xml:space="preserve"> （盖单位章）</w:t>
      </w:r>
    </w:p>
    <w:p w14:paraId="2F96CCFC">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4"/>
          <w:szCs w:val="24"/>
          <w:highlight w:val="none"/>
        </w:rPr>
        <w:t xml:space="preserve">    （</w:t>
      </w:r>
      <w:r>
        <w:rPr>
          <w:rFonts w:hint="eastAsia" w:ascii="宋体"/>
          <w:color w:val="auto"/>
          <w:sz w:val="24"/>
          <w:szCs w:val="24"/>
          <w:highlight w:val="none"/>
          <w:lang w:val="en-US" w:eastAsia="zh-CN"/>
        </w:rPr>
        <w:t>签字或盖章</w:t>
      </w:r>
      <w:r>
        <w:rPr>
          <w:rFonts w:hint="eastAsia" w:ascii="宋体"/>
          <w:color w:val="auto"/>
          <w:sz w:val="24"/>
          <w:szCs w:val="24"/>
          <w:highlight w:val="none"/>
        </w:rPr>
        <w:t>）</w:t>
      </w:r>
    </w:p>
    <w:p w14:paraId="1CCB353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DFB8282">
      <w:pPr>
        <w:spacing w:line="360" w:lineRule="exact"/>
        <w:ind w:firstLine="413" w:firstLineChars="147"/>
        <w:rPr>
          <w:rFonts w:hint="eastAsia"/>
          <w:b/>
          <w:color w:val="auto"/>
          <w:sz w:val="28"/>
          <w:szCs w:val="28"/>
          <w:highlight w:val="none"/>
          <w:u w:val="single"/>
        </w:rPr>
      </w:pPr>
    </w:p>
    <w:p w14:paraId="454DA86A">
      <w:pPr>
        <w:spacing w:line="360" w:lineRule="exact"/>
        <w:ind w:firstLine="413" w:firstLineChars="147"/>
        <w:rPr>
          <w:rFonts w:hint="eastAsia"/>
          <w:b/>
          <w:color w:val="auto"/>
          <w:sz w:val="28"/>
          <w:szCs w:val="28"/>
          <w:highlight w:val="none"/>
          <w:u w:val="single"/>
        </w:rPr>
      </w:pPr>
    </w:p>
    <w:p w14:paraId="65A449F2">
      <w:pPr>
        <w:spacing w:line="360" w:lineRule="exact"/>
        <w:ind w:firstLine="443" w:firstLineChars="147"/>
        <w:rPr>
          <w:rFonts w:hint="eastAsia" w:ascii="宋体"/>
          <w:b/>
          <w:color w:val="auto"/>
          <w:sz w:val="30"/>
          <w:szCs w:val="30"/>
          <w:highlight w:val="none"/>
          <w:lang w:val="en-US"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2</w:t>
      </w:r>
    </w:p>
    <w:p w14:paraId="27358D03">
      <w:pPr>
        <w:spacing w:line="360" w:lineRule="exact"/>
        <w:ind w:firstLine="472" w:firstLineChars="147"/>
        <w:jc w:val="center"/>
        <w:rPr>
          <w:rFonts w:hint="eastAsia" w:ascii="宋体" w:hAnsi="宋体" w:cs="宋体"/>
          <w:b/>
          <w:color w:val="auto"/>
          <w:sz w:val="32"/>
          <w:szCs w:val="32"/>
          <w:highlight w:val="none"/>
        </w:rPr>
      </w:pPr>
    </w:p>
    <w:p w14:paraId="0C138B7C">
      <w:pPr>
        <w:spacing w:line="360" w:lineRule="exact"/>
        <w:ind w:firstLine="472" w:firstLineChars="147"/>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承诺函</w:t>
      </w:r>
    </w:p>
    <w:p w14:paraId="2C220FBA">
      <w:pPr>
        <w:spacing w:line="560" w:lineRule="exact"/>
        <w:rPr>
          <w:color w:val="auto"/>
          <w:highlight w:val="none"/>
        </w:rPr>
      </w:pPr>
    </w:p>
    <w:p w14:paraId="4B7880DE">
      <w:pPr>
        <w:spacing w:before="156" w:beforeLines="50" w:after="156" w:afterLines="50" w:line="560" w:lineRule="exact"/>
        <w:rPr>
          <w:rFonts w:hint="eastAsia" w:ascii="宋体"/>
          <w:b/>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（招标人）：</w:t>
      </w:r>
    </w:p>
    <w:p w14:paraId="00E476B4">
      <w:pPr>
        <w:spacing w:line="560" w:lineRule="exact"/>
        <w:ind w:firstLine="470" w:firstLineChars="196"/>
        <w:rPr>
          <w:rFonts w:hint="eastAsia"/>
          <w:color w:val="auto"/>
          <w:sz w:val="24"/>
          <w:highlight w:val="none"/>
        </w:rPr>
      </w:pPr>
      <w:r>
        <w:rPr>
          <w:rFonts w:hint="eastAsia" w:ascii="宋体"/>
          <w:color w:val="auto"/>
          <w:sz w:val="24"/>
          <w:highlight w:val="none"/>
        </w:rPr>
        <w:t>我公司现承诺在</w:t>
      </w:r>
      <w:r>
        <w:rPr>
          <w:rFonts w:hint="eastAsia" w:ascii="宋体"/>
          <w:color w:val="auto"/>
          <w:sz w:val="24"/>
          <w:highlight w:val="none"/>
          <w:u w:val="single"/>
        </w:rPr>
        <w:t xml:space="preserve">                               （项目名称）</w:t>
      </w:r>
      <w:r>
        <w:rPr>
          <w:rFonts w:hint="eastAsia" w:ascii="宋体"/>
          <w:color w:val="auto"/>
          <w:sz w:val="24"/>
          <w:highlight w:val="none"/>
        </w:rPr>
        <w:t>中拟派的项目负责人（总监理工程师）</w:t>
      </w:r>
      <w:r>
        <w:rPr>
          <w:rFonts w:hint="eastAsia" w:ascii="宋体"/>
          <w:color w:val="auto"/>
          <w:sz w:val="24"/>
          <w:highlight w:val="none"/>
          <w:u w:val="single"/>
        </w:rPr>
        <w:t xml:space="preserve">       （姓名） </w:t>
      </w:r>
      <w:r>
        <w:rPr>
          <w:rFonts w:ascii="宋体" w:hAnsi="宋体" w:eastAsia="宋体" w:cs="宋体"/>
          <w:color w:val="auto"/>
          <w:sz w:val="24"/>
          <w:szCs w:val="24"/>
          <w:highlight w:val="none"/>
        </w:rPr>
        <w:t>在本项目所在市行政区域外无在建，在本项目所在市行政区域</w:t>
      </w:r>
      <w:r>
        <w:rPr>
          <w:rFonts w:hint="eastAsia" w:ascii="宋体" w:hAnsi="宋体" w:eastAsia="宋体" w:cs="宋体"/>
          <w:b/>
          <w:bCs w:val="0"/>
          <w:color w:val="auto"/>
          <w:kern w:val="2"/>
          <w:sz w:val="24"/>
          <w:szCs w:val="24"/>
          <w:highlight w:val="none"/>
          <w:lang w:val="en-US" w:eastAsia="zh-CN" w:bidi="ar"/>
        </w:rPr>
        <w:t xml:space="preserve">有 </w:t>
      </w:r>
      <w:r>
        <w:rPr>
          <w:rFonts w:hint="eastAsia" w:ascii="宋体" w:hAnsi="宋体" w:eastAsia="宋体" w:cs="宋体"/>
          <w:b/>
          <w:bCs w:val="0"/>
          <w:color w:val="auto"/>
          <w:kern w:val="2"/>
          <w:sz w:val="24"/>
          <w:szCs w:val="24"/>
          <w:highlight w:val="none"/>
          <w:u w:val="singl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个在监项目</w:t>
      </w:r>
      <w:r>
        <w:rPr>
          <w:rFonts w:hint="eastAsia" w:ascii="宋体" w:hAnsi="宋体" w:cs="宋体-18030"/>
          <w:b/>
          <w:color w:val="auto"/>
          <w:sz w:val="24"/>
          <w:highlight w:val="none"/>
        </w:rPr>
        <w:t>。</w:t>
      </w:r>
      <w:r>
        <w:rPr>
          <w:rFonts w:hint="eastAsia" w:ascii="宋体" w:hAnsi="宋体" w:cs="宋体-18030"/>
          <w:bCs/>
          <w:color w:val="auto"/>
          <w:sz w:val="24"/>
          <w:highlight w:val="none"/>
        </w:rPr>
        <w:t>若有虚假</w:t>
      </w:r>
      <w:r>
        <w:rPr>
          <w:rFonts w:hint="eastAsia"/>
          <w:color w:val="auto"/>
          <w:sz w:val="24"/>
          <w:highlight w:val="none"/>
        </w:rPr>
        <w:t>则取消我公司中标资格，情节严重的，提请相关行政执法部门和招投标监督管理部门对我公司进行处罚。</w:t>
      </w:r>
    </w:p>
    <w:p w14:paraId="399B43DF">
      <w:pPr>
        <w:spacing w:line="560" w:lineRule="exact"/>
        <w:ind w:firstLine="472" w:firstLineChars="196"/>
        <w:rPr>
          <w:b/>
          <w:color w:val="auto"/>
          <w:sz w:val="24"/>
          <w:highlight w:val="none"/>
        </w:rPr>
      </w:pPr>
      <w:r>
        <w:rPr>
          <w:rFonts w:hint="eastAsia"/>
          <w:b/>
          <w:color w:val="auto"/>
          <w:sz w:val="24"/>
          <w:highlight w:val="none"/>
        </w:rPr>
        <w:t>特此承诺。</w:t>
      </w:r>
    </w:p>
    <w:p w14:paraId="742BCE43">
      <w:pPr>
        <w:spacing w:line="560" w:lineRule="exact"/>
        <w:ind w:firstLine="3120" w:firstLineChars="1300"/>
        <w:rPr>
          <w:color w:val="auto"/>
          <w:sz w:val="24"/>
          <w:highlight w:val="none"/>
        </w:rPr>
      </w:pPr>
    </w:p>
    <w:p w14:paraId="3AEA21A6">
      <w:pPr>
        <w:spacing w:line="560" w:lineRule="exact"/>
        <w:ind w:firstLine="3120" w:firstLineChars="1300"/>
        <w:rPr>
          <w:color w:val="auto"/>
          <w:sz w:val="24"/>
          <w:highlight w:val="none"/>
        </w:rPr>
      </w:pPr>
    </w:p>
    <w:p w14:paraId="74505821">
      <w:pPr>
        <w:spacing w:line="560" w:lineRule="exact"/>
        <w:ind w:firstLine="3120" w:firstLineChars="1300"/>
        <w:rPr>
          <w:color w:val="auto"/>
          <w:sz w:val="24"/>
          <w:highlight w:val="none"/>
        </w:rPr>
      </w:pPr>
    </w:p>
    <w:p w14:paraId="0070D767">
      <w:pPr>
        <w:spacing w:line="560" w:lineRule="exact"/>
        <w:ind w:firstLine="3120" w:firstLineChars="1300"/>
        <w:rPr>
          <w:color w:val="auto"/>
          <w:sz w:val="24"/>
          <w:highlight w:val="none"/>
        </w:rPr>
      </w:pPr>
    </w:p>
    <w:p w14:paraId="6B9519E7">
      <w:pPr>
        <w:spacing w:before="156" w:beforeLines="50" w:after="156" w:afterLines="50" w:line="560" w:lineRule="exact"/>
        <w:ind w:firstLine="3120" w:firstLineChars="1300"/>
        <w:jc w:val="center"/>
        <w:rPr>
          <w:color w:val="auto"/>
          <w:sz w:val="24"/>
          <w:highlight w:val="none"/>
        </w:rPr>
      </w:pPr>
      <w:r>
        <w:rPr>
          <w:rFonts w:hint="eastAsia"/>
          <w:color w:val="auto"/>
          <w:sz w:val="24"/>
          <w:highlight w:val="none"/>
        </w:rPr>
        <w:t>投标人（签章）：</w:t>
      </w:r>
    </w:p>
    <w:p w14:paraId="0996AB43">
      <w:pPr>
        <w:spacing w:before="156" w:beforeLines="50" w:after="156" w:afterLines="50" w:line="560" w:lineRule="exact"/>
        <w:ind w:firstLine="3120" w:firstLineChars="130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法定代表人（签章）：</w:t>
      </w:r>
    </w:p>
    <w:p w14:paraId="00B6E5F3">
      <w:pPr>
        <w:spacing w:before="156" w:beforeLines="50" w:after="156" w:afterLines="50" w:line="560" w:lineRule="exact"/>
        <w:ind w:firstLine="3120" w:firstLineChars="130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日期：  年  月   日</w:t>
      </w:r>
    </w:p>
    <w:p w14:paraId="0AE554DE">
      <w:pPr>
        <w:spacing w:before="156" w:beforeLines="50" w:after="156" w:afterLines="50" w:line="560" w:lineRule="exact"/>
        <w:ind w:firstLine="3120" w:firstLineChars="1300"/>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br w:type="page"/>
      </w:r>
    </w:p>
    <w:p w14:paraId="5D81EF35">
      <w:pPr>
        <w:spacing w:line="360" w:lineRule="exact"/>
        <w:ind w:firstLine="443" w:firstLineChars="147"/>
        <w:rPr>
          <w:rFonts w:hint="eastAsia" w:ascii="宋体" w:eastAsia="宋体"/>
          <w:b/>
          <w:color w:val="auto"/>
          <w:sz w:val="30"/>
          <w:szCs w:val="30"/>
          <w:highlight w:val="none"/>
          <w:lang w:eastAsia="zh-CN"/>
        </w:rPr>
      </w:pPr>
      <w:r>
        <w:rPr>
          <w:rFonts w:hint="eastAsia" w:ascii="宋体"/>
          <w:b/>
          <w:color w:val="auto"/>
          <w:sz w:val="30"/>
          <w:szCs w:val="30"/>
          <w:highlight w:val="none"/>
        </w:rPr>
        <w:t>附件</w:t>
      </w:r>
      <w:r>
        <w:rPr>
          <w:rFonts w:hint="eastAsia" w:ascii="宋体"/>
          <w:b/>
          <w:color w:val="auto"/>
          <w:sz w:val="30"/>
          <w:szCs w:val="30"/>
          <w:highlight w:val="none"/>
          <w:lang w:val="en-US" w:eastAsia="zh-CN"/>
        </w:rPr>
        <w:t>3</w:t>
      </w:r>
    </w:p>
    <w:p w14:paraId="66A28F69">
      <w:pPr>
        <w:spacing w:line="360" w:lineRule="auto"/>
        <w:jc w:val="center"/>
        <w:rPr>
          <w:rFonts w:hint="eastAsia"/>
          <w:b/>
          <w:color w:val="auto"/>
          <w:sz w:val="28"/>
          <w:szCs w:val="28"/>
          <w:highlight w:val="none"/>
        </w:rPr>
      </w:pPr>
      <w:bookmarkStart w:id="118" w:name="_Toc440443268"/>
      <w:bookmarkStart w:id="119" w:name="_Toc449028950"/>
      <w:r>
        <w:rPr>
          <w:rFonts w:hint="eastAsia"/>
          <w:b/>
          <w:color w:val="auto"/>
          <w:sz w:val="28"/>
          <w:szCs w:val="28"/>
          <w:highlight w:val="none"/>
        </w:rPr>
        <w:t>诚信投标承诺书 </w:t>
      </w:r>
    </w:p>
    <w:p w14:paraId="3B4959A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17BEDF1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250ACD7">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采购活动前三年内，本单位在经营活动中没有重大违法记录，没有因违法经营受到刑事处罚或者责令停产停业、吊销许可证或者执照、较大数额罚款等行政处罚。</w:t>
      </w:r>
    </w:p>
    <w:p w14:paraId="3591544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88BD8D">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AA7A7B">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6455B08">
      <w:pPr>
        <w:keepNext w:val="0"/>
        <w:keepLines w:val="0"/>
        <w:pageBreakBefore w:val="0"/>
        <w:widowControl w:val="0"/>
        <w:kinsoku/>
        <w:wordWrap/>
        <w:overflowPunct/>
        <w:topLinePunct w:val="0"/>
        <w:autoSpaceDE/>
        <w:autoSpaceDN/>
        <w:bidi w:val="0"/>
        <w:adjustRightInd w:val="0"/>
        <w:snapToGrid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120" w:name="OLE_LINK134"/>
      <w:bookmarkStart w:id="121" w:name="OLE_LINK133"/>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120"/>
      <w:bookmarkEnd w:id="121"/>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20CDDA7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77F25EE6">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17199933">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2E01290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6D1E74">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5912448">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BF6B4A5">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w:t>
      </w:r>
    </w:p>
    <w:p w14:paraId="3C713C1E">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560E290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410B759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p>
    <w:p w14:paraId="02DBA31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69AF867">
      <w:pPr>
        <w:spacing w:line="360" w:lineRule="auto"/>
        <w:jc w:val="center"/>
        <w:rPr>
          <w:rFonts w:hint="eastAsia"/>
          <w:b/>
          <w:color w:val="auto"/>
          <w:sz w:val="28"/>
          <w:szCs w:val="28"/>
          <w:highlight w:val="none"/>
        </w:rPr>
      </w:pPr>
    </w:p>
    <w:p w14:paraId="330836B9">
      <w:pPr>
        <w:spacing w:line="360" w:lineRule="exact"/>
        <w:ind w:firstLine="443" w:firstLineChars="147"/>
        <w:rPr>
          <w:rFonts w:hint="eastAsia" w:ascii="宋体"/>
          <w:b/>
          <w:color w:val="auto"/>
          <w:sz w:val="30"/>
          <w:szCs w:val="30"/>
          <w:highlight w:val="none"/>
        </w:rPr>
      </w:pPr>
    </w:p>
    <w:p w14:paraId="3A5E1A1C">
      <w:pPr>
        <w:spacing w:line="360" w:lineRule="exact"/>
        <w:ind w:firstLine="443" w:firstLineChars="147"/>
        <w:rPr>
          <w:rFonts w:hint="eastAsia" w:ascii="宋体"/>
          <w:b/>
          <w:color w:val="auto"/>
          <w:sz w:val="30"/>
          <w:szCs w:val="30"/>
          <w:highlight w:val="none"/>
        </w:rPr>
      </w:pPr>
    </w:p>
    <w:p w14:paraId="75C0279C">
      <w:pPr>
        <w:spacing w:line="360" w:lineRule="exact"/>
        <w:ind w:firstLine="443" w:firstLineChars="147"/>
        <w:rPr>
          <w:rFonts w:hint="eastAsia" w:ascii="宋体"/>
          <w:b/>
          <w:color w:val="auto"/>
          <w:sz w:val="30"/>
          <w:szCs w:val="30"/>
          <w:highlight w:val="none"/>
        </w:rPr>
      </w:pPr>
    </w:p>
    <w:p w14:paraId="2C30AD6E">
      <w:pPr>
        <w:spacing w:line="360" w:lineRule="exact"/>
        <w:ind w:firstLine="443" w:firstLineChars="147"/>
        <w:rPr>
          <w:rFonts w:hint="eastAsia" w:ascii="宋体"/>
          <w:b/>
          <w:color w:val="auto"/>
          <w:sz w:val="30"/>
          <w:szCs w:val="30"/>
          <w:highlight w:val="none"/>
        </w:rPr>
      </w:pPr>
    </w:p>
    <w:p w14:paraId="5EB60544">
      <w:pPr>
        <w:spacing w:line="360" w:lineRule="exact"/>
        <w:ind w:firstLine="443" w:firstLineChars="147"/>
        <w:rPr>
          <w:rFonts w:hint="eastAsia" w:ascii="宋体"/>
          <w:b/>
          <w:color w:val="auto"/>
          <w:sz w:val="30"/>
          <w:szCs w:val="30"/>
          <w:highlight w:val="none"/>
        </w:rPr>
      </w:pPr>
    </w:p>
    <w:p w14:paraId="5B74BB13">
      <w:pPr>
        <w:spacing w:line="360" w:lineRule="exact"/>
        <w:ind w:firstLine="443" w:firstLineChars="147"/>
        <w:rPr>
          <w:rFonts w:hint="eastAsia" w:ascii="宋体"/>
          <w:b/>
          <w:color w:val="auto"/>
          <w:sz w:val="30"/>
          <w:szCs w:val="30"/>
          <w:highlight w:val="none"/>
        </w:rPr>
      </w:pPr>
    </w:p>
    <w:p w14:paraId="43D732B4">
      <w:pPr>
        <w:spacing w:line="360" w:lineRule="exact"/>
        <w:ind w:firstLine="443" w:firstLineChars="147"/>
        <w:rPr>
          <w:rFonts w:hint="eastAsia" w:ascii="宋体"/>
          <w:b/>
          <w:color w:val="auto"/>
          <w:sz w:val="30"/>
          <w:szCs w:val="30"/>
          <w:highlight w:val="none"/>
        </w:rPr>
      </w:pPr>
    </w:p>
    <w:p w14:paraId="1C046224">
      <w:pPr>
        <w:spacing w:line="360" w:lineRule="exact"/>
        <w:ind w:firstLine="443" w:firstLineChars="147"/>
        <w:rPr>
          <w:rFonts w:hint="eastAsia" w:ascii="宋体"/>
          <w:b/>
          <w:color w:val="auto"/>
          <w:sz w:val="30"/>
          <w:szCs w:val="30"/>
          <w:highlight w:val="none"/>
        </w:rPr>
      </w:pPr>
    </w:p>
    <w:p w14:paraId="3FB6AE73">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14:paraId="62EDE90B">
      <w:pPr>
        <w:jc w:val="center"/>
        <w:rPr>
          <w:rFonts w:hint="eastAsia" w:ascii="宋体"/>
          <w:b/>
          <w:color w:val="auto"/>
          <w:sz w:val="44"/>
          <w:szCs w:val="44"/>
          <w:highlight w:val="none"/>
          <w:lang w:val="en-US" w:eastAsia="zh-CN"/>
        </w:rPr>
      </w:pPr>
    </w:p>
    <w:p w14:paraId="3D616ADD">
      <w:pPr>
        <w:jc w:val="center"/>
        <w:rPr>
          <w:rFonts w:hint="eastAsia" w:ascii="宋体"/>
          <w:b/>
          <w:color w:val="auto"/>
          <w:sz w:val="44"/>
          <w:szCs w:val="44"/>
          <w:highlight w:val="none"/>
          <w:lang w:val="en-US" w:eastAsia="zh-CN"/>
        </w:rPr>
      </w:pPr>
    </w:p>
    <w:p w14:paraId="7024A87C">
      <w:pPr>
        <w:jc w:val="center"/>
        <w:rPr>
          <w:rFonts w:hint="eastAsia" w:ascii="宋体"/>
          <w:b/>
          <w:color w:val="auto"/>
          <w:sz w:val="44"/>
          <w:szCs w:val="44"/>
          <w:highlight w:val="none"/>
        </w:rPr>
      </w:pPr>
      <w:r>
        <w:rPr>
          <w:rFonts w:hint="eastAsia" w:ascii="宋体"/>
          <w:b/>
          <w:color w:val="auto"/>
          <w:sz w:val="44"/>
          <w:szCs w:val="44"/>
          <w:highlight w:val="none"/>
          <w:lang w:val="en-US" w:eastAsia="zh-CN"/>
        </w:rPr>
        <w:t>技术标</w:t>
      </w:r>
      <w:r>
        <w:rPr>
          <w:rFonts w:hint="eastAsia" w:ascii="宋体"/>
          <w:b/>
          <w:color w:val="auto"/>
          <w:sz w:val="44"/>
          <w:szCs w:val="44"/>
          <w:highlight w:val="none"/>
        </w:rPr>
        <w:t>文件</w:t>
      </w:r>
    </w:p>
    <w:p w14:paraId="02982458">
      <w:pPr>
        <w:jc w:val="center"/>
        <w:rPr>
          <w:rFonts w:hint="eastAsia" w:eastAsia="黑体"/>
          <w:color w:val="auto"/>
          <w:sz w:val="44"/>
          <w:szCs w:val="44"/>
          <w:highlight w:val="none"/>
        </w:rPr>
      </w:pPr>
    </w:p>
    <w:p w14:paraId="2519BF06">
      <w:pPr>
        <w:jc w:val="center"/>
        <w:rPr>
          <w:rFonts w:hint="eastAsia" w:eastAsia="黑体"/>
          <w:color w:val="auto"/>
          <w:sz w:val="44"/>
          <w:szCs w:val="44"/>
          <w:highlight w:val="none"/>
        </w:rPr>
      </w:pPr>
    </w:p>
    <w:p w14:paraId="187337D8">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u w:val="single"/>
          <w:lang w:val="en-US" w:eastAsia="zh-CN"/>
        </w:rPr>
        <w:t xml:space="preserve">    </w:t>
      </w: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74D1A49">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2BB56C8E">
      <w:pPr>
        <w:rPr>
          <w:rFonts w:hint="eastAsia" w:ascii="宋体"/>
          <w:color w:val="auto"/>
          <w:sz w:val="28"/>
          <w:szCs w:val="28"/>
          <w:highlight w:val="none"/>
        </w:rPr>
      </w:pPr>
    </w:p>
    <w:p w14:paraId="34516A5B">
      <w:pPr>
        <w:rPr>
          <w:rFonts w:hint="eastAsia" w:ascii="宋体"/>
          <w:color w:val="auto"/>
          <w:sz w:val="28"/>
          <w:szCs w:val="28"/>
          <w:highlight w:val="none"/>
        </w:rPr>
      </w:pPr>
    </w:p>
    <w:p w14:paraId="14713276">
      <w:pPr>
        <w:rPr>
          <w:rFonts w:hint="eastAsia" w:ascii="宋体"/>
          <w:color w:val="auto"/>
          <w:sz w:val="28"/>
          <w:szCs w:val="28"/>
          <w:highlight w:val="none"/>
        </w:rPr>
      </w:pPr>
    </w:p>
    <w:p w14:paraId="351F8B3B">
      <w:pPr>
        <w:rPr>
          <w:rFonts w:hint="eastAsia" w:ascii="宋体"/>
          <w:color w:val="auto"/>
          <w:sz w:val="28"/>
          <w:szCs w:val="28"/>
          <w:highlight w:val="none"/>
        </w:rPr>
      </w:pPr>
    </w:p>
    <w:p w14:paraId="453C82B2">
      <w:pPr>
        <w:rPr>
          <w:rFonts w:hint="eastAsia" w:ascii="宋体"/>
          <w:color w:val="auto"/>
          <w:sz w:val="28"/>
          <w:szCs w:val="28"/>
          <w:highlight w:val="none"/>
        </w:rPr>
      </w:pPr>
    </w:p>
    <w:p w14:paraId="2945E859">
      <w:pPr>
        <w:rPr>
          <w:rFonts w:hint="eastAsia" w:ascii="宋体"/>
          <w:color w:val="auto"/>
          <w:sz w:val="28"/>
          <w:szCs w:val="28"/>
          <w:highlight w:val="none"/>
        </w:rPr>
      </w:pPr>
    </w:p>
    <w:p w14:paraId="3CD1E5E8">
      <w:pPr>
        <w:rPr>
          <w:rFonts w:hint="eastAsia" w:ascii="宋体"/>
          <w:color w:val="auto"/>
          <w:sz w:val="28"/>
          <w:szCs w:val="28"/>
          <w:highlight w:val="none"/>
        </w:rPr>
      </w:pPr>
    </w:p>
    <w:p w14:paraId="07886940">
      <w:pPr>
        <w:rPr>
          <w:rFonts w:hint="eastAsia" w:ascii="宋体"/>
          <w:color w:val="auto"/>
          <w:sz w:val="28"/>
          <w:szCs w:val="28"/>
          <w:highlight w:val="none"/>
        </w:rPr>
      </w:pPr>
    </w:p>
    <w:p w14:paraId="1A4C2138">
      <w:pPr>
        <w:rPr>
          <w:rFonts w:hint="eastAsia" w:ascii="宋体"/>
          <w:color w:val="auto"/>
          <w:sz w:val="28"/>
          <w:szCs w:val="28"/>
          <w:highlight w:val="none"/>
        </w:rPr>
      </w:pPr>
    </w:p>
    <w:p w14:paraId="2AEBB317">
      <w:pPr>
        <w:rPr>
          <w:rFonts w:hint="eastAsia" w:ascii="宋体"/>
          <w:color w:val="auto"/>
          <w:sz w:val="28"/>
          <w:szCs w:val="28"/>
          <w:highlight w:val="none"/>
        </w:rPr>
      </w:pPr>
    </w:p>
    <w:p w14:paraId="1886006D">
      <w:pPr>
        <w:rPr>
          <w:rFonts w:hint="eastAsia" w:ascii="宋体"/>
          <w:color w:val="auto"/>
          <w:sz w:val="28"/>
          <w:szCs w:val="28"/>
          <w:highlight w:val="none"/>
        </w:rPr>
      </w:pPr>
    </w:p>
    <w:p w14:paraId="2E6A180F">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58BCB9F">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5C5ADA7">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08309B1">
      <w:pPr>
        <w:jc w:val="center"/>
        <w:rPr>
          <w:rFonts w:hint="eastAsia"/>
          <w:b/>
          <w:color w:val="auto"/>
          <w:sz w:val="36"/>
          <w:szCs w:val="36"/>
          <w:highlight w:val="none"/>
        </w:rPr>
      </w:pPr>
    </w:p>
    <w:p w14:paraId="4DAA5AA5">
      <w:pPr>
        <w:jc w:val="center"/>
        <w:rPr>
          <w:rFonts w:hint="eastAsia"/>
          <w:b/>
          <w:color w:val="auto"/>
          <w:sz w:val="44"/>
          <w:szCs w:val="44"/>
          <w:highlight w:val="none"/>
        </w:rPr>
      </w:pPr>
      <w:r>
        <w:rPr>
          <w:rFonts w:hint="eastAsia"/>
          <w:b/>
          <w:color w:val="auto"/>
          <w:sz w:val="36"/>
          <w:szCs w:val="36"/>
          <w:highlight w:val="none"/>
        </w:rPr>
        <w:t>目   录</w:t>
      </w:r>
    </w:p>
    <w:p w14:paraId="6F637698">
      <w:pPr>
        <w:spacing w:line="500" w:lineRule="exact"/>
        <w:jc w:val="left"/>
        <w:rPr>
          <w:rFonts w:hint="eastAsia" w:ascii="宋体"/>
          <w:color w:val="auto"/>
          <w:szCs w:val="21"/>
          <w:highlight w:val="none"/>
        </w:rPr>
      </w:pPr>
    </w:p>
    <w:p w14:paraId="20B7276C">
      <w:pPr>
        <w:spacing w:line="500" w:lineRule="exact"/>
        <w:ind w:firstLine="420" w:firstLineChars="200"/>
        <w:jc w:val="left"/>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1）服务承诺书</w:t>
      </w:r>
      <w:r>
        <w:rPr>
          <w:rFonts w:hint="eastAsia" w:ascii="宋体" w:hAnsi="Times New Roman" w:eastAsia="宋体" w:cs="Times New Roman"/>
          <w:color w:val="auto"/>
          <w:szCs w:val="21"/>
          <w:highlight w:val="none"/>
          <w:lang w:eastAsia="zh-CN"/>
        </w:rPr>
        <w:t>（格式见附件）；</w:t>
      </w:r>
    </w:p>
    <w:p w14:paraId="08F0D5ED">
      <w:pPr>
        <w:spacing w:line="500" w:lineRule="exact"/>
        <w:ind w:firstLine="420" w:firstLineChars="200"/>
        <w:jc w:val="left"/>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技术标评分及投标人认为需提供的证明材料。</w:t>
      </w:r>
    </w:p>
    <w:p w14:paraId="46084CE2">
      <w:pPr>
        <w:spacing w:line="360" w:lineRule="exact"/>
        <w:rPr>
          <w:rFonts w:hint="eastAsia" w:ascii="宋体"/>
          <w:b/>
          <w:color w:val="auto"/>
          <w:sz w:val="30"/>
          <w:szCs w:val="30"/>
          <w:highlight w:val="none"/>
        </w:rPr>
      </w:pPr>
    </w:p>
    <w:bookmarkEnd w:id="118"/>
    <w:bookmarkEnd w:id="119"/>
    <w:p w14:paraId="1C2BCE81">
      <w:pPr>
        <w:spacing w:line="360" w:lineRule="auto"/>
        <w:rPr>
          <w:rFonts w:hint="eastAsia"/>
          <w:b/>
          <w:color w:val="auto"/>
          <w:sz w:val="28"/>
          <w:szCs w:val="28"/>
          <w:highlight w:val="none"/>
        </w:rPr>
      </w:pPr>
    </w:p>
    <w:p w14:paraId="63A73FBD">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1</w:t>
      </w:r>
    </w:p>
    <w:p w14:paraId="4372AF6B">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4EF38558">
      <w:pPr>
        <w:ind w:firstLine="480" w:firstLineChars="200"/>
        <w:rPr>
          <w:rFonts w:hint="eastAsia" w:ascii="宋体"/>
          <w:color w:val="auto"/>
          <w:sz w:val="24"/>
          <w:highlight w:val="none"/>
        </w:rPr>
      </w:pPr>
    </w:p>
    <w:p w14:paraId="3D773E43">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75567643">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786272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50D0C2D">
      <w:pPr>
        <w:spacing w:line="600" w:lineRule="exact"/>
        <w:rPr>
          <w:rFonts w:hint="eastAsia" w:ascii="宋体"/>
          <w:color w:val="auto"/>
          <w:sz w:val="24"/>
          <w:highlight w:val="none"/>
        </w:rPr>
      </w:pPr>
      <w:r>
        <w:rPr>
          <w:rFonts w:hint="eastAsia" w:ascii="宋体"/>
          <w:color w:val="auto"/>
          <w:sz w:val="24"/>
          <w:highlight w:val="none"/>
        </w:rPr>
        <w:t> </w:t>
      </w:r>
    </w:p>
    <w:p w14:paraId="2B82BB2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2CCD3DE">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2DB5FF8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00CDC893">
      <w:pPr>
        <w:pStyle w:val="14"/>
        <w:rPr>
          <w:color w:val="auto"/>
          <w:highlight w:val="none"/>
        </w:rPr>
      </w:pPr>
    </w:p>
    <w:p w14:paraId="29454810">
      <w:pPr>
        <w:spacing w:line="400" w:lineRule="exact"/>
        <w:ind w:firstLine="562" w:firstLineChars="200"/>
        <w:rPr>
          <w:rFonts w:hint="eastAsia"/>
          <w:b/>
          <w:color w:val="auto"/>
          <w:sz w:val="28"/>
          <w:szCs w:val="28"/>
          <w:highlight w:val="none"/>
        </w:rPr>
      </w:pPr>
    </w:p>
    <w:p w14:paraId="4C709C56">
      <w:pPr>
        <w:spacing w:line="400" w:lineRule="exact"/>
        <w:ind w:firstLine="562" w:firstLineChars="200"/>
        <w:rPr>
          <w:rFonts w:hint="eastAsia"/>
          <w:b/>
          <w:color w:val="auto"/>
          <w:sz w:val="28"/>
          <w:szCs w:val="28"/>
          <w:highlight w:val="none"/>
        </w:rPr>
      </w:pPr>
    </w:p>
    <w:p w14:paraId="164AFB4D">
      <w:pPr>
        <w:spacing w:line="400" w:lineRule="exact"/>
        <w:ind w:firstLine="562" w:firstLineChars="200"/>
        <w:rPr>
          <w:rFonts w:hint="eastAsia"/>
          <w:b/>
          <w:color w:val="auto"/>
          <w:sz w:val="28"/>
          <w:szCs w:val="28"/>
          <w:highlight w:val="none"/>
        </w:rPr>
      </w:pPr>
    </w:p>
    <w:p w14:paraId="007E467B">
      <w:pPr>
        <w:spacing w:line="400" w:lineRule="exact"/>
        <w:ind w:firstLine="562" w:firstLineChars="200"/>
        <w:rPr>
          <w:rFonts w:hint="eastAsia"/>
          <w:b/>
          <w:color w:val="auto"/>
          <w:sz w:val="28"/>
          <w:szCs w:val="28"/>
          <w:highlight w:val="none"/>
        </w:rPr>
      </w:pPr>
    </w:p>
    <w:p w14:paraId="3D4B71C3">
      <w:pPr>
        <w:spacing w:line="400" w:lineRule="exact"/>
        <w:ind w:firstLine="562" w:firstLineChars="200"/>
        <w:rPr>
          <w:rFonts w:hint="eastAsia"/>
          <w:b/>
          <w:color w:val="auto"/>
          <w:sz w:val="28"/>
          <w:szCs w:val="28"/>
          <w:highlight w:val="none"/>
        </w:rPr>
      </w:pPr>
    </w:p>
    <w:p w14:paraId="526AA94C">
      <w:pPr>
        <w:spacing w:line="400" w:lineRule="exact"/>
        <w:ind w:firstLine="562" w:firstLineChars="200"/>
        <w:rPr>
          <w:rFonts w:hint="eastAsia"/>
          <w:b/>
          <w:color w:val="auto"/>
          <w:sz w:val="28"/>
          <w:szCs w:val="28"/>
          <w:highlight w:val="none"/>
        </w:rPr>
      </w:pPr>
    </w:p>
    <w:p w14:paraId="27246F98">
      <w:pPr>
        <w:spacing w:line="400" w:lineRule="exact"/>
        <w:ind w:firstLine="562" w:firstLineChars="200"/>
        <w:rPr>
          <w:rFonts w:hint="eastAsia"/>
          <w:b/>
          <w:color w:val="auto"/>
          <w:sz w:val="28"/>
          <w:szCs w:val="28"/>
          <w:highlight w:val="none"/>
        </w:rPr>
      </w:pPr>
    </w:p>
    <w:p w14:paraId="73164738">
      <w:pPr>
        <w:spacing w:line="400" w:lineRule="exact"/>
        <w:ind w:firstLine="562" w:firstLineChars="200"/>
        <w:rPr>
          <w:rFonts w:hint="eastAsia"/>
          <w:b/>
          <w:color w:val="auto"/>
          <w:sz w:val="28"/>
          <w:szCs w:val="28"/>
          <w:highlight w:val="none"/>
        </w:rPr>
      </w:pPr>
    </w:p>
    <w:p w14:paraId="75908629">
      <w:pPr>
        <w:spacing w:line="400" w:lineRule="exact"/>
        <w:rPr>
          <w:b/>
          <w:color w:val="auto"/>
          <w:sz w:val="28"/>
          <w:szCs w:val="28"/>
          <w:highlight w:val="none"/>
        </w:rPr>
      </w:pPr>
    </w:p>
    <w:p w14:paraId="00EFC75B">
      <w:pPr>
        <w:pStyle w:val="34"/>
        <w:rPr>
          <w:color w:val="auto"/>
          <w:highlight w:val="none"/>
        </w:rPr>
      </w:pPr>
    </w:p>
    <w:p w14:paraId="7E31D460">
      <w:pPr>
        <w:spacing w:line="440" w:lineRule="exact"/>
        <w:rPr>
          <w:rFonts w:hint="eastAsia" w:ascii="宋体" w:eastAsia="宋体"/>
          <w:color w:val="auto"/>
          <w:szCs w:val="21"/>
          <w:highlight w:val="none"/>
        </w:rPr>
      </w:pPr>
    </w:p>
    <w:p w14:paraId="5D4F9D6C">
      <w:pPr>
        <w:jc w:val="center"/>
        <w:rPr>
          <w:rFonts w:hint="eastAsia" w:ascii="宋体"/>
          <w:b/>
          <w:color w:val="auto"/>
          <w:sz w:val="44"/>
          <w:szCs w:val="44"/>
          <w:highlight w:val="none"/>
          <w:lang w:val="en-US" w:eastAsia="zh-CN"/>
        </w:rPr>
      </w:pPr>
    </w:p>
    <w:p w14:paraId="4A6EFD63">
      <w:pPr>
        <w:jc w:val="center"/>
        <w:rPr>
          <w:rFonts w:hint="eastAsia" w:ascii="宋体"/>
          <w:b/>
          <w:color w:val="auto"/>
          <w:sz w:val="44"/>
          <w:szCs w:val="44"/>
          <w:highlight w:val="none"/>
          <w:lang w:val="en-US" w:eastAsia="zh-CN"/>
        </w:rPr>
      </w:pPr>
    </w:p>
    <w:p w14:paraId="785DD69D">
      <w:pPr>
        <w:jc w:val="center"/>
        <w:rPr>
          <w:rFonts w:hint="eastAsia" w:ascii="宋体"/>
          <w:b/>
          <w:color w:val="auto"/>
          <w:sz w:val="44"/>
          <w:szCs w:val="44"/>
          <w:highlight w:val="none"/>
        </w:rPr>
      </w:pPr>
      <w:r>
        <w:rPr>
          <w:rFonts w:hint="eastAsia" w:ascii="宋体"/>
          <w:b/>
          <w:color w:val="auto"/>
          <w:sz w:val="44"/>
          <w:szCs w:val="44"/>
          <w:highlight w:val="none"/>
          <w:lang w:val="en-US" w:eastAsia="zh-CN"/>
        </w:rPr>
        <w:t>商务标</w:t>
      </w:r>
      <w:r>
        <w:rPr>
          <w:rFonts w:hint="eastAsia" w:ascii="宋体"/>
          <w:b/>
          <w:color w:val="auto"/>
          <w:sz w:val="44"/>
          <w:szCs w:val="44"/>
          <w:highlight w:val="none"/>
        </w:rPr>
        <w:t>文件</w:t>
      </w:r>
    </w:p>
    <w:p w14:paraId="639524AC">
      <w:pPr>
        <w:jc w:val="center"/>
        <w:rPr>
          <w:rFonts w:hint="eastAsia" w:eastAsia="黑体"/>
          <w:color w:val="auto"/>
          <w:sz w:val="44"/>
          <w:szCs w:val="44"/>
          <w:highlight w:val="none"/>
        </w:rPr>
      </w:pPr>
    </w:p>
    <w:p w14:paraId="6075D52D">
      <w:pPr>
        <w:jc w:val="center"/>
        <w:rPr>
          <w:rFonts w:hint="eastAsia" w:eastAsia="黑体"/>
          <w:color w:val="auto"/>
          <w:sz w:val="44"/>
          <w:szCs w:val="44"/>
          <w:highlight w:val="none"/>
        </w:rPr>
      </w:pPr>
    </w:p>
    <w:p w14:paraId="2937DB3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A6A8186">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36598A67">
      <w:pPr>
        <w:rPr>
          <w:rFonts w:hint="eastAsia" w:ascii="宋体"/>
          <w:color w:val="auto"/>
          <w:sz w:val="28"/>
          <w:szCs w:val="28"/>
          <w:highlight w:val="none"/>
        </w:rPr>
      </w:pPr>
    </w:p>
    <w:p w14:paraId="2288722B">
      <w:pPr>
        <w:rPr>
          <w:rFonts w:hint="eastAsia" w:ascii="宋体"/>
          <w:color w:val="auto"/>
          <w:sz w:val="28"/>
          <w:szCs w:val="28"/>
          <w:highlight w:val="none"/>
        </w:rPr>
      </w:pPr>
    </w:p>
    <w:p w14:paraId="76EC36F1">
      <w:pPr>
        <w:rPr>
          <w:rFonts w:hint="eastAsia" w:ascii="宋体"/>
          <w:color w:val="auto"/>
          <w:sz w:val="28"/>
          <w:szCs w:val="28"/>
          <w:highlight w:val="none"/>
        </w:rPr>
      </w:pPr>
    </w:p>
    <w:p w14:paraId="796C2EC6">
      <w:pPr>
        <w:rPr>
          <w:rFonts w:hint="eastAsia" w:ascii="宋体"/>
          <w:color w:val="auto"/>
          <w:sz w:val="28"/>
          <w:szCs w:val="28"/>
          <w:highlight w:val="none"/>
        </w:rPr>
      </w:pPr>
    </w:p>
    <w:p w14:paraId="4CDAF893">
      <w:pPr>
        <w:rPr>
          <w:rFonts w:hint="eastAsia" w:ascii="宋体"/>
          <w:color w:val="auto"/>
          <w:sz w:val="28"/>
          <w:szCs w:val="28"/>
          <w:highlight w:val="none"/>
        </w:rPr>
      </w:pPr>
    </w:p>
    <w:p w14:paraId="420B8867">
      <w:pPr>
        <w:rPr>
          <w:rFonts w:hint="eastAsia" w:ascii="宋体"/>
          <w:color w:val="auto"/>
          <w:sz w:val="28"/>
          <w:szCs w:val="28"/>
          <w:highlight w:val="none"/>
        </w:rPr>
      </w:pPr>
    </w:p>
    <w:p w14:paraId="6AA3F05B">
      <w:pPr>
        <w:rPr>
          <w:rFonts w:hint="eastAsia" w:ascii="宋体"/>
          <w:color w:val="auto"/>
          <w:sz w:val="28"/>
          <w:szCs w:val="28"/>
          <w:highlight w:val="none"/>
        </w:rPr>
      </w:pPr>
    </w:p>
    <w:p w14:paraId="44DEE76B">
      <w:pPr>
        <w:rPr>
          <w:rFonts w:hint="eastAsia" w:ascii="宋体"/>
          <w:color w:val="auto"/>
          <w:sz w:val="28"/>
          <w:szCs w:val="28"/>
          <w:highlight w:val="none"/>
        </w:rPr>
      </w:pPr>
    </w:p>
    <w:p w14:paraId="3DA94805">
      <w:pPr>
        <w:rPr>
          <w:rFonts w:hint="eastAsia" w:ascii="宋体"/>
          <w:color w:val="auto"/>
          <w:sz w:val="28"/>
          <w:szCs w:val="28"/>
          <w:highlight w:val="none"/>
        </w:rPr>
      </w:pPr>
    </w:p>
    <w:p w14:paraId="1D641FC0">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6D7794D">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5E051238">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D7D13F1">
      <w:pPr>
        <w:rPr>
          <w:rFonts w:hint="eastAsia" w:ascii="宋体"/>
          <w:b/>
          <w:color w:val="auto"/>
          <w:sz w:val="36"/>
          <w:szCs w:val="36"/>
          <w:highlight w:val="none"/>
        </w:rPr>
      </w:pPr>
      <w:r>
        <w:rPr>
          <w:rFonts w:hint="eastAsia" w:ascii="宋体"/>
          <w:b/>
          <w:color w:val="auto"/>
          <w:sz w:val="36"/>
          <w:szCs w:val="36"/>
          <w:highlight w:val="none"/>
        </w:rPr>
        <w:br w:type="page"/>
      </w:r>
    </w:p>
    <w:p w14:paraId="3FB9383F">
      <w:pPr>
        <w:jc w:val="center"/>
        <w:rPr>
          <w:rFonts w:hint="eastAsia"/>
          <w:b/>
          <w:color w:val="auto"/>
          <w:sz w:val="44"/>
          <w:szCs w:val="44"/>
          <w:highlight w:val="none"/>
        </w:rPr>
      </w:pPr>
      <w:r>
        <w:rPr>
          <w:rFonts w:hint="eastAsia"/>
          <w:b/>
          <w:color w:val="auto"/>
          <w:sz w:val="36"/>
          <w:szCs w:val="36"/>
          <w:highlight w:val="none"/>
        </w:rPr>
        <w:t>目   录</w:t>
      </w:r>
    </w:p>
    <w:p w14:paraId="6DB9E0BC">
      <w:pPr>
        <w:spacing w:line="500" w:lineRule="exact"/>
        <w:jc w:val="left"/>
        <w:rPr>
          <w:rFonts w:hint="eastAsia" w:ascii="宋体" w:cs="Times New Roman"/>
          <w:color w:val="auto"/>
          <w:szCs w:val="21"/>
          <w:highlight w:val="none"/>
          <w:lang w:val="en-US" w:eastAsia="zh-CN"/>
        </w:rPr>
      </w:pPr>
    </w:p>
    <w:p w14:paraId="6A3B7D79">
      <w:pPr>
        <w:spacing w:line="440" w:lineRule="exact"/>
        <w:ind w:left="42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）开标一览表（格式见附件）；</w:t>
      </w:r>
    </w:p>
    <w:p w14:paraId="1596A378">
      <w:pPr>
        <w:spacing w:line="440" w:lineRule="exact"/>
        <w:ind w:left="42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）投标函（格式见附件）；</w:t>
      </w:r>
    </w:p>
    <w:p w14:paraId="68873298">
      <w:pPr>
        <w:spacing w:line="440" w:lineRule="exact"/>
        <w:ind w:left="42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3）投标人认为需提供的证明材料。</w:t>
      </w:r>
    </w:p>
    <w:p w14:paraId="160CDB1F">
      <w:pPr>
        <w:spacing w:line="360" w:lineRule="exact"/>
        <w:ind w:firstLine="443" w:firstLineChars="147"/>
        <w:rPr>
          <w:rFonts w:hint="eastAsia" w:ascii="宋体" w:hAnsi="宋体"/>
          <w:b/>
          <w:color w:val="auto"/>
          <w:sz w:val="30"/>
          <w:szCs w:val="30"/>
          <w:highlight w:val="none"/>
        </w:rPr>
      </w:pPr>
    </w:p>
    <w:p w14:paraId="3DC8E2CE">
      <w:pPr>
        <w:rPr>
          <w:rFonts w:hint="eastAsia" w:ascii="宋体" w:hAnsi="宋体"/>
          <w:b/>
          <w:color w:val="auto"/>
          <w:sz w:val="30"/>
          <w:szCs w:val="30"/>
          <w:highlight w:val="none"/>
        </w:rPr>
      </w:pPr>
      <w:r>
        <w:rPr>
          <w:rFonts w:hint="eastAsia" w:ascii="宋体" w:hAnsi="宋体"/>
          <w:b/>
          <w:color w:val="auto"/>
          <w:sz w:val="30"/>
          <w:szCs w:val="30"/>
          <w:highlight w:val="none"/>
        </w:rPr>
        <w:br w:type="page"/>
      </w:r>
    </w:p>
    <w:p w14:paraId="5006DC35">
      <w:pPr>
        <w:spacing w:line="360" w:lineRule="exact"/>
        <w:ind w:firstLine="443" w:firstLineChars="147"/>
        <w:rPr>
          <w:rFonts w:hint="eastAsia" w:ascii="宋体" w:hAnsi="宋体" w:eastAsia="宋体"/>
          <w:b/>
          <w:color w:val="auto"/>
          <w:sz w:val="30"/>
          <w:szCs w:val="30"/>
          <w:highlight w:val="none"/>
          <w:lang w:val="en-US"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1</w:t>
      </w:r>
    </w:p>
    <w:p w14:paraId="2F1A3774">
      <w:pPr>
        <w:spacing w:line="360" w:lineRule="exact"/>
        <w:ind w:firstLine="472" w:firstLineChars="147"/>
        <w:jc w:val="center"/>
        <w:rPr>
          <w:rFonts w:hint="eastAsia" w:ascii="宋体"/>
          <w:b/>
          <w:color w:val="auto"/>
          <w:sz w:val="32"/>
          <w:szCs w:val="32"/>
          <w:highlight w:val="none"/>
        </w:rPr>
      </w:pPr>
    </w:p>
    <w:p w14:paraId="6FDF845A">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开标一览表</w:t>
      </w:r>
    </w:p>
    <w:p w14:paraId="40256D9B">
      <w:pPr>
        <w:spacing w:line="360" w:lineRule="exact"/>
        <w:ind w:firstLine="354" w:firstLineChars="147"/>
        <w:rPr>
          <w:rFonts w:hint="eastAsia" w:ascii="宋体"/>
          <w:b/>
          <w:color w:val="auto"/>
          <w:sz w:val="24"/>
          <w:highlight w:val="none"/>
        </w:rPr>
      </w:pPr>
    </w:p>
    <w:p w14:paraId="6375EEC0">
      <w:pPr>
        <w:spacing w:line="360" w:lineRule="exact"/>
        <w:ind w:firstLine="240" w:firstLineChars="100"/>
        <w:rPr>
          <w:rFonts w:hint="eastAsia" w:ascii="宋体"/>
          <w:color w:val="auto"/>
          <w:sz w:val="24"/>
          <w:highlight w:val="none"/>
        </w:rPr>
      </w:pPr>
      <w:r>
        <w:rPr>
          <w:rFonts w:hint="eastAsia" w:ascii="宋体"/>
          <w:color w:val="auto"/>
          <w:sz w:val="24"/>
          <w:highlight w:val="none"/>
        </w:rPr>
        <w:t>（注：开标一览表必须编入投标文件，唱标时，以投标文件中的开标一览表进行唱标）</w:t>
      </w:r>
    </w:p>
    <w:p w14:paraId="001861F0">
      <w:pPr>
        <w:snapToGrid w:val="0"/>
        <w:spacing w:line="460" w:lineRule="exact"/>
        <w:ind w:left="2940" w:leftChars="1400" w:firstLine="720" w:firstLineChars="300"/>
        <w:rPr>
          <w:rFonts w:hint="eastAsia" w:ascii="宋体"/>
          <w:color w:val="auto"/>
          <w:sz w:val="24"/>
          <w:highlight w:val="none"/>
        </w:rPr>
      </w:pPr>
    </w:p>
    <w:tbl>
      <w:tblPr>
        <w:tblStyle w:val="35"/>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562D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744BEB63">
            <w:pPr>
              <w:spacing w:line="460" w:lineRule="exact"/>
              <w:jc w:val="center"/>
              <w:rPr>
                <w:rFonts w:hint="eastAsia"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B233629">
            <w:pPr>
              <w:spacing w:line="360" w:lineRule="auto"/>
              <w:jc w:val="left"/>
              <w:rPr>
                <w:rFonts w:hint="eastAsia"/>
                <w:color w:val="auto"/>
                <w:sz w:val="24"/>
                <w:highlight w:val="none"/>
              </w:rPr>
            </w:pPr>
            <w:r>
              <w:rPr>
                <w:rFonts w:hint="eastAsia"/>
                <w:color w:val="auto"/>
                <w:sz w:val="24"/>
                <w:highlight w:val="none"/>
              </w:rPr>
              <w:t xml:space="preserve">         </w:t>
            </w:r>
          </w:p>
        </w:tc>
      </w:tr>
      <w:tr w14:paraId="17F76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3FEE16EF">
            <w:pPr>
              <w:spacing w:line="460" w:lineRule="exact"/>
              <w:jc w:val="center"/>
              <w:rPr>
                <w:rFonts w:hint="eastAsia"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noWrap w:val="0"/>
            <w:vAlign w:val="center"/>
          </w:tcPr>
          <w:p w14:paraId="0D40CC81">
            <w:pPr>
              <w:rPr>
                <w:rFonts w:hint="eastAsia" w:ascii="宋体"/>
                <w:color w:val="auto"/>
                <w:sz w:val="24"/>
                <w:highlight w:val="none"/>
              </w:rPr>
            </w:pPr>
          </w:p>
        </w:tc>
      </w:tr>
      <w:tr w14:paraId="7DC257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12325141">
            <w:pPr>
              <w:spacing w:line="460" w:lineRule="exact"/>
              <w:ind w:firstLine="120" w:firstLineChars="50"/>
              <w:rPr>
                <w:rFonts w:hint="eastAsia"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noWrap w:val="0"/>
            <w:vAlign w:val="top"/>
          </w:tcPr>
          <w:p w14:paraId="04284BE6">
            <w:pPr>
              <w:pStyle w:val="19"/>
              <w:spacing w:line="460" w:lineRule="exact"/>
              <w:ind w:left="86" w:leftChars="41"/>
              <w:rPr>
                <w:rFonts w:hint="eastAsia" w:ascii="宋体" w:eastAsia="宋体"/>
                <w:color w:val="auto"/>
                <w:sz w:val="24"/>
                <w:szCs w:val="24"/>
                <w:highlight w:val="none"/>
              </w:rPr>
            </w:pPr>
          </w:p>
        </w:tc>
      </w:tr>
      <w:tr w14:paraId="716821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295EC245">
            <w:pPr>
              <w:spacing w:line="360" w:lineRule="auto"/>
              <w:jc w:val="center"/>
              <w:rPr>
                <w:rFonts w:ascii="宋体"/>
                <w:color w:val="auto"/>
                <w:sz w:val="24"/>
                <w:highlight w:val="none"/>
              </w:rPr>
            </w:pPr>
            <w:r>
              <w:rPr>
                <w:rFonts w:hint="eastAsia" w:ascii="宋体"/>
                <w:color w:val="auto"/>
                <w:sz w:val="24"/>
                <w:highlight w:val="none"/>
              </w:rPr>
              <w:t>总投标价\</w:t>
            </w:r>
            <w:r>
              <w:rPr>
                <w:rFonts w:hint="eastAsia" w:ascii="宋体"/>
                <w:color w:val="auto"/>
                <w:sz w:val="24"/>
                <w:highlight w:val="none"/>
                <w:lang w:val="en-US" w:eastAsia="zh-CN"/>
              </w:rPr>
              <w:t>服务</w:t>
            </w:r>
            <w:r>
              <w:rPr>
                <w:rFonts w:hint="eastAsia" w:ascii="宋体"/>
                <w:color w:val="auto"/>
                <w:sz w:val="24"/>
                <w:highlight w:val="none"/>
              </w:rPr>
              <w:t>期</w:t>
            </w:r>
          </w:p>
        </w:tc>
        <w:tc>
          <w:tcPr>
            <w:tcW w:w="6952" w:type="dxa"/>
            <w:tcBorders>
              <w:left w:val="single" w:color="auto" w:sz="12" w:space="0"/>
            </w:tcBorders>
            <w:noWrap w:val="0"/>
            <w:vAlign w:val="center"/>
          </w:tcPr>
          <w:p w14:paraId="693A9231">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监理</w:t>
            </w:r>
            <w:r>
              <w:rPr>
                <w:rFonts w:hint="eastAsia" w:ascii="宋体" w:hAnsi="宋体" w:eastAsia="宋体" w:cs="宋体"/>
                <w:color w:val="auto"/>
                <w:sz w:val="24"/>
                <w:szCs w:val="24"/>
                <w:highlight w:val="none"/>
                <w:lang w:val="en-US" w:eastAsia="zh-CN"/>
              </w:rPr>
              <w:t>费率为：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BA702FC">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color w:val="auto"/>
                <w:sz w:val="24"/>
                <w:highlight w:val="none"/>
                <w:lang w:val="en-US"/>
              </w:rPr>
            </w:pPr>
            <w:r>
              <w:rPr>
                <w:rFonts w:hint="eastAsia" w:ascii="宋体" w:hAnsi="宋体" w:eastAsia="宋体" w:cs="宋体"/>
                <w:color w:val="auto"/>
                <w:sz w:val="24"/>
                <w:szCs w:val="24"/>
                <w:highlight w:val="none"/>
                <w:lang w:val="en-US" w:eastAsia="zh-CN"/>
              </w:rPr>
              <w:t>合同履行期限：响应招标文件要求</w:t>
            </w:r>
          </w:p>
        </w:tc>
      </w:tr>
    </w:tbl>
    <w:p w14:paraId="3BF1DAD6">
      <w:pPr>
        <w:snapToGrid w:val="0"/>
        <w:spacing w:line="460" w:lineRule="exact"/>
        <w:ind w:left="2940" w:leftChars="1400" w:firstLine="723" w:firstLineChars="300"/>
        <w:rPr>
          <w:rFonts w:hint="eastAsia" w:ascii="宋体"/>
          <w:b/>
          <w:color w:val="auto"/>
          <w:sz w:val="24"/>
          <w:highlight w:val="none"/>
        </w:rPr>
      </w:pPr>
    </w:p>
    <w:p w14:paraId="67881A06">
      <w:pPr>
        <w:rPr>
          <w:rFonts w:hint="eastAsia"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lang w:val="en-US" w:eastAsia="zh-CN"/>
        </w:rPr>
        <w:t>盖章</w:t>
      </w:r>
      <w:r>
        <w:rPr>
          <w:rFonts w:hint="eastAsia" w:ascii="宋体"/>
          <w:color w:val="auto"/>
          <w:sz w:val="24"/>
          <w:highlight w:val="none"/>
        </w:rPr>
        <w:t>）：         投标人（盖单位章）：</w:t>
      </w:r>
    </w:p>
    <w:p w14:paraId="7AF07014">
      <w:pPr>
        <w:snapToGrid w:val="0"/>
        <w:spacing w:before="312" w:beforeLines="100" w:after="312" w:afterLines="100" w:line="360" w:lineRule="auto"/>
        <w:jc w:val="center"/>
        <w:rPr>
          <w:rFonts w:cs="Arial"/>
          <w:b/>
          <w:bCs/>
          <w:color w:val="auto"/>
          <w:sz w:val="30"/>
          <w:szCs w:val="30"/>
          <w:highlight w:val="none"/>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p>
    <w:p w14:paraId="373B0AB5">
      <w:pPr>
        <w:spacing w:line="360" w:lineRule="exact"/>
        <w:rPr>
          <w:rFonts w:hint="eastAsia" w:ascii="宋体"/>
          <w:b/>
          <w:color w:val="auto"/>
          <w:sz w:val="30"/>
          <w:szCs w:val="30"/>
          <w:highlight w:val="none"/>
        </w:rPr>
      </w:pPr>
    </w:p>
    <w:p w14:paraId="3A59290A">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2</w:t>
      </w:r>
    </w:p>
    <w:p w14:paraId="674CCC9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34B5E12F">
      <w:pPr>
        <w:spacing w:line="440" w:lineRule="exact"/>
        <w:rPr>
          <w:rFonts w:hint="eastAsia" w:ascii="宋体"/>
          <w:color w:val="auto"/>
          <w:sz w:val="24"/>
          <w:highlight w:val="none"/>
        </w:rPr>
      </w:pPr>
    </w:p>
    <w:p w14:paraId="486EFF8C">
      <w:pPr>
        <w:spacing w:line="50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BF2BE95">
      <w:pPr>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2.我方愿意按照招标文件规定的各项要求，向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 xml:space="preserve">提供“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）”项目的货物与服务，</w:t>
      </w:r>
      <w:r>
        <w:rPr>
          <w:rFonts w:hint="eastAsia" w:ascii="宋体" w:hAnsi="宋体" w:eastAsia="宋体" w:cs="宋体"/>
          <w:color w:val="auto"/>
          <w:spacing w:val="-1"/>
          <w:sz w:val="24"/>
          <w:szCs w:val="24"/>
          <w:highlight w:val="none"/>
        </w:rPr>
        <w:t>据此我方愿以</w:t>
      </w:r>
      <w:r>
        <w:rPr>
          <w:rFonts w:hint="eastAsia" w:ascii="宋体" w:hAnsi="宋体" w:eastAsia="宋体" w:cs="宋体"/>
          <w:color w:val="auto"/>
          <w:spacing w:val="-1"/>
          <w:sz w:val="24"/>
          <w:szCs w:val="24"/>
          <w:highlight w:val="none"/>
          <w:lang w:val="en-US" w:eastAsia="zh-CN"/>
        </w:rPr>
        <w:t>费</w:t>
      </w:r>
      <w:r>
        <w:rPr>
          <w:rFonts w:hint="eastAsia" w:ascii="宋体" w:hAnsi="宋体" w:eastAsia="宋体" w:cs="宋体"/>
          <w:color w:val="auto"/>
          <w:spacing w:val="-1"/>
          <w:sz w:val="24"/>
          <w:szCs w:val="24"/>
          <w:highlight w:val="none"/>
        </w:rPr>
        <w:t>率</w:t>
      </w:r>
      <w:r>
        <w:rPr>
          <w:rFonts w:hint="eastAsia" w:ascii="宋体" w:hAnsi="宋体" w:cs="宋体"/>
          <w:color w:val="auto"/>
          <w:spacing w:val="-1"/>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为报价费率，作为本工程项目</w:t>
      </w:r>
      <w:r>
        <w:rPr>
          <w:rFonts w:hint="eastAsia" w:ascii="宋体" w:hAnsi="宋体" w:cs="宋体"/>
          <w:color w:val="auto"/>
          <w:sz w:val="24"/>
          <w:szCs w:val="24"/>
          <w:highlight w:val="none"/>
          <w:lang w:val="en-US" w:eastAsia="zh-CN"/>
        </w:rPr>
        <w:t>监理服务</w:t>
      </w:r>
      <w:r>
        <w:rPr>
          <w:rFonts w:hint="eastAsia" w:ascii="宋体" w:hAnsi="宋体" w:eastAsia="宋体" w:cs="宋体"/>
          <w:color w:val="auto"/>
          <w:sz w:val="24"/>
          <w:szCs w:val="24"/>
          <w:highlight w:val="none"/>
        </w:rPr>
        <w:t>工作所需的全部费用</w:t>
      </w:r>
      <w:r>
        <w:rPr>
          <w:rFonts w:hint="eastAsia" w:ascii="宋体" w:hAnsi="宋体" w:eastAsia="宋体" w:cs="宋体"/>
          <w:color w:val="auto"/>
          <w:sz w:val="24"/>
          <w:szCs w:val="24"/>
          <w:highlight w:val="none"/>
          <w:u w:val="single"/>
          <w:lang w:val="en-US" w:eastAsia="zh-CN"/>
        </w:rPr>
        <w:t>，项目负责人为            。</w:t>
      </w:r>
      <w:r>
        <w:rPr>
          <w:rFonts w:hint="eastAsia" w:ascii="宋体" w:hAnsi="宋体" w:eastAsia="宋体" w:cs="宋体"/>
          <w:color w:val="auto"/>
          <w:sz w:val="24"/>
          <w:szCs w:val="24"/>
          <w:highlight w:val="none"/>
          <w:lang w:val="en-US" w:eastAsia="zh-CN"/>
        </w:rPr>
        <w:t xml:space="preserve"> </w:t>
      </w:r>
    </w:p>
    <w:p w14:paraId="657C3C0D">
      <w:pPr>
        <w:spacing w:line="440" w:lineRule="exact"/>
        <w:ind w:firstLine="480" w:firstLineChars="200"/>
        <w:rPr>
          <w:rFonts w:hint="eastAsia" w:ascii="宋体"/>
          <w:color w:val="auto"/>
          <w:sz w:val="24"/>
          <w:highlight w:val="none"/>
        </w:rPr>
      </w:pPr>
      <w:r>
        <w:rPr>
          <w:rFonts w:hint="eastAsia" w:ascii="宋体"/>
          <w:color w:val="auto"/>
          <w:sz w:val="24"/>
          <w:highlight w:val="none"/>
        </w:rPr>
        <w:t>3.一旦我方成为合同签字人，我方将严格履行合同规定的责任和义务。</w:t>
      </w:r>
    </w:p>
    <w:p w14:paraId="22358BF9">
      <w:pPr>
        <w:spacing w:line="440" w:lineRule="exact"/>
        <w:ind w:firstLine="480" w:firstLineChars="200"/>
        <w:rPr>
          <w:rFonts w:hint="eastAsia" w:ascii="宋体"/>
          <w:color w:val="auto"/>
          <w:sz w:val="24"/>
          <w:highlight w:val="none"/>
        </w:rPr>
      </w:pPr>
      <w:r>
        <w:rPr>
          <w:rFonts w:hint="eastAsia" w:ascii="宋体"/>
          <w:color w:val="auto"/>
          <w:sz w:val="24"/>
          <w:highlight w:val="none"/>
        </w:rPr>
        <w:t>4.我方愿意提供可能另外要求的、与采购投标有关的文件资料，并保证我方已提供和将要提供的文件是真实的、准确的。</w:t>
      </w:r>
    </w:p>
    <w:p w14:paraId="11F5EF4E">
      <w:pPr>
        <w:spacing w:line="440" w:lineRule="exact"/>
        <w:ind w:firstLine="480" w:firstLineChars="200"/>
        <w:rPr>
          <w:rFonts w:hint="eastAsia" w:ascii="宋体"/>
          <w:color w:val="auto"/>
          <w:sz w:val="24"/>
          <w:highlight w:val="none"/>
        </w:rPr>
      </w:pPr>
      <w:r>
        <w:rPr>
          <w:rFonts w:hint="eastAsia" w:ascii="宋体"/>
          <w:color w:val="auto"/>
          <w:sz w:val="24"/>
          <w:highlight w:val="none"/>
        </w:rPr>
        <w:t>5、投标有效期为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60</w:t>
      </w:r>
      <w:r>
        <w:rPr>
          <w:rFonts w:hint="eastAsia" w:ascii="宋体"/>
          <w:color w:val="auto"/>
          <w:sz w:val="24"/>
          <w:highlight w:val="none"/>
          <w:u w:val="single"/>
        </w:rPr>
        <w:t xml:space="preserve"> </w:t>
      </w:r>
      <w:r>
        <w:rPr>
          <w:rFonts w:hint="eastAsia" w:ascii="宋体"/>
          <w:color w:val="auto"/>
          <w:sz w:val="24"/>
          <w:highlight w:val="none"/>
        </w:rPr>
        <w:t>日历天（从投标截止之日算起）。</w:t>
      </w:r>
    </w:p>
    <w:p w14:paraId="677B6606">
      <w:pPr>
        <w:spacing w:line="440" w:lineRule="exact"/>
        <w:ind w:firstLine="480" w:firstLineChars="200"/>
        <w:rPr>
          <w:rFonts w:hint="eastAsia" w:ascii="宋体"/>
          <w:color w:val="auto"/>
          <w:sz w:val="24"/>
          <w:highlight w:val="none"/>
        </w:rPr>
      </w:pPr>
      <w:r>
        <w:rPr>
          <w:rFonts w:hint="eastAsia" w:ascii="宋体"/>
          <w:color w:val="auto"/>
          <w:sz w:val="24"/>
          <w:highlight w:val="none"/>
        </w:rPr>
        <w:t>6、我单位提供如下通讯地址：</w:t>
      </w:r>
      <w:r>
        <w:rPr>
          <w:rFonts w:hint="eastAsia" w:ascii="宋体"/>
          <w:color w:val="auto"/>
          <w:sz w:val="24"/>
          <w:highlight w:val="none"/>
          <w:u w:val="single"/>
        </w:rPr>
        <w:t xml:space="preserve">                电子邮箱（地址）</w:t>
      </w:r>
      <w:r>
        <w:rPr>
          <w:rFonts w:hint="eastAsia" w:ascii="宋体"/>
          <w:color w:val="auto"/>
          <w:sz w:val="24"/>
          <w:highlight w:val="none"/>
        </w:rPr>
        <w:t>，确认本项目相关法律文书均通过提供的以上地址送达，相关文书只要发送至以上电子邮箱（地址）即视为送达，投标人愿意承担一切法律后果。</w:t>
      </w:r>
    </w:p>
    <w:p w14:paraId="05B0664D">
      <w:pPr>
        <w:spacing w:line="440" w:lineRule="exact"/>
        <w:rPr>
          <w:rFonts w:hint="eastAsia" w:ascii="宋体"/>
          <w:color w:val="auto"/>
          <w:sz w:val="24"/>
          <w:highlight w:val="none"/>
        </w:rPr>
      </w:pPr>
      <w:r>
        <w:rPr>
          <w:rFonts w:hint="eastAsia" w:ascii="宋体"/>
          <w:color w:val="auto"/>
          <w:sz w:val="24"/>
          <w:highlight w:val="none"/>
        </w:rPr>
        <w:t> </w:t>
      </w:r>
    </w:p>
    <w:p w14:paraId="07124A4B">
      <w:pPr>
        <w:spacing w:line="440" w:lineRule="exact"/>
        <w:jc w:val="right"/>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（盖单位章）</w:t>
      </w:r>
    </w:p>
    <w:p w14:paraId="4B1AD082">
      <w:pPr>
        <w:spacing w:line="440" w:lineRule="exact"/>
        <w:jc w:val="right"/>
        <w:rPr>
          <w:rFonts w:hint="eastAsia" w:ascii="宋体"/>
          <w:color w:val="auto"/>
          <w:sz w:val="24"/>
          <w:highlight w:val="none"/>
        </w:rPr>
      </w:pPr>
    </w:p>
    <w:p w14:paraId="3299D3FC">
      <w:pPr>
        <w:spacing w:line="440" w:lineRule="exact"/>
        <w:jc w:val="right"/>
        <w:rPr>
          <w:rFonts w:hint="eastAsia" w:ascii="宋体"/>
          <w:color w:val="auto"/>
          <w:sz w:val="24"/>
          <w:highlight w:val="none"/>
        </w:rPr>
      </w:pPr>
      <w:r>
        <w:rPr>
          <w:rFonts w:hint="eastAsia" w:ascii="宋体"/>
          <w:color w:val="auto"/>
          <w:sz w:val="24"/>
          <w:highlight w:val="none"/>
        </w:rPr>
        <w:t>投标人法定代表人：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color w:val="auto"/>
          <w:sz w:val="24"/>
          <w:highlight w:val="none"/>
          <w:lang w:val="en-US" w:eastAsia="zh-CN"/>
        </w:rPr>
        <w:t>签字或盖章</w:t>
      </w:r>
      <w:r>
        <w:rPr>
          <w:rFonts w:hint="eastAsia" w:ascii="宋体"/>
          <w:color w:val="auto"/>
          <w:sz w:val="24"/>
          <w:highlight w:val="none"/>
        </w:rPr>
        <w:t>）</w:t>
      </w:r>
    </w:p>
    <w:p w14:paraId="730476D7">
      <w:pPr>
        <w:spacing w:line="440" w:lineRule="exact"/>
        <w:ind w:firstLine="2520" w:firstLineChars="1050"/>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p>
    <w:p w14:paraId="2BBA1D05">
      <w:pPr>
        <w:spacing w:line="440" w:lineRule="exact"/>
        <w:ind w:firstLine="2520" w:firstLineChars="1050"/>
        <w:rPr>
          <w:rFonts w:hint="eastAsia" w:ascii="宋体"/>
          <w:color w:val="auto"/>
          <w:sz w:val="24"/>
          <w:highlight w:val="none"/>
        </w:rPr>
      </w:pPr>
      <w:r>
        <w:rPr>
          <w:rFonts w:hint="eastAsia" w:ascii="宋体"/>
          <w:color w:val="auto"/>
          <w:sz w:val="24"/>
          <w:highlight w:val="none"/>
        </w:rPr>
        <w:t>通讯地址：</w:t>
      </w:r>
      <w:r>
        <w:rPr>
          <w:rFonts w:hint="eastAsia" w:ascii="宋体"/>
          <w:color w:val="auto"/>
          <w:sz w:val="24"/>
          <w:highlight w:val="none"/>
          <w:u w:val="single"/>
        </w:rPr>
        <w:t xml:space="preserve">                 </w:t>
      </w:r>
    </w:p>
    <w:p w14:paraId="0C05209A">
      <w:pPr>
        <w:spacing w:line="440" w:lineRule="exact"/>
        <w:ind w:firstLine="2520" w:firstLineChars="1050"/>
        <w:rPr>
          <w:rFonts w:hint="eastAsia" w:ascii="宋体"/>
          <w:color w:val="auto"/>
          <w:sz w:val="24"/>
          <w:highlight w:val="none"/>
        </w:rPr>
      </w:pPr>
      <w:r>
        <w:rPr>
          <w:rFonts w:hint="eastAsia" w:ascii="宋体"/>
          <w:color w:val="auto"/>
          <w:sz w:val="24"/>
          <w:highlight w:val="none"/>
        </w:rPr>
        <w:t>电    话：</w:t>
      </w:r>
      <w:r>
        <w:rPr>
          <w:rFonts w:hint="eastAsia" w:ascii="宋体"/>
          <w:color w:val="auto"/>
          <w:sz w:val="24"/>
          <w:highlight w:val="none"/>
          <w:u w:val="single"/>
        </w:rPr>
        <w:t xml:space="preserve">                 </w:t>
      </w:r>
    </w:p>
    <w:p w14:paraId="72591FD6">
      <w:pPr>
        <w:ind w:right="-178" w:rightChars="-85" w:firstLine="2520" w:firstLineChars="1050"/>
        <w:rPr>
          <w:rFonts w:hint="eastAsia" w:ascii="宋体"/>
          <w:color w:val="auto"/>
          <w:sz w:val="24"/>
          <w:highlight w:val="none"/>
          <w:u w:val="single"/>
        </w:rPr>
      </w:pPr>
      <w:r>
        <w:rPr>
          <w:rFonts w:hint="eastAsia" w:ascii="宋体"/>
          <w:color w:val="auto"/>
          <w:sz w:val="24"/>
          <w:highlight w:val="none"/>
        </w:rPr>
        <w:t>传    真：</w:t>
      </w:r>
      <w:r>
        <w:rPr>
          <w:rFonts w:hint="eastAsia" w:ascii="宋体"/>
          <w:color w:val="auto"/>
          <w:sz w:val="24"/>
          <w:highlight w:val="none"/>
          <w:u w:val="single"/>
        </w:rPr>
        <w:t xml:space="preserve">                 </w:t>
      </w:r>
    </w:p>
    <w:p w14:paraId="7462BBD4">
      <w:pPr>
        <w:spacing w:line="360" w:lineRule="exact"/>
        <w:rPr>
          <w:rFonts w:hint="eastAsia" w:ascii="宋体"/>
          <w:b/>
          <w:color w:val="auto"/>
          <w:sz w:val="28"/>
          <w:szCs w:val="28"/>
          <w:highlight w:val="none"/>
        </w:rPr>
      </w:pPr>
    </w:p>
    <w:p w14:paraId="15D7A257">
      <w:pPr>
        <w:rPr>
          <w:rFonts w:hint="eastAsia" w:ascii="宋体"/>
          <w:b/>
          <w:color w:val="auto"/>
          <w:sz w:val="32"/>
          <w:szCs w:val="32"/>
          <w:highlight w:val="none"/>
        </w:rPr>
      </w:pPr>
      <w:r>
        <w:rPr>
          <w:rFonts w:hint="eastAsia" w:ascii="宋体"/>
          <w:b/>
          <w:color w:val="auto"/>
          <w:sz w:val="32"/>
          <w:szCs w:val="32"/>
          <w:highlight w:val="none"/>
        </w:rPr>
        <w:br w:type="page"/>
      </w:r>
    </w:p>
    <w:p w14:paraId="3648DADC">
      <w:pPr>
        <w:spacing w:line="360" w:lineRule="exact"/>
        <w:ind w:firstLine="443" w:firstLineChars="147"/>
        <w:rPr>
          <w:rFonts w:hint="eastAsia" w:ascii="宋体" w:hAnsi="宋体"/>
          <w:b/>
          <w:color w:val="auto"/>
          <w:sz w:val="30"/>
          <w:szCs w:val="30"/>
          <w:highlight w:val="none"/>
        </w:rPr>
        <w:sectPr>
          <w:headerReference r:id="rId12" w:type="default"/>
          <w:footerReference r:id="rId13" w:type="default"/>
          <w:pgSz w:w="11906" w:h="16838"/>
          <w:pgMar w:top="1440" w:right="1800" w:bottom="1440" w:left="1600" w:header="851" w:footer="992" w:gutter="0"/>
          <w:pgNumType w:fmt="decimal"/>
          <w:cols w:space="720" w:num="1"/>
          <w:docGrid w:type="lines" w:linePitch="312" w:charSpace="0"/>
        </w:sectPr>
      </w:pPr>
    </w:p>
    <w:bookmarkEnd w:id="62"/>
    <w:bookmarkEnd w:id="63"/>
    <w:p w14:paraId="59C5F8C7">
      <w:pPr>
        <w:spacing w:line="440" w:lineRule="exact"/>
        <w:jc w:val="center"/>
        <w:outlineLvl w:val="0"/>
        <w:rPr>
          <w:rFonts w:hint="eastAsia" w:ascii="宋体"/>
          <w:b/>
          <w:color w:val="auto"/>
          <w:sz w:val="32"/>
          <w:szCs w:val="32"/>
          <w:highlight w:val="none"/>
        </w:rPr>
      </w:pPr>
      <w:bookmarkStart w:id="122" w:name="_Toc449028957"/>
      <w:bookmarkStart w:id="123" w:name="_Toc58430333"/>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122"/>
      <w:bookmarkEnd w:id="123"/>
    </w:p>
    <w:p w14:paraId="4A117D56">
      <w:pPr>
        <w:spacing w:line="440" w:lineRule="exact"/>
        <w:rPr>
          <w:rFonts w:hint="eastAsia" w:ascii="宋体"/>
          <w:color w:val="auto"/>
          <w:sz w:val="24"/>
          <w:highlight w:val="none"/>
          <w:u w:val="single"/>
        </w:rPr>
      </w:pPr>
    </w:p>
    <w:tbl>
      <w:tblPr>
        <w:tblStyle w:val="35"/>
        <w:tblW w:w="0" w:type="auto"/>
        <w:jc w:val="center"/>
        <w:tblLayout w:type="fixed"/>
        <w:tblCellMar>
          <w:top w:w="0" w:type="dxa"/>
          <w:left w:w="108" w:type="dxa"/>
          <w:bottom w:w="0" w:type="dxa"/>
          <w:right w:w="108" w:type="dxa"/>
        </w:tblCellMar>
      </w:tblPr>
      <w:tblGrid>
        <w:gridCol w:w="9374"/>
      </w:tblGrid>
      <w:tr w14:paraId="1EC1C46D">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009B1F59">
            <w:pPr>
              <w:spacing w:line="440" w:lineRule="exact"/>
              <w:ind w:firstLine="560" w:firstLineChars="200"/>
              <w:rPr>
                <w:rFonts w:hint="eastAsia" w:ascii="宋体" w:cs="宋体"/>
                <w:color w:val="auto"/>
                <w:sz w:val="28"/>
                <w:szCs w:val="28"/>
                <w:highlight w:val="none"/>
              </w:rPr>
            </w:pPr>
          </w:p>
          <w:p w14:paraId="2559CCFF">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eastAsia="zh-CN"/>
              </w:rPr>
              <w:t>扬子大道768号园区消防改造及室外附属配套施工监理服务项目</w:t>
            </w:r>
            <w:r>
              <w:rPr>
                <w:rFonts w:hint="eastAsia" w:ascii="宋体" w:cs="宋体"/>
                <w:color w:val="auto"/>
                <w:sz w:val="28"/>
                <w:szCs w:val="28"/>
                <w:highlight w:val="none"/>
              </w:rPr>
              <w:t>的招标文件进行确认。</w:t>
            </w:r>
          </w:p>
          <w:p w14:paraId="01C2810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招标单位：中国扬子集团有限公司</w:t>
            </w:r>
          </w:p>
          <w:p w14:paraId="282E17B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叶来明</w:t>
            </w:r>
          </w:p>
          <w:p w14:paraId="03FA0A4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0550-3166090</w:t>
            </w:r>
          </w:p>
          <w:p w14:paraId="08C7D105">
            <w:pPr>
              <w:spacing w:line="540" w:lineRule="exact"/>
              <w:ind w:firstLine="7140" w:firstLineChars="2550"/>
              <w:rPr>
                <w:rFonts w:hint="eastAsia" w:ascii="宋体" w:cs="宋体"/>
                <w:color w:val="auto"/>
                <w:sz w:val="28"/>
                <w:szCs w:val="28"/>
                <w:highlight w:val="none"/>
              </w:rPr>
            </w:pPr>
          </w:p>
          <w:p w14:paraId="4B439C7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E60DF71">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r w14:paraId="25ABA1CD">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A946AEB">
            <w:pPr>
              <w:spacing w:line="440" w:lineRule="exact"/>
              <w:rPr>
                <w:rFonts w:hint="eastAsia" w:ascii="宋体" w:cs="宋体"/>
                <w:color w:val="auto"/>
                <w:sz w:val="28"/>
                <w:szCs w:val="28"/>
                <w:highlight w:val="none"/>
              </w:rPr>
            </w:pPr>
          </w:p>
          <w:p w14:paraId="19E55761">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E53E8F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033529C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348145A">
            <w:pPr>
              <w:spacing w:line="520" w:lineRule="exact"/>
              <w:ind w:firstLine="6300" w:firstLineChars="2250"/>
              <w:rPr>
                <w:rFonts w:hint="eastAsia" w:ascii="宋体" w:cs="宋体"/>
                <w:color w:val="auto"/>
                <w:sz w:val="28"/>
                <w:szCs w:val="28"/>
                <w:highlight w:val="none"/>
              </w:rPr>
            </w:pPr>
          </w:p>
          <w:p w14:paraId="0F0721F1">
            <w:pPr>
              <w:pStyle w:val="34"/>
              <w:rPr>
                <w:rFonts w:hint="eastAsia"/>
                <w:color w:val="auto"/>
                <w:highlight w:val="none"/>
              </w:rPr>
            </w:pPr>
          </w:p>
          <w:p w14:paraId="6927545C">
            <w:pPr>
              <w:spacing w:line="520" w:lineRule="exact"/>
              <w:ind w:firstLine="6580" w:firstLineChars="2350"/>
              <w:rPr>
                <w:rFonts w:hint="eastAsia" w:ascii="宋体" w:cs="宋体"/>
                <w:color w:val="auto"/>
                <w:sz w:val="28"/>
                <w:szCs w:val="28"/>
                <w:highlight w:val="none"/>
              </w:rPr>
            </w:pPr>
          </w:p>
          <w:p w14:paraId="60BFBA44">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5E5BB42">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bookmarkEnd w:id="0"/>
    </w:tbl>
    <w:p w14:paraId="37C1E8D1">
      <w:pPr>
        <w:rPr>
          <w:color w:val="auto"/>
          <w:highlight w:val="none"/>
        </w:rPr>
      </w:pPr>
    </w:p>
    <w:sectPr>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BB4CA6-58A2-4562-87D2-DE9F65CD5867}"/>
  </w:font>
  <w:font w:name="黑体">
    <w:panose1 w:val="02010609060101010101"/>
    <w:charset w:val="86"/>
    <w:family w:val="auto"/>
    <w:pitch w:val="default"/>
    <w:sig w:usb0="800002BF" w:usb1="38CF7CFA" w:usb2="00000016" w:usb3="00000000" w:csb0="00040001" w:csb1="00000000"/>
    <w:embedRegular r:id="rId2" w:fontKey="{A106F2E7-3E40-43DC-9F37-173FB8F807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9FD6B070-F6BD-4A10-9187-74F81FF3536D}"/>
  </w:font>
  <w:font w:name="仿宋">
    <w:panose1 w:val="02010609060101010101"/>
    <w:charset w:val="86"/>
    <w:family w:val="modern"/>
    <w:pitch w:val="default"/>
    <w:sig w:usb0="800002BF" w:usb1="38CF7CFA" w:usb2="00000016" w:usb3="00000000" w:csb0="00040001" w:csb1="00000000"/>
    <w:embedRegular r:id="rId4" w:fontKey="{85CB36CF-A162-401C-AB4A-67F8D8C7283E}"/>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5" w:fontKey="{615E8A45-8B56-493E-AA55-E5070B0A5743}"/>
  </w:font>
  <w:font w:name="华文楷体">
    <w:altName w:val="宋体"/>
    <w:panose1 w:val="02010600040101010101"/>
    <w:charset w:val="86"/>
    <w:family w:val="auto"/>
    <w:pitch w:val="default"/>
    <w:sig w:usb0="00000000" w:usb1="00000000" w:usb2="00000000" w:usb3="00000000" w:csb0="0004009F" w:csb1="DFD70000"/>
    <w:embedRegular r:id="rId6" w:fontKey="{8FDAD7B8-89C1-4A1F-AAEA-E4F1BA21D0E2}"/>
  </w:font>
  <w:font w:name="宋体-18030">
    <w:altName w:val="宋体"/>
    <w:panose1 w:val="02010609060101010101"/>
    <w:charset w:val="86"/>
    <w:family w:val="modern"/>
    <w:pitch w:val="default"/>
    <w:sig w:usb0="00000000" w:usb1="00000000" w:usb2="000A005E" w:usb3="00000000" w:csb0="00040001" w:csb1="00000000"/>
    <w:embedRegular r:id="rId7" w:fontKey="{9758E736-3C03-4D47-B32C-939336ACDA0D}"/>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1052">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DF4">
    <w:pPr>
      <w:pStyle w:val="22"/>
      <w:framePr w:wrap="around" w:vAnchor="text" w:hAnchor="margin" w:xAlign="center" w:y="1"/>
      <w:tabs>
        <w:tab w:val="clear" w:pos="4153"/>
        <w:tab w:val="clear" w:pos="8306"/>
      </w:tabs>
      <w:rPr>
        <w:rStyle w:val="39"/>
      </w:rPr>
    </w:pPr>
    <w:r>
      <w:fldChar w:fldCharType="begin"/>
    </w:r>
    <w:r>
      <w:rPr>
        <w:rStyle w:val="39"/>
      </w:rPr>
      <w:instrText xml:space="preserve">PAGE  </w:instrText>
    </w:r>
    <w:r>
      <w:fldChar w:fldCharType="separate"/>
    </w:r>
    <w:r>
      <w:t xml:space="preserve"> </w:t>
    </w:r>
    <w:r>
      <w:fldChar w:fldCharType="end"/>
    </w:r>
  </w:p>
  <w:p w14:paraId="324148DB">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1C08">
    <w:pPr>
      <w:pStyle w:val="22"/>
      <w:framePr w:wrap="around" w:vAnchor="text" w:hAnchor="margin" w:xAlign="center" w:y="1"/>
      <w:tabs>
        <w:tab w:val="clear" w:pos="4153"/>
        <w:tab w:val="clear" w:pos="8306"/>
      </w:tabs>
      <w:rPr>
        <w:rStyle w:val="39"/>
        <w:rFonts w:hint="eastAsia"/>
      </w:rPr>
    </w:pPr>
  </w:p>
  <w:p w14:paraId="7F1FF381">
    <w:pPr>
      <w:pStyle w:val="22"/>
      <w:tabs>
        <w:tab w:val="clear" w:pos="4153"/>
        <w:tab w:val="clear" w:pos="8306"/>
      </w:tabs>
      <w:rPr>
        <w:rFonts w:hint="eastAsia"/>
        <w:szCs w:val="21"/>
      </w:rPr>
    </w:pPr>
  </w:p>
  <w:p w14:paraId="56EDCA8C">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049F1">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049F1">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EF9">
    <w:pPr>
      <w:pStyle w:val="22"/>
      <w:rPr>
        <w:rStyle w:val="39"/>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13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813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CCB1CB">
    <w:pPr>
      <w:pStyle w:val="2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9C866F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9C866FC"/>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88F8E">
    <w:pPr>
      <w:pStyle w:val="22"/>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7C8C">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0A7C8C">
                    <w:pPr>
                      <w:pStyle w:val="2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A2F">
    <w:pPr>
      <w:pStyle w:val="22"/>
      <w:tabs>
        <w:tab w:val="clear" w:pos="4153"/>
        <w:tab w:val="clear" w:pos="8306"/>
      </w:tabs>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D17E">
                          <w:pPr>
                            <w:pStyle w:val="2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05D17E">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4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92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7927">
    <w:pPr>
      <w:pStyle w:val="23"/>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0A64">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4"/>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1"/>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RkMjg0ZWRjZjM1MTM4OGNiMGViY2YyN2VjZj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267"/>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4F42"/>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5BC8"/>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23584C"/>
    <w:rsid w:val="01317BAC"/>
    <w:rsid w:val="0156352C"/>
    <w:rsid w:val="0160078A"/>
    <w:rsid w:val="016025FC"/>
    <w:rsid w:val="01727AD4"/>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10A6D"/>
    <w:rsid w:val="029F0F02"/>
    <w:rsid w:val="02AB3F80"/>
    <w:rsid w:val="02CD5A6F"/>
    <w:rsid w:val="02D50DC8"/>
    <w:rsid w:val="02F92D08"/>
    <w:rsid w:val="02FF011F"/>
    <w:rsid w:val="0306625F"/>
    <w:rsid w:val="0314369E"/>
    <w:rsid w:val="032B6C3A"/>
    <w:rsid w:val="03433F84"/>
    <w:rsid w:val="034D095E"/>
    <w:rsid w:val="034D4E02"/>
    <w:rsid w:val="03636F78"/>
    <w:rsid w:val="038E49F0"/>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6416"/>
    <w:rsid w:val="05072DB3"/>
    <w:rsid w:val="051D0A23"/>
    <w:rsid w:val="05584639"/>
    <w:rsid w:val="05713E65"/>
    <w:rsid w:val="05777F14"/>
    <w:rsid w:val="057F7413"/>
    <w:rsid w:val="059302F0"/>
    <w:rsid w:val="05B55DC4"/>
    <w:rsid w:val="05C56ED2"/>
    <w:rsid w:val="05EB7E30"/>
    <w:rsid w:val="0600615C"/>
    <w:rsid w:val="0619721E"/>
    <w:rsid w:val="06235109"/>
    <w:rsid w:val="062459A5"/>
    <w:rsid w:val="062478E7"/>
    <w:rsid w:val="06304C93"/>
    <w:rsid w:val="064510DB"/>
    <w:rsid w:val="06581AF4"/>
    <w:rsid w:val="06620B3A"/>
    <w:rsid w:val="066E7569"/>
    <w:rsid w:val="06954AF6"/>
    <w:rsid w:val="069717B9"/>
    <w:rsid w:val="06D0451E"/>
    <w:rsid w:val="06DA6FC6"/>
    <w:rsid w:val="06EB6E0C"/>
    <w:rsid w:val="06F10417"/>
    <w:rsid w:val="06F34B4B"/>
    <w:rsid w:val="06FF299A"/>
    <w:rsid w:val="070A729C"/>
    <w:rsid w:val="07342561"/>
    <w:rsid w:val="073C599D"/>
    <w:rsid w:val="073E5575"/>
    <w:rsid w:val="074128B0"/>
    <w:rsid w:val="074A10F8"/>
    <w:rsid w:val="074D3623"/>
    <w:rsid w:val="0761194E"/>
    <w:rsid w:val="076432D3"/>
    <w:rsid w:val="0781151E"/>
    <w:rsid w:val="07B54D24"/>
    <w:rsid w:val="07B63215"/>
    <w:rsid w:val="07B77A9C"/>
    <w:rsid w:val="07BC624E"/>
    <w:rsid w:val="07D63618"/>
    <w:rsid w:val="07DC7A53"/>
    <w:rsid w:val="08000695"/>
    <w:rsid w:val="08081FA5"/>
    <w:rsid w:val="080B7557"/>
    <w:rsid w:val="08181E21"/>
    <w:rsid w:val="08184EC7"/>
    <w:rsid w:val="081C0B89"/>
    <w:rsid w:val="082B48A9"/>
    <w:rsid w:val="082D6348"/>
    <w:rsid w:val="084F5179"/>
    <w:rsid w:val="085264A2"/>
    <w:rsid w:val="0858227F"/>
    <w:rsid w:val="085D7896"/>
    <w:rsid w:val="08684A24"/>
    <w:rsid w:val="0878647D"/>
    <w:rsid w:val="08924472"/>
    <w:rsid w:val="08A62997"/>
    <w:rsid w:val="08A969C4"/>
    <w:rsid w:val="08AA2A59"/>
    <w:rsid w:val="08AF6108"/>
    <w:rsid w:val="08B001C4"/>
    <w:rsid w:val="08B5322E"/>
    <w:rsid w:val="08D00FFA"/>
    <w:rsid w:val="08EF5F46"/>
    <w:rsid w:val="090441B5"/>
    <w:rsid w:val="09086D86"/>
    <w:rsid w:val="090F12E9"/>
    <w:rsid w:val="09367BAA"/>
    <w:rsid w:val="09381D73"/>
    <w:rsid w:val="09473B2C"/>
    <w:rsid w:val="096A3477"/>
    <w:rsid w:val="097C361B"/>
    <w:rsid w:val="097E3577"/>
    <w:rsid w:val="09866978"/>
    <w:rsid w:val="09AB5942"/>
    <w:rsid w:val="09B064D1"/>
    <w:rsid w:val="09BF2ED7"/>
    <w:rsid w:val="09BF7674"/>
    <w:rsid w:val="09F45FD8"/>
    <w:rsid w:val="09F806A3"/>
    <w:rsid w:val="0A0B50CF"/>
    <w:rsid w:val="0A0D1190"/>
    <w:rsid w:val="0A2456C5"/>
    <w:rsid w:val="0A2543E3"/>
    <w:rsid w:val="0A474057"/>
    <w:rsid w:val="0A53598C"/>
    <w:rsid w:val="0A641E3D"/>
    <w:rsid w:val="0AA34B1B"/>
    <w:rsid w:val="0AAD7CD9"/>
    <w:rsid w:val="0AB6328D"/>
    <w:rsid w:val="0ABD15CE"/>
    <w:rsid w:val="0ABF263A"/>
    <w:rsid w:val="0AD12B8F"/>
    <w:rsid w:val="0AF618DB"/>
    <w:rsid w:val="0B0A6314"/>
    <w:rsid w:val="0B183F48"/>
    <w:rsid w:val="0B330D82"/>
    <w:rsid w:val="0B335CF7"/>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64762A"/>
    <w:rsid w:val="0C782EF0"/>
    <w:rsid w:val="0C7B0EF4"/>
    <w:rsid w:val="0C825B1D"/>
    <w:rsid w:val="0C8E44C1"/>
    <w:rsid w:val="0C9C7EE1"/>
    <w:rsid w:val="0C9F66CF"/>
    <w:rsid w:val="0CA20839"/>
    <w:rsid w:val="0CA21D1B"/>
    <w:rsid w:val="0CB14648"/>
    <w:rsid w:val="0CB21A52"/>
    <w:rsid w:val="0CB63A18"/>
    <w:rsid w:val="0CBD3A66"/>
    <w:rsid w:val="0CC358B5"/>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193424"/>
    <w:rsid w:val="0E554C8F"/>
    <w:rsid w:val="0E574D87"/>
    <w:rsid w:val="0E5A2C39"/>
    <w:rsid w:val="0E736B11"/>
    <w:rsid w:val="0E7F3562"/>
    <w:rsid w:val="0E8E126E"/>
    <w:rsid w:val="0E9E6512"/>
    <w:rsid w:val="0EAC6E81"/>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21F8C"/>
    <w:rsid w:val="0F7936CC"/>
    <w:rsid w:val="0F882744"/>
    <w:rsid w:val="0F8F3081"/>
    <w:rsid w:val="0FA5195F"/>
    <w:rsid w:val="0FAD4701"/>
    <w:rsid w:val="0FC621C4"/>
    <w:rsid w:val="0FCA1B11"/>
    <w:rsid w:val="0FE825FD"/>
    <w:rsid w:val="0FF61E2B"/>
    <w:rsid w:val="10260FB8"/>
    <w:rsid w:val="10280789"/>
    <w:rsid w:val="104C1D61"/>
    <w:rsid w:val="104D6442"/>
    <w:rsid w:val="106043C7"/>
    <w:rsid w:val="106F4618"/>
    <w:rsid w:val="10735462"/>
    <w:rsid w:val="10760938"/>
    <w:rsid w:val="10771710"/>
    <w:rsid w:val="107A6B0B"/>
    <w:rsid w:val="10934AB9"/>
    <w:rsid w:val="109E4EEF"/>
    <w:rsid w:val="10B64B12"/>
    <w:rsid w:val="10B7072A"/>
    <w:rsid w:val="10B93AD7"/>
    <w:rsid w:val="10C04E65"/>
    <w:rsid w:val="10C34956"/>
    <w:rsid w:val="10D57578"/>
    <w:rsid w:val="10D73F5D"/>
    <w:rsid w:val="10E83584"/>
    <w:rsid w:val="10F245C8"/>
    <w:rsid w:val="10FD18AA"/>
    <w:rsid w:val="11136BE5"/>
    <w:rsid w:val="112244C7"/>
    <w:rsid w:val="113C1FEF"/>
    <w:rsid w:val="113E38BD"/>
    <w:rsid w:val="114E06C3"/>
    <w:rsid w:val="11531836"/>
    <w:rsid w:val="11633A20"/>
    <w:rsid w:val="11700B96"/>
    <w:rsid w:val="117A7D9D"/>
    <w:rsid w:val="117B6FDE"/>
    <w:rsid w:val="117D1895"/>
    <w:rsid w:val="1189681F"/>
    <w:rsid w:val="118D065E"/>
    <w:rsid w:val="119111DD"/>
    <w:rsid w:val="119D0D92"/>
    <w:rsid w:val="11B01C7F"/>
    <w:rsid w:val="11C049F1"/>
    <w:rsid w:val="11C72224"/>
    <w:rsid w:val="11D16BFE"/>
    <w:rsid w:val="11E20E0C"/>
    <w:rsid w:val="11EB5F12"/>
    <w:rsid w:val="11F63B39"/>
    <w:rsid w:val="11F811A4"/>
    <w:rsid w:val="121534BC"/>
    <w:rsid w:val="12303925"/>
    <w:rsid w:val="12321755"/>
    <w:rsid w:val="12392DC6"/>
    <w:rsid w:val="123A0C48"/>
    <w:rsid w:val="125735A8"/>
    <w:rsid w:val="125C6E10"/>
    <w:rsid w:val="125E4649"/>
    <w:rsid w:val="12653E6A"/>
    <w:rsid w:val="127658D7"/>
    <w:rsid w:val="12864FA7"/>
    <w:rsid w:val="12957C2C"/>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9022F"/>
    <w:rsid w:val="13EB044B"/>
    <w:rsid w:val="13F53078"/>
    <w:rsid w:val="13FD017F"/>
    <w:rsid w:val="1400703C"/>
    <w:rsid w:val="14024E31"/>
    <w:rsid w:val="142F0857"/>
    <w:rsid w:val="1436652A"/>
    <w:rsid w:val="1437543F"/>
    <w:rsid w:val="1444680B"/>
    <w:rsid w:val="14473B09"/>
    <w:rsid w:val="14526E7B"/>
    <w:rsid w:val="145853B5"/>
    <w:rsid w:val="147246C9"/>
    <w:rsid w:val="14834C84"/>
    <w:rsid w:val="14840D97"/>
    <w:rsid w:val="14861F22"/>
    <w:rsid w:val="148D4AEF"/>
    <w:rsid w:val="1493647B"/>
    <w:rsid w:val="14A32AD4"/>
    <w:rsid w:val="14CA62B3"/>
    <w:rsid w:val="14CF3D47"/>
    <w:rsid w:val="14D94AE9"/>
    <w:rsid w:val="14EB2AE0"/>
    <w:rsid w:val="14F50E56"/>
    <w:rsid w:val="14F7288F"/>
    <w:rsid w:val="14F751FA"/>
    <w:rsid w:val="14FC59FF"/>
    <w:rsid w:val="15063688"/>
    <w:rsid w:val="151E65FF"/>
    <w:rsid w:val="15336151"/>
    <w:rsid w:val="155251A4"/>
    <w:rsid w:val="156275CE"/>
    <w:rsid w:val="156F3D9C"/>
    <w:rsid w:val="15724254"/>
    <w:rsid w:val="157952EA"/>
    <w:rsid w:val="157B75AD"/>
    <w:rsid w:val="15876E40"/>
    <w:rsid w:val="158C2DC7"/>
    <w:rsid w:val="15A718D7"/>
    <w:rsid w:val="15BF64B6"/>
    <w:rsid w:val="15D373E9"/>
    <w:rsid w:val="15D975F0"/>
    <w:rsid w:val="15EC6D9F"/>
    <w:rsid w:val="15F64207"/>
    <w:rsid w:val="15FB6C69"/>
    <w:rsid w:val="16016360"/>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26FFE"/>
    <w:rsid w:val="16B86283"/>
    <w:rsid w:val="16BB08D6"/>
    <w:rsid w:val="16C33CD0"/>
    <w:rsid w:val="16C86EEE"/>
    <w:rsid w:val="16CF74AC"/>
    <w:rsid w:val="16D62899"/>
    <w:rsid w:val="16D86AD9"/>
    <w:rsid w:val="16DC407B"/>
    <w:rsid w:val="16E24DAF"/>
    <w:rsid w:val="16E478E9"/>
    <w:rsid w:val="16E86EC4"/>
    <w:rsid w:val="16F21AF1"/>
    <w:rsid w:val="16F45869"/>
    <w:rsid w:val="17025136"/>
    <w:rsid w:val="17080CB3"/>
    <w:rsid w:val="17104E33"/>
    <w:rsid w:val="172779EC"/>
    <w:rsid w:val="172C5003"/>
    <w:rsid w:val="173061FF"/>
    <w:rsid w:val="17435B9A"/>
    <w:rsid w:val="17481711"/>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07C10"/>
    <w:rsid w:val="18D95C4B"/>
    <w:rsid w:val="18E33521"/>
    <w:rsid w:val="18EB67F8"/>
    <w:rsid w:val="18FA4C8D"/>
    <w:rsid w:val="18FF7748"/>
    <w:rsid w:val="19133920"/>
    <w:rsid w:val="19296091"/>
    <w:rsid w:val="193C34F7"/>
    <w:rsid w:val="19526877"/>
    <w:rsid w:val="196C36C2"/>
    <w:rsid w:val="19733208"/>
    <w:rsid w:val="1978271D"/>
    <w:rsid w:val="197E7B00"/>
    <w:rsid w:val="19933B34"/>
    <w:rsid w:val="19C96DDB"/>
    <w:rsid w:val="19CD084B"/>
    <w:rsid w:val="19CF01B9"/>
    <w:rsid w:val="19DC46F7"/>
    <w:rsid w:val="19DE34A8"/>
    <w:rsid w:val="19E52623"/>
    <w:rsid w:val="19EF2318"/>
    <w:rsid w:val="19FA6457"/>
    <w:rsid w:val="19FB3754"/>
    <w:rsid w:val="1A09162B"/>
    <w:rsid w:val="1A0B2274"/>
    <w:rsid w:val="1A187AC0"/>
    <w:rsid w:val="1A393B90"/>
    <w:rsid w:val="1A4E703E"/>
    <w:rsid w:val="1A535B25"/>
    <w:rsid w:val="1A7208D9"/>
    <w:rsid w:val="1A764FB0"/>
    <w:rsid w:val="1A767F97"/>
    <w:rsid w:val="1A8C60A2"/>
    <w:rsid w:val="1A932C82"/>
    <w:rsid w:val="1A9D1D74"/>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54CE1"/>
    <w:rsid w:val="1B886580"/>
    <w:rsid w:val="1BAB30F2"/>
    <w:rsid w:val="1BB64807"/>
    <w:rsid w:val="1BC45815"/>
    <w:rsid w:val="1BCA6B98"/>
    <w:rsid w:val="1BEC2FB3"/>
    <w:rsid w:val="1BEE345E"/>
    <w:rsid w:val="1BF209FD"/>
    <w:rsid w:val="1BF530EC"/>
    <w:rsid w:val="1BFD529F"/>
    <w:rsid w:val="1C044843"/>
    <w:rsid w:val="1C165429"/>
    <w:rsid w:val="1C4C7B54"/>
    <w:rsid w:val="1C6D30D8"/>
    <w:rsid w:val="1C7911F1"/>
    <w:rsid w:val="1C7B60E4"/>
    <w:rsid w:val="1CCB47C0"/>
    <w:rsid w:val="1CE27F12"/>
    <w:rsid w:val="1CF3330B"/>
    <w:rsid w:val="1D0B3F40"/>
    <w:rsid w:val="1D0C2883"/>
    <w:rsid w:val="1D1F4CC2"/>
    <w:rsid w:val="1D3B1144"/>
    <w:rsid w:val="1D44297A"/>
    <w:rsid w:val="1D4E4561"/>
    <w:rsid w:val="1D703128"/>
    <w:rsid w:val="1D7C5FBA"/>
    <w:rsid w:val="1D81336E"/>
    <w:rsid w:val="1D8B67FB"/>
    <w:rsid w:val="1D9F19C4"/>
    <w:rsid w:val="1DA575B0"/>
    <w:rsid w:val="1DAF24EA"/>
    <w:rsid w:val="1DB375C5"/>
    <w:rsid w:val="1DB46449"/>
    <w:rsid w:val="1DBC69B5"/>
    <w:rsid w:val="1DC332DD"/>
    <w:rsid w:val="1DDB0E18"/>
    <w:rsid w:val="1DE80C95"/>
    <w:rsid w:val="1DEF6D8A"/>
    <w:rsid w:val="1E061E25"/>
    <w:rsid w:val="1E062897"/>
    <w:rsid w:val="1E226345"/>
    <w:rsid w:val="1E37428D"/>
    <w:rsid w:val="1E384EE7"/>
    <w:rsid w:val="1E3A6C06"/>
    <w:rsid w:val="1E424E8A"/>
    <w:rsid w:val="1E6C5E06"/>
    <w:rsid w:val="1E736290"/>
    <w:rsid w:val="1E82756A"/>
    <w:rsid w:val="1E8C6387"/>
    <w:rsid w:val="1E8F5E77"/>
    <w:rsid w:val="1E9A6CF6"/>
    <w:rsid w:val="1EAA4A5F"/>
    <w:rsid w:val="1EB06519"/>
    <w:rsid w:val="1EB458DE"/>
    <w:rsid w:val="1EC00497"/>
    <w:rsid w:val="1EDA5344"/>
    <w:rsid w:val="1EE613D0"/>
    <w:rsid w:val="1EF1268E"/>
    <w:rsid w:val="1EF21855"/>
    <w:rsid w:val="1EF501D6"/>
    <w:rsid w:val="1EF80AEE"/>
    <w:rsid w:val="1F1830CB"/>
    <w:rsid w:val="1F1D4CEA"/>
    <w:rsid w:val="1F3431EF"/>
    <w:rsid w:val="1F412ACD"/>
    <w:rsid w:val="1F703EFB"/>
    <w:rsid w:val="1F717B90"/>
    <w:rsid w:val="1F896D6A"/>
    <w:rsid w:val="1FA51C58"/>
    <w:rsid w:val="1FA7649E"/>
    <w:rsid w:val="1FBE7B22"/>
    <w:rsid w:val="1FCD4EA9"/>
    <w:rsid w:val="1FF02C39"/>
    <w:rsid w:val="20061562"/>
    <w:rsid w:val="200A7EAB"/>
    <w:rsid w:val="2017317A"/>
    <w:rsid w:val="201D0468"/>
    <w:rsid w:val="202857A9"/>
    <w:rsid w:val="202D76F6"/>
    <w:rsid w:val="203D7B26"/>
    <w:rsid w:val="20A749AE"/>
    <w:rsid w:val="20B10327"/>
    <w:rsid w:val="20B15A28"/>
    <w:rsid w:val="20C655D1"/>
    <w:rsid w:val="20C77B4A"/>
    <w:rsid w:val="20C92795"/>
    <w:rsid w:val="20D65FDF"/>
    <w:rsid w:val="20DB0CE4"/>
    <w:rsid w:val="20E961FA"/>
    <w:rsid w:val="20EE6F43"/>
    <w:rsid w:val="211A14D6"/>
    <w:rsid w:val="211F34E2"/>
    <w:rsid w:val="2132735C"/>
    <w:rsid w:val="21564CC5"/>
    <w:rsid w:val="21725E20"/>
    <w:rsid w:val="217F21D3"/>
    <w:rsid w:val="21894835"/>
    <w:rsid w:val="219F6403"/>
    <w:rsid w:val="21A148C9"/>
    <w:rsid w:val="21A84B20"/>
    <w:rsid w:val="21A97250"/>
    <w:rsid w:val="21C347B6"/>
    <w:rsid w:val="21D06ED2"/>
    <w:rsid w:val="21D547D9"/>
    <w:rsid w:val="21E36C06"/>
    <w:rsid w:val="21F841CB"/>
    <w:rsid w:val="21FE26A3"/>
    <w:rsid w:val="22094970"/>
    <w:rsid w:val="220A4192"/>
    <w:rsid w:val="2224426F"/>
    <w:rsid w:val="224551CB"/>
    <w:rsid w:val="224C10D0"/>
    <w:rsid w:val="225222AD"/>
    <w:rsid w:val="22541289"/>
    <w:rsid w:val="22560474"/>
    <w:rsid w:val="225C24EF"/>
    <w:rsid w:val="226433E0"/>
    <w:rsid w:val="22685BE4"/>
    <w:rsid w:val="22786DC6"/>
    <w:rsid w:val="228F018F"/>
    <w:rsid w:val="22951269"/>
    <w:rsid w:val="22952C4B"/>
    <w:rsid w:val="22A07A2E"/>
    <w:rsid w:val="22AE1FD7"/>
    <w:rsid w:val="22B00DA9"/>
    <w:rsid w:val="22B1460E"/>
    <w:rsid w:val="22B81E40"/>
    <w:rsid w:val="22CC769A"/>
    <w:rsid w:val="22DF73CD"/>
    <w:rsid w:val="22F10EAE"/>
    <w:rsid w:val="2305495A"/>
    <w:rsid w:val="230D3F37"/>
    <w:rsid w:val="231128EB"/>
    <w:rsid w:val="23130BB1"/>
    <w:rsid w:val="23151041"/>
    <w:rsid w:val="23307C29"/>
    <w:rsid w:val="233415C5"/>
    <w:rsid w:val="234C07DB"/>
    <w:rsid w:val="23566F63"/>
    <w:rsid w:val="2362143C"/>
    <w:rsid w:val="23645B24"/>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B6D9D"/>
    <w:rsid w:val="24F904EE"/>
    <w:rsid w:val="25237319"/>
    <w:rsid w:val="25276E09"/>
    <w:rsid w:val="253311F6"/>
    <w:rsid w:val="253B3193"/>
    <w:rsid w:val="25552E9E"/>
    <w:rsid w:val="255866F6"/>
    <w:rsid w:val="25654FC9"/>
    <w:rsid w:val="25851E17"/>
    <w:rsid w:val="2586379D"/>
    <w:rsid w:val="25A91F14"/>
    <w:rsid w:val="25C97EC1"/>
    <w:rsid w:val="25DF1492"/>
    <w:rsid w:val="25EB1207"/>
    <w:rsid w:val="25F723E2"/>
    <w:rsid w:val="26377520"/>
    <w:rsid w:val="263C274B"/>
    <w:rsid w:val="264B7744"/>
    <w:rsid w:val="2651082C"/>
    <w:rsid w:val="267E7EE2"/>
    <w:rsid w:val="26A804CA"/>
    <w:rsid w:val="26C66AA9"/>
    <w:rsid w:val="26CD578F"/>
    <w:rsid w:val="26CF59AB"/>
    <w:rsid w:val="26DB434F"/>
    <w:rsid w:val="26DD1E76"/>
    <w:rsid w:val="26F64CE5"/>
    <w:rsid w:val="26F87EF2"/>
    <w:rsid w:val="271138CD"/>
    <w:rsid w:val="271703C5"/>
    <w:rsid w:val="27351CB2"/>
    <w:rsid w:val="27361586"/>
    <w:rsid w:val="27392E24"/>
    <w:rsid w:val="27483067"/>
    <w:rsid w:val="275163C0"/>
    <w:rsid w:val="2753038A"/>
    <w:rsid w:val="275B5309"/>
    <w:rsid w:val="27675BE3"/>
    <w:rsid w:val="277D1B2D"/>
    <w:rsid w:val="27835FFC"/>
    <w:rsid w:val="27914A0E"/>
    <w:rsid w:val="2794279E"/>
    <w:rsid w:val="279E7050"/>
    <w:rsid w:val="27A466B8"/>
    <w:rsid w:val="27AF6D80"/>
    <w:rsid w:val="27B0198F"/>
    <w:rsid w:val="27B92AB7"/>
    <w:rsid w:val="27D43FB1"/>
    <w:rsid w:val="27DE552A"/>
    <w:rsid w:val="27E022D4"/>
    <w:rsid w:val="27EB05C2"/>
    <w:rsid w:val="27F84A8D"/>
    <w:rsid w:val="27FC3AE4"/>
    <w:rsid w:val="2800288E"/>
    <w:rsid w:val="28065AFB"/>
    <w:rsid w:val="280C4E96"/>
    <w:rsid w:val="28192DCF"/>
    <w:rsid w:val="281B7D88"/>
    <w:rsid w:val="282E4FCE"/>
    <w:rsid w:val="28342B35"/>
    <w:rsid w:val="2834568E"/>
    <w:rsid w:val="283F0442"/>
    <w:rsid w:val="28497097"/>
    <w:rsid w:val="284E32AF"/>
    <w:rsid w:val="286D1F27"/>
    <w:rsid w:val="287E1436"/>
    <w:rsid w:val="28924EE2"/>
    <w:rsid w:val="28975940"/>
    <w:rsid w:val="28A2738B"/>
    <w:rsid w:val="28A86838"/>
    <w:rsid w:val="28C4031B"/>
    <w:rsid w:val="28CB6760"/>
    <w:rsid w:val="28DA7C9C"/>
    <w:rsid w:val="28EC71CA"/>
    <w:rsid w:val="290B259E"/>
    <w:rsid w:val="291D0C4F"/>
    <w:rsid w:val="2924258A"/>
    <w:rsid w:val="29274E04"/>
    <w:rsid w:val="293F46A3"/>
    <w:rsid w:val="296D1EE4"/>
    <w:rsid w:val="298B44EB"/>
    <w:rsid w:val="29944EB8"/>
    <w:rsid w:val="299C4433"/>
    <w:rsid w:val="29DB4666"/>
    <w:rsid w:val="29E4351B"/>
    <w:rsid w:val="29E736D3"/>
    <w:rsid w:val="29EC0622"/>
    <w:rsid w:val="29FB1FE8"/>
    <w:rsid w:val="29FD5050"/>
    <w:rsid w:val="29FE68AE"/>
    <w:rsid w:val="2A031B89"/>
    <w:rsid w:val="2A070C32"/>
    <w:rsid w:val="2A0B0AA8"/>
    <w:rsid w:val="2A1C2CB5"/>
    <w:rsid w:val="2A1F6D8E"/>
    <w:rsid w:val="2A32072A"/>
    <w:rsid w:val="2A3C5105"/>
    <w:rsid w:val="2A444271"/>
    <w:rsid w:val="2A491993"/>
    <w:rsid w:val="2A567D20"/>
    <w:rsid w:val="2A6F4131"/>
    <w:rsid w:val="2A782154"/>
    <w:rsid w:val="2A821832"/>
    <w:rsid w:val="2A8C2357"/>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1529D1"/>
    <w:rsid w:val="2C3B319A"/>
    <w:rsid w:val="2C3C1A6A"/>
    <w:rsid w:val="2C540D91"/>
    <w:rsid w:val="2C6537E2"/>
    <w:rsid w:val="2C6C7279"/>
    <w:rsid w:val="2C8965FC"/>
    <w:rsid w:val="2C903C46"/>
    <w:rsid w:val="2CA14AE9"/>
    <w:rsid w:val="2CAB6572"/>
    <w:rsid w:val="2CAC2D20"/>
    <w:rsid w:val="2CBC42DB"/>
    <w:rsid w:val="2CC10625"/>
    <w:rsid w:val="2CC47634"/>
    <w:rsid w:val="2CD326FB"/>
    <w:rsid w:val="2CD33D72"/>
    <w:rsid w:val="2CDD2170"/>
    <w:rsid w:val="2CEA7FC6"/>
    <w:rsid w:val="2CEF46B1"/>
    <w:rsid w:val="2CF220D0"/>
    <w:rsid w:val="2CF241A1"/>
    <w:rsid w:val="2D032370"/>
    <w:rsid w:val="2D056154"/>
    <w:rsid w:val="2D094BEA"/>
    <w:rsid w:val="2D2A52C6"/>
    <w:rsid w:val="2D4D7629"/>
    <w:rsid w:val="2D880661"/>
    <w:rsid w:val="2D8F1DD6"/>
    <w:rsid w:val="2D915A33"/>
    <w:rsid w:val="2D954534"/>
    <w:rsid w:val="2D9800A5"/>
    <w:rsid w:val="2DC3712A"/>
    <w:rsid w:val="2DE171DF"/>
    <w:rsid w:val="2DEF1551"/>
    <w:rsid w:val="2E0200C9"/>
    <w:rsid w:val="2E3507E9"/>
    <w:rsid w:val="2E382C3D"/>
    <w:rsid w:val="2E3C6ABB"/>
    <w:rsid w:val="2E4345B4"/>
    <w:rsid w:val="2E5A3DAC"/>
    <w:rsid w:val="2E5D53FD"/>
    <w:rsid w:val="2E61599C"/>
    <w:rsid w:val="2E6332CF"/>
    <w:rsid w:val="2E6E7857"/>
    <w:rsid w:val="2E7D7A9A"/>
    <w:rsid w:val="2EA63495"/>
    <w:rsid w:val="2EBA0298"/>
    <w:rsid w:val="2EBF09B3"/>
    <w:rsid w:val="2EC92E35"/>
    <w:rsid w:val="2ED22F7C"/>
    <w:rsid w:val="2ED73784"/>
    <w:rsid w:val="2EDF3673"/>
    <w:rsid w:val="2EE213C2"/>
    <w:rsid w:val="2EFC30B5"/>
    <w:rsid w:val="2F0529C7"/>
    <w:rsid w:val="2F3E36CD"/>
    <w:rsid w:val="2F486989"/>
    <w:rsid w:val="2F4C403D"/>
    <w:rsid w:val="2F653004"/>
    <w:rsid w:val="2F684953"/>
    <w:rsid w:val="2F8135BA"/>
    <w:rsid w:val="2F8D622E"/>
    <w:rsid w:val="2F9037FD"/>
    <w:rsid w:val="2F917CA1"/>
    <w:rsid w:val="2F982E42"/>
    <w:rsid w:val="2FCB7EDC"/>
    <w:rsid w:val="2FD951A4"/>
    <w:rsid w:val="2FDB7940"/>
    <w:rsid w:val="2FE60F0B"/>
    <w:rsid w:val="2FFE3400"/>
    <w:rsid w:val="301B0290"/>
    <w:rsid w:val="303C4D07"/>
    <w:rsid w:val="306461F7"/>
    <w:rsid w:val="30647164"/>
    <w:rsid w:val="306C3ED5"/>
    <w:rsid w:val="306C6C6A"/>
    <w:rsid w:val="306D3F93"/>
    <w:rsid w:val="30711C4D"/>
    <w:rsid w:val="30801AC4"/>
    <w:rsid w:val="308A649E"/>
    <w:rsid w:val="308E5A68"/>
    <w:rsid w:val="30A2226B"/>
    <w:rsid w:val="30BB2AFC"/>
    <w:rsid w:val="30C22649"/>
    <w:rsid w:val="30DC08E6"/>
    <w:rsid w:val="30E81B43"/>
    <w:rsid w:val="30E97669"/>
    <w:rsid w:val="312E022B"/>
    <w:rsid w:val="314221E6"/>
    <w:rsid w:val="314A45AB"/>
    <w:rsid w:val="314D7BF8"/>
    <w:rsid w:val="31534D0D"/>
    <w:rsid w:val="317118EE"/>
    <w:rsid w:val="318555E4"/>
    <w:rsid w:val="318A3760"/>
    <w:rsid w:val="31C64FD5"/>
    <w:rsid w:val="31C84C92"/>
    <w:rsid w:val="31D163B5"/>
    <w:rsid w:val="31D976DD"/>
    <w:rsid w:val="31DE4220"/>
    <w:rsid w:val="3201528F"/>
    <w:rsid w:val="320E382B"/>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482D6D"/>
    <w:rsid w:val="335E1849"/>
    <w:rsid w:val="335F4F26"/>
    <w:rsid w:val="33625BED"/>
    <w:rsid w:val="337F6063"/>
    <w:rsid w:val="3380392C"/>
    <w:rsid w:val="3381627F"/>
    <w:rsid w:val="339935C8"/>
    <w:rsid w:val="33A37FA3"/>
    <w:rsid w:val="33B73A4E"/>
    <w:rsid w:val="33B946F2"/>
    <w:rsid w:val="33B95A18"/>
    <w:rsid w:val="33D4718D"/>
    <w:rsid w:val="33DC0716"/>
    <w:rsid w:val="33E54418"/>
    <w:rsid w:val="33F07509"/>
    <w:rsid w:val="33F627C9"/>
    <w:rsid w:val="340C0FA6"/>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36D08"/>
    <w:rsid w:val="34FA7F15"/>
    <w:rsid w:val="34FB24F0"/>
    <w:rsid w:val="352930DB"/>
    <w:rsid w:val="353B59DD"/>
    <w:rsid w:val="35534E88"/>
    <w:rsid w:val="355A32BB"/>
    <w:rsid w:val="35633752"/>
    <w:rsid w:val="3569521C"/>
    <w:rsid w:val="35823489"/>
    <w:rsid w:val="35897E8C"/>
    <w:rsid w:val="35953A4C"/>
    <w:rsid w:val="35A66D4C"/>
    <w:rsid w:val="35B53FBD"/>
    <w:rsid w:val="35B5404A"/>
    <w:rsid w:val="35CA6E6E"/>
    <w:rsid w:val="35F950CF"/>
    <w:rsid w:val="35FA1CB2"/>
    <w:rsid w:val="36050AA1"/>
    <w:rsid w:val="360B0081"/>
    <w:rsid w:val="361E1B63"/>
    <w:rsid w:val="361E6D32"/>
    <w:rsid w:val="36301896"/>
    <w:rsid w:val="36320657"/>
    <w:rsid w:val="36321AB2"/>
    <w:rsid w:val="365C2A91"/>
    <w:rsid w:val="36673AC2"/>
    <w:rsid w:val="367E2EED"/>
    <w:rsid w:val="3683401A"/>
    <w:rsid w:val="369D7707"/>
    <w:rsid w:val="36AB2FBA"/>
    <w:rsid w:val="36C3270A"/>
    <w:rsid w:val="3701395E"/>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034A1"/>
    <w:rsid w:val="38645F08"/>
    <w:rsid w:val="38697E97"/>
    <w:rsid w:val="387168C2"/>
    <w:rsid w:val="3888121E"/>
    <w:rsid w:val="388E270B"/>
    <w:rsid w:val="389B1BDF"/>
    <w:rsid w:val="38A1659F"/>
    <w:rsid w:val="38AF2F46"/>
    <w:rsid w:val="38B16CBE"/>
    <w:rsid w:val="38C95821"/>
    <w:rsid w:val="38F02478"/>
    <w:rsid w:val="390239BE"/>
    <w:rsid w:val="39180C1C"/>
    <w:rsid w:val="392A1B36"/>
    <w:rsid w:val="392A34F7"/>
    <w:rsid w:val="392A4E38"/>
    <w:rsid w:val="393A6E69"/>
    <w:rsid w:val="39675500"/>
    <w:rsid w:val="396B1563"/>
    <w:rsid w:val="39754190"/>
    <w:rsid w:val="399B0348"/>
    <w:rsid w:val="39BF57BB"/>
    <w:rsid w:val="39CD2DB0"/>
    <w:rsid w:val="39D92970"/>
    <w:rsid w:val="39DB0D6F"/>
    <w:rsid w:val="39FE7012"/>
    <w:rsid w:val="3A0D5454"/>
    <w:rsid w:val="3A1172F4"/>
    <w:rsid w:val="3A23599A"/>
    <w:rsid w:val="3A255086"/>
    <w:rsid w:val="3A2E4C8D"/>
    <w:rsid w:val="3A35147E"/>
    <w:rsid w:val="3A377636"/>
    <w:rsid w:val="3A446EBF"/>
    <w:rsid w:val="3A4B4EF0"/>
    <w:rsid w:val="3A514258"/>
    <w:rsid w:val="3A6802CC"/>
    <w:rsid w:val="3A684F47"/>
    <w:rsid w:val="3A6A4A9F"/>
    <w:rsid w:val="3A7D77A0"/>
    <w:rsid w:val="3A810023"/>
    <w:rsid w:val="3A860F49"/>
    <w:rsid w:val="3A9D05C4"/>
    <w:rsid w:val="3AA1177A"/>
    <w:rsid w:val="3ABC194A"/>
    <w:rsid w:val="3AD2116E"/>
    <w:rsid w:val="3AF37A62"/>
    <w:rsid w:val="3AF61300"/>
    <w:rsid w:val="3AFB6916"/>
    <w:rsid w:val="3AFD73E8"/>
    <w:rsid w:val="3B381919"/>
    <w:rsid w:val="3B615DAA"/>
    <w:rsid w:val="3B944458"/>
    <w:rsid w:val="3B954675"/>
    <w:rsid w:val="3B9823B7"/>
    <w:rsid w:val="3BAF7463"/>
    <w:rsid w:val="3BB271C7"/>
    <w:rsid w:val="3BB557AB"/>
    <w:rsid w:val="3BBF5B96"/>
    <w:rsid w:val="3BC744EA"/>
    <w:rsid w:val="3BCE135D"/>
    <w:rsid w:val="3BD60968"/>
    <w:rsid w:val="3BFA4E77"/>
    <w:rsid w:val="3C1C08F2"/>
    <w:rsid w:val="3C4414D2"/>
    <w:rsid w:val="3C595B04"/>
    <w:rsid w:val="3C5C17D2"/>
    <w:rsid w:val="3C5F42F8"/>
    <w:rsid w:val="3C6C0F9B"/>
    <w:rsid w:val="3C7301F1"/>
    <w:rsid w:val="3C7356FA"/>
    <w:rsid w:val="3C860462"/>
    <w:rsid w:val="3CA1704A"/>
    <w:rsid w:val="3CC86CCC"/>
    <w:rsid w:val="3CD4741F"/>
    <w:rsid w:val="3CF65122"/>
    <w:rsid w:val="3CFB3A43"/>
    <w:rsid w:val="3CFB661F"/>
    <w:rsid w:val="3D0B626C"/>
    <w:rsid w:val="3D0F4D1C"/>
    <w:rsid w:val="3D167A38"/>
    <w:rsid w:val="3D487A50"/>
    <w:rsid w:val="3D5139EC"/>
    <w:rsid w:val="3D5B369C"/>
    <w:rsid w:val="3D687B67"/>
    <w:rsid w:val="3D7A6218"/>
    <w:rsid w:val="3D7C3859"/>
    <w:rsid w:val="3D8552FA"/>
    <w:rsid w:val="3D8C367A"/>
    <w:rsid w:val="3DA908AC"/>
    <w:rsid w:val="3DB039E8"/>
    <w:rsid w:val="3DCF2188"/>
    <w:rsid w:val="3DD1570D"/>
    <w:rsid w:val="3DDE7492"/>
    <w:rsid w:val="3DF2026B"/>
    <w:rsid w:val="3DF80EEB"/>
    <w:rsid w:val="3DFA1107"/>
    <w:rsid w:val="3DFF04CC"/>
    <w:rsid w:val="3E0E6961"/>
    <w:rsid w:val="3E1321C9"/>
    <w:rsid w:val="3E24689A"/>
    <w:rsid w:val="3E557A55"/>
    <w:rsid w:val="3E5D2794"/>
    <w:rsid w:val="3E612F34"/>
    <w:rsid w:val="3E8134BC"/>
    <w:rsid w:val="3E864749"/>
    <w:rsid w:val="3E8D1F7B"/>
    <w:rsid w:val="3E9073D3"/>
    <w:rsid w:val="3EAC582F"/>
    <w:rsid w:val="3EC80F65"/>
    <w:rsid w:val="3ED35D96"/>
    <w:rsid w:val="3EE0310F"/>
    <w:rsid w:val="3F192FDE"/>
    <w:rsid w:val="3F21764F"/>
    <w:rsid w:val="3F270382"/>
    <w:rsid w:val="3F4D34B9"/>
    <w:rsid w:val="3F5C61BC"/>
    <w:rsid w:val="3F7E18C4"/>
    <w:rsid w:val="3F821E5A"/>
    <w:rsid w:val="3F826617"/>
    <w:rsid w:val="3F882148"/>
    <w:rsid w:val="3FAD5B09"/>
    <w:rsid w:val="3FAF5707"/>
    <w:rsid w:val="3FD61700"/>
    <w:rsid w:val="3FD85683"/>
    <w:rsid w:val="3FF130F6"/>
    <w:rsid w:val="3FF878C8"/>
    <w:rsid w:val="3FFA5B87"/>
    <w:rsid w:val="3FFF6096"/>
    <w:rsid w:val="40044B90"/>
    <w:rsid w:val="40153FD6"/>
    <w:rsid w:val="402042D4"/>
    <w:rsid w:val="40273D0A"/>
    <w:rsid w:val="40310071"/>
    <w:rsid w:val="4045485F"/>
    <w:rsid w:val="405640FA"/>
    <w:rsid w:val="4081166C"/>
    <w:rsid w:val="40975D69"/>
    <w:rsid w:val="40A01D3A"/>
    <w:rsid w:val="40C652D1"/>
    <w:rsid w:val="40C92CD2"/>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B0183"/>
    <w:rsid w:val="424C228D"/>
    <w:rsid w:val="424E40FE"/>
    <w:rsid w:val="427E4A81"/>
    <w:rsid w:val="428C524B"/>
    <w:rsid w:val="42927D62"/>
    <w:rsid w:val="429B3874"/>
    <w:rsid w:val="429F5DD9"/>
    <w:rsid w:val="42AD499A"/>
    <w:rsid w:val="42B61086"/>
    <w:rsid w:val="42C26869"/>
    <w:rsid w:val="42DD6902"/>
    <w:rsid w:val="42E3216A"/>
    <w:rsid w:val="42ED02B3"/>
    <w:rsid w:val="42FE6FA4"/>
    <w:rsid w:val="43040332"/>
    <w:rsid w:val="430F518E"/>
    <w:rsid w:val="43152860"/>
    <w:rsid w:val="43162488"/>
    <w:rsid w:val="431762B8"/>
    <w:rsid w:val="431A4176"/>
    <w:rsid w:val="431B17D2"/>
    <w:rsid w:val="434370AD"/>
    <w:rsid w:val="434A043B"/>
    <w:rsid w:val="43560B8E"/>
    <w:rsid w:val="43607C5E"/>
    <w:rsid w:val="436F7EA2"/>
    <w:rsid w:val="43772A58"/>
    <w:rsid w:val="438761B4"/>
    <w:rsid w:val="4389474A"/>
    <w:rsid w:val="438F3327"/>
    <w:rsid w:val="43923B90"/>
    <w:rsid w:val="43A4707C"/>
    <w:rsid w:val="43C55D14"/>
    <w:rsid w:val="43D67B4D"/>
    <w:rsid w:val="43DF0926"/>
    <w:rsid w:val="43F15324"/>
    <w:rsid w:val="440B706C"/>
    <w:rsid w:val="44110F59"/>
    <w:rsid w:val="44136A7F"/>
    <w:rsid w:val="441A605F"/>
    <w:rsid w:val="441D70DF"/>
    <w:rsid w:val="441E176A"/>
    <w:rsid w:val="441F5424"/>
    <w:rsid w:val="44292D63"/>
    <w:rsid w:val="443B0E5E"/>
    <w:rsid w:val="44426C0E"/>
    <w:rsid w:val="4445330B"/>
    <w:rsid w:val="44484B78"/>
    <w:rsid w:val="44550816"/>
    <w:rsid w:val="445826E4"/>
    <w:rsid w:val="44592AFA"/>
    <w:rsid w:val="445C06B9"/>
    <w:rsid w:val="445F3A72"/>
    <w:rsid w:val="446077EA"/>
    <w:rsid w:val="44665E49"/>
    <w:rsid w:val="446C618F"/>
    <w:rsid w:val="448E3562"/>
    <w:rsid w:val="448F024A"/>
    <w:rsid w:val="44B26298"/>
    <w:rsid w:val="44BE2E8F"/>
    <w:rsid w:val="44C86593"/>
    <w:rsid w:val="44D02189"/>
    <w:rsid w:val="44D73F50"/>
    <w:rsid w:val="44FC1D24"/>
    <w:rsid w:val="44FE1514"/>
    <w:rsid w:val="451008C2"/>
    <w:rsid w:val="451277B0"/>
    <w:rsid w:val="45246F22"/>
    <w:rsid w:val="452470E5"/>
    <w:rsid w:val="45280308"/>
    <w:rsid w:val="45435142"/>
    <w:rsid w:val="45464C32"/>
    <w:rsid w:val="45492AC0"/>
    <w:rsid w:val="4550785F"/>
    <w:rsid w:val="45513D03"/>
    <w:rsid w:val="45675331"/>
    <w:rsid w:val="45801494"/>
    <w:rsid w:val="458021A9"/>
    <w:rsid w:val="45834749"/>
    <w:rsid w:val="458D7ACD"/>
    <w:rsid w:val="45AB63C3"/>
    <w:rsid w:val="45C32288"/>
    <w:rsid w:val="45CD7101"/>
    <w:rsid w:val="45D73ADC"/>
    <w:rsid w:val="45D93CF8"/>
    <w:rsid w:val="45DB537A"/>
    <w:rsid w:val="45F20395"/>
    <w:rsid w:val="45F27684"/>
    <w:rsid w:val="45FE72BB"/>
    <w:rsid w:val="45FE7CC8"/>
    <w:rsid w:val="46053A9B"/>
    <w:rsid w:val="460A3EB2"/>
    <w:rsid w:val="46121C64"/>
    <w:rsid w:val="46162856"/>
    <w:rsid w:val="46226EB0"/>
    <w:rsid w:val="462C207A"/>
    <w:rsid w:val="4658671E"/>
    <w:rsid w:val="465C2A22"/>
    <w:rsid w:val="466E205D"/>
    <w:rsid w:val="467632F5"/>
    <w:rsid w:val="467911B3"/>
    <w:rsid w:val="46812B8D"/>
    <w:rsid w:val="46832413"/>
    <w:rsid w:val="46885E2A"/>
    <w:rsid w:val="469F2601"/>
    <w:rsid w:val="46A82FBF"/>
    <w:rsid w:val="46AB40C3"/>
    <w:rsid w:val="46BA58D8"/>
    <w:rsid w:val="46C439A8"/>
    <w:rsid w:val="46CE7995"/>
    <w:rsid w:val="46D7323F"/>
    <w:rsid w:val="46E0501A"/>
    <w:rsid w:val="46FC1214"/>
    <w:rsid w:val="47021DBA"/>
    <w:rsid w:val="471F2FD5"/>
    <w:rsid w:val="47484C91"/>
    <w:rsid w:val="475278BE"/>
    <w:rsid w:val="475D3DAD"/>
    <w:rsid w:val="47705F96"/>
    <w:rsid w:val="479C5383"/>
    <w:rsid w:val="479F646B"/>
    <w:rsid w:val="47A3636C"/>
    <w:rsid w:val="47A56FB4"/>
    <w:rsid w:val="47AD7CF1"/>
    <w:rsid w:val="47B6609F"/>
    <w:rsid w:val="47B9547A"/>
    <w:rsid w:val="47D67F88"/>
    <w:rsid w:val="47F20CC9"/>
    <w:rsid w:val="4803505C"/>
    <w:rsid w:val="480831B5"/>
    <w:rsid w:val="480D66CD"/>
    <w:rsid w:val="480F105A"/>
    <w:rsid w:val="48194880"/>
    <w:rsid w:val="481A5421"/>
    <w:rsid w:val="482849BA"/>
    <w:rsid w:val="48286871"/>
    <w:rsid w:val="483D056E"/>
    <w:rsid w:val="483F2BC9"/>
    <w:rsid w:val="485A1120"/>
    <w:rsid w:val="48A7549C"/>
    <w:rsid w:val="48B545A9"/>
    <w:rsid w:val="48BA15B1"/>
    <w:rsid w:val="48D273AC"/>
    <w:rsid w:val="48D76D49"/>
    <w:rsid w:val="48E97759"/>
    <w:rsid w:val="491F1E48"/>
    <w:rsid w:val="492139EC"/>
    <w:rsid w:val="492B3567"/>
    <w:rsid w:val="49337978"/>
    <w:rsid w:val="493E4BFE"/>
    <w:rsid w:val="494E0559"/>
    <w:rsid w:val="495D26EB"/>
    <w:rsid w:val="49600707"/>
    <w:rsid w:val="49656EDC"/>
    <w:rsid w:val="49793828"/>
    <w:rsid w:val="4987138C"/>
    <w:rsid w:val="49883A6B"/>
    <w:rsid w:val="49B91793"/>
    <w:rsid w:val="49C37596"/>
    <w:rsid w:val="49CD147E"/>
    <w:rsid w:val="49CF169A"/>
    <w:rsid w:val="49D348F2"/>
    <w:rsid w:val="49E204D8"/>
    <w:rsid w:val="49F86DB3"/>
    <w:rsid w:val="49FA66B9"/>
    <w:rsid w:val="4A0D3F70"/>
    <w:rsid w:val="4A103FF4"/>
    <w:rsid w:val="4A1277D9"/>
    <w:rsid w:val="4A2F2139"/>
    <w:rsid w:val="4A4B70A4"/>
    <w:rsid w:val="4A5D0A54"/>
    <w:rsid w:val="4A666565"/>
    <w:rsid w:val="4A7B66E4"/>
    <w:rsid w:val="4A7D5113"/>
    <w:rsid w:val="4A7F4FCB"/>
    <w:rsid w:val="4A812A30"/>
    <w:rsid w:val="4A89523C"/>
    <w:rsid w:val="4AAA6714"/>
    <w:rsid w:val="4AB019AF"/>
    <w:rsid w:val="4AB60164"/>
    <w:rsid w:val="4AC07235"/>
    <w:rsid w:val="4AC54E91"/>
    <w:rsid w:val="4AD5154D"/>
    <w:rsid w:val="4AEA3364"/>
    <w:rsid w:val="4AF73617"/>
    <w:rsid w:val="4B101F6A"/>
    <w:rsid w:val="4B257098"/>
    <w:rsid w:val="4B593BC4"/>
    <w:rsid w:val="4B6A463C"/>
    <w:rsid w:val="4B902FB1"/>
    <w:rsid w:val="4B9E0E3F"/>
    <w:rsid w:val="4BB63B5B"/>
    <w:rsid w:val="4BB9615E"/>
    <w:rsid w:val="4BCC283D"/>
    <w:rsid w:val="4BD35E6D"/>
    <w:rsid w:val="4BDC1E4C"/>
    <w:rsid w:val="4BE1231B"/>
    <w:rsid w:val="4BEF7421"/>
    <w:rsid w:val="4BFF5353"/>
    <w:rsid w:val="4C177328"/>
    <w:rsid w:val="4C1F6EFC"/>
    <w:rsid w:val="4C2F265F"/>
    <w:rsid w:val="4C5B5DF1"/>
    <w:rsid w:val="4C6D6DCE"/>
    <w:rsid w:val="4C752052"/>
    <w:rsid w:val="4C7D3694"/>
    <w:rsid w:val="4C9F27AB"/>
    <w:rsid w:val="4CBD2C33"/>
    <w:rsid w:val="4CBD4A44"/>
    <w:rsid w:val="4CD40D75"/>
    <w:rsid w:val="4CDE3815"/>
    <w:rsid w:val="4CED2983"/>
    <w:rsid w:val="4D0D2958"/>
    <w:rsid w:val="4D145493"/>
    <w:rsid w:val="4D16313C"/>
    <w:rsid w:val="4D2D4855"/>
    <w:rsid w:val="4D393332"/>
    <w:rsid w:val="4D3B01A7"/>
    <w:rsid w:val="4D4746C5"/>
    <w:rsid w:val="4D4D1254"/>
    <w:rsid w:val="4D5A74CD"/>
    <w:rsid w:val="4D6759FB"/>
    <w:rsid w:val="4D6E3517"/>
    <w:rsid w:val="4DB14B03"/>
    <w:rsid w:val="4DB639B0"/>
    <w:rsid w:val="4DB7491F"/>
    <w:rsid w:val="4DE70682"/>
    <w:rsid w:val="4DF53699"/>
    <w:rsid w:val="4DFD50C1"/>
    <w:rsid w:val="4E2B70BB"/>
    <w:rsid w:val="4E4645AE"/>
    <w:rsid w:val="4E467A51"/>
    <w:rsid w:val="4E496865"/>
    <w:rsid w:val="4E58321E"/>
    <w:rsid w:val="4E66521C"/>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4FED4628"/>
    <w:rsid w:val="50055E16"/>
    <w:rsid w:val="501C4F0D"/>
    <w:rsid w:val="502B7CA9"/>
    <w:rsid w:val="503046E2"/>
    <w:rsid w:val="5038679F"/>
    <w:rsid w:val="50414974"/>
    <w:rsid w:val="50463D38"/>
    <w:rsid w:val="5047222E"/>
    <w:rsid w:val="505A4AE2"/>
    <w:rsid w:val="50670571"/>
    <w:rsid w:val="50970476"/>
    <w:rsid w:val="50B95E75"/>
    <w:rsid w:val="50C54952"/>
    <w:rsid w:val="50CA6916"/>
    <w:rsid w:val="50CD6207"/>
    <w:rsid w:val="51015649"/>
    <w:rsid w:val="51034416"/>
    <w:rsid w:val="510A745C"/>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6353C"/>
    <w:rsid w:val="51F87B88"/>
    <w:rsid w:val="520B6FE7"/>
    <w:rsid w:val="520D0FB1"/>
    <w:rsid w:val="521142C4"/>
    <w:rsid w:val="5224097B"/>
    <w:rsid w:val="522508B8"/>
    <w:rsid w:val="5238556C"/>
    <w:rsid w:val="523E1BC7"/>
    <w:rsid w:val="523F6E00"/>
    <w:rsid w:val="524B22B7"/>
    <w:rsid w:val="52692D61"/>
    <w:rsid w:val="527728CF"/>
    <w:rsid w:val="528172AA"/>
    <w:rsid w:val="52A636F2"/>
    <w:rsid w:val="52B8492E"/>
    <w:rsid w:val="52CD201A"/>
    <w:rsid w:val="52DB316A"/>
    <w:rsid w:val="52DF5523"/>
    <w:rsid w:val="52F1442F"/>
    <w:rsid w:val="530C01BA"/>
    <w:rsid w:val="530F02BC"/>
    <w:rsid w:val="530F5C2C"/>
    <w:rsid w:val="53130F14"/>
    <w:rsid w:val="531C6A38"/>
    <w:rsid w:val="534972AB"/>
    <w:rsid w:val="5373169B"/>
    <w:rsid w:val="53747D16"/>
    <w:rsid w:val="5378497F"/>
    <w:rsid w:val="53C6061F"/>
    <w:rsid w:val="53E544DB"/>
    <w:rsid w:val="53F046E7"/>
    <w:rsid w:val="53F82EC8"/>
    <w:rsid w:val="54063F0A"/>
    <w:rsid w:val="540B1521"/>
    <w:rsid w:val="5415227F"/>
    <w:rsid w:val="542258CB"/>
    <w:rsid w:val="542D741B"/>
    <w:rsid w:val="543211F5"/>
    <w:rsid w:val="54330AC6"/>
    <w:rsid w:val="543547EF"/>
    <w:rsid w:val="543640C4"/>
    <w:rsid w:val="544B4013"/>
    <w:rsid w:val="544D7D8B"/>
    <w:rsid w:val="545042DD"/>
    <w:rsid w:val="5456472A"/>
    <w:rsid w:val="54644545"/>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1548D9"/>
    <w:rsid w:val="564447FE"/>
    <w:rsid w:val="56466840"/>
    <w:rsid w:val="565467A5"/>
    <w:rsid w:val="56644224"/>
    <w:rsid w:val="566559D7"/>
    <w:rsid w:val="5666680E"/>
    <w:rsid w:val="5669634B"/>
    <w:rsid w:val="56735DD8"/>
    <w:rsid w:val="567A473C"/>
    <w:rsid w:val="5685797A"/>
    <w:rsid w:val="568C1A21"/>
    <w:rsid w:val="569F4D37"/>
    <w:rsid w:val="56AB2F3F"/>
    <w:rsid w:val="56C42FEC"/>
    <w:rsid w:val="56EA73AE"/>
    <w:rsid w:val="56F0657B"/>
    <w:rsid w:val="56F20621"/>
    <w:rsid w:val="56F20776"/>
    <w:rsid w:val="56F37AB8"/>
    <w:rsid w:val="56FC15F5"/>
    <w:rsid w:val="57122BC6"/>
    <w:rsid w:val="571E156B"/>
    <w:rsid w:val="572D6623"/>
    <w:rsid w:val="57364C46"/>
    <w:rsid w:val="575A47E7"/>
    <w:rsid w:val="575C02E5"/>
    <w:rsid w:val="577473DD"/>
    <w:rsid w:val="57911484"/>
    <w:rsid w:val="57B40121"/>
    <w:rsid w:val="57BE00CF"/>
    <w:rsid w:val="57C33EC0"/>
    <w:rsid w:val="57CF104F"/>
    <w:rsid w:val="57CF47C9"/>
    <w:rsid w:val="57D939CD"/>
    <w:rsid w:val="57FF0946"/>
    <w:rsid w:val="58075B26"/>
    <w:rsid w:val="580A355F"/>
    <w:rsid w:val="58127ED2"/>
    <w:rsid w:val="58172F6B"/>
    <w:rsid w:val="58281E5B"/>
    <w:rsid w:val="582C247D"/>
    <w:rsid w:val="583D29A8"/>
    <w:rsid w:val="58406187"/>
    <w:rsid w:val="584E614D"/>
    <w:rsid w:val="58537A63"/>
    <w:rsid w:val="58643CC2"/>
    <w:rsid w:val="588075E9"/>
    <w:rsid w:val="588C2AEC"/>
    <w:rsid w:val="58975A79"/>
    <w:rsid w:val="58A81A34"/>
    <w:rsid w:val="58CA7BFC"/>
    <w:rsid w:val="58CF5213"/>
    <w:rsid w:val="58E83887"/>
    <w:rsid w:val="58F90DE0"/>
    <w:rsid w:val="59044790"/>
    <w:rsid w:val="59106321"/>
    <w:rsid w:val="59140C82"/>
    <w:rsid w:val="59202A8D"/>
    <w:rsid w:val="59254E33"/>
    <w:rsid w:val="59372DB8"/>
    <w:rsid w:val="593B01E1"/>
    <w:rsid w:val="59493F76"/>
    <w:rsid w:val="59550FA6"/>
    <w:rsid w:val="595650B7"/>
    <w:rsid w:val="59576FB6"/>
    <w:rsid w:val="596005C1"/>
    <w:rsid w:val="59622FBF"/>
    <w:rsid w:val="59626C1D"/>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2A57A8"/>
    <w:rsid w:val="5A3D61AC"/>
    <w:rsid w:val="5A447687"/>
    <w:rsid w:val="5A4C2893"/>
    <w:rsid w:val="5A603305"/>
    <w:rsid w:val="5A701838"/>
    <w:rsid w:val="5A706581"/>
    <w:rsid w:val="5A8156DE"/>
    <w:rsid w:val="5A955FE8"/>
    <w:rsid w:val="5AAD1584"/>
    <w:rsid w:val="5ADF3707"/>
    <w:rsid w:val="5AE3249E"/>
    <w:rsid w:val="5AE56545"/>
    <w:rsid w:val="5AE92129"/>
    <w:rsid w:val="5AF102AB"/>
    <w:rsid w:val="5B163201"/>
    <w:rsid w:val="5B1A473F"/>
    <w:rsid w:val="5B2E3D47"/>
    <w:rsid w:val="5B37709F"/>
    <w:rsid w:val="5B6149A2"/>
    <w:rsid w:val="5B636D7E"/>
    <w:rsid w:val="5B7A6DEA"/>
    <w:rsid w:val="5B7E6A7C"/>
    <w:rsid w:val="5B9A6FA0"/>
    <w:rsid w:val="5BA20303"/>
    <w:rsid w:val="5BB26726"/>
    <w:rsid w:val="5BB701E0"/>
    <w:rsid w:val="5BB926FC"/>
    <w:rsid w:val="5BF54320"/>
    <w:rsid w:val="5C1633F6"/>
    <w:rsid w:val="5C246971"/>
    <w:rsid w:val="5C4867F4"/>
    <w:rsid w:val="5C49715E"/>
    <w:rsid w:val="5C6737F1"/>
    <w:rsid w:val="5C8F5ED1"/>
    <w:rsid w:val="5C9C18B0"/>
    <w:rsid w:val="5C9E7970"/>
    <w:rsid w:val="5CBD1826"/>
    <w:rsid w:val="5CC37F37"/>
    <w:rsid w:val="5CE943C9"/>
    <w:rsid w:val="5CF96FBB"/>
    <w:rsid w:val="5CFD1C22"/>
    <w:rsid w:val="5D044DFB"/>
    <w:rsid w:val="5D0E2082"/>
    <w:rsid w:val="5D2A3C5C"/>
    <w:rsid w:val="5D2E4206"/>
    <w:rsid w:val="5D3B5F6E"/>
    <w:rsid w:val="5D42012A"/>
    <w:rsid w:val="5D4D6706"/>
    <w:rsid w:val="5D55380D"/>
    <w:rsid w:val="5D6F2B20"/>
    <w:rsid w:val="5D8B5480"/>
    <w:rsid w:val="5DA21809"/>
    <w:rsid w:val="5DAB5B22"/>
    <w:rsid w:val="5DC0337C"/>
    <w:rsid w:val="5DC32E6C"/>
    <w:rsid w:val="5DD0374A"/>
    <w:rsid w:val="5DD064FA"/>
    <w:rsid w:val="5DDA30BD"/>
    <w:rsid w:val="5DDC7EB6"/>
    <w:rsid w:val="5DE33611"/>
    <w:rsid w:val="5DE50E0B"/>
    <w:rsid w:val="5DEA03F9"/>
    <w:rsid w:val="5DEB5F1F"/>
    <w:rsid w:val="5DEB608F"/>
    <w:rsid w:val="5E0266B8"/>
    <w:rsid w:val="5E211941"/>
    <w:rsid w:val="5E2719AF"/>
    <w:rsid w:val="5E2C7B5F"/>
    <w:rsid w:val="5E324CBD"/>
    <w:rsid w:val="5E37388C"/>
    <w:rsid w:val="5E386485"/>
    <w:rsid w:val="5E49652D"/>
    <w:rsid w:val="5E55621E"/>
    <w:rsid w:val="5E556A51"/>
    <w:rsid w:val="5E6C7060"/>
    <w:rsid w:val="5EA7453C"/>
    <w:rsid w:val="5EAE0F71"/>
    <w:rsid w:val="5ED27BE1"/>
    <w:rsid w:val="5ED35BB4"/>
    <w:rsid w:val="5ED75612"/>
    <w:rsid w:val="5EE2145A"/>
    <w:rsid w:val="5F1E2A19"/>
    <w:rsid w:val="5F1F1B33"/>
    <w:rsid w:val="5F2136D8"/>
    <w:rsid w:val="5F2D0AE0"/>
    <w:rsid w:val="5F432EF8"/>
    <w:rsid w:val="5F47659C"/>
    <w:rsid w:val="5F4D7ADC"/>
    <w:rsid w:val="5F526256"/>
    <w:rsid w:val="5F555D46"/>
    <w:rsid w:val="5F5B16CF"/>
    <w:rsid w:val="5F7E529D"/>
    <w:rsid w:val="5FB40CBE"/>
    <w:rsid w:val="5FC2239B"/>
    <w:rsid w:val="5FCA04E2"/>
    <w:rsid w:val="5FDF1F8A"/>
    <w:rsid w:val="5FE356A8"/>
    <w:rsid w:val="5FF40024"/>
    <w:rsid w:val="602676E1"/>
    <w:rsid w:val="602E4F74"/>
    <w:rsid w:val="603418A5"/>
    <w:rsid w:val="60366D51"/>
    <w:rsid w:val="604D4C6F"/>
    <w:rsid w:val="606002D2"/>
    <w:rsid w:val="60936B26"/>
    <w:rsid w:val="60A457EB"/>
    <w:rsid w:val="60A74497"/>
    <w:rsid w:val="60B61030"/>
    <w:rsid w:val="60BE1C9B"/>
    <w:rsid w:val="60C356C4"/>
    <w:rsid w:val="60E92BEA"/>
    <w:rsid w:val="60FF41BB"/>
    <w:rsid w:val="61020C7F"/>
    <w:rsid w:val="611759A9"/>
    <w:rsid w:val="612B3202"/>
    <w:rsid w:val="612C0D28"/>
    <w:rsid w:val="61406582"/>
    <w:rsid w:val="61543299"/>
    <w:rsid w:val="61592960"/>
    <w:rsid w:val="615A5A4D"/>
    <w:rsid w:val="6166248C"/>
    <w:rsid w:val="61706E67"/>
    <w:rsid w:val="61AC41D6"/>
    <w:rsid w:val="61D70DF9"/>
    <w:rsid w:val="61D77A00"/>
    <w:rsid w:val="61EE148D"/>
    <w:rsid w:val="621B3277"/>
    <w:rsid w:val="6228211F"/>
    <w:rsid w:val="6229771A"/>
    <w:rsid w:val="622C555D"/>
    <w:rsid w:val="623B7475"/>
    <w:rsid w:val="624D53FA"/>
    <w:rsid w:val="625E7607"/>
    <w:rsid w:val="626478C2"/>
    <w:rsid w:val="626529F4"/>
    <w:rsid w:val="626C4988"/>
    <w:rsid w:val="62854B94"/>
    <w:rsid w:val="62C610B8"/>
    <w:rsid w:val="62E224E8"/>
    <w:rsid w:val="62F13FD7"/>
    <w:rsid w:val="62FE497B"/>
    <w:rsid w:val="62FF03D9"/>
    <w:rsid w:val="62FF64C2"/>
    <w:rsid w:val="630E4B89"/>
    <w:rsid w:val="633345F0"/>
    <w:rsid w:val="63352116"/>
    <w:rsid w:val="63377DE5"/>
    <w:rsid w:val="633B5253"/>
    <w:rsid w:val="633C769A"/>
    <w:rsid w:val="63452A53"/>
    <w:rsid w:val="63485127"/>
    <w:rsid w:val="635B58F5"/>
    <w:rsid w:val="637531A0"/>
    <w:rsid w:val="63927568"/>
    <w:rsid w:val="63966FB4"/>
    <w:rsid w:val="63973036"/>
    <w:rsid w:val="639B6291"/>
    <w:rsid w:val="639C2D33"/>
    <w:rsid w:val="63A105E6"/>
    <w:rsid w:val="63AD6150"/>
    <w:rsid w:val="63C416EC"/>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1E6BDA"/>
    <w:rsid w:val="65220A06"/>
    <w:rsid w:val="65384140"/>
    <w:rsid w:val="653A1C66"/>
    <w:rsid w:val="65426D6C"/>
    <w:rsid w:val="65540C76"/>
    <w:rsid w:val="656E7B61"/>
    <w:rsid w:val="657753A5"/>
    <w:rsid w:val="657A5833"/>
    <w:rsid w:val="65812DF0"/>
    <w:rsid w:val="65841133"/>
    <w:rsid w:val="65842EE1"/>
    <w:rsid w:val="658630FD"/>
    <w:rsid w:val="659B022A"/>
    <w:rsid w:val="65A767B0"/>
    <w:rsid w:val="65AE3104"/>
    <w:rsid w:val="65B838A4"/>
    <w:rsid w:val="65C94D98"/>
    <w:rsid w:val="65CB4FB4"/>
    <w:rsid w:val="65D96BC2"/>
    <w:rsid w:val="65E6594A"/>
    <w:rsid w:val="6602534E"/>
    <w:rsid w:val="66065FEC"/>
    <w:rsid w:val="660A5F17"/>
    <w:rsid w:val="66332DC3"/>
    <w:rsid w:val="66373CE0"/>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86A44"/>
    <w:rsid w:val="672F48CC"/>
    <w:rsid w:val="6730396A"/>
    <w:rsid w:val="67346B89"/>
    <w:rsid w:val="6739419F"/>
    <w:rsid w:val="6751773B"/>
    <w:rsid w:val="6760797E"/>
    <w:rsid w:val="67801EB9"/>
    <w:rsid w:val="67931B01"/>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B7537B"/>
    <w:rsid w:val="68D56A00"/>
    <w:rsid w:val="68DA1F54"/>
    <w:rsid w:val="68EB078F"/>
    <w:rsid w:val="691D1B71"/>
    <w:rsid w:val="69280C5E"/>
    <w:rsid w:val="692E7D33"/>
    <w:rsid w:val="693115D2"/>
    <w:rsid w:val="693A3226"/>
    <w:rsid w:val="693E4935"/>
    <w:rsid w:val="694D54E1"/>
    <w:rsid w:val="695928D6"/>
    <w:rsid w:val="699944EC"/>
    <w:rsid w:val="69995724"/>
    <w:rsid w:val="69B31FE7"/>
    <w:rsid w:val="69B47EE5"/>
    <w:rsid w:val="69C4686C"/>
    <w:rsid w:val="69CE0ADD"/>
    <w:rsid w:val="6A176F2F"/>
    <w:rsid w:val="6A23687A"/>
    <w:rsid w:val="6A240036"/>
    <w:rsid w:val="6A372756"/>
    <w:rsid w:val="6A3B19C7"/>
    <w:rsid w:val="6A4B20C8"/>
    <w:rsid w:val="6A4B5F33"/>
    <w:rsid w:val="6A577BBA"/>
    <w:rsid w:val="6A590439"/>
    <w:rsid w:val="6A597D4C"/>
    <w:rsid w:val="6A680FC7"/>
    <w:rsid w:val="6A880A74"/>
    <w:rsid w:val="6A942216"/>
    <w:rsid w:val="6A9B0075"/>
    <w:rsid w:val="6AA91B02"/>
    <w:rsid w:val="6AB57FE0"/>
    <w:rsid w:val="6AC51D73"/>
    <w:rsid w:val="6AC82C33"/>
    <w:rsid w:val="6AD67F71"/>
    <w:rsid w:val="6AE213F9"/>
    <w:rsid w:val="6AE85CC0"/>
    <w:rsid w:val="6AF00218"/>
    <w:rsid w:val="6AF7771D"/>
    <w:rsid w:val="6B036F9E"/>
    <w:rsid w:val="6B105217"/>
    <w:rsid w:val="6B2F7A95"/>
    <w:rsid w:val="6B311795"/>
    <w:rsid w:val="6B4D0219"/>
    <w:rsid w:val="6B4D31D1"/>
    <w:rsid w:val="6B52511D"/>
    <w:rsid w:val="6BA17867"/>
    <w:rsid w:val="6BA8544F"/>
    <w:rsid w:val="6BB141CE"/>
    <w:rsid w:val="6BBA58AE"/>
    <w:rsid w:val="6BBE4C73"/>
    <w:rsid w:val="6BD45513"/>
    <w:rsid w:val="6BE566A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23012"/>
    <w:rsid w:val="6D385E21"/>
    <w:rsid w:val="6D737889"/>
    <w:rsid w:val="6D787B59"/>
    <w:rsid w:val="6D7F4662"/>
    <w:rsid w:val="6D832E39"/>
    <w:rsid w:val="6D8A7542"/>
    <w:rsid w:val="6D916E4E"/>
    <w:rsid w:val="6D935BA7"/>
    <w:rsid w:val="6DA94419"/>
    <w:rsid w:val="6DB3108B"/>
    <w:rsid w:val="6DBD5004"/>
    <w:rsid w:val="6DC63E68"/>
    <w:rsid w:val="6DCF4F15"/>
    <w:rsid w:val="6DD447A6"/>
    <w:rsid w:val="6DEF4626"/>
    <w:rsid w:val="6E066FBB"/>
    <w:rsid w:val="6E1152C9"/>
    <w:rsid w:val="6E4678CD"/>
    <w:rsid w:val="6E531FEA"/>
    <w:rsid w:val="6E5C6B75"/>
    <w:rsid w:val="6E6D037E"/>
    <w:rsid w:val="6E7837FF"/>
    <w:rsid w:val="6E95214E"/>
    <w:rsid w:val="6E9B7282"/>
    <w:rsid w:val="6EA3225C"/>
    <w:rsid w:val="6EA63EC8"/>
    <w:rsid w:val="6EA84CF4"/>
    <w:rsid w:val="6EAC10F7"/>
    <w:rsid w:val="6EB135A6"/>
    <w:rsid w:val="6EBF1FE4"/>
    <w:rsid w:val="6EC5163F"/>
    <w:rsid w:val="6F003A11"/>
    <w:rsid w:val="6F0230C8"/>
    <w:rsid w:val="6F0A08FB"/>
    <w:rsid w:val="6F153111"/>
    <w:rsid w:val="6F2474E3"/>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76FEF"/>
    <w:rsid w:val="704C1556"/>
    <w:rsid w:val="705D5373"/>
    <w:rsid w:val="706109EE"/>
    <w:rsid w:val="707A385E"/>
    <w:rsid w:val="707D50FC"/>
    <w:rsid w:val="707E0FD5"/>
    <w:rsid w:val="70867402"/>
    <w:rsid w:val="70A95654"/>
    <w:rsid w:val="70C312D3"/>
    <w:rsid w:val="70C66AA3"/>
    <w:rsid w:val="70D43718"/>
    <w:rsid w:val="70F73101"/>
    <w:rsid w:val="7116172E"/>
    <w:rsid w:val="71241D10"/>
    <w:rsid w:val="712437CA"/>
    <w:rsid w:val="712D0854"/>
    <w:rsid w:val="713B389B"/>
    <w:rsid w:val="7142463B"/>
    <w:rsid w:val="71910D2E"/>
    <w:rsid w:val="71A010A2"/>
    <w:rsid w:val="71AC2056"/>
    <w:rsid w:val="71C1345D"/>
    <w:rsid w:val="71C72AD3"/>
    <w:rsid w:val="71CB2462"/>
    <w:rsid w:val="71D445CE"/>
    <w:rsid w:val="71DA38CD"/>
    <w:rsid w:val="71E25B41"/>
    <w:rsid w:val="71F650B9"/>
    <w:rsid w:val="71FB277D"/>
    <w:rsid w:val="720F6001"/>
    <w:rsid w:val="72473CB6"/>
    <w:rsid w:val="72686E3D"/>
    <w:rsid w:val="727A26CE"/>
    <w:rsid w:val="729379EC"/>
    <w:rsid w:val="72964253"/>
    <w:rsid w:val="72983176"/>
    <w:rsid w:val="72AB51FE"/>
    <w:rsid w:val="72BE2D27"/>
    <w:rsid w:val="72D92A8F"/>
    <w:rsid w:val="72DA2EC0"/>
    <w:rsid w:val="72F739A7"/>
    <w:rsid w:val="73016068"/>
    <w:rsid w:val="7306762B"/>
    <w:rsid w:val="73504D4A"/>
    <w:rsid w:val="735E7467"/>
    <w:rsid w:val="7363682B"/>
    <w:rsid w:val="73816CB2"/>
    <w:rsid w:val="73893830"/>
    <w:rsid w:val="73A125FD"/>
    <w:rsid w:val="73C03C7E"/>
    <w:rsid w:val="73C81640"/>
    <w:rsid w:val="73CD6A9A"/>
    <w:rsid w:val="73D628A1"/>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4023C"/>
    <w:rsid w:val="75355FA6"/>
    <w:rsid w:val="75370EA5"/>
    <w:rsid w:val="7538094B"/>
    <w:rsid w:val="754730F9"/>
    <w:rsid w:val="7548286D"/>
    <w:rsid w:val="754937FF"/>
    <w:rsid w:val="75502B1F"/>
    <w:rsid w:val="75544BB9"/>
    <w:rsid w:val="75752A67"/>
    <w:rsid w:val="75D35377"/>
    <w:rsid w:val="75F93477"/>
    <w:rsid w:val="76063D02"/>
    <w:rsid w:val="760B3E0F"/>
    <w:rsid w:val="7631116A"/>
    <w:rsid w:val="76312C11"/>
    <w:rsid w:val="76345B3A"/>
    <w:rsid w:val="764346F2"/>
    <w:rsid w:val="76454D95"/>
    <w:rsid w:val="764B35A7"/>
    <w:rsid w:val="76697F5B"/>
    <w:rsid w:val="767317AC"/>
    <w:rsid w:val="76790114"/>
    <w:rsid w:val="7686064F"/>
    <w:rsid w:val="769474D0"/>
    <w:rsid w:val="769E4F43"/>
    <w:rsid w:val="76A95033"/>
    <w:rsid w:val="76B858B5"/>
    <w:rsid w:val="76BF021D"/>
    <w:rsid w:val="76DF0673"/>
    <w:rsid w:val="77176354"/>
    <w:rsid w:val="773310E1"/>
    <w:rsid w:val="773D3F97"/>
    <w:rsid w:val="774910E8"/>
    <w:rsid w:val="774950AA"/>
    <w:rsid w:val="774A0F8C"/>
    <w:rsid w:val="774A385E"/>
    <w:rsid w:val="77951A25"/>
    <w:rsid w:val="77960CE5"/>
    <w:rsid w:val="77996CC0"/>
    <w:rsid w:val="77AF0127"/>
    <w:rsid w:val="77B04009"/>
    <w:rsid w:val="77CB650B"/>
    <w:rsid w:val="77CC2A1C"/>
    <w:rsid w:val="77CE4490"/>
    <w:rsid w:val="77E67A2B"/>
    <w:rsid w:val="7803238B"/>
    <w:rsid w:val="78042DEB"/>
    <w:rsid w:val="78236589"/>
    <w:rsid w:val="78261305"/>
    <w:rsid w:val="784974F5"/>
    <w:rsid w:val="784B19A6"/>
    <w:rsid w:val="78540E39"/>
    <w:rsid w:val="78681083"/>
    <w:rsid w:val="786F17CF"/>
    <w:rsid w:val="78872218"/>
    <w:rsid w:val="788B24B1"/>
    <w:rsid w:val="789079E5"/>
    <w:rsid w:val="7891016B"/>
    <w:rsid w:val="789B0816"/>
    <w:rsid w:val="78A04C44"/>
    <w:rsid w:val="78C338C8"/>
    <w:rsid w:val="78E57CE3"/>
    <w:rsid w:val="78E72828"/>
    <w:rsid w:val="78EA7B9F"/>
    <w:rsid w:val="79224F56"/>
    <w:rsid w:val="79336CA0"/>
    <w:rsid w:val="793A7966"/>
    <w:rsid w:val="793B1C09"/>
    <w:rsid w:val="7947274B"/>
    <w:rsid w:val="79BA79F3"/>
    <w:rsid w:val="79BB215E"/>
    <w:rsid w:val="79CE4C1B"/>
    <w:rsid w:val="79D87646"/>
    <w:rsid w:val="79E82BC7"/>
    <w:rsid w:val="7A1067EC"/>
    <w:rsid w:val="7A192CE7"/>
    <w:rsid w:val="7A2E2EA3"/>
    <w:rsid w:val="7A3007C8"/>
    <w:rsid w:val="7A3231AD"/>
    <w:rsid w:val="7A4A77F3"/>
    <w:rsid w:val="7A5A72EE"/>
    <w:rsid w:val="7A6D48C0"/>
    <w:rsid w:val="7A844288"/>
    <w:rsid w:val="7AA02113"/>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780AEF"/>
    <w:rsid w:val="7BA43E85"/>
    <w:rsid w:val="7BAB6FC2"/>
    <w:rsid w:val="7BBF4208"/>
    <w:rsid w:val="7BC0312E"/>
    <w:rsid w:val="7BC62E25"/>
    <w:rsid w:val="7BD02203"/>
    <w:rsid w:val="7BD22006"/>
    <w:rsid w:val="7BE269EA"/>
    <w:rsid w:val="7BE349AD"/>
    <w:rsid w:val="7BEC6B07"/>
    <w:rsid w:val="7BFC0690"/>
    <w:rsid w:val="7BFE17E7"/>
    <w:rsid w:val="7C013085"/>
    <w:rsid w:val="7C0E2B1C"/>
    <w:rsid w:val="7C0E57A2"/>
    <w:rsid w:val="7C151079"/>
    <w:rsid w:val="7C2253BC"/>
    <w:rsid w:val="7C2E374F"/>
    <w:rsid w:val="7C4756C9"/>
    <w:rsid w:val="7C582C3F"/>
    <w:rsid w:val="7C593EE8"/>
    <w:rsid w:val="7C753C13"/>
    <w:rsid w:val="7C7A6994"/>
    <w:rsid w:val="7C7A71C3"/>
    <w:rsid w:val="7C7F2DB6"/>
    <w:rsid w:val="7C855A65"/>
    <w:rsid w:val="7C9932BE"/>
    <w:rsid w:val="7C9B286D"/>
    <w:rsid w:val="7C9B7FF0"/>
    <w:rsid w:val="7C9C44FE"/>
    <w:rsid w:val="7CAE3639"/>
    <w:rsid w:val="7CB2612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983576"/>
    <w:rsid w:val="7DA0242A"/>
    <w:rsid w:val="7DB12889"/>
    <w:rsid w:val="7DB52379"/>
    <w:rsid w:val="7DBC3708"/>
    <w:rsid w:val="7DD018F6"/>
    <w:rsid w:val="7DD4016C"/>
    <w:rsid w:val="7DEE5D3D"/>
    <w:rsid w:val="7E167D92"/>
    <w:rsid w:val="7E1A50EB"/>
    <w:rsid w:val="7E1D2CB4"/>
    <w:rsid w:val="7E222BD7"/>
    <w:rsid w:val="7E2412AD"/>
    <w:rsid w:val="7E24305B"/>
    <w:rsid w:val="7E290672"/>
    <w:rsid w:val="7E4266E2"/>
    <w:rsid w:val="7E576F8D"/>
    <w:rsid w:val="7E6C2A49"/>
    <w:rsid w:val="7E6D4A02"/>
    <w:rsid w:val="7E722A66"/>
    <w:rsid w:val="7E794FBB"/>
    <w:rsid w:val="7E806AA4"/>
    <w:rsid w:val="7E8F4979"/>
    <w:rsid w:val="7E9C305C"/>
    <w:rsid w:val="7EA06B86"/>
    <w:rsid w:val="7EA26042"/>
    <w:rsid w:val="7EAA17B2"/>
    <w:rsid w:val="7EAF6879"/>
    <w:rsid w:val="7EB45D48"/>
    <w:rsid w:val="7EC17031"/>
    <w:rsid w:val="7ED71E7C"/>
    <w:rsid w:val="7EDE2253"/>
    <w:rsid w:val="7EEA7E01"/>
    <w:rsid w:val="7F0417A2"/>
    <w:rsid w:val="7F360FA8"/>
    <w:rsid w:val="7F3D43D5"/>
    <w:rsid w:val="7F427C3D"/>
    <w:rsid w:val="7F517E80"/>
    <w:rsid w:val="7F7211CD"/>
    <w:rsid w:val="7F8B3961"/>
    <w:rsid w:val="7F8F3102"/>
    <w:rsid w:val="7F912972"/>
    <w:rsid w:val="7F9C0E05"/>
    <w:rsid w:val="7F9F140C"/>
    <w:rsid w:val="7FA76140"/>
    <w:rsid w:val="7FAE0E2E"/>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5">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6">
    <w:name w:val="heading 4"/>
    <w:basedOn w:val="1"/>
    <w:next w:val="1"/>
    <w:link w:val="55"/>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7">
    <w:name w:val="heading 5"/>
    <w:basedOn w:val="1"/>
    <w:next w:val="1"/>
    <w:link w:val="56"/>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57"/>
    <w:autoRedefine/>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58"/>
    <w:autoRedefine/>
    <w:qFormat/>
    <w:uiPriority w:val="0"/>
    <w:pPr>
      <w:keepNext/>
      <w:keepLines/>
      <w:spacing w:before="240" w:after="64" w:line="320" w:lineRule="auto"/>
      <w:outlineLvl w:val="6"/>
    </w:pPr>
    <w:rPr>
      <w:b/>
      <w:bCs/>
      <w:sz w:val="24"/>
    </w:rPr>
  </w:style>
  <w:style w:type="character" w:default="1" w:styleId="37">
    <w:name w:val="Default Paragraph Font"/>
    <w:autoRedefine/>
    <w:semiHidden/>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link w:val="62"/>
    <w:autoRedefine/>
    <w:qFormat/>
    <w:uiPriority w:val="0"/>
    <w:pPr>
      <w:spacing w:after="120" w:line="480" w:lineRule="auto"/>
      <w:ind w:left="420" w:leftChars="200"/>
    </w:pPr>
  </w:style>
  <w:style w:type="paragraph" w:styleId="10">
    <w:name w:val="toc 7"/>
    <w:basedOn w:val="1"/>
    <w:next w:val="1"/>
    <w:autoRedefine/>
    <w:qFormat/>
    <w:uiPriority w:val="39"/>
    <w:pPr>
      <w:ind w:left="1260"/>
      <w:jc w:val="left"/>
    </w:pPr>
    <w:rPr>
      <w:sz w:val="18"/>
      <w:szCs w:val="18"/>
    </w:rPr>
  </w:style>
  <w:style w:type="paragraph" w:styleId="11">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2">
    <w:name w:val="Normal Indent"/>
    <w:basedOn w:val="1"/>
    <w:autoRedefine/>
    <w:qFormat/>
    <w:uiPriority w:val="0"/>
    <w:pPr>
      <w:adjustRightInd w:val="0"/>
      <w:spacing w:line="360" w:lineRule="atLeast"/>
      <w:ind w:firstLine="482"/>
      <w:textAlignment w:val="baseline"/>
    </w:pPr>
    <w:rPr>
      <w:kern w:val="0"/>
      <w:sz w:val="24"/>
      <w:szCs w:val="20"/>
    </w:rPr>
  </w:style>
  <w:style w:type="paragraph" w:styleId="13">
    <w:name w:val="annotation text"/>
    <w:basedOn w:val="1"/>
    <w:link w:val="59"/>
    <w:autoRedefine/>
    <w:qFormat/>
    <w:uiPriority w:val="0"/>
    <w:pPr>
      <w:jc w:val="left"/>
    </w:pPr>
  </w:style>
  <w:style w:type="paragraph" w:styleId="14">
    <w:name w:val="Body Text"/>
    <w:basedOn w:val="1"/>
    <w:next w:val="1"/>
    <w:autoRedefine/>
    <w:semiHidden/>
    <w:qFormat/>
    <w:uiPriority w:val="0"/>
    <w:pPr>
      <w:spacing w:after="120"/>
    </w:pPr>
  </w:style>
  <w:style w:type="paragraph" w:styleId="15">
    <w:name w:val="Body Text Indent"/>
    <w:basedOn w:val="1"/>
    <w:next w:val="16"/>
    <w:link w:val="52"/>
    <w:autoRedefine/>
    <w:qFormat/>
    <w:uiPriority w:val="0"/>
    <w:pPr>
      <w:spacing w:after="120"/>
      <w:ind w:left="20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qFormat/>
    <w:uiPriority w:val="39"/>
    <w:pPr>
      <w:tabs>
        <w:tab w:val="right" w:leader="dot" w:pos="9288"/>
      </w:tabs>
      <w:ind w:left="400" w:leftChars="400"/>
    </w:pPr>
    <w:rPr>
      <w:rFonts w:ascii="宋体"/>
    </w:rPr>
  </w:style>
  <w:style w:type="paragraph" w:styleId="18">
    <w:name w:val="Plain Text"/>
    <w:basedOn w:val="1"/>
    <w:next w:val="1"/>
    <w:link w:val="60"/>
    <w:autoRedefine/>
    <w:qFormat/>
    <w:uiPriority w:val="99"/>
    <w:rPr>
      <w:rFonts w:ascii="宋体"/>
      <w:color w:val="000000"/>
      <w:szCs w:val="20"/>
      <w:u w:val="none" w:color="000000"/>
    </w:rPr>
  </w:style>
  <w:style w:type="paragraph" w:styleId="19">
    <w:name w:val="Date"/>
    <w:basedOn w:val="1"/>
    <w:next w:val="1"/>
    <w:link w:val="61"/>
    <w:autoRedefine/>
    <w:qFormat/>
    <w:uiPriority w:val="0"/>
    <w:rPr>
      <w:rFonts w:ascii="Arial" w:hAnsi="Arial" w:eastAsia="仿宋_GB2312"/>
      <w:color w:val="000000"/>
      <w:sz w:val="32"/>
      <w:szCs w:val="20"/>
      <w:u w:val="none" w:color="000000"/>
    </w:r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3"/>
    <w:autoRedefine/>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18"/>
    </w:rPr>
  </w:style>
  <w:style w:type="paragraph" w:styleId="23">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next w:val="30"/>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文字 8"/>
    <w:basedOn w:val="1"/>
    <w:next w:val="1"/>
    <w:autoRedefine/>
    <w:qFormat/>
    <w:uiPriority w:val="0"/>
    <w:pPr>
      <w:ind w:left="240"/>
    </w:pPr>
    <w:rPr>
      <w:sz w:val="16"/>
    </w:rPr>
  </w:style>
  <w:style w:type="paragraph" w:styleId="31">
    <w:name w:val="index 1"/>
    <w:basedOn w:val="1"/>
    <w:next w:val="1"/>
    <w:autoRedefine/>
    <w:qFormat/>
    <w:uiPriority w:val="0"/>
    <w:pPr>
      <w:jc w:val="center"/>
    </w:pPr>
    <w:rPr>
      <w:rFonts w:ascii="Arial" w:hAnsi="Arial" w:eastAsia="Arial" w:cs="Arial"/>
      <w:b/>
      <w:bCs/>
      <w:sz w:val="28"/>
    </w:rPr>
  </w:style>
  <w:style w:type="paragraph" w:styleId="32">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3">
    <w:name w:val="annotation subject"/>
    <w:basedOn w:val="13"/>
    <w:next w:val="13"/>
    <w:link w:val="66"/>
    <w:autoRedefine/>
    <w:qFormat/>
    <w:uiPriority w:val="0"/>
    <w:rPr>
      <w:b/>
      <w:bCs/>
    </w:rPr>
  </w:style>
  <w:style w:type="paragraph" w:styleId="34">
    <w:name w:val="Body Text First Indent 2"/>
    <w:basedOn w:val="15"/>
    <w:next w:val="1"/>
    <w:link w:val="53"/>
    <w:autoRedefine/>
    <w:qFormat/>
    <w:uiPriority w:val="0"/>
    <w:pPr>
      <w:ind w:left="420" w:firstLine="420" w:firstLineChars="200"/>
    </w:p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rPr>
  </w:style>
  <w:style w:type="character" w:styleId="39">
    <w:name w:val="page number"/>
    <w:basedOn w:val="37"/>
    <w:autoRedefine/>
    <w:qFormat/>
    <w:uiPriority w:val="0"/>
  </w:style>
  <w:style w:type="character" w:styleId="40">
    <w:name w:val="FollowedHyperlink"/>
    <w:autoRedefine/>
    <w:qFormat/>
    <w:uiPriority w:val="0"/>
    <w:rPr>
      <w:color w:val="333333"/>
      <w:u w:val="none"/>
    </w:rPr>
  </w:style>
  <w:style w:type="character" w:styleId="41">
    <w:name w:val="Emphasis"/>
    <w:autoRedefine/>
    <w:qFormat/>
    <w:uiPriority w:val="20"/>
    <w:rPr>
      <w:i/>
      <w:iCs/>
    </w:rPr>
  </w:style>
  <w:style w:type="character" w:styleId="42">
    <w:name w:val="HTML Definition"/>
    <w:autoRedefine/>
    <w:qFormat/>
    <w:uiPriority w:val="0"/>
  </w:style>
  <w:style w:type="character" w:styleId="43">
    <w:name w:val="HTML Typewriter"/>
    <w:autoRedefine/>
    <w:qFormat/>
    <w:uiPriority w:val="0"/>
    <w:rPr>
      <w:rFonts w:ascii="monospace" w:hAnsi="monospace" w:eastAsia="monospace" w:cs="monospace"/>
      <w:sz w:val="20"/>
    </w:rPr>
  </w:style>
  <w:style w:type="character" w:styleId="44">
    <w:name w:val="HTML Acronym"/>
    <w:autoRedefine/>
    <w:qFormat/>
    <w:uiPriority w:val="0"/>
  </w:style>
  <w:style w:type="character" w:styleId="45">
    <w:name w:val="HTML Variable"/>
    <w:autoRedefine/>
    <w:qFormat/>
    <w:uiPriority w:val="0"/>
  </w:style>
  <w:style w:type="character" w:styleId="46">
    <w:name w:val="Hyperlink"/>
    <w:autoRedefine/>
    <w:qFormat/>
    <w:uiPriority w:val="99"/>
    <w:rPr>
      <w:color w:val="333333"/>
      <w:u w:val="none"/>
    </w:rPr>
  </w:style>
  <w:style w:type="character" w:styleId="47">
    <w:name w:val="HTML Code"/>
    <w:autoRedefine/>
    <w:qFormat/>
    <w:uiPriority w:val="0"/>
    <w:rPr>
      <w:rFonts w:hint="default" w:ascii="monospace" w:hAnsi="monospace" w:eastAsia="monospace" w:cs="monospace"/>
      <w:sz w:val="20"/>
    </w:rPr>
  </w:style>
  <w:style w:type="character" w:styleId="48">
    <w:name w:val="annotation reference"/>
    <w:autoRedefine/>
    <w:qFormat/>
    <w:uiPriority w:val="0"/>
    <w:rPr>
      <w:sz w:val="21"/>
      <w:szCs w:val="21"/>
    </w:rPr>
  </w:style>
  <w:style w:type="character" w:styleId="49">
    <w:name w:val="HTML Cite"/>
    <w:autoRedefine/>
    <w:qFormat/>
    <w:uiPriority w:val="0"/>
  </w:style>
  <w:style w:type="character" w:styleId="50">
    <w:name w:val="HTML Keyboard"/>
    <w:autoRedefine/>
    <w:qFormat/>
    <w:uiPriority w:val="0"/>
    <w:rPr>
      <w:rFonts w:hint="default" w:ascii="monospace" w:hAnsi="monospace" w:eastAsia="monospace" w:cs="monospace"/>
      <w:sz w:val="20"/>
    </w:rPr>
  </w:style>
  <w:style w:type="character" w:styleId="51">
    <w:name w:val="HTML Sample"/>
    <w:autoRedefine/>
    <w:qFormat/>
    <w:uiPriority w:val="0"/>
    <w:rPr>
      <w:rFonts w:hint="default" w:ascii="monospace" w:hAnsi="monospace" w:eastAsia="monospace" w:cs="monospace"/>
    </w:rPr>
  </w:style>
  <w:style w:type="character" w:customStyle="1" w:styleId="52">
    <w:name w:val="正文文本缩进 字符"/>
    <w:link w:val="15"/>
    <w:autoRedefine/>
    <w:qFormat/>
    <w:uiPriority w:val="0"/>
    <w:rPr>
      <w:kern w:val="2"/>
      <w:sz w:val="21"/>
      <w:szCs w:val="24"/>
    </w:rPr>
  </w:style>
  <w:style w:type="character" w:customStyle="1" w:styleId="53">
    <w:name w:val="正文文本首行缩进 2 字符"/>
    <w:link w:val="34"/>
    <w:autoRedefine/>
    <w:qFormat/>
    <w:uiPriority w:val="0"/>
  </w:style>
  <w:style w:type="character" w:customStyle="1" w:styleId="54">
    <w:name w:val="标题 1 字符"/>
    <w:link w:val="3"/>
    <w:autoRedefine/>
    <w:qFormat/>
    <w:uiPriority w:val="0"/>
    <w:rPr>
      <w:b/>
      <w:bCs/>
      <w:kern w:val="44"/>
      <w:sz w:val="44"/>
      <w:szCs w:val="44"/>
    </w:rPr>
  </w:style>
  <w:style w:type="character" w:customStyle="1" w:styleId="55">
    <w:name w:val="标题 4 字符"/>
    <w:link w:val="6"/>
    <w:autoRedefine/>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7"/>
    <w:autoRedefine/>
    <w:semiHidden/>
    <w:qFormat/>
    <w:uiPriority w:val="0"/>
    <w:rPr>
      <w:b/>
      <w:bCs/>
      <w:kern w:val="2"/>
      <w:sz w:val="28"/>
      <w:szCs w:val="28"/>
    </w:rPr>
  </w:style>
  <w:style w:type="character" w:customStyle="1" w:styleId="57">
    <w:name w:val="标题 6 字符"/>
    <w:link w:val="8"/>
    <w:autoRedefine/>
    <w:semiHidden/>
    <w:qFormat/>
    <w:uiPriority w:val="0"/>
    <w:rPr>
      <w:rFonts w:ascii="Cambria" w:hAnsi="Cambria" w:eastAsia="宋体" w:cs="Times New Roman"/>
      <w:b/>
      <w:bCs/>
      <w:kern w:val="2"/>
      <w:sz w:val="24"/>
      <w:szCs w:val="24"/>
    </w:rPr>
  </w:style>
  <w:style w:type="character" w:customStyle="1" w:styleId="58">
    <w:name w:val="标题 7 字符"/>
    <w:link w:val="9"/>
    <w:autoRedefine/>
    <w:semiHidden/>
    <w:qFormat/>
    <w:uiPriority w:val="0"/>
    <w:rPr>
      <w:b/>
      <w:bCs/>
      <w:kern w:val="2"/>
      <w:sz w:val="24"/>
      <w:szCs w:val="24"/>
    </w:rPr>
  </w:style>
  <w:style w:type="character" w:customStyle="1" w:styleId="59">
    <w:name w:val="批注文字 字符"/>
    <w:link w:val="13"/>
    <w:autoRedefine/>
    <w:qFormat/>
    <w:uiPriority w:val="0"/>
    <w:rPr>
      <w:kern w:val="2"/>
      <w:sz w:val="21"/>
      <w:szCs w:val="24"/>
    </w:rPr>
  </w:style>
  <w:style w:type="character" w:customStyle="1" w:styleId="60">
    <w:name w:val="纯文本 字符"/>
    <w:link w:val="18"/>
    <w:autoRedefine/>
    <w:qFormat/>
    <w:uiPriority w:val="99"/>
    <w:rPr>
      <w:rFonts w:ascii="宋体" w:eastAsia="宋体"/>
      <w:color w:val="000000"/>
      <w:kern w:val="2"/>
      <w:sz w:val="21"/>
      <w:u w:val="none" w:color="000000"/>
      <w:lang w:val="en-US" w:eastAsia="zh-CN" w:bidi="ar-SA"/>
    </w:rPr>
  </w:style>
  <w:style w:type="character" w:customStyle="1" w:styleId="61">
    <w:name w:val="日期 字符"/>
    <w:link w:val="19"/>
    <w:autoRedefine/>
    <w:qFormat/>
    <w:uiPriority w:val="0"/>
    <w:rPr>
      <w:rFonts w:ascii="Arial" w:hAnsi="Arial" w:eastAsia="仿宋_GB2312"/>
      <w:color w:val="000000"/>
      <w:kern w:val="2"/>
      <w:sz w:val="32"/>
      <w:u w:val="none" w:color="000000"/>
    </w:rPr>
  </w:style>
  <w:style w:type="character" w:customStyle="1" w:styleId="62">
    <w:name w:val="正文文本缩进 2 字符"/>
    <w:link w:val="2"/>
    <w:autoRedefine/>
    <w:qFormat/>
    <w:uiPriority w:val="0"/>
    <w:rPr>
      <w:kern w:val="2"/>
      <w:sz w:val="21"/>
      <w:szCs w:val="24"/>
    </w:rPr>
  </w:style>
  <w:style w:type="character" w:customStyle="1" w:styleId="63">
    <w:name w:val="批注框文本 字符"/>
    <w:link w:val="21"/>
    <w:autoRedefine/>
    <w:qFormat/>
    <w:uiPriority w:val="0"/>
    <w:rPr>
      <w:kern w:val="2"/>
      <w:sz w:val="18"/>
      <w:szCs w:val="18"/>
    </w:rPr>
  </w:style>
  <w:style w:type="character" w:customStyle="1" w:styleId="64">
    <w:name w:val="页脚 字符"/>
    <w:link w:val="22"/>
    <w:autoRedefine/>
    <w:qFormat/>
    <w:locked/>
    <w:uiPriority w:val="0"/>
    <w:rPr>
      <w:kern w:val="2"/>
      <w:sz w:val="18"/>
      <w:szCs w:val="18"/>
    </w:rPr>
  </w:style>
  <w:style w:type="character" w:customStyle="1" w:styleId="65">
    <w:name w:val="页眉 字符"/>
    <w:link w:val="23"/>
    <w:autoRedefine/>
    <w:qFormat/>
    <w:locked/>
    <w:uiPriority w:val="0"/>
    <w:rPr>
      <w:kern w:val="2"/>
      <w:sz w:val="18"/>
      <w:szCs w:val="18"/>
    </w:rPr>
  </w:style>
  <w:style w:type="character" w:customStyle="1" w:styleId="66">
    <w:name w:val="批注主题 字符"/>
    <w:link w:val="33"/>
    <w:autoRedefine/>
    <w:qFormat/>
    <w:uiPriority w:val="0"/>
    <w:rPr>
      <w:b/>
      <w:bCs/>
      <w:kern w:val="2"/>
      <w:sz w:val="21"/>
      <w:szCs w:val="24"/>
    </w:rPr>
  </w:style>
  <w:style w:type="character" w:customStyle="1" w:styleId="67">
    <w:name w:val="font121"/>
    <w:autoRedefine/>
    <w:qFormat/>
    <w:uiPriority w:val="0"/>
    <w:rPr>
      <w:rFonts w:hint="eastAsia" w:ascii="宋体" w:hAnsi="宋体" w:eastAsia="宋体" w:cs="宋体"/>
      <w:color w:val="000000"/>
      <w:sz w:val="24"/>
      <w:szCs w:val="24"/>
      <w:u w:val="none"/>
    </w:rPr>
  </w:style>
  <w:style w:type="character" w:customStyle="1" w:styleId="68">
    <w:name w:val="font141"/>
    <w:autoRedefine/>
    <w:qFormat/>
    <w:uiPriority w:val="0"/>
    <w:rPr>
      <w:rFonts w:ascii="Arial" w:hAnsi="Arial" w:cs="Arial"/>
      <w:color w:val="000000"/>
      <w:sz w:val="24"/>
      <w:szCs w:val="24"/>
      <w:u w:val="none"/>
    </w:rPr>
  </w:style>
  <w:style w:type="character" w:customStyle="1" w:styleId="69">
    <w:name w:val="_37aak"/>
    <w:autoRedefine/>
    <w:qFormat/>
    <w:uiPriority w:val="0"/>
  </w:style>
  <w:style w:type="character" w:customStyle="1" w:styleId="70">
    <w:name w:val="图表 Char"/>
    <w:link w:val="71"/>
    <w:autoRedefine/>
    <w:qFormat/>
    <w:uiPriority w:val="0"/>
    <w:rPr>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font01"/>
    <w:basedOn w:val="37"/>
    <w:autoRedefine/>
    <w:qFormat/>
    <w:uiPriority w:val="0"/>
    <w:rPr>
      <w:rFonts w:hint="eastAsia" w:ascii="宋体" w:hAnsi="宋体" w:eastAsia="宋体" w:cs="宋体"/>
      <w:color w:val="000000"/>
      <w:sz w:val="22"/>
      <w:szCs w:val="22"/>
      <w:u w:val="none"/>
    </w:rPr>
  </w:style>
  <w:style w:type="character" w:customStyle="1" w:styleId="73">
    <w:name w:val="hover4"/>
    <w:autoRedefine/>
    <w:qFormat/>
    <w:uiPriority w:val="0"/>
    <w:rPr>
      <w:color w:val="2590EB"/>
      <w:shd w:val="clear" w:color="auto" w:fill="E9F4FD"/>
    </w:rPr>
  </w:style>
  <w:style w:type="character" w:customStyle="1" w:styleId="74">
    <w:name w:val="font101"/>
    <w:autoRedefine/>
    <w:qFormat/>
    <w:uiPriority w:val="0"/>
    <w:rPr>
      <w:rFonts w:hint="eastAsia" w:ascii="宋体" w:hAnsi="宋体" w:eastAsia="宋体" w:cs="宋体"/>
      <w:color w:val="000000"/>
      <w:sz w:val="18"/>
      <w:szCs w:val="18"/>
      <w:u w:val="none"/>
    </w:rPr>
  </w:style>
  <w:style w:type="character" w:customStyle="1" w:styleId="75">
    <w:name w:val="font161"/>
    <w:autoRedefine/>
    <w:qFormat/>
    <w:uiPriority w:val="0"/>
    <w:rPr>
      <w:rFonts w:hint="eastAsia" w:ascii="宋体" w:hAnsi="宋体" w:eastAsia="宋体" w:cs="宋体"/>
      <w:b/>
      <w:bCs/>
      <w:color w:val="333333"/>
      <w:sz w:val="27"/>
      <w:szCs w:val="27"/>
      <w:u w:val="none"/>
    </w:rPr>
  </w:style>
  <w:style w:type="character" w:customStyle="1" w:styleId="76">
    <w:name w:val="first-child"/>
    <w:autoRedefine/>
    <w:qFormat/>
    <w:uiPriority w:val="0"/>
  </w:style>
  <w:style w:type="character" w:customStyle="1" w:styleId="77">
    <w:name w:val="【正文】 Char"/>
    <w:link w:val="78"/>
    <w:autoRedefine/>
    <w:qFormat/>
    <w:uiPriority w:val="0"/>
    <w:rPr>
      <w:rFonts w:cs="DokChampa"/>
      <w:kern w:val="2"/>
      <w:sz w:val="24"/>
      <w:szCs w:val="22"/>
    </w:rPr>
  </w:style>
  <w:style w:type="paragraph" w:customStyle="1" w:styleId="78">
    <w:name w:val="【正文】"/>
    <w:basedOn w:val="1"/>
    <w:link w:val="77"/>
    <w:autoRedefine/>
    <w:qFormat/>
    <w:uiPriority w:val="0"/>
    <w:pPr>
      <w:spacing w:line="360" w:lineRule="auto"/>
      <w:ind w:firstLine="480" w:firstLineChars="200"/>
    </w:pPr>
    <w:rPr>
      <w:sz w:val="24"/>
      <w:szCs w:val="22"/>
    </w:rPr>
  </w:style>
  <w:style w:type="character" w:customStyle="1" w:styleId="79">
    <w:name w:val="font131"/>
    <w:autoRedefine/>
    <w:qFormat/>
    <w:uiPriority w:val="0"/>
    <w:rPr>
      <w:rFonts w:ascii="仿宋" w:hAnsi="仿宋" w:eastAsia="仿宋" w:cs="仿宋"/>
      <w:color w:val="000000"/>
      <w:sz w:val="24"/>
      <w:szCs w:val="24"/>
      <w:u w:val="none"/>
    </w:rPr>
  </w:style>
  <w:style w:type="character" w:customStyle="1" w:styleId="80">
    <w:name w:val="font181"/>
    <w:autoRedefine/>
    <w:qFormat/>
    <w:uiPriority w:val="0"/>
    <w:rPr>
      <w:rFonts w:hint="eastAsia" w:ascii="宋体" w:hAnsi="宋体" w:eastAsia="宋体" w:cs="宋体"/>
      <w:color w:val="1A66B3"/>
      <w:sz w:val="18"/>
      <w:szCs w:val="18"/>
      <w:u w:val="none"/>
    </w:rPr>
  </w:style>
  <w:style w:type="character" w:customStyle="1" w:styleId="81">
    <w:name w:val="hover3"/>
    <w:autoRedefine/>
    <w:qFormat/>
    <w:uiPriority w:val="0"/>
  </w:style>
  <w:style w:type="character" w:customStyle="1" w:styleId="82">
    <w:name w:val="font112"/>
    <w:autoRedefine/>
    <w:qFormat/>
    <w:uiPriority w:val="0"/>
    <w:rPr>
      <w:rFonts w:ascii="Verdana" w:hAnsi="Verdana" w:cs="Verdana"/>
      <w:color w:val="000000"/>
      <w:sz w:val="18"/>
      <w:szCs w:val="18"/>
      <w:u w:val="none"/>
    </w:rPr>
  </w:style>
  <w:style w:type="character" w:customStyle="1" w:styleId="83">
    <w:name w:val="font81"/>
    <w:autoRedefine/>
    <w:qFormat/>
    <w:uiPriority w:val="0"/>
    <w:rPr>
      <w:rFonts w:hint="default" w:ascii="Verdana" w:hAnsi="Verdana" w:cs="Verdana"/>
      <w:color w:val="000000"/>
      <w:sz w:val="18"/>
      <w:szCs w:val="18"/>
      <w:u w:val="none"/>
    </w:rPr>
  </w:style>
  <w:style w:type="character" w:customStyle="1" w:styleId="84">
    <w:name w:val="hover"/>
    <w:autoRedefine/>
    <w:qFormat/>
    <w:uiPriority w:val="0"/>
    <w:rPr>
      <w:color w:val="2590EB"/>
      <w:shd w:val="clear" w:color="auto" w:fill="E9F4FD"/>
    </w:rPr>
  </w:style>
  <w:style w:type="character" w:customStyle="1" w:styleId="85">
    <w:name w:val="font41"/>
    <w:autoRedefine/>
    <w:qFormat/>
    <w:uiPriority w:val="0"/>
    <w:rPr>
      <w:rFonts w:hint="eastAsia" w:ascii="宋体" w:hAnsi="宋体" w:eastAsia="宋体" w:cs="宋体"/>
      <w:color w:val="000000"/>
      <w:sz w:val="22"/>
      <w:szCs w:val="22"/>
      <w:u w:val="none"/>
    </w:rPr>
  </w:style>
  <w:style w:type="character" w:customStyle="1" w:styleId="86">
    <w:name w:val="hover2"/>
    <w:autoRedefine/>
    <w:qFormat/>
    <w:uiPriority w:val="0"/>
    <w:rPr>
      <w:color w:val="2590EB"/>
    </w:rPr>
  </w:style>
  <w:style w:type="character" w:customStyle="1" w:styleId="87">
    <w:name w:val="hover1"/>
    <w:autoRedefine/>
    <w:qFormat/>
    <w:uiPriority w:val="0"/>
    <w:rPr>
      <w:color w:val="2590EB"/>
    </w:rPr>
  </w:style>
  <w:style w:type="character" w:customStyle="1" w:styleId="88">
    <w:name w:val="first-child1"/>
    <w:autoRedefine/>
    <w:qFormat/>
    <w:uiPriority w:val="0"/>
  </w:style>
  <w:style w:type="character" w:customStyle="1" w:styleId="89">
    <w:name w:val="selected"/>
    <w:autoRedefine/>
    <w:qFormat/>
    <w:uiPriority w:val="0"/>
    <w:rPr>
      <w:shd w:val="clear" w:color="auto" w:fill="B00006"/>
    </w:rPr>
  </w:style>
  <w:style w:type="character" w:customStyle="1" w:styleId="90">
    <w:name w:val="gpa"/>
    <w:autoRedefine/>
    <w:qFormat/>
    <w:uiPriority w:val="0"/>
    <w:rPr>
      <w:rFonts w:ascii="Arial" w:hAnsi="Arial" w:cs="Arial"/>
      <w:sz w:val="15"/>
      <w:szCs w:val="15"/>
    </w:rPr>
  </w:style>
  <w:style w:type="character" w:customStyle="1" w:styleId="91">
    <w:name w:val="apple-converted-space"/>
    <w:autoRedefine/>
    <w:qFormat/>
    <w:uiPriority w:val="0"/>
  </w:style>
  <w:style w:type="character" w:customStyle="1" w:styleId="92">
    <w:name w:val="列出段落 Char"/>
    <w:link w:val="93"/>
    <w:autoRedefine/>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autoRedefine/>
    <w:qFormat/>
    <w:uiPriority w:val="0"/>
    <w:pPr>
      <w:spacing w:line="312" w:lineRule="auto"/>
      <w:ind w:firstLine="420" w:firstLineChars="200"/>
    </w:pPr>
    <w:rPr>
      <w:rFonts w:ascii="Calibri" w:hAnsi="Calibri"/>
      <w:szCs w:val="22"/>
    </w:rPr>
  </w:style>
  <w:style w:type="character" w:customStyle="1" w:styleId="94">
    <w:name w:val="displayarti"/>
    <w:autoRedefine/>
    <w:qFormat/>
    <w:uiPriority w:val="0"/>
    <w:rPr>
      <w:color w:val="FFFFFF"/>
      <w:shd w:val="clear" w:color="auto" w:fill="A00000"/>
    </w:rPr>
  </w:style>
  <w:style w:type="character" w:customStyle="1" w:styleId="95">
    <w:name w:val="正文首行缩进 2 Char1"/>
    <w:autoRedefine/>
    <w:qFormat/>
    <w:uiPriority w:val="0"/>
  </w:style>
  <w:style w:type="character" w:customStyle="1" w:styleId="96">
    <w:name w:val="layui-this"/>
    <w:autoRedefine/>
    <w:qFormat/>
    <w:uiPriority w:val="0"/>
    <w:rPr>
      <w:bdr w:val="single" w:color="EEEEEE" w:sz="6" w:space="0"/>
      <w:shd w:val="clear" w:color="auto" w:fill="FFFFFF"/>
    </w:rPr>
  </w:style>
  <w:style w:type="character" w:customStyle="1" w:styleId="97">
    <w:name w:val="font151"/>
    <w:autoRedefine/>
    <w:qFormat/>
    <w:uiPriority w:val="0"/>
    <w:rPr>
      <w:rFonts w:hint="default" w:ascii="Verdana" w:hAnsi="Verdana" w:cs="Verdana"/>
      <w:b/>
      <w:bCs/>
      <w:color w:val="333333"/>
      <w:sz w:val="27"/>
      <w:szCs w:val="27"/>
      <w:u w:val="none"/>
    </w:rPr>
  </w:style>
  <w:style w:type="character" w:customStyle="1" w:styleId="98">
    <w:name w:val="font171"/>
    <w:autoRedefine/>
    <w:qFormat/>
    <w:uiPriority w:val="0"/>
    <w:rPr>
      <w:rFonts w:hint="eastAsia" w:ascii="宋体" w:hAnsi="宋体" w:eastAsia="宋体" w:cs="宋体"/>
      <w:color w:val="646464"/>
      <w:sz w:val="18"/>
      <w:szCs w:val="18"/>
      <w:u w:val="none"/>
    </w:rPr>
  </w:style>
  <w:style w:type="character" w:customStyle="1" w:styleId="99">
    <w:name w:val="hover7"/>
    <w:autoRedefine/>
    <w:qFormat/>
    <w:uiPriority w:val="0"/>
    <w:rPr>
      <w:color w:val="315EFB"/>
    </w:rPr>
  </w:style>
  <w:style w:type="paragraph" w:customStyle="1" w:styleId="100">
    <w:name w:val="列表2"/>
    <w:basedOn w:val="1"/>
    <w:next w:val="1"/>
    <w:autoRedefine/>
    <w:qFormat/>
    <w:uiPriority w:val="0"/>
    <w:pPr>
      <w:numPr>
        <w:ilvl w:val="0"/>
        <w:numId w:val="5"/>
      </w:numPr>
      <w:spacing w:line="200" w:lineRule="atLeast"/>
    </w:pPr>
    <w:rPr>
      <w:rFonts w:eastAsia="仿宋"/>
      <w:sz w:val="28"/>
    </w:rPr>
  </w:style>
  <w:style w:type="paragraph" w:customStyle="1" w:styleId="10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autoRedefine/>
    <w:qFormat/>
    <w:uiPriority w:val="0"/>
    <w:pPr>
      <w:widowControl/>
      <w:spacing w:line="360" w:lineRule="auto"/>
      <w:jc w:val="left"/>
    </w:pPr>
    <w:rPr>
      <w:kern w:val="0"/>
      <w:szCs w:val="20"/>
      <w:lang w:eastAsia="en-US"/>
    </w:rPr>
  </w:style>
  <w:style w:type="paragraph" w:customStyle="1" w:styleId="104">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autoRedefine/>
    <w:qFormat/>
    <w:uiPriority w:val="0"/>
    <w:rPr>
      <w:rFonts w:ascii="Tahoma" w:hAnsi="Tahoma"/>
      <w:sz w:val="24"/>
      <w:szCs w:val="20"/>
    </w:rPr>
  </w:style>
  <w:style w:type="paragraph" w:customStyle="1" w:styleId="106">
    <w:name w:val="_Style 4"/>
    <w:basedOn w:val="1"/>
    <w:autoRedefine/>
    <w:qFormat/>
    <w:uiPriority w:val="34"/>
    <w:pPr>
      <w:adjustRightInd w:val="0"/>
      <w:ind w:firstLine="420" w:firstLineChars="200"/>
      <w:jc w:val="left"/>
      <w:textAlignment w:val="baseline"/>
    </w:pPr>
    <w:rPr>
      <w:kern w:val="0"/>
      <w:szCs w:val="20"/>
    </w:rPr>
  </w:style>
  <w:style w:type="paragraph" w:customStyle="1" w:styleId="107">
    <w:name w:val="列出段落2"/>
    <w:basedOn w:val="1"/>
    <w:autoRedefine/>
    <w:qFormat/>
    <w:uiPriority w:val="0"/>
    <w:pPr>
      <w:ind w:firstLine="420" w:firstLineChars="200"/>
    </w:pPr>
    <w:rPr>
      <w:rFonts w:ascii="Calibri" w:hAnsi="Calibri"/>
      <w:szCs w:val="22"/>
    </w:rPr>
  </w:style>
  <w:style w:type="paragraph" w:customStyle="1" w:styleId="108">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09">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autoRedefine/>
    <w:qFormat/>
    <w:uiPriority w:val="1"/>
    <w:rPr>
      <w:rFonts w:ascii="宋体" w:hAnsi="宋体" w:eastAsia="宋体" w:cs="宋体"/>
      <w:lang w:val="zh-CN" w:eastAsia="zh-CN" w:bidi="zh-CN"/>
    </w:rPr>
  </w:style>
  <w:style w:type="paragraph" w:customStyle="1" w:styleId="112">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autoRedefine/>
    <w:qFormat/>
    <w:uiPriority w:val="34"/>
    <w:pPr>
      <w:ind w:firstLine="420" w:firstLineChars="200"/>
    </w:pPr>
  </w:style>
  <w:style w:type="paragraph" w:customStyle="1" w:styleId="114">
    <w:name w:val="Char Char Char Char Char Char Char1 Char"/>
    <w:basedOn w:val="1"/>
    <w:autoRedefine/>
    <w:qFormat/>
    <w:uiPriority w:val="0"/>
    <w:rPr>
      <w:rFonts w:ascii="Tahoma" w:hAnsi="Tahoma"/>
      <w:sz w:val="24"/>
      <w:szCs w:val="20"/>
    </w:rPr>
  </w:style>
  <w:style w:type="paragraph" w:styleId="115">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6">
    <w:name w:val="List Paragraph2"/>
    <w:basedOn w:val="1"/>
    <w:autoRedefine/>
    <w:qFormat/>
    <w:uiPriority w:val="0"/>
    <w:pPr>
      <w:spacing w:line="360" w:lineRule="auto"/>
      <w:ind w:firstLine="420"/>
    </w:pPr>
    <w:rPr>
      <w:color w:val="000000"/>
      <w:sz w:val="24"/>
      <w:szCs w:val="21"/>
    </w:rPr>
  </w:style>
  <w:style w:type="paragraph" w:customStyle="1" w:styleId="117">
    <w:name w:val="（无样式）"/>
    <w:basedOn w:val="1"/>
    <w:autoRedefine/>
    <w:qFormat/>
    <w:uiPriority w:val="0"/>
    <w:pPr>
      <w:widowControl/>
      <w:numPr>
        <w:ilvl w:val="0"/>
        <w:numId w:val="7"/>
      </w:numPr>
      <w:spacing w:line="360" w:lineRule="auto"/>
      <w:ind w:firstLine="0"/>
    </w:pPr>
    <w:rPr>
      <w:sz w:val="24"/>
      <w:szCs w:val="20"/>
    </w:rPr>
  </w:style>
  <w:style w:type="paragraph" w:customStyle="1" w:styleId="1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5"/>
    <w:autoRedefine/>
    <w:qFormat/>
    <w:uiPriority w:val="0"/>
    <w:pPr>
      <w:numPr>
        <w:ilvl w:val="0"/>
        <w:numId w:val="0"/>
      </w:numPr>
      <w:ind w:left="840"/>
    </w:pPr>
  </w:style>
  <w:style w:type="paragraph" w:customStyle="1" w:styleId="1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autoRedefine/>
    <w:qFormat/>
    <w:uiPriority w:val="0"/>
  </w:style>
  <w:style w:type="paragraph" w:customStyle="1" w:styleId="122">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4">
    <w:name w:val=" Char"/>
    <w:basedOn w:val="1"/>
    <w:autoRedefine/>
    <w:qFormat/>
    <w:uiPriority w:val="0"/>
  </w:style>
  <w:style w:type="paragraph" w:customStyle="1" w:styleId="12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8">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29">
    <w:name w:val="num"/>
    <w:basedOn w:val="37"/>
    <w:autoRedefine/>
    <w:qFormat/>
    <w:uiPriority w:val="0"/>
    <w:rPr>
      <w:b/>
      <w:bCs/>
      <w:color w:val="FF7800"/>
    </w:rPr>
  </w:style>
  <w:style w:type="character" w:customStyle="1" w:styleId="130">
    <w:name w:val="a-desc"/>
    <w:basedOn w:val="37"/>
    <w:autoRedefine/>
    <w:qFormat/>
    <w:uiPriority w:val="0"/>
    <w:rPr>
      <w:color w:val="315EFB"/>
    </w:rPr>
  </w:style>
  <w:style w:type="character" w:customStyle="1" w:styleId="131">
    <w:name w:val="bg"/>
    <w:basedOn w:val="37"/>
    <w:autoRedefine/>
    <w:qFormat/>
    <w:uiPriority w:val="0"/>
    <w:rPr>
      <w:shd w:val="clear" w:color="auto" w:fill="000000"/>
    </w:rPr>
  </w:style>
  <w:style w:type="character" w:customStyle="1" w:styleId="132">
    <w:name w:val="bg1"/>
    <w:basedOn w:val="37"/>
    <w:autoRedefine/>
    <w:qFormat/>
    <w:uiPriority w:val="0"/>
    <w:rPr>
      <w:shd w:val="clear" w:color="auto" w:fill="000000"/>
    </w:rPr>
  </w:style>
  <w:style w:type="character" w:customStyle="1" w:styleId="133">
    <w:name w:val="bg2"/>
    <w:basedOn w:val="37"/>
    <w:autoRedefine/>
    <w:qFormat/>
    <w:uiPriority w:val="0"/>
    <w:rPr>
      <w:shd w:val="clear" w:color="auto" w:fill="000000"/>
    </w:rPr>
  </w:style>
  <w:style w:type="character" w:customStyle="1" w:styleId="134">
    <w:name w:val="iknow-qb-ad-sou-icon"/>
    <w:basedOn w:val="37"/>
    <w:autoRedefine/>
    <w:qFormat/>
    <w:uiPriority w:val="0"/>
  </w:style>
  <w:style w:type="character" w:customStyle="1" w:styleId="135">
    <w:name w:val="del-btn"/>
    <w:basedOn w:val="37"/>
    <w:autoRedefine/>
    <w:qFormat/>
    <w:uiPriority w:val="0"/>
  </w:style>
  <w:style w:type="character" w:customStyle="1" w:styleId="136">
    <w:name w:val="del-btn1"/>
    <w:basedOn w:val="37"/>
    <w:autoRedefine/>
    <w:qFormat/>
    <w:uiPriority w:val="0"/>
  </w:style>
  <w:style w:type="character" w:customStyle="1" w:styleId="137">
    <w:name w:val="del-btn2"/>
    <w:basedOn w:val="37"/>
    <w:autoRedefine/>
    <w:qFormat/>
    <w:uiPriority w:val="0"/>
  </w:style>
  <w:style w:type="character" w:customStyle="1" w:styleId="138">
    <w:name w:val="answer-title"/>
    <w:basedOn w:val="37"/>
    <w:autoRedefine/>
    <w:qFormat/>
    <w:uiPriority w:val="0"/>
  </w:style>
  <w:style w:type="character" w:customStyle="1" w:styleId="139">
    <w:name w:val="new-icon2"/>
    <w:basedOn w:val="37"/>
    <w:autoRedefine/>
    <w:qFormat/>
    <w:uiPriority w:val="0"/>
  </w:style>
  <w:style w:type="character" w:customStyle="1" w:styleId="140">
    <w:name w:val="new-icon3"/>
    <w:basedOn w:val="37"/>
    <w:autoRedefine/>
    <w:qFormat/>
    <w:uiPriority w:val="0"/>
  </w:style>
  <w:style w:type="character" w:customStyle="1" w:styleId="141">
    <w:name w:val="green"/>
    <w:basedOn w:val="37"/>
    <w:autoRedefine/>
    <w:qFormat/>
    <w:uiPriority w:val="0"/>
    <w:rPr>
      <w:color w:val="3B6FFF"/>
    </w:rPr>
  </w:style>
  <w:style w:type="character" w:customStyle="1" w:styleId="142">
    <w:name w:val="green1"/>
    <w:basedOn w:val="37"/>
    <w:autoRedefine/>
    <w:qFormat/>
    <w:uiPriority w:val="0"/>
    <w:rPr>
      <w:color w:val="3B6FFF"/>
    </w:rPr>
  </w:style>
  <w:style w:type="character" w:customStyle="1" w:styleId="143">
    <w:name w:val="green2"/>
    <w:basedOn w:val="37"/>
    <w:autoRedefine/>
    <w:qFormat/>
    <w:uiPriority w:val="0"/>
    <w:rPr>
      <w:color w:val="4DC86F"/>
    </w:rPr>
  </w:style>
  <w:style w:type="character" w:customStyle="1" w:styleId="144">
    <w:name w:val="green3"/>
    <w:basedOn w:val="37"/>
    <w:autoRedefine/>
    <w:qFormat/>
    <w:uiPriority w:val="0"/>
    <w:rPr>
      <w:color w:val="4DC86F"/>
    </w:rPr>
  </w:style>
  <w:style w:type="character" w:customStyle="1" w:styleId="145">
    <w:name w:val="answer-title2"/>
    <w:basedOn w:val="37"/>
    <w:autoRedefine/>
    <w:qFormat/>
    <w:uiPriority w:val="0"/>
  </w:style>
  <w:style w:type="character" w:customStyle="1" w:styleId="146">
    <w:name w:val="new-icon"/>
    <w:basedOn w:val="37"/>
    <w:autoRedefine/>
    <w:qFormat/>
    <w:uiPriority w:val="0"/>
  </w:style>
  <w:style w:type="character" w:customStyle="1" w:styleId="147">
    <w:name w:val="new-icon1"/>
    <w:basedOn w:val="37"/>
    <w:autoRedefine/>
    <w:qFormat/>
    <w:uiPriority w:val="0"/>
  </w:style>
  <w:style w:type="character" w:customStyle="1" w:styleId="148">
    <w:name w:val="font31"/>
    <w:basedOn w:val="37"/>
    <w:autoRedefine/>
    <w:qFormat/>
    <w:uiPriority w:val="0"/>
    <w:rPr>
      <w:rFonts w:hint="eastAsia" w:ascii="宋体" w:hAnsi="宋体" w:eastAsia="宋体" w:cs="宋体"/>
      <w:color w:val="000000"/>
      <w:sz w:val="21"/>
      <w:szCs w:val="21"/>
      <w:u w:val="none"/>
    </w:rPr>
  </w:style>
  <w:style w:type="character" w:customStyle="1" w:styleId="149">
    <w:name w:val="font51"/>
    <w:basedOn w:val="37"/>
    <w:autoRedefine/>
    <w:qFormat/>
    <w:uiPriority w:val="0"/>
    <w:rPr>
      <w:rFonts w:hint="default" w:ascii="Times New Roman" w:hAnsi="Times New Roman" w:cs="Times New Roman"/>
      <w:color w:val="000000"/>
      <w:sz w:val="21"/>
      <w:szCs w:val="21"/>
      <w:u w:val="none"/>
    </w:rPr>
  </w:style>
  <w:style w:type="paragraph" w:customStyle="1" w:styleId="150">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2">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10801</Words>
  <Characters>12162</Characters>
  <Lines>358</Lines>
  <Paragraphs>100</Paragraphs>
  <TotalTime>3</TotalTime>
  <ScaleCrop>false</ScaleCrop>
  <LinksUpToDate>false</LinksUpToDate>
  <CharactersWithSpaces>12509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2026-05-15T07:17:00Z</cp:lastPrinted>
  <dcterms:modified xsi:type="dcterms:W3CDTF">2026-07-23T04:10:24Z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9DE97A078242434B8B3280E52CDBE9A2_13</vt:lpwstr>
  </property>
  <property fmtid="{D5CDD505-2E9C-101B-9397-08002B2CF9AE}" pid="4" name="KSOTemplateDocerSaveRecord">
    <vt:lpwstr>eyJoZGlkIjoiZmQ5MGI3YTdkMjVkZTZjM2ZjZTQ5YjMxYTJjZjRlOWEiLCJ1c2VySWQiOiIzNjE4MjQ5In0=</vt:lpwstr>
  </property>
</Properties>
</file>