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35C56">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3EA990EB">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4DFDA2C7">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2804E2BD">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14:paraId="08A6EE20">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47F885F2">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34F11F2">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019C0B04">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06293EEC">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17EA5E05">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4936C6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5278AAC7">
      <w:pPr>
        <w:tabs>
          <w:tab w:val="left" w:pos="2410"/>
        </w:tabs>
        <w:autoSpaceDE w:val="0"/>
        <w:autoSpaceDN w:val="0"/>
        <w:adjustRightInd w:val="0"/>
        <w:snapToGrid w:val="0"/>
        <w:spacing w:line="360" w:lineRule="auto"/>
        <w:ind w:left="1806" w:hanging="1806" w:hangingChars="500"/>
        <w:rPr>
          <w:rFonts w:ascii="宋体" w:hAnsi="宋体" w:eastAsia="宋体"/>
          <w:b/>
          <w:color w:val="auto"/>
          <w:spacing w:val="20"/>
          <w:kern w:val="0"/>
          <w:sz w:val="32"/>
          <w:szCs w:val="32"/>
          <w:highlight w:val="none"/>
          <w:u w:val="single"/>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滁州市科学技术馆展教辅助服务及运行保障项目（2026年-2028年）</w:t>
      </w:r>
    </w:p>
    <w:p w14:paraId="6EABC52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single"/>
          <w:lang w:val="en-US" w:eastAsia="zh-CN"/>
        </w:rPr>
        <w:t>czsjcg202511-033</w:t>
      </w:r>
    </w:p>
    <w:p w14:paraId="0C5A2F06">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滁州市科学技术馆</w:t>
      </w:r>
      <w:r>
        <w:rPr>
          <w:rFonts w:hint="eastAsia" w:ascii="宋体" w:hAnsi="宋体" w:eastAsia="宋体"/>
          <w:b/>
          <w:color w:val="auto"/>
          <w:spacing w:val="20"/>
          <w:kern w:val="0"/>
          <w:sz w:val="32"/>
          <w:szCs w:val="32"/>
          <w:highlight w:val="none"/>
          <w:u w:val="single"/>
        </w:rPr>
        <w:t xml:space="preserve"> </w:t>
      </w:r>
    </w:p>
    <w:p w14:paraId="38158706">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eastAsia="zh-CN"/>
        </w:rPr>
        <w:t>滁州市政府采购中心</w:t>
      </w:r>
    </w:p>
    <w:p w14:paraId="2F5D2224">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4919220E">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11 </w:t>
      </w:r>
      <w:r>
        <w:rPr>
          <w:rFonts w:hint="eastAsia" w:ascii="宋体" w:hAnsi="宋体" w:eastAsia="宋体"/>
          <w:b/>
          <w:color w:val="auto"/>
          <w:sz w:val="36"/>
          <w:highlight w:val="none"/>
        </w:rPr>
        <w:t>月</w:t>
      </w:r>
    </w:p>
    <w:p w14:paraId="3641CC4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5FC0532">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E04F2C4">
      <w:pPr>
        <w:pStyle w:val="22"/>
        <w:tabs>
          <w:tab w:val="right" w:leader="dot" w:pos="8306"/>
        </w:tabs>
        <w:rPr>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"_Toc32331"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第一章 </w:t>
      </w:r>
      <w:r>
        <w:rPr>
          <w:rFonts w:asciiTheme="minorEastAsia" w:hAnsiTheme="minorEastAsia"/>
          <w:color w:val="auto"/>
          <w:sz w:val="28"/>
          <w:szCs w:val="28"/>
          <w:highlight w:val="none"/>
        </w:rPr>
        <w:t xml:space="preserve"> 投标邀请</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p>
    <w:p w14:paraId="39415BB8">
      <w:pPr>
        <w:pStyle w:val="22"/>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"_Toc8888" </w:instrText>
      </w:r>
      <w:r>
        <w:rPr>
          <w:color w:val="auto"/>
          <w:sz w:val="28"/>
          <w:szCs w:val="28"/>
          <w:highlight w:val="none"/>
        </w:rPr>
        <w:fldChar w:fldCharType="separate"/>
      </w:r>
      <w:r>
        <w:rPr>
          <w:rFonts w:hint="eastAsia" w:asciiTheme="minorEastAsia" w:hAnsiTheme="minorEastAsia"/>
          <w:color w:val="auto"/>
          <w:sz w:val="28"/>
          <w:szCs w:val="28"/>
          <w:highlight w:val="none"/>
        </w:rPr>
        <w:t>第二章</w:t>
      </w:r>
      <w:r>
        <w:rPr>
          <w:rFonts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rPr>
        <w:t xml:space="preserve"> </w:t>
      </w:r>
      <w:r>
        <w:rPr>
          <w:rFonts w:asciiTheme="minorEastAsia" w:hAnsiTheme="minorEastAsia"/>
          <w:color w:val="auto"/>
          <w:sz w:val="28"/>
          <w:szCs w:val="28"/>
          <w:highlight w:val="none"/>
        </w:rPr>
        <w:t>投标人须知</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p>
    <w:p w14:paraId="18451FAE">
      <w:pPr>
        <w:pStyle w:val="22"/>
        <w:tabs>
          <w:tab w:val="right" w:leader="dot" w:pos="8306"/>
        </w:tabs>
        <w:rPr>
          <w:rFonts w:hint="eastAsia"/>
          <w:color w:val="auto"/>
          <w:sz w:val="28"/>
          <w:szCs w:val="28"/>
          <w:highlight w:val="none"/>
          <w:lang w:eastAsia="zh-CN"/>
        </w:rPr>
      </w:pPr>
      <w:r>
        <w:rPr>
          <w:color w:val="auto"/>
          <w:sz w:val="28"/>
          <w:szCs w:val="28"/>
          <w:highlight w:val="none"/>
        </w:rPr>
        <w:fldChar w:fldCharType="begin"/>
      </w:r>
      <w:r>
        <w:rPr>
          <w:color w:val="auto"/>
          <w:sz w:val="28"/>
          <w:szCs w:val="28"/>
          <w:highlight w:val="none"/>
        </w:rPr>
        <w:instrText xml:space="preserve"> HYPERLINK \l "_Toc22605" </w:instrText>
      </w:r>
      <w:r>
        <w:rPr>
          <w:color w:val="auto"/>
          <w:sz w:val="28"/>
          <w:szCs w:val="28"/>
          <w:highlight w:val="none"/>
        </w:rPr>
        <w:fldChar w:fldCharType="separate"/>
      </w:r>
      <w:r>
        <w:rPr>
          <w:rFonts w:hint="eastAsia" w:asciiTheme="minorEastAsia" w:hAnsiTheme="minorEastAsia"/>
          <w:color w:val="auto"/>
          <w:sz w:val="28"/>
          <w:szCs w:val="28"/>
          <w:highlight w:val="none"/>
        </w:rPr>
        <w:t>第三章  采购需求</w:t>
      </w:r>
      <w:r>
        <w:rPr>
          <w:color w:val="auto"/>
          <w:sz w:val="28"/>
          <w:szCs w:val="28"/>
          <w:highlight w:val="none"/>
        </w:rPr>
        <w:tab/>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eastAsia="zh-CN"/>
        </w:rPr>
        <w:t>4</w:t>
      </w:r>
    </w:p>
    <w:p w14:paraId="166F0DD6">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"_Toc30824" </w:instrText>
      </w:r>
      <w:r>
        <w:rPr>
          <w:color w:val="auto"/>
          <w:sz w:val="28"/>
          <w:szCs w:val="28"/>
          <w:highlight w:val="none"/>
        </w:rPr>
        <w:fldChar w:fldCharType="separate"/>
      </w:r>
      <w:r>
        <w:rPr>
          <w:rFonts w:hint="eastAsia" w:asciiTheme="minorEastAsia" w:hAnsiTheme="minorEastAsia"/>
          <w:color w:val="auto"/>
          <w:sz w:val="28"/>
          <w:szCs w:val="28"/>
          <w:highlight w:val="none"/>
        </w:rPr>
        <w:t>第四章  评标方法和标准（综合评分法）</w:t>
      </w:r>
      <w:r>
        <w:rPr>
          <w:color w:val="auto"/>
          <w:sz w:val="28"/>
          <w:szCs w:val="28"/>
          <w:highlight w:val="none"/>
        </w:rPr>
        <w:tab/>
      </w:r>
      <w:r>
        <w:rPr>
          <w:rFonts w:hint="eastAsia"/>
          <w:color w:val="auto"/>
          <w:sz w:val="28"/>
          <w:szCs w:val="28"/>
          <w:highlight w:val="none"/>
          <w:lang w:val="en-US" w:eastAsia="zh-CN"/>
        </w:rPr>
        <w:t>5</w:t>
      </w:r>
      <w:r>
        <w:rPr>
          <w:rFonts w:hint="eastAsia"/>
          <w:color w:val="auto"/>
          <w:sz w:val="28"/>
          <w:szCs w:val="28"/>
          <w:highlight w:val="none"/>
        </w:rPr>
        <w:fldChar w:fldCharType="end"/>
      </w:r>
      <w:r>
        <w:rPr>
          <w:rFonts w:hint="eastAsia"/>
          <w:color w:val="auto"/>
          <w:sz w:val="28"/>
          <w:szCs w:val="28"/>
          <w:highlight w:val="none"/>
          <w:lang w:val="en-US" w:eastAsia="zh-CN"/>
        </w:rPr>
        <w:t>5</w:t>
      </w:r>
    </w:p>
    <w:p w14:paraId="325B09DD">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"_Toc20405"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第五章  </w:t>
      </w:r>
      <w:r>
        <w:rPr>
          <w:rFonts w:asciiTheme="minorEastAsia" w:hAnsiTheme="minorEastAsia"/>
          <w:color w:val="auto"/>
          <w:sz w:val="28"/>
          <w:szCs w:val="28"/>
          <w:highlight w:val="none"/>
        </w:rPr>
        <w:t>政府采购合同</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r>
        <w:rPr>
          <w:rFonts w:hint="eastAsia"/>
          <w:color w:val="auto"/>
          <w:sz w:val="28"/>
          <w:szCs w:val="28"/>
          <w:highlight w:val="none"/>
          <w:lang w:val="en-US" w:eastAsia="zh-CN"/>
        </w:rPr>
        <w:t>8</w:t>
      </w:r>
    </w:p>
    <w:p w14:paraId="6A2D04C2">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"_Toc13555" </w:instrText>
      </w:r>
      <w:r>
        <w:rPr>
          <w:color w:val="auto"/>
          <w:sz w:val="28"/>
          <w:szCs w:val="28"/>
          <w:highlight w:val="none"/>
        </w:rPr>
        <w:fldChar w:fldCharType="separate"/>
      </w:r>
      <w:r>
        <w:rPr>
          <w:rFonts w:hint="eastAsia" w:asciiTheme="minorEastAsia" w:hAnsiTheme="minorEastAsia"/>
          <w:color w:val="auto"/>
          <w:sz w:val="28"/>
          <w:szCs w:val="28"/>
          <w:highlight w:val="none"/>
        </w:rPr>
        <w:t>第六章  投标文件格式</w:t>
      </w:r>
      <w:r>
        <w:rPr>
          <w:color w:val="auto"/>
          <w:sz w:val="28"/>
          <w:szCs w:val="28"/>
          <w:highlight w:val="none"/>
        </w:rPr>
        <w:tab/>
      </w:r>
      <w:r>
        <w:rPr>
          <w:rFonts w:hint="eastAsia"/>
          <w:color w:val="auto"/>
          <w:sz w:val="28"/>
          <w:szCs w:val="28"/>
          <w:highlight w:val="none"/>
          <w:lang w:val="en-US" w:eastAsia="zh-CN"/>
        </w:rPr>
        <w:t>7</w:t>
      </w:r>
      <w:r>
        <w:rPr>
          <w:rFonts w:hint="eastAsia"/>
          <w:color w:val="auto"/>
          <w:sz w:val="28"/>
          <w:szCs w:val="28"/>
          <w:highlight w:val="none"/>
        </w:rPr>
        <w:fldChar w:fldCharType="end"/>
      </w:r>
      <w:r>
        <w:rPr>
          <w:rFonts w:hint="eastAsia"/>
          <w:color w:val="auto"/>
          <w:sz w:val="28"/>
          <w:szCs w:val="28"/>
          <w:highlight w:val="none"/>
          <w:lang w:val="en-US" w:eastAsia="zh-CN"/>
        </w:rPr>
        <w:t>9</w:t>
      </w:r>
    </w:p>
    <w:p w14:paraId="66443CE4">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"_Toc20819" </w:instrText>
      </w:r>
      <w:r>
        <w:rPr>
          <w:color w:val="auto"/>
          <w:sz w:val="28"/>
          <w:szCs w:val="28"/>
          <w:highlight w:val="none"/>
        </w:rPr>
        <w:fldChar w:fldCharType="separate"/>
      </w:r>
      <w:r>
        <w:rPr>
          <w:rFonts w:hint="eastAsia" w:asciiTheme="minorEastAsia" w:hAnsiTheme="minorEastAsia"/>
          <w:color w:val="auto"/>
          <w:sz w:val="28"/>
          <w:szCs w:val="28"/>
          <w:highlight w:val="none"/>
        </w:rPr>
        <w:t>第七章</w:t>
      </w:r>
      <w:r>
        <w:rPr>
          <w:rFonts w:hint="eastAsia" w:ascii="宋体" w:hAnsi="宋体" w:eastAsia="宋体"/>
          <w:bCs/>
          <w:color w:val="auto"/>
          <w:sz w:val="28"/>
          <w:szCs w:val="28"/>
          <w:highlight w:val="none"/>
        </w:rPr>
        <w:t xml:space="preserve">  政府采购</w:t>
      </w:r>
      <w:r>
        <w:rPr>
          <w:rFonts w:hint="eastAsia" w:asciiTheme="minorEastAsia" w:hAnsi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rFonts w:hint="eastAsia"/>
          <w:color w:val="auto"/>
          <w:sz w:val="28"/>
          <w:szCs w:val="28"/>
          <w:highlight w:val="none"/>
          <w:lang w:val="en-US" w:eastAsia="zh-CN"/>
        </w:rPr>
        <w:t>9</w:t>
      </w:r>
      <w:r>
        <w:rPr>
          <w:rFonts w:hint="eastAsia"/>
          <w:color w:val="auto"/>
          <w:sz w:val="28"/>
          <w:szCs w:val="28"/>
          <w:highlight w:val="none"/>
        </w:rPr>
        <w:fldChar w:fldCharType="end"/>
      </w:r>
      <w:r>
        <w:rPr>
          <w:rFonts w:hint="eastAsia"/>
          <w:color w:val="auto"/>
          <w:sz w:val="28"/>
          <w:szCs w:val="28"/>
          <w:highlight w:val="none"/>
          <w:lang w:val="en-US" w:eastAsia="zh-CN"/>
        </w:rPr>
        <w:t>7</w:t>
      </w:r>
    </w:p>
    <w:p w14:paraId="16B3D53C">
      <w:pPr>
        <w:pStyle w:val="22"/>
        <w:tabs>
          <w:tab w:val="right" w:leader="dot" w:pos="8306"/>
        </w:tabs>
        <w:rPr>
          <w:rFonts w:hint="eastAsia" w:ascii="宋体" w:hAnsi="宋体" w:eastAsia="宋体" w:cs="宋体"/>
          <w:color w:val="auto"/>
          <w:sz w:val="28"/>
          <w:szCs w:val="28"/>
          <w:highlight w:val="none"/>
        </w:rPr>
      </w:pPr>
      <w:r>
        <w:rPr>
          <w:rFonts w:asciiTheme="minorEastAsia" w:hAnsiTheme="minorEastAsia" w:eastAsiaTheme="minorEastAsia"/>
          <w:color w:val="auto"/>
          <w:sz w:val="28"/>
          <w:szCs w:val="28"/>
          <w:highlight w:val="none"/>
        </w:rPr>
        <w:fldChar w:fldCharType="end"/>
      </w:r>
    </w:p>
    <w:p w14:paraId="5169A2FE">
      <w:pPr>
        <w:spacing w:line="360" w:lineRule="auto"/>
        <w:rPr>
          <w:rFonts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7A263DFD">
      <w:pPr>
        <w:spacing w:line="360" w:lineRule="auto"/>
        <w:jc w:val="center"/>
        <w:outlineLvl w:val="1"/>
        <w:rPr>
          <w:rFonts w:asciiTheme="minorEastAsia" w:hAnsiTheme="minorEastAsia" w:eastAsiaTheme="minorEastAsia"/>
          <w:b/>
          <w:color w:val="auto"/>
          <w:sz w:val="28"/>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23E13A08">
      <w:pPr>
        <w:spacing w:line="360" w:lineRule="auto"/>
        <w:jc w:val="center"/>
        <w:outlineLvl w:val="0"/>
        <w:rPr>
          <w:rFonts w:asciiTheme="minorEastAsia" w:hAnsiTheme="minorEastAsia" w:eastAsiaTheme="minorEastAsia"/>
          <w:b/>
          <w:color w:val="auto"/>
          <w:sz w:val="28"/>
          <w:highlight w:val="none"/>
        </w:rPr>
      </w:pPr>
      <w:bookmarkStart w:id="1" w:name="_Toc3262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421E65A2">
      <w:pPr>
        <w:keepNext/>
        <w:keepLines/>
        <w:ind w:firstLine="560" w:firstLineChars="200"/>
        <w:rPr>
          <w:rFonts w:ascii="仿宋" w:hAnsi="仿宋" w:eastAsia="仿宋" w:cs="仿宋"/>
          <w:color w:val="auto"/>
          <w:sz w:val="28"/>
          <w:szCs w:val="28"/>
          <w:highlight w:val="none"/>
        </w:rPr>
      </w:pPr>
      <w:bookmarkStart w:id="2" w:name="_Toc58430305"/>
      <w:bookmarkEnd w:id="2"/>
      <w:bookmarkStart w:id="3" w:name="_Toc35393790"/>
      <w:bookmarkEnd w:id="3"/>
      <w:bookmarkStart w:id="4" w:name="_Toc28359079"/>
      <w:bookmarkEnd w:id="4"/>
      <w:bookmarkStart w:id="5" w:name="_Toc28359002"/>
      <w:bookmarkEnd w:id="5"/>
      <w:bookmarkStart w:id="6" w:name="_Toc35393621"/>
      <w:bookmarkEnd w:id="6"/>
      <w:bookmarkStart w:id="7" w:name="_Hlk24379207"/>
      <w:bookmarkStart w:id="8" w:name="_Toc1215"/>
      <w:r>
        <w:rPr>
          <w:rFonts w:hint="eastAsia" w:ascii="仿宋" w:hAnsi="仿宋" w:eastAsia="仿宋" w:cs="仿宋"/>
          <w:color w:val="auto"/>
          <w:sz w:val="28"/>
          <w:szCs w:val="28"/>
          <w:highlight w:val="none"/>
        </w:rPr>
        <w:t>项目概况</w:t>
      </w:r>
    </w:p>
    <w:p w14:paraId="3723A8BB">
      <w:pPr>
        <w:wordWrap w:val="0"/>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滁州市科学技术馆展教辅助服务及运行保障项目（2026年-2028年）</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1月4日8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50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bookmarkEnd w:id="7"/>
    <w:p w14:paraId="0C4C0A09">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4C828DB6">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s="Times New Roman"/>
          <w:color w:val="auto"/>
          <w:sz w:val="28"/>
          <w:szCs w:val="28"/>
          <w:highlight w:val="none"/>
          <w:lang w:val="en-US" w:eastAsia="zh-CN"/>
        </w:rPr>
      </w:pPr>
      <w:bookmarkStart w:id="9" w:name="_Toc58430306"/>
      <w:bookmarkEnd w:id="9"/>
      <w:bookmarkStart w:id="10" w:name="_Toc28359003"/>
      <w:bookmarkEnd w:id="10"/>
      <w:bookmarkStart w:id="11" w:name="_Toc35393791"/>
      <w:bookmarkEnd w:id="11"/>
      <w:bookmarkStart w:id="12" w:name="_Toc35393622"/>
      <w:bookmarkEnd w:id="12"/>
      <w:bookmarkStart w:id="13" w:name="_Toc28359080"/>
      <w:r>
        <w:rPr>
          <w:rFonts w:hint="eastAsia" w:ascii="仿宋" w:hAnsi="仿宋" w:eastAsia="仿宋" w:cs="Times New Roman"/>
          <w:color w:val="auto"/>
          <w:sz w:val="28"/>
          <w:szCs w:val="28"/>
          <w:highlight w:val="none"/>
          <w:lang w:eastAsia="zh-CN"/>
        </w:rPr>
        <w:t>项目编号：</w:t>
      </w:r>
      <w:r>
        <w:rPr>
          <w:rFonts w:hint="default" w:ascii="仿宋" w:hAnsi="仿宋" w:eastAsia="仿宋" w:cs="Times New Roman"/>
          <w:color w:val="auto"/>
          <w:sz w:val="28"/>
          <w:szCs w:val="28"/>
          <w:highlight w:val="none"/>
          <w:lang w:eastAsia="zh-CN"/>
        </w:rPr>
        <w:t>czsjcg202511-033</w:t>
      </w:r>
    </w:p>
    <w:p w14:paraId="5385F178">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项目名称：滁州市科学技术馆展教辅助服务及运行保障项目（2026年-2028年）</w:t>
      </w:r>
    </w:p>
    <w:p w14:paraId="090B4BA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olor w:val="auto"/>
          <w:sz w:val="28"/>
          <w:szCs w:val="28"/>
          <w:highlight w:val="none"/>
          <w:lang w:val="en-US" w:eastAsia="zh-CN"/>
        </w:rPr>
      </w:pPr>
      <w:r>
        <w:rPr>
          <w:rFonts w:hint="eastAsia" w:ascii="仿宋" w:hAnsi="仿宋" w:eastAsia="仿宋" w:cs="Times New Roman"/>
          <w:color w:val="auto"/>
          <w:sz w:val="28"/>
          <w:szCs w:val="28"/>
          <w:highlight w:val="none"/>
        </w:rPr>
        <w:t>预算</w:t>
      </w:r>
      <w:r>
        <w:rPr>
          <w:rFonts w:hint="eastAsia" w:ascii="仿宋" w:hAnsi="仿宋" w:eastAsia="仿宋"/>
          <w:color w:val="auto"/>
          <w:sz w:val="28"/>
          <w:szCs w:val="28"/>
          <w:highlight w:val="none"/>
          <w:lang w:val="en-US" w:eastAsia="zh-CN"/>
        </w:rPr>
        <w:t>金额：1800000.00元/年</w:t>
      </w:r>
    </w:p>
    <w:p w14:paraId="1CC52B8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最高限价：1800000.00元/年，投标报价不得高于最高限价，否则按无效投标处理。</w:t>
      </w:r>
    </w:p>
    <w:p w14:paraId="240F472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lang w:eastAsia="zh-CN"/>
        </w:rPr>
        <w:t>滁州市科学技术馆展教辅助服务及运行保障</w:t>
      </w:r>
      <w:r>
        <w:rPr>
          <w:rFonts w:hint="eastAsia" w:ascii="仿宋" w:hAnsi="仿宋" w:eastAsia="仿宋" w:cs="Times New Roman"/>
          <w:color w:val="auto"/>
          <w:sz w:val="28"/>
          <w:szCs w:val="28"/>
          <w:highlight w:val="none"/>
          <w:lang w:val="en-US" w:eastAsia="zh-CN"/>
        </w:rPr>
        <w:t>服务。</w:t>
      </w:r>
    </w:p>
    <w:p w14:paraId="00102F4B">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合同履行期限:服务期三年，合同一年一签。</w:t>
      </w:r>
      <w:bookmarkStart w:id="14" w:name="_Toc20911"/>
    </w:p>
    <w:p w14:paraId="0D11CA6D">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本项目不接受联合体投标。</w:t>
      </w:r>
      <w:bookmarkEnd w:id="13"/>
      <w:bookmarkEnd w:id="14"/>
    </w:p>
    <w:p w14:paraId="11C08372">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1EC2BB99">
      <w:pPr>
        <w:ind w:firstLine="560" w:firstLineChars="200"/>
        <w:rPr>
          <w:rFonts w:ascii="仿宋" w:hAnsi="仿宋" w:eastAsia="仿宋" w:cs="Times New Roman"/>
          <w:color w:val="auto"/>
          <w:sz w:val="28"/>
          <w:szCs w:val="28"/>
          <w:highlight w:val="none"/>
        </w:rPr>
      </w:pPr>
      <w:bookmarkStart w:id="15" w:name="_Toc35393623"/>
      <w:bookmarkEnd w:id="15"/>
      <w:bookmarkStart w:id="16" w:name="_Toc35393792"/>
      <w:bookmarkEnd w:id="16"/>
      <w:bookmarkStart w:id="17" w:name="_Toc58430307"/>
      <w:r>
        <w:rPr>
          <w:rFonts w:hint="eastAsia" w:ascii="仿宋" w:hAnsi="仿宋" w:eastAsia="仿宋" w:cs="Times New Roman"/>
          <w:color w:val="auto"/>
          <w:sz w:val="28"/>
          <w:szCs w:val="28"/>
          <w:highlight w:val="none"/>
        </w:rPr>
        <w:t>1.满足《中华人民共和国政府采购法》第二十二条规定；</w:t>
      </w:r>
    </w:p>
    <w:p w14:paraId="7A52261A">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2.落实政府采购政策需满足的资格要求：</w:t>
      </w:r>
      <w:r>
        <w:rPr>
          <w:rFonts w:hint="eastAsia" w:ascii="仿宋" w:hAnsi="仿宋" w:eastAsia="仿宋" w:cs="Times New Roman"/>
          <w:color w:val="auto"/>
          <w:sz w:val="28"/>
          <w:szCs w:val="28"/>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s="Times New Roman"/>
          <w:color w:val="auto"/>
          <w:sz w:val="28"/>
          <w:szCs w:val="28"/>
          <w:highlight w:val="none"/>
        </w:rPr>
        <w:t>。</w:t>
      </w:r>
    </w:p>
    <w:p w14:paraId="2A426B4C">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3.本项目的特定资格要求：</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w:t>
      </w:r>
    </w:p>
    <w:p w14:paraId="56346478">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4.信誉要求：投标人不得存在以下情形：</w:t>
      </w:r>
    </w:p>
    <w:p w14:paraId="6CDBE8CB">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①被列入“信用中国”网站“失信被执行人”的</w:t>
      </w:r>
      <w:r>
        <w:rPr>
          <w:rFonts w:hint="eastAsia" w:ascii="仿宋" w:hAnsi="仿宋" w:eastAsia="仿宋" w:cs="Times New Roman"/>
          <w:color w:val="auto"/>
          <w:sz w:val="28"/>
          <w:szCs w:val="28"/>
          <w:highlight w:val="none"/>
          <w:lang w:eastAsia="zh-CN"/>
        </w:rPr>
        <w:t>；</w:t>
      </w:r>
    </w:p>
    <w:p w14:paraId="22755B7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57D9238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 “严重失信主体名单”的；</w:t>
      </w:r>
    </w:p>
    <w:p w14:paraId="14876A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④在</w:t>
      </w:r>
      <w:bookmarkStart w:id="18" w:name="OLE_LINK128"/>
      <w:bookmarkStart w:id="19" w:name="OLE_LINK129"/>
      <w:bookmarkStart w:id="20" w:name="OLE_LINK127"/>
      <w:r>
        <w:rPr>
          <w:rFonts w:hint="eastAsia" w:ascii="仿宋" w:hAnsi="仿宋" w:eastAsia="仿宋" w:cs="Times New Roman"/>
          <w:color w:val="auto"/>
          <w:sz w:val="28"/>
          <w:szCs w:val="28"/>
          <w:highlight w:val="none"/>
        </w:rPr>
        <w:t>“信用中国”网站</w:t>
      </w:r>
      <w:bookmarkEnd w:id="18"/>
      <w:bookmarkEnd w:id="19"/>
      <w:bookmarkEnd w:id="20"/>
      <w:r>
        <w:rPr>
          <w:rFonts w:hint="eastAsia" w:ascii="仿宋" w:hAnsi="仿宋" w:eastAsia="仿宋" w:cs="Times New Roman"/>
          <w:color w:val="auto"/>
          <w:sz w:val="28"/>
          <w:szCs w:val="28"/>
          <w:highlight w:val="none"/>
        </w:rPr>
        <w:t>上披露的仍在公示期的严重失信行为(具体行为类别及判定依据见“信用中国”查询的严重失信行为类别及判定依据)的。</w:t>
      </w:r>
    </w:p>
    <w:p w14:paraId="7D08E206">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⑤被列入国家企业信用信息公示系统网站“经营异常名录”或者“严重违法失信名单”的。</w:t>
      </w:r>
    </w:p>
    <w:p w14:paraId="7D938D15">
      <w:pPr>
        <w:ind w:firstLine="560" w:firstLineChars="200"/>
        <w:rPr>
          <w:rFonts w:hint="eastAsia" w:ascii="仿宋" w:hAnsi="仿宋" w:eastAsia="仿宋" w:cs="Times New Roman"/>
          <w:color w:val="auto"/>
          <w:sz w:val="28"/>
          <w:szCs w:val="28"/>
          <w:highlight w:val="none"/>
        </w:rPr>
      </w:pPr>
      <w:bookmarkStart w:id="21" w:name="OLE_LINK113"/>
      <w:bookmarkStart w:id="22" w:name="OLE_LINK114"/>
      <w:r>
        <w:rPr>
          <w:rFonts w:hint="eastAsia" w:ascii="仿宋" w:hAnsi="仿宋" w:eastAsia="仿宋" w:cs="Times New Roman"/>
          <w:color w:val="auto"/>
          <w:sz w:val="28"/>
          <w:szCs w:val="28"/>
          <w:highlight w:val="none"/>
        </w:rPr>
        <w:t>⑥</w:t>
      </w:r>
      <w:bookmarkEnd w:id="21"/>
      <w:bookmarkEnd w:id="22"/>
      <w:r>
        <w:rPr>
          <w:rFonts w:hint="eastAsia" w:ascii="仿宋" w:hAnsi="仿宋" w:eastAsia="仿宋" w:cs="Times New Roman"/>
          <w:color w:val="auto"/>
          <w:sz w:val="28"/>
          <w:szCs w:val="28"/>
          <w:highlight w:val="none"/>
        </w:rPr>
        <w:t>被列入中国政府采购网站“政府采购严重违法失信行为信息记录”的</w:t>
      </w:r>
      <w:r>
        <w:rPr>
          <w:rFonts w:hint="eastAsia" w:ascii="仿宋" w:hAnsi="仿宋" w:eastAsia="仿宋" w:cs="Times New Roman"/>
          <w:color w:val="auto"/>
          <w:sz w:val="28"/>
          <w:szCs w:val="28"/>
          <w:highlight w:val="none"/>
          <w:lang w:eastAsia="zh-CN"/>
        </w:rPr>
        <w:t>。</w:t>
      </w:r>
    </w:p>
    <w:p w14:paraId="4202C75F">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r>
        <w:rPr>
          <w:rFonts w:hint="eastAsia" w:ascii="仿宋" w:hAnsi="仿宋" w:eastAsia="仿宋" w:cs="Times New Roman"/>
          <w:color w:val="auto"/>
          <w:sz w:val="28"/>
          <w:szCs w:val="28"/>
          <w:highlight w:val="none"/>
          <w:lang w:eastAsia="zh-CN"/>
        </w:rPr>
        <w:t>。</w:t>
      </w:r>
    </w:p>
    <w:p w14:paraId="14AF00E6">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5.投标人所属分公司、办事处等分支机构存在第4款信誉要求①-⑦项情形之一的，接受投标人参加本项目。</w:t>
      </w:r>
    </w:p>
    <w:p w14:paraId="53ED4C06">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备注：第4、5条按照“关于联合惩戒失信行为加强信用查询管理的通知”查询或承诺。</w:t>
      </w:r>
    </w:p>
    <w:bookmarkEnd w:id="17"/>
    <w:p w14:paraId="2A5969FD">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p>
    <w:p w14:paraId="1B8911E1">
      <w:pPr>
        <w:ind w:firstLine="560" w:firstLineChars="200"/>
        <w:rPr>
          <w:rFonts w:ascii="仿宋" w:hAnsi="仿宋" w:eastAsia="仿宋" w:cs="Times New Roman"/>
          <w:color w:val="auto"/>
          <w:sz w:val="28"/>
          <w:szCs w:val="28"/>
          <w:highlight w:val="none"/>
          <w:u w:val="single"/>
        </w:rPr>
      </w:pPr>
      <w:bookmarkStart w:id="23" w:name="_Toc28359082"/>
      <w:bookmarkEnd w:id="23"/>
      <w:bookmarkStart w:id="24" w:name="_Toc35393793"/>
      <w:bookmarkEnd w:id="24"/>
      <w:bookmarkStart w:id="25" w:name="_Toc35393624"/>
      <w:bookmarkEnd w:id="25"/>
      <w:bookmarkStart w:id="26" w:name="_Toc28359005"/>
      <w:bookmarkEnd w:id="26"/>
      <w:bookmarkStart w:id="27" w:name="_Toc58430308"/>
      <w:r>
        <w:rPr>
          <w:rFonts w:hint="eastAsia" w:ascii="仿宋" w:hAnsi="仿宋" w:eastAsia="仿宋" w:cs="Times New Roman"/>
          <w:color w:val="auto"/>
          <w:sz w:val="28"/>
          <w:szCs w:val="28"/>
          <w:highlight w:val="none"/>
        </w:rPr>
        <w:t>时间：</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5</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11</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19</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rPr>
        <w:t>至</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1月4日</w:t>
      </w:r>
    </w:p>
    <w:p w14:paraId="5A909A9B">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地点：滁州市公共资源交易中心网</w:t>
      </w:r>
    </w:p>
    <w:p w14:paraId="3F5ECBD3">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方式：网上下载</w:t>
      </w:r>
    </w:p>
    <w:p w14:paraId="6DAB6A7E">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售价：0元</w:t>
      </w:r>
    </w:p>
    <w:bookmarkEnd w:id="27"/>
    <w:p w14:paraId="69624F7A">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四、提交投标文件截止时间、开标时间和地点</w:t>
      </w:r>
    </w:p>
    <w:p w14:paraId="1110B0EC">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1月4日8</w:t>
      </w:r>
      <w:r>
        <w:rPr>
          <w:rFonts w:hint="eastAsia" w:ascii="仿宋" w:hAnsi="仿宋" w:eastAsia="仿宋" w:cs="Times New Roman"/>
          <w:color w:val="auto"/>
          <w:sz w:val="28"/>
          <w:szCs w:val="28"/>
          <w:highlight w:val="none"/>
          <w:u w:val="single"/>
        </w:rPr>
        <w:t>点</w:t>
      </w:r>
      <w:r>
        <w:rPr>
          <w:rFonts w:hint="eastAsia" w:ascii="仿宋" w:hAnsi="仿宋" w:eastAsia="仿宋" w:cs="Times New Roman"/>
          <w:color w:val="auto"/>
          <w:sz w:val="28"/>
          <w:szCs w:val="28"/>
          <w:highlight w:val="none"/>
          <w:u w:val="single"/>
          <w:lang w:val="en-US" w:eastAsia="zh-CN"/>
        </w:rPr>
        <w:t>50</w:t>
      </w:r>
      <w:bookmarkStart w:id="302" w:name="_GoBack"/>
      <w:bookmarkEnd w:id="302"/>
      <w:r>
        <w:rPr>
          <w:rFonts w:hint="eastAsia" w:ascii="仿宋" w:hAnsi="仿宋" w:eastAsia="仿宋" w:cs="Times New Roman"/>
          <w:color w:val="auto"/>
          <w:sz w:val="28"/>
          <w:szCs w:val="28"/>
          <w:highlight w:val="none"/>
          <w:u w:val="single"/>
        </w:rPr>
        <w:t>分</w:t>
      </w:r>
      <w:r>
        <w:rPr>
          <w:rFonts w:hint="eastAsia" w:ascii="仿宋" w:hAnsi="仿宋" w:eastAsia="仿宋" w:cs="Times New Roman"/>
          <w:color w:val="auto"/>
          <w:sz w:val="28"/>
          <w:szCs w:val="28"/>
          <w:highlight w:val="none"/>
        </w:rPr>
        <w:t>（北京时间）</w:t>
      </w:r>
    </w:p>
    <w:p w14:paraId="0EAF9848">
      <w:pPr>
        <w:ind w:firstLine="560" w:firstLineChars="200"/>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地点：</w:t>
      </w:r>
      <w:r>
        <w:rPr>
          <w:rFonts w:hint="eastAsia" w:ascii="仿宋" w:hAnsi="仿宋" w:eastAsia="仿宋" w:cs="Times New Roman"/>
          <w:color w:val="auto"/>
          <w:sz w:val="28"/>
          <w:szCs w:val="28"/>
          <w:highlight w:val="none"/>
          <w:lang w:val="en-US" w:eastAsia="zh-CN"/>
        </w:rPr>
        <w:t>滁州市公共资源交易平台电子交易系统</w:t>
      </w:r>
    </w:p>
    <w:p w14:paraId="11D9D685">
      <w:pPr>
        <w:keepNext/>
        <w:keepLines/>
        <w:spacing w:before="260" w:after="260"/>
        <w:jc w:val="left"/>
        <w:rPr>
          <w:rFonts w:ascii="黑体" w:hAnsi="黑体" w:eastAsia="黑体" w:cs="黑体"/>
          <w:color w:val="auto"/>
          <w:sz w:val="28"/>
          <w:szCs w:val="28"/>
          <w:highlight w:val="none"/>
        </w:rPr>
      </w:pPr>
      <w:bookmarkStart w:id="28" w:name="_Toc35393625"/>
      <w:bookmarkEnd w:id="28"/>
      <w:bookmarkStart w:id="29" w:name="_Toc58430309"/>
      <w:bookmarkEnd w:id="29"/>
      <w:bookmarkStart w:id="30" w:name="_Toc35393794"/>
      <w:bookmarkEnd w:id="30"/>
      <w:bookmarkStart w:id="31" w:name="_Toc28359007"/>
      <w:bookmarkEnd w:id="31"/>
      <w:r>
        <w:rPr>
          <w:rFonts w:hint="eastAsia" w:ascii="黑体" w:hAnsi="黑体" w:eastAsia="黑体" w:cs="黑体"/>
          <w:color w:val="auto"/>
          <w:sz w:val="28"/>
          <w:szCs w:val="28"/>
          <w:highlight w:val="none"/>
        </w:rPr>
        <w:t>五、公告期限</w:t>
      </w:r>
    </w:p>
    <w:p w14:paraId="50358D33">
      <w:pPr>
        <w:ind w:firstLine="560" w:firstLineChars="200"/>
        <w:jc w:val="left"/>
        <w:rPr>
          <w:rFonts w:ascii="仿宋" w:hAnsi="仿宋" w:eastAsia="仿宋" w:cs="Times New Roman"/>
          <w:color w:val="auto"/>
          <w:sz w:val="28"/>
          <w:szCs w:val="28"/>
          <w:highlight w:val="none"/>
        </w:rPr>
      </w:pPr>
      <w:bookmarkStart w:id="32" w:name="_Toc58430310"/>
      <w:bookmarkEnd w:id="32"/>
      <w:r>
        <w:rPr>
          <w:rFonts w:hint="eastAsia" w:ascii="仿宋" w:hAnsi="仿宋" w:eastAsia="仿宋" w:cs="Times New Roman"/>
          <w:color w:val="auto"/>
          <w:sz w:val="28"/>
          <w:szCs w:val="28"/>
          <w:highlight w:val="none"/>
        </w:rPr>
        <w:t>自本公告发布之日起5个工作日。</w:t>
      </w:r>
    </w:p>
    <w:p w14:paraId="0D8284CD">
      <w:pPr>
        <w:keepNext/>
        <w:keepLines/>
        <w:spacing w:before="260" w:after="260"/>
        <w:rPr>
          <w:rFonts w:ascii="黑体" w:hAnsi="黑体" w:eastAsia="黑体" w:cs="黑体"/>
          <w:color w:val="auto"/>
          <w:sz w:val="28"/>
          <w:szCs w:val="28"/>
          <w:highlight w:val="none"/>
        </w:rPr>
      </w:pPr>
      <w:bookmarkStart w:id="33" w:name="_Toc31539"/>
      <w:bookmarkStart w:id="34" w:name="_Toc35393795"/>
      <w:bookmarkStart w:id="35" w:name="_Toc35393626"/>
      <w:r>
        <w:rPr>
          <w:rFonts w:hint="eastAsia" w:ascii="黑体" w:hAnsi="黑体" w:eastAsia="黑体" w:cs="黑体"/>
          <w:color w:val="auto"/>
          <w:sz w:val="28"/>
          <w:szCs w:val="28"/>
          <w:highlight w:val="none"/>
        </w:rPr>
        <w:t>六、</w:t>
      </w:r>
      <w:bookmarkEnd w:id="33"/>
      <w:r>
        <w:rPr>
          <w:rFonts w:hint="eastAsia" w:ascii="黑体" w:hAnsi="黑体" w:eastAsia="黑体" w:cs="黑体"/>
          <w:color w:val="auto"/>
          <w:sz w:val="28"/>
          <w:szCs w:val="28"/>
          <w:highlight w:val="none"/>
        </w:rPr>
        <w:t>其他补充事宜</w:t>
      </w:r>
      <w:bookmarkEnd w:id="34"/>
      <w:bookmarkEnd w:id="35"/>
    </w:p>
    <w:p w14:paraId="633DE041">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5C0DBEE">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5A071971">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4BB50835">
      <w:pPr>
        <w:ind w:firstLine="560" w:firstLineChars="200"/>
        <w:jc w:val="left"/>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8"/>
    <w:p w14:paraId="7D93D4BB">
      <w:pPr>
        <w:keepNext/>
        <w:keepLines/>
        <w:spacing w:before="260" w:after="260"/>
        <w:rPr>
          <w:rFonts w:ascii="黑体" w:hAnsi="黑体" w:eastAsia="黑体" w:cs="黑体"/>
          <w:color w:val="auto"/>
          <w:sz w:val="28"/>
          <w:szCs w:val="28"/>
          <w:highlight w:val="none"/>
        </w:rPr>
      </w:pPr>
      <w:bookmarkStart w:id="36" w:name="_Toc3854"/>
      <w:bookmarkStart w:id="37" w:name="_Toc7265"/>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w:t>
      </w:r>
      <w:bookmarkEnd w:id="36"/>
      <w:bookmarkEnd w:id="37"/>
      <w:r>
        <w:rPr>
          <w:rFonts w:hint="eastAsia" w:ascii="黑体" w:hAnsi="黑体" w:eastAsia="黑体" w:cs="黑体"/>
          <w:color w:val="auto"/>
          <w:sz w:val="28"/>
          <w:szCs w:val="28"/>
          <w:highlight w:val="none"/>
        </w:rPr>
        <w:t>对本次招标提出询问，请按以下方式联系</w:t>
      </w:r>
    </w:p>
    <w:p w14:paraId="700F70C3">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1.采购人信息</w:t>
      </w:r>
    </w:p>
    <w:p w14:paraId="2DD6719A">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eastAsia="zh-CN"/>
        </w:rPr>
        <w:t>滁州市科学技术馆</w:t>
      </w:r>
    </w:p>
    <w:p w14:paraId="6E0E8DF1">
      <w:pPr>
        <w:ind w:firstLine="560" w:firstLineChars="200"/>
        <w:jc w:val="left"/>
        <w:rPr>
          <w:rFonts w:hint="eastAsia" w:ascii="仿宋" w:hAnsi="仿宋" w:eastAsia="仿宋"/>
          <w:color w:val="auto"/>
          <w:sz w:val="28"/>
          <w:szCs w:val="28"/>
          <w:highlight w:val="none"/>
          <w:u w:val="singl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val="en-US" w:eastAsia="zh-CN"/>
        </w:rPr>
        <w:t>滁州市市政务中心西北角</w:t>
      </w:r>
    </w:p>
    <w:p w14:paraId="2D46DF13">
      <w:pPr>
        <w:ind w:firstLine="560" w:firstLineChars="200"/>
        <w:jc w:val="left"/>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val="en-US" w:eastAsia="zh-CN"/>
        </w:rPr>
        <w:t>18949759209</w:t>
      </w:r>
    </w:p>
    <w:p w14:paraId="3571BCEB">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p>
    <w:p w14:paraId="7FA88DB2">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eastAsia="zh-CN"/>
        </w:rPr>
        <w:t>滁州市政府采购中心</w:t>
      </w:r>
      <w:r>
        <w:rPr>
          <w:rFonts w:hint="eastAsia" w:ascii="仿宋" w:hAnsi="仿宋" w:eastAsia="仿宋" w:cs="Times New Roman"/>
          <w:color w:val="auto"/>
          <w:sz w:val="28"/>
          <w:szCs w:val="28"/>
          <w:highlight w:val="none"/>
        </w:rPr>
        <w:t>　</w:t>
      </w:r>
    </w:p>
    <w:p w14:paraId="37081A50">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滁州市龙蟠大道109号房产商务大厦2楼</w:t>
      </w:r>
    </w:p>
    <w:p w14:paraId="0A59458F">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eastAsia="zh-CN"/>
        </w:rPr>
        <w:t>0550-3519519、18005505728</w:t>
      </w:r>
    </w:p>
    <w:p w14:paraId="37FCAD66">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3.政府采购监督管理部门信息</w:t>
      </w:r>
    </w:p>
    <w:p w14:paraId="1C77BC2F">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val="en-US" w:eastAsia="zh-CN"/>
        </w:rPr>
        <w:t>滁州市公共资源交易监督管理局</w:t>
      </w:r>
    </w:p>
    <w:p w14:paraId="2D0E049A">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滁州市龙蟠大道109号房产商务大厦</w:t>
      </w:r>
      <w:r>
        <w:rPr>
          <w:rFonts w:hint="eastAsia" w:ascii="仿宋" w:hAnsi="仿宋" w:eastAsia="仿宋" w:cs="Times New Roman"/>
          <w:color w:val="auto"/>
          <w:sz w:val="28"/>
          <w:szCs w:val="28"/>
          <w:highlight w:val="none"/>
          <w:u w:val="single"/>
          <w:lang w:val="en-US" w:eastAsia="zh-CN"/>
        </w:rPr>
        <w:t>3</w:t>
      </w:r>
      <w:r>
        <w:rPr>
          <w:rFonts w:hint="eastAsia" w:ascii="仿宋" w:hAnsi="仿宋" w:eastAsia="仿宋" w:cs="Times New Roman"/>
          <w:color w:val="auto"/>
          <w:sz w:val="28"/>
          <w:szCs w:val="28"/>
          <w:highlight w:val="none"/>
          <w:u w:val="single"/>
          <w:lang w:eastAsia="zh-CN"/>
        </w:rPr>
        <w:t>楼</w:t>
      </w:r>
    </w:p>
    <w:p w14:paraId="6151CB86">
      <w:pPr>
        <w:ind w:firstLine="560" w:firstLineChars="200"/>
        <w:jc w:val="left"/>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0550-3801656</w:t>
      </w:r>
    </w:p>
    <w:p w14:paraId="586564C9">
      <w:pP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03B9419D">
      <w:pPr>
        <w:spacing w:line="360" w:lineRule="auto"/>
        <w:jc w:val="center"/>
        <w:outlineLvl w:val="0"/>
        <w:rPr>
          <w:rFonts w:asciiTheme="minorEastAsia" w:hAnsiTheme="minorEastAsia" w:eastAsiaTheme="minorEastAsia"/>
          <w:b/>
          <w:color w:val="auto"/>
          <w:sz w:val="28"/>
          <w:highlight w:val="none"/>
        </w:rPr>
      </w:pPr>
      <w:bookmarkStart w:id="38" w:name="_Toc12267"/>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8"/>
    </w:p>
    <w:p w14:paraId="180B2826">
      <w:pPr>
        <w:spacing w:line="360" w:lineRule="auto"/>
        <w:jc w:val="center"/>
        <w:outlineLvl w:val="1"/>
        <w:rPr>
          <w:rFonts w:asciiTheme="minorEastAsia" w:hAnsiTheme="minorEastAsia" w:eastAsiaTheme="minorEastAsia"/>
          <w:b/>
          <w:color w:val="auto"/>
          <w:sz w:val="24"/>
          <w:highlight w:val="none"/>
        </w:rPr>
      </w:pPr>
      <w:bookmarkStart w:id="39" w:name="_Toc13589"/>
      <w:bookmarkStart w:id="40" w:name="_Toc7178"/>
      <w:bookmarkStart w:id="41" w:name="_Toc26722"/>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9"/>
      <w:bookmarkEnd w:id="40"/>
      <w:bookmarkEnd w:id="41"/>
    </w:p>
    <w:p w14:paraId="173FABE7">
      <w:pPr>
        <w:spacing w:line="500" w:lineRule="exact"/>
        <w:ind w:left="-420" w:leftChars="-200"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1"/>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870"/>
        <w:gridCol w:w="6660"/>
      </w:tblGrid>
      <w:tr w14:paraId="3901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FDA11EB">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969" w:type="pct"/>
            <w:vAlign w:val="center"/>
          </w:tcPr>
          <w:p w14:paraId="714F9579">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451" w:type="pct"/>
            <w:vAlign w:val="center"/>
          </w:tcPr>
          <w:p w14:paraId="6D55B1E3">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1B8A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C7369DD">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969" w:type="pct"/>
            <w:vAlign w:val="center"/>
          </w:tcPr>
          <w:p w14:paraId="4047AD04">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3451" w:type="pct"/>
            <w:vAlign w:val="center"/>
          </w:tcPr>
          <w:p w14:paraId="76571874">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0"/>
                <w:highlight w:val="none"/>
              </w:rPr>
              <w:t>不组织或不召开</w:t>
            </w:r>
          </w:p>
          <w:p w14:paraId="464879B5">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统一组织或统一召开</w:t>
            </w:r>
          </w:p>
          <w:p w14:paraId="21C6741C">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分</w:t>
            </w:r>
          </w:p>
          <w:p w14:paraId="6F23CBC9">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               </w:t>
            </w:r>
          </w:p>
          <w:p w14:paraId="5DA5AED4">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    </w:t>
            </w:r>
          </w:p>
          <w:p w14:paraId="10111EC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2B9A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748B25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969" w:type="pct"/>
            <w:vAlign w:val="center"/>
          </w:tcPr>
          <w:p w14:paraId="59566D7B">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451" w:type="pct"/>
            <w:vAlign w:val="center"/>
          </w:tcPr>
          <w:p w14:paraId="7913D2F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u w:val="none"/>
                <w:lang w:val="en-US" w:eastAsia="zh-CN"/>
              </w:rPr>
              <w:t>2025</w:t>
            </w:r>
            <w:r>
              <w:rPr>
                <w:rFonts w:hint="eastAsia" w:ascii="宋体" w:hAnsi="宋体" w:eastAsia="宋体" w:cs="宋体"/>
                <w:b w:val="0"/>
                <w:color w:val="auto"/>
                <w:sz w:val="24"/>
                <w:highlight w:val="none"/>
                <w:u w:val="none"/>
              </w:rPr>
              <w:t>年</w:t>
            </w:r>
            <w:r>
              <w:rPr>
                <w:rFonts w:hint="eastAsia" w:ascii="宋体" w:hAnsi="宋体" w:eastAsia="宋体" w:cs="宋体"/>
                <w:b w:val="0"/>
                <w:color w:val="auto"/>
                <w:sz w:val="24"/>
                <w:highlight w:val="none"/>
                <w:u w:val="none"/>
                <w:lang w:val="en-US" w:eastAsia="zh-CN"/>
              </w:rPr>
              <w:t>11</w:t>
            </w:r>
            <w:r>
              <w:rPr>
                <w:rFonts w:hint="eastAsia" w:ascii="宋体" w:hAnsi="宋体" w:eastAsia="宋体" w:cs="宋体"/>
                <w:b w:val="0"/>
                <w:color w:val="auto"/>
                <w:sz w:val="24"/>
                <w:highlight w:val="none"/>
                <w:u w:val="none"/>
              </w:rPr>
              <w:t>月</w:t>
            </w:r>
            <w:r>
              <w:rPr>
                <w:rFonts w:hint="eastAsia" w:ascii="宋体" w:hAnsi="宋体" w:eastAsia="宋体" w:cs="宋体"/>
                <w:b w:val="0"/>
                <w:color w:val="auto"/>
                <w:sz w:val="24"/>
                <w:highlight w:val="none"/>
                <w:u w:val="none"/>
                <w:lang w:val="en-US" w:eastAsia="zh-CN"/>
              </w:rPr>
              <w:t>26</w:t>
            </w:r>
            <w:r>
              <w:rPr>
                <w:rFonts w:hint="eastAsia" w:ascii="宋体" w:hAnsi="宋体" w:eastAsia="宋体" w:cs="宋体"/>
                <w:b w:val="0"/>
                <w:color w:val="auto"/>
                <w:sz w:val="24"/>
                <w:highlight w:val="none"/>
                <w:u w:val="none"/>
              </w:rPr>
              <w:t>日17时30分</w:t>
            </w:r>
            <w:r>
              <w:rPr>
                <w:rFonts w:hint="eastAsia" w:ascii="宋体" w:hAnsi="宋体" w:eastAsia="宋体" w:cs="宋体"/>
                <w:b w:val="0"/>
                <w:color w:val="auto"/>
                <w:sz w:val="24"/>
                <w:highlight w:val="none"/>
              </w:rPr>
              <w:t>（公告期限界满之日）</w:t>
            </w:r>
          </w:p>
        </w:tc>
      </w:tr>
      <w:tr w14:paraId="23D7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F96F6A0">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969" w:type="pct"/>
            <w:vAlign w:val="center"/>
          </w:tcPr>
          <w:p w14:paraId="27C1D5C8">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451" w:type="pct"/>
            <w:vAlign w:val="center"/>
          </w:tcPr>
          <w:p w14:paraId="0B66E2CD">
            <w:pPr>
              <w:pStyle w:val="51"/>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 xml:space="preserve"> / </w:t>
            </w:r>
            <w:r>
              <w:rPr>
                <w:rFonts w:hint="eastAsia" w:ascii="宋体" w:hAnsi="宋体" w:eastAsia="宋体" w:cs="宋体"/>
                <w:b w:val="0"/>
                <w:color w:val="auto"/>
                <w:sz w:val="24"/>
                <w:highlight w:val="none"/>
              </w:rPr>
              <w:t>个包</w:t>
            </w:r>
          </w:p>
          <w:p w14:paraId="6815DEF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u w:val="single"/>
              </w:rPr>
              <w:t xml:space="preserve"> </w:t>
            </w:r>
          </w:p>
        </w:tc>
      </w:tr>
      <w:tr w14:paraId="1AE3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55798DC8">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969" w:type="pct"/>
            <w:vAlign w:val="center"/>
          </w:tcPr>
          <w:p w14:paraId="5FC2ADD3">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451" w:type="pct"/>
            <w:vAlign w:val="center"/>
          </w:tcPr>
          <w:p w14:paraId="051D6829">
            <w:pPr>
              <w:keepNext w:val="0"/>
              <w:keepLines w:val="0"/>
              <w:suppressLineNumbers w:val="0"/>
              <w:spacing w:before="0" w:beforeAutospacing="0" w:after="0" w:afterAutospacing="0" w:line="500" w:lineRule="exact"/>
              <w:ind w:left="0" w:right="0"/>
              <w:rPr>
                <w:rFonts w:hint="default"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1C43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64DEEB4">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969" w:type="pct"/>
            <w:vAlign w:val="center"/>
          </w:tcPr>
          <w:p w14:paraId="17370DA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451" w:type="pct"/>
            <w:vAlign w:val="center"/>
          </w:tcPr>
          <w:p w14:paraId="3E4645F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90 </w:t>
            </w:r>
            <w:r>
              <w:rPr>
                <w:rFonts w:hint="eastAsia" w:ascii="宋体" w:hAnsi="宋体" w:eastAsia="宋体" w:cs="宋体"/>
                <w:b w:val="0"/>
                <w:color w:val="auto"/>
                <w:sz w:val="24"/>
                <w:highlight w:val="none"/>
              </w:rPr>
              <w:t>日历日</w:t>
            </w:r>
          </w:p>
        </w:tc>
      </w:tr>
      <w:tr w14:paraId="704F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C0692CA">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969" w:type="pct"/>
            <w:vAlign w:val="center"/>
          </w:tcPr>
          <w:p w14:paraId="3B2A272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3451" w:type="pct"/>
            <w:vAlign w:val="center"/>
          </w:tcPr>
          <w:p w14:paraId="70A997C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投标截止时间后</w:t>
            </w:r>
            <w:r>
              <w:rPr>
                <w:rFonts w:hint="eastAsia" w:ascii="宋体" w:hAnsi="宋体" w:eastAsia="宋体" w:cs="宋体"/>
                <w:b w:val="0"/>
                <w:color w:val="auto"/>
                <w:sz w:val="24"/>
                <w:highlight w:val="none"/>
                <w:u w:val="single"/>
              </w:rPr>
              <w:t xml:space="preserve"> 60 </w:t>
            </w:r>
            <w:r>
              <w:rPr>
                <w:rFonts w:hint="eastAsia" w:ascii="宋体" w:hAnsi="宋体" w:eastAsia="宋体" w:cs="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3059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CCAA19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969" w:type="pct"/>
            <w:vAlign w:val="center"/>
          </w:tcPr>
          <w:p w14:paraId="4F46C9B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451" w:type="pct"/>
            <w:vAlign w:val="center"/>
          </w:tcPr>
          <w:p w14:paraId="3B5DA91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2780BC03">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7D6E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3F99AF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969" w:type="pct"/>
            <w:vAlign w:val="center"/>
          </w:tcPr>
          <w:p w14:paraId="325B066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451" w:type="pct"/>
            <w:vAlign w:val="center"/>
          </w:tcPr>
          <w:p w14:paraId="3488D5E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最低评标价法</w:t>
            </w:r>
          </w:p>
          <w:p w14:paraId="17A9864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综合评分法</w:t>
            </w:r>
          </w:p>
        </w:tc>
      </w:tr>
      <w:tr w14:paraId="68C9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FD64249">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969" w:type="pct"/>
            <w:vAlign w:val="center"/>
          </w:tcPr>
          <w:p w14:paraId="1ED0E633">
            <w:pPr>
              <w:pStyle w:val="51"/>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报价扣除</w:t>
            </w:r>
          </w:p>
          <w:p w14:paraId="48D44D3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i/>
                <w:color w:val="auto"/>
                <w:sz w:val="24"/>
                <w:highlight w:val="none"/>
              </w:rPr>
            </w:pPr>
            <w:r>
              <w:rPr>
                <w:rFonts w:hint="eastAsia" w:ascii="宋体" w:hAnsi="宋体" w:eastAsia="宋体" w:cs="宋体"/>
                <w:b w:val="0"/>
                <w:i/>
                <w:iCs/>
                <w:color w:val="auto"/>
                <w:sz w:val="24"/>
                <w:highlight w:val="none"/>
              </w:rPr>
              <w:t>（非专门面向中小企业采购项目适用）</w:t>
            </w:r>
          </w:p>
        </w:tc>
        <w:tc>
          <w:tcPr>
            <w:tcW w:w="3451" w:type="pct"/>
            <w:vAlign w:val="center"/>
          </w:tcPr>
          <w:p w14:paraId="67DF742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u w:val="none"/>
              </w:rPr>
              <w:t>；</w:t>
            </w:r>
          </w:p>
          <w:p w14:paraId="2663A934">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5E9CC9E8">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233D7A03">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25B95A0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tc>
      </w:tr>
      <w:tr w14:paraId="59E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36B55AE">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969" w:type="pct"/>
            <w:vAlign w:val="center"/>
          </w:tcPr>
          <w:p w14:paraId="7D52F55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451" w:type="pct"/>
            <w:vAlign w:val="center"/>
          </w:tcPr>
          <w:p w14:paraId="34AA55B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62E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F5B964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969" w:type="pct"/>
            <w:vAlign w:val="center"/>
          </w:tcPr>
          <w:p w14:paraId="0B1E666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451" w:type="pct"/>
            <w:vAlign w:val="center"/>
          </w:tcPr>
          <w:p w14:paraId="4989BF25">
            <w:pPr>
              <w:keepNext w:val="0"/>
              <w:keepLines w:val="0"/>
              <w:suppressLineNumbers w:val="0"/>
              <w:spacing w:before="0" w:beforeAutospacing="0" w:after="0" w:afterAutospacing="0" w:line="5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0FF2BB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4B59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E190258">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969" w:type="pct"/>
            <w:vAlign w:val="center"/>
          </w:tcPr>
          <w:p w14:paraId="7141568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3451" w:type="pct"/>
            <w:vAlign w:val="center"/>
          </w:tcPr>
          <w:p w14:paraId="494361A7">
            <w:pPr>
              <w:pStyle w:val="51"/>
              <w:keepNext w:val="0"/>
              <w:keepLines w:val="0"/>
              <w:widowControl w:val="0"/>
              <w:numPr>
                <w:ilvl w:val="0"/>
                <w:numId w:val="0"/>
              </w:numPr>
              <w:suppressLineNumbers w:val="0"/>
              <w:spacing w:before="0" w:beforeAutospacing="0" w:after="0" w:afterAutospacing="0" w:line="500" w:lineRule="exact"/>
              <w:ind w:left="0" w:right="0" w:rightChars="0"/>
              <w:jc w:val="both"/>
              <w:rPr>
                <w:rFonts w:hint="eastAsia" w:ascii="宋体" w:hAnsi="宋体" w:eastAsia="宋体" w:cs="宋体"/>
                <w:b w:val="0"/>
                <w:i/>
                <w:iCs/>
                <w:color w:val="auto"/>
                <w:sz w:val="24"/>
                <w:highlight w:val="none"/>
                <w:lang w:val="en-US" w:eastAsia="zh-CN"/>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中小企业声明函；</w:t>
            </w:r>
            <w:r>
              <w:rPr>
                <w:rFonts w:hint="eastAsia" w:ascii="宋体" w:hAnsi="宋体" w:eastAsia="宋体" w:cs="宋体"/>
                <w:b w:val="0"/>
                <w:i/>
                <w:iCs/>
                <w:color w:val="auto"/>
                <w:sz w:val="24"/>
                <w:highlight w:val="none"/>
                <w:lang w:val="en-US" w:eastAsia="zh-CN"/>
              </w:rPr>
              <w:t xml:space="preserve"> </w:t>
            </w:r>
          </w:p>
          <w:p w14:paraId="7963EEED">
            <w:pPr>
              <w:pStyle w:val="51"/>
              <w:keepNext w:val="0"/>
              <w:keepLines w:val="0"/>
              <w:widowControl w:val="0"/>
              <w:numPr>
                <w:ilvl w:val="0"/>
                <w:numId w:val="0"/>
              </w:numPr>
              <w:suppressLineNumbers w:val="0"/>
              <w:spacing w:before="0" w:beforeAutospacing="0" w:after="0" w:afterAutospacing="0" w:line="500" w:lineRule="exact"/>
              <w:ind w:left="0" w:right="0" w:rightChars="0"/>
              <w:jc w:val="both"/>
              <w:rPr>
                <w:rFonts w:hint="default"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7EBED34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i/>
                <w:iCs/>
                <w:color w:val="auto"/>
                <w:sz w:val="24"/>
                <w:highlight w:val="none"/>
              </w:rPr>
              <w:t>；</w:t>
            </w:r>
          </w:p>
        </w:tc>
      </w:tr>
      <w:tr w14:paraId="368E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CD4D624">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969" w:type="pct"/>
            <w:vAlign w:val="center"/>
          </w:tcPr>
          <w:p w14:paraId="72AEDD3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451" w:type="pct"/>
            <w:vAlign w:val="center"/>
          </w:tcPr>
          <w:p w14:paraId="7CDE61A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1944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FEB882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969" w:type="pct"/>
            <w:vAlign w:val="center"/>
          </w:tcPr>
          <w:p w14:paraId="016F2099">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451" w:type="pct"/>
            <w:vAlign w:val="center"/>
          </w:tcPr>
          <w:p w14:paraId="78A65A08">
            <w:pPr>
              <w:keepNext w:val="0"/>
              <w:keepLines w:val="0"/>
              <w:suppressLineNumbers w:val="0"/>
              <w:spacing w:before="0" w:beforeAutospacing="0" w:after="0" w:afterAutospacing="0" w:line="5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685ED9E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4B73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79" w:type="pct"/>
            <w:vAlign w:val="center"/>
          </w:tcPr>
          <w:p w14:paraId="6A466953">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969" w:type="pct"/>
            <w:vAlign w:val="center"/>
          </w:tcPr>
          <w:p w14:paraId="3DEA372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451" w:type="pct"/>
          </w:tcPr>
          <w:p w14:paraId="4B861798">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41D51B9">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6ACDFC8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 xml:space="preserve"> / </w:t>
            </w:r>
            <w:r>
              <w:rPr>
                <w:rFonts w:hint="default" w:ascii="宋体" w:hAnsi="宋体" w:eastAsia="宋体"/>
                <w:bCs/>
                <w:color w:val="auto"/>
                <w:kern w:val="0"/>
                <w:sz w:val="24"/>
                <w:szCs w:val="28"/>
                <w:highlight w:val="none"/>
              </w:rPr>
              <w:t>%</w:t>
            </w:r>
          </w:p>
          <w:p w14:paraId="67092A25">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定额收取：人民币元</w:t>
            </w:r>
          </w:p>
          <w:p w14:paraId="3F86BA5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5C3773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2303D562">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1D690A5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6A7D6960">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w:t>
            </w:r>
          </w:p>
          <w:p w14:paraId="57728A0C">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677114D">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FDA189A">
            <w:pPr>
              <w:keepNext w:val="0"/>
              <w:keepLines w:val="0"/>
              <w:suppressLineNumbers w:val="0"/>
              <w:spacing w:before="0" w:beforeAutospacing="0" w:after="0" w:afterAutospacing="0" w:line="500" w:lineRule="exact"/>
              <w:ind w:left="0" w:right="0"/>
              <w:rPr>
                <w:rFonts w:hint="default" w:ascii="宋体" w:hAnsi="宋体" w:eastAsia="宋体" w:cs="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8C1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9" w:type="pct"/>
            <w:vAlign w:val="center"/>
          </w:tcPr>
          <w:p w14:paraId="7EB40CF0">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969" w:type="pct"/>
            <w:vAlign w:val="center"/>
          </w:tcPr>
          <w:p w14:paraId="7154A0E9">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3451" w:type="pct"/>
          </w:tcPr>
          <w:p w14:paraId="0E41ADD5">
            <w:pPr>
              <w:keepNext w:val="0"/>
              <w:keepLines w:val="0"/>
              <w:suppressLineNumbers w:val="0"/>
              <w:adjustRightInd w:val="0"/>
              <w:snapToGrid w:val="0"/>
              <w:spacing w:before="0" w:beforeAutospacing="0" w:after="0" w:afterAutospacing="0" w:line="500" w:lineRule="exact"/>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1A0CC909">
            <w:pPr>
              <w:keepNext w:val="0"/>
              <w:keepLines w:val="0"/>
              <w:suppressLineNumbers w:val="0"/>
              <w:adjustRightInd w:val="0"/>
              <w:snapToGrid w:val="0"/>
              <w:spacing w:before="0" w:beforeAutospacing="0" w:after="0" w:afterAutospacing="0" w:line="500" w:lineRule="exact"/>
              <w:ind w:left="0" w:right="0"/>
              <w:rPr>
                <w:rFonts w:hint="default"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6DD5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0250766">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969" w:type="pct"/>
            <w:vAlign w:val="center"/>
          </w:tcPr>
          <w:p w14:paraId="34A3DC3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3451" w:type="pct"/>
            <w:vAlign w:val="center"/>
          </w:tcPr>
          <w:p w14:paraId="160FD60D">
            <w:pPr>
              <w:keepNext w:val="0"/>
              <w:keepLines w:val="0"/>
              <w:suppressLineNumbers w:val="0"/>
              <w:spacing w:before="39" w:beforeAutospacing="0" w:after="0" w:afterAutospacing="0" w:line="500" w:lineRule="exact"/>
              <w:ind w:left="0" w:right="0"/>
              <w:rPr>
                <w:rFonts w:hint="default"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中标人</w:t>
            </w:r>
          </w:p>
          <w:p w14:paraId="76BA5085">
            <w:pPr>
              <w:keepNext w:val="0"/>
              <w:keepLines w:val="0"/>
              <w:suppressLineNumbers w:val="0"/>
              <w:spacing w:before="24" w:beforeAutospacing="0" w:after="0" w:afterAutospacing="0" w:line="500" w:lineRule="exact"/>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312A231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bCs w:val="0"/>
                <w:color w:val="auto"/>
                <w:kern w:val="2"/>
                <w:sz w:val="24"/>
                <w:szCs w:val="24"/>
                <w:highlight w:val="none"/>
                <w:u w:val="single"/>
              </w:rPr>
              <w:t>。</w:t>
            </w:r>
          </w:p>
        </w:tc>
      </w:tr>
      <w:tr w14:paraId="2298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111DCE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969" w:type="pct"/>
            <w:vAlign w:val="center"/>
          </w:tcPr>
          <w:p w14:paraId="1BFF5B5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451" w:type="pct"/>
            <w:vAlign w:val="center"/>
          </w:tcPr>
          <w:p w14:paraId="4344ABD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1D4FCB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eastAsia="zh-CN"/>
              </w:rPr>
              <w:t>滁州市科学技术馆、滁州市政府采购中心</w:t>
            </w:r>
            <w:r>
              <w:rPr>
                <w:rFonts w:hint="eastAsia" w:ascii="宋体" w:hAnsi="宋体" w:eastAsia="宋体" w:cs="宋体"/>
                <w:color w:val="auto"/>
                <w:sz w:val="24"/>
                <w:highlight w:val="none"/>
                <w:u w:val="single"/>
              </w:rPr>
              <w:t>；</w:t>
            </w:r>
          </w:p>
          <w:p w14:paraId="1FFACFA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lang w:val="en-US" w:eastAsia="zh-CN"/>
              </w:rPr>
              <w:t>1894975920</w:t>
            </w:r>
            <w:r>
              <w:rPr>
                <w:rFonts w:hint="eastAsia" w:ascii="宋体" w:hAnsi="宋体" w:eastAsia="宋体" w:cs="宋体"/>
                <w:b/>
                <w:bCs w:val="0"/>
                <w:color w:val="auto"/>
                <w:sz w:val="24"/>
                <w:highlight w:val="none"/>
                <w:u w:val="single"/>
              </w:rPr>
              <w:t>、</w:t>
            </w:r>
            <w:r>
              <w:rPr>
                <w:rFonts w:hint="eastAsia" w:ascii="宋体" w:hAnsi="宋体" w:eastAsia="宋体" w:cs="宋体"/>
                <w:color w:val="auto"/>
                <w:sz w:val="24"/>
                <w:highlight w:val="none"/>
                <w:u w:val="single"/>
                <w:lang w:eastAsia="zh-CN"/>
              </w:rPr>
              <w:t>0550-3519519</w:t>
            </w:r>
            <w:r>
              <w:rPr>
                <w:rFonts w:hint="eastAsia" w:ascii="宋体" w:hAnsi="宋体" w:eastAsia="宋体" w:cs="宋体"/>
                <w:color w:val="auto"/>
                <w:sz w:val="24"/>
                <w:highlight w:val="none"/>
                <w:u w:val="single"/>
              </w:rPr>
              <w:t>；</w:t>
            </w:r>
          </w:p>
          <w:p w14:paraId="4FCE843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滁州市市政务中心西北角</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滁州市龙蟠大道109号房产商务大厦2楼</w:t>
            </w:r>
            <w:r>
              <w:rPr>
                <w:rFonts w:hint="eastAsia" w:ascii="宋体" w:hAnsi="宋体" w:eastAsia="宋体" w:cs="宋体"/>
                <w:color w:val="auto"/>
                <w:sz w:val="24"/>
                <w:highlight w:val="none"/>
                <w:u w:val="single"/>
              </w:rPr>
              <w:t>。</w:t>
            </w:r>
          </w:p>
        </w:tc>
      </w:tr>
      <w:tr w14:paraId="0F86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DC68D81">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32</w:t>
            </w:r>
          </w:p>
        </w:tc>
        <w:tc>
          <w:tcPr>
            <w:tcW w:w="969" w:type="pct"/>
            <w:vAlign w:val="center"/>
          </w:tcPr>
          <w:p w14:paraId="7D29927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3451" w:type="pct"/>
            <w:vAlign w:val="center"/>
          </w:tcPr>
          <w:p w14:paraId="30EA1F97">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635391B5">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D2CD9BA">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23747AF">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1C23CBE">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17F3D45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2E7976DE">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57122EE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7BD96A8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39A9ACC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0609A7D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6437327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65CF4D0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51ACE16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6222B83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07E0420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334A2C4E">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4497014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23FBDEE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2724339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F48BD7E">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68FDB4B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6B8DE6F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703DC6D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484B5E8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5CEDACE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43EC704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F87E6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471CB36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59A0233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5F5714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489121A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42" w:name="_Toc24882"/>
      <w:bookmarkStart w:id="43" w:name="_Toc9427"/>
      <w:bookmarkStart w:id="44" w:name="_Toc4006"/>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42"/>
      <w:bookmarkEnd w:id="43"/>
      <w:bookmarkEnd w:id="44"/>
    </w:p>
    <w:p w14:paraId="44CE49C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1.采购人、采购代理机构及投标人</w:t>
      </w:r>
    </w:p>
    <w:p w14:paraId="0A3D797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1.1采购人：是指依法开展政府采购活动的国家机关、事业单位、团体组织。</w:t>
      </w:r>
    </w:p>
    <w:p w14:paraId="1F3F85B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1.2采购代理机构：是指集中采购机构或从事采购代理业务的社会中介机构。</w:t>
      </w:r>
    </w:p>
    <w:p w14:paraId="48B31A1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1.3政府采购监督管理部门：各级人民政府指定的有关部门依法履行与政府采购活动有关的监督管理职责。</w:t>
      </w:r>
    </w:p>
    <w:p w14:paraId="17930D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62BFDD1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1.4.1具备《中华人民共和国政府采购法》第二十二条关于供应商条件的规定，遵守本项目采购人本级和上级财政部门政府采购的有关规定。</w:t>
      </w:r>
    </w:p>
    <w:p w14:paraId="7130CA2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1.4.2以采购代理机构认可的方式获得了本项目的招标文件。</w:t>
      </w:r>
    </w:p>
    <w:p w14:paraId="6EEE6C0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1.4.3若采购需求中写明允许采购进口产品，投标人应保证所投产品可履行合法报通关手续进入中国关境内。</w:t>
      </w:r>
    </w:p>
    <w:p w14:paraId="1B4CC04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若采购需求中未写明允许采购进口产品，如投标人所投产品为进口产品，其投标将被认定为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7BF66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1.5若招标公告中允许联合体投标，对联合体规定如下：</w:t>
      </w:r>
    </w:p>
    <w:p w14:paraId="13A6419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1.5.1两个以上供应商可以组成一个投标联合体，以一个投标人的身份投标。联合体投标的，招标文件获取手续由联合体中任一成员单位办理均可。</w:t>
      </w:r>
    </w:p>
    <w:p w14:paraId="5458811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1.5.2联合体各方均应符合《中华人民共和国政府采购法》第二十二条规定的条件。</w:t>
      </w:r>
    </w:p>
    <w:p w14:paraId="659E913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1.5.3采购人根据采购项目对投标人的特殊要求，联合体中至少应当有一方符合相关规定。</w:t>
      </w:r>
    </w:p>
    <w:p w14:paraId="49CBD97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1.5.4联合体各方应签订联合协议，明确约定联合体各方承担的工作和相应的责任，并将联合协议作为投标文件的一部分提交。</w:t>
      </w:r>
    </w:p>
    <w:p w14:paraId="7D701FC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1.5.5大中型企业、其他自然人、法人或者非法人组织与小型、微型企业组成联合体共同参加投标，联合协议中应写明小型、微型企业的协议合同金额占到联合协议投标总金额的比例。</w:t>
      </w:r>
    </w:p>
    <w:p w14:paraId="264FAFB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1.5.6联合体中有同类资质的供应商按照联合体分工承担相同工作的，应当按照资质等级较低的供应商确定资质等级。</w:t>
      </w:r>
    </w:p>
    <w:p w14:paraId="5CB581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DA1847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1.5.8对联合体投标的其他资格要求见申请人的资格要求。</w:t>
      </w:r>
    </w:p>
    <w:p w14:paraId="75E2689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2.资金落实情况</w:t>
      </w:r>
    </w:p>
    <w:p w14:paraId="6111808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2.1本项目的采购人已获得足以支付本次招标后所签订的合同项下的资金。</w:t>
      </w:r>
    </w:p>
    <w:p w14:paraId="33EE2FE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7E7989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不论投标的结果如何，投标人应承担所有与准备和参加投标有关的费用。</w:t>
      </w:r>
    </w:p>
    <w:p w14:paraId="27A3751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4.适用法律</w:t>
      </w:r>
    </w:p>
    <w:p w14:paraId="7C11052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4BD96AB">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5.招标文件构成</w:t>
      </w:r>
    </w:p>
    <w:p w14:paraId="5560263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5.1招标文件包括下列内容：</w:t>
      </w:r>
    </w:p>
    <w:p w14:paraId="341C579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w:t>
      </w:r>
    </w:p>
    <w:p w14:paraId="1A4CD58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4897A97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1AB45E7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评标方法和标准</w:t>
      </w:r>
    </w:p>
    <w:p w14:paraId="791B27E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政府采购合同</w:t>
      </w:r>
    </w:p>
    <w:p w14:paraId="54F405D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04D44E6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政府采购询问函和质疑函范本</w:t>
      </w:r>
    </w:p>
    <w:p w14:paraId="69C77EC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5.2现场考察（</w:t>
      </w:r>
      <w:r>
        <w:rPr>
          <w:rFonts w:hint="eastAsia" w:ascii="宋体" w:hAnsi="宋体" w:eastAsia="宋体" w:cs="宋体"/>
          <w:bCs/>
          <w:color w:val="auto"/>
          <w:sz w:val="24"/>
          <w:szCs w:val="24"/>
          <w:highlight w:val="none"/>
        </w:rPr>
        <w:t>标前答疑会</w:t>
      </w:r>
      <w:r>
        <w:rPr>
          <w:rFonts w:hint="eastAsia" w:ascii="宋体" w:hAnsi="宋体" w:eastAsia="宋体" w:cs="宋体"/>
          <w:color w:val="auto"/>
          <w:sz w:val="24"/>
          <w:szCs w:val="24"/>
          <w:highlight w:val="none"/>
        </w:rPr>
        <w:t>）及相关事项见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965C75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5.3投标人应认真阅读招标文件所有的事项、格式、条款和技术规范等。</w:t>
      </w:r>
    </w:p>
    <w:p w14:paraId="395A3B01">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6.招标文件的澄清与修改</w:t>
      </w:r>
    </w:p>
    <w:p w14:paraId="3AB057E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rPr>
        <w:t>可</w:t>
      </w:r>
      <w:r>
        <w:rPr>
          <w:rFonts w:ascii="宋体" w:hAnsi="宋体" w:eastAsia="宋体"/>
          <w:color w:val="auto"/>
          <w:sz w:val="24"/>
          <w:highlight w:val="none"/>
        </w:rPr>
        <w:t>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截止时间前提交给采购代理机构。</w:t>
      </w:r>
    </w:p>
    <w:p w14:paraId="56B41ED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57076E6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DC410D0">
      <w:pPr>
        <w:spacing w:line="500" w:lineRule="exact"/>
        <w:ind w:left="-420" w:leftChars="-200" w:firstLine="436" w:firstLineChars="182"/>
        <w:jc w:val="left"/>
        <w:rPr>
          <w:rFonts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szCs w:val="24"/>
          <w:highlight w:val="none"/>
        </w:rPr>
        <w:t>。</w:t>
      </w:r>
    </w:p>
    <w:p w14:paraId="71F0EB6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7.投标范围及投标文件中标准和计量单位的使用</w:t>
      </w:r>
    </w:p>
    <w:p w14:paraId="4B9D6E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7.1项目有分包的，投标人可对招标文件其中某一个或几个分包进行投标，除非在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中另有规定。</w:t>
      </w:r>
    </w:p>
    <w:p w14:paraId="4DED227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BE2C13B">
      <w:pPr>
        <w:spacing w:line="500" w:lineRule="exact"/>
        <w:ind w:left="-420" w:leftChars="-200" w:firstLine="436" w:firstLineChars="182"/>
        <w:jc w:val="left"/>
        <w:rPr>
          <w:rFonts w:ascii="宋体" w:hAnsi="宋体" w:eastAsia="宋体" w:cs="宋体"/>
          <w:color w:val="auto"/>
          <w:sz w:val="24"/>
          <w:szCs w:val="24"/>
          <w:highlight w:val="none"/>
        </w:rPr>
      </w:pPr>
      <w:bookmarkStart w:id="45" w:name="_Hlk16458980"/>
      <w:r>
        <w:rPr>
          <w:rFonts w:hint="eastAsia" w:ascii="宋体" w:hAnsi="宋体" w:eastAsia="宋体" w:cs="宋体"/>
          <w:color w:val="auto"/>
          <w:sz w:val="24"/>
          <w:szCs w:val="24"/>
          <w:highlight w:val="none"/>
        </w:rPr>
        <w:t>7.3无论招标文件中是否要求，投标人所投货物、服务及工程（如有）均应符合国家强制性标准。</w:t>
      </w:r>
    </w:p>
    <w:bookmarkEnd w:id="45"/>
    <w:p w14:paraId="03ADFFC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6A482B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7.5除招标文件中有特殊要求外，投标文件中所使用的计量单位，应采用中华人民共和国法定计量单位。</w:t>
      </w:r>
    </w:p>
    <w:p w14:paraId="1FBBEA7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8.投标文件构成</w:t>
      </w:r>
    </w:p>
    <w:p w14:paraId="42C82D4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8.1投标人应完整地按招标文件提供的投标文件格式及要求编写投标文件，具体内容详见本项目投标文件格式的相关内容。</w:t>
      </w:r>
    </w:p>
    <w:p w14:paraId="650B9A5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8.2投标人应提交招标文件要求的证明文件，证明其投标内容符合招标文件规定，该证明文件是投标文件的一部分。证明文件形式可以是文字资料、图纸和数据</w:t>
      </w:r>
      <w:bookmarkStart w:id="46" w:name="_Hlk11703583"/>
      <w:r>
        <w:rPr>
          <w:rFonts w:hint="eastAsia" w:ascii="宋体" w:hAnsi="宋体" w:eastAsia="宋体" w:cs="宋体"/>
          <w:color w:val="auto"/>
          <w:sz w:val="24"/>
          <w:szCs w:val="24"/>
          <w:highlight w:val="none"/>
        </w:rPr>
        <w:t>等。</w:t>
      </w:r>
    </w:p>
    <w:bookmarkEnd w:id="46"/>
    <w:p w14:paraId="2653572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8.3为保证公平公正，除非另有规定或说明，投标人对同一项目投标时，不得同时提供备选投标方案。</w:t>
      </w:r>
    </w:p>
    <w:p w14:paraId="4375BDE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9.投标报价</w:t>
      </w:r>
    </w:p>
    <w:p w14:paraId="6BBEB26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9.1投标人的报价应当包括满足本次招标全部采购需求。除招标文件另有规定外，所有投标均应以人民币报价。投标人的投标报价应遵守《中华人民共和国价格法》。</w:t>
      </w:r>
    </w:p>
    <w:p w14:paraId="5B211B7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9.2投标人报价超过招标文件规定的预算金额或者分项、分包最高限价，其投标将被认定为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32CB69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2EE7E4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02C63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9.5采购人不接受具有附加条件的报价。</w:t>
      </w:r>
    </w:p>
    <w:p w14:paraId="46505BE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10.投标保证金</w:t>
      </w:r>
    </w:p>
    <w:p w14:paraId="188952E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10.1本项目不收取投标保证金。</w:t>
      </w:r>
    </w:p>
    <w:p w14:paraId="156A060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11.投标有效期</w:t>
      </w:r>
    </w:p>
    <w:p w14:paraId="77AFF1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11.1投标有效期为从投标截止之日算起的日历天数，投标有效期详见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8EA3E8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496B4F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22516F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12.投标文件的递交、修改与撤回</w:t>
      </w:r>
    </w:p>
    <w:p w14:paraId="69D7F6D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12.1投标人应当在招标公告规定的投标截止时间前，将加密的投标文件在电子交易系统上传。</w:t>
      </w:r>
    </w:p>
    <w:p w14:paraId="6F2FC99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74DAAD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13.开标</w:t>
      </w:r>
    </w:p>
    <w:p w14:paraId="3FA1E33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13.1开标时，各投标人应在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规定的解密时间前对其投标文件进行解密。</w:t>
      </w:r>
    </w:p>
    <w:p w14:paraId="3C82307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13.2开标时，采购代理机构将通过网上开标系统公布开标结果，公布内容包括投标人名称、投标价格及招标文件规定的内容。</w:t>
      </w:r>
    </w:p>
    <w:p w14:paraId="097DFFA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13.3采购人或采购代理机构将对开标过程进行记录，并存档备查。</w:t>
      </w:r>
    </w:p>
    <w:p w14:paraId="045B655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13.4投标人代表对开标过程和开标记录有疑义，以及认为采购人、采购代理机构相关工作人员有需要回避的情形的，应当场提出询问或者回避申请。</w:t>
      </w:r>
    </w:p>
    <w:p w14:paraId="07BF32F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14.资格审查及组建评标委员会</w:t>
      </w:r>
    </w:p>
    <w:p w14:paraId="2F00B03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14.1采购人或采购代理机构依据法律法规和招标文件中规定的内容，对投标人资格进行审查，未通过资格审查的投标人不进入评标。</w:t>
      </w:r>
    </w:p>
    <w:p w14:paraId="08B6432E">
      <w:pPr>
        <w:spacing w:line="500" w:lineRule="exact"/>
        <w:ind w:left="-420" w:leftChars="-200" w:firstLine="436" w:firstLineChars="182"/>
        <w:jc w:val="left"/>
        <w:rPr>
          <w:rFonts w:ascii="宋体" w:hAnsi="宋体" w:eastAsia="宋体" w:cs="宋体"/>
          <w:color w:val="auto"/>
          <w:sz w:val="24"/>
          <w:szCs w:val="24"/>
          <w:highlight w:val="none"/>
        </w:rPr>
      </w:pPr>
      <w:bookmarkStart w:id="47"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358A0F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3F5E5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7"/>
    <w:p w14:paraId="4DFB6C6B">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711278F9">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15.投标文件符合性审查与澄清</w:t>
      </w:r>
    </w:p>
    <w:p w14:paraId="76108E0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15.1符合性审查是指依据招标文件的规定，从投标文件的有效性和完整性对招标文件的响应程度进行审查，以确定是否对招标文件的实质性要求做出响应。</w:t>
      </w:r>
    </w:p>
    <w:p w14:paraId="653E0F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15.2投标文件的澄清</w:t>
      </w:r>
    </w:p>
    <w:p w14:paraId="3563AB7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6BAC904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本项目采用远程开标，具体操作方法详见服务指南&gt;交易须知&gt;开标大厅远程解密、质疑(异议)及回复以及评标过程中询标流程操作手册。</w:t>
      </w:r>
    </w:p>
    <w:p w14:paraId="6D0F563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15.2.2投标人的澄清、说明或补正将作为投标文件的一部分。</w:t>
      </w:r>
    </w:p>
    <w:p w14:paraId="29301A0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15.2.3评标委员会对投标人提交的澄清、说明或补正有疑问的，可以要求投标人进一步澄清、说明或补正，直至满足评标委员会的要求。</w:t>
      </w:r>
    </w:p>
    <w:p w14:paraId="2E12F63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15.3投标文件报价出现前后不一致的，按照下列规定修正：</w:t>
      </w:r>
    </w:p>
    <w:p w14:paraId="523582B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14:paraId="3890345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5A56C0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19D55AA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0152BC8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投标无效。</w:t>
      </w:r>
    </w:p>
    <w:p w14:paraId="5142084B">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14:paraId="585C4BC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16.投标无效</w:t>
      </w:r>
    </w:p>
    <w:p w14:paraId="5BB41A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69E312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评标委员会决定投标的响应性只根据招标文件要求和投标文件内容。</w:t>
      </w:r>
    </w:p>
    <w:p w14:paraId="34C9732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无论何种原因，即使投标人投标时携带了证书材料的原件，但投标文件中未提供与之内容完全一致的扫描件的，评标委员会视同其未提供。</w:t>
      </w:r>
    </w:p>
    <w:p w14:paraId="6EECF0E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16.2如发现下列情况之一的，其投标将被认定为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6A197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（1）投标文件未按照招标文件规定要求签署、盖章的；</w:t>
      </w:r>
    </w:p>
    <w:p w14:paraId="6A8825F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（2）不具备招标文件中规定的资格要求的；</w:t>
      </w:r>
    </w:p>
    <w:p w14:paraId="6EC1B37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（3）报价超过招标文件中规定的预算金额或者最高限价的；</w:t>
      </w:r>
    </w:p>
    <w:p w14:paraId="4DEA5EF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（4）投标文件含有采购人不能接受的附加条件的；</w:t>
      </w:r>
    </w:p>
    <w:p w14:paraId="7A41A2D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（5）法律、法规和招标文件规定的其他无效情形。</w:t>
      </w:r>
    </w:p>
    <w:p w14:paraId="46940DD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17.比较与评价</w:t>
      </w:r>
    </w:p>
    <w:p w14:paraId="1603399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17.1经符合性审查合格的投标文件，评标委员会将根据招标文件确定的评标方法和标准，对其投标文件作进一步的比较与评价。</w:t>
      </w:r>
    </w:p>
    <w:p w14:paraId="40CB0D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17.2评标严格按照招标文件的要求和条件进行。根据实际情况，在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中规定采用下列评标方法，详细评标方法和标准见招标文件第四章：</w:t>
      </w:r>
    </w:p>
    <w:p w14:paraId="4A7F4A0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（1）最低评标价法，是指投标文件满足招标文件全部实质性要求，且投标报价最低的投标人为中标候选人的评标方法。</w:t>
      </w:r>
    </w:p>
    <w:p w14:paraId="53F7916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（2）综合评分法，是指投标文件满足招标文件全部实质性要求，且按照评审因素的量化指标评审得分最高的投标人为中标候选人的评标方法。</w:t>
      </w:r>
    </w:p>
    <w:p w14:paraId="2662F65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中规定的标准扣除后的价格参与评审。对于同时属于小微企业、监狱企业或残疾人福利性单位的，不重复进行投标报价扣除。</w:t>
      </w:r>
    </w:p>
    <w:p w14:paraId="4C9BBB1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中规定的标准扣除后的价格参与评审。组成联合体或者接受分包的小微企业与联合体内其他企业、分包企业之间存在直接控股、管理关系的，不享受价格扣除优惠政策。</w:t>
      </w:r>
    </w:p>
    <w:p w14:paraId="0E0294B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0F720F2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18.废标、重新招标与变更采购方式</w:t>
      </w:r>
    </w:p>
    <w:p w14:paraId="580B7A4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18.1出现下列情形之一，将导致项目废标：</w:t>
      </w:r>
    </w:p>
    <w:p w14:paraId="7E2A9C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（1）符合专业条件的供应商或者对招标文件做实质性响应的供应商不足规定数量的；</w:t>
      </w:r>
    </w:p>
    <w:p w14:paraId="06D760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6CE51C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2B96DEE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452041F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18.2公开招标数额标准以上的采购项目，投标截止后投标人不足3家或者通过资格审查或符合性审查的投标人不足3家的，除采购任务取消情形外，按照以下方式处理：</w:t>
      </w:r>
    </w:p>
    <w:p w14:paraId="23D34B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（1）招标文件存在不合理条款或者招标程序不符合规定的，采购人、采购代理机构改正后依法重新招标；</w:t>
      </w:r>
    </w:p>
    <w:p w14:paraId="514B6B1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（2）招标文件没有不合理条款、招标程序符合规定，需要采用其他采购方式采购的，采购人应当依法报政府采购监督管理部门批准。</w:t>
      </w:r>
    </w:p>
    <w:p w14:paraId="2FFC924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19.保密要求</w:t>
      </w:r>
    </w:p>
    <w:p w14:paraId="0EFAF20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19.1评标将在严格保密的情况下进行。</w:t>
      </w:r>
    </w:p>
    <w:p w14:paraId="3D2E348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19.2有关人员应当遵守评标工作纪律，不得泄露评标文件、评标情况和评标中获悉的国家秘密、商业秘密。</w:t>
      </w:r>
    </w:p>
    <w:p w14:paraId="6F1FA7D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20.中标候选人的确定原则及标准</w:t>
      </w:r>
    </w:p>
    <w:p w14:paraId="4C5E640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20.1评标委员会依据本项目招标文件所约定的评标方法，对实质上响应招标文件的投标人按下列方法进行排序，确定中标候选人：</w:t>
      </w:r>
    </w:p>
    <w:p w14:paraId="6A52D49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81E3C3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16702A5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21.确定中标候选人和中标人</w:t>
      </w:r>
    </w:p>
    <w:p w14:paraId="63EBBE0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21.1评标委员会将根据评标标准，按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中规定数量推荐中标候选人。</w:t>
      </w:r>
    </w:p>
    <w:p w14:paraId="1CA4A29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中规定，由评标委员会或采购人确定中标人。</w:t>
      </w:r>
    </w:p>
    <w:p w14:paraId="4A31FB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21.3因重大变故采购任务取消时，采购人有权拒绝任何投标人中标，且对受影响的投标人不承担任何责任。</w:t>
      </w:r>
    </w:p>
    <w:p w14:paraId="5CF7AA7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22.编写评标报告</w:t>
      </w:r>
    </w:p>
    <w:p w14:paraId="189803B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7E9F4B9">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23.中标结果公告</w:t>
      </w:r>
    </w:p>
    <w:p w14:paraId="103FC1E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23.1除</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3C4F8B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23.2自中标人确定之日起2个工作日内，采购代理机构将在安徽省政府采购网（www.ccgp-anhui.gov.cn）和滁州市公共资源交易中心网上发布中标结果公告。</w:t>
      </w:r>
    </w:p>
    <w:p w14:paraId="3F6373C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结果公告内容应当包括采购人及其委托的采购代理机构的名称、地址、联系方式，项目名称和项目编号，中标人名称、地址和中标金额，主要中标标的的名称、规格型号、数量、单价、服务要求、中标公告期限、评审专家名单以及投标人须知前附表中约定进行公告的内容。中标公告期限为1个工作日。</w:t>
      </w:r>
    </w:p>
    <w:p w14:paraId="143079C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24.中标通知书</w:t>
      </w:r>
    </w:p>
    <w:p w14:paraId="04C7AB1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ascii="宋体" w:hAnsi="宋体" w:eastAsia="宋体"/>
          <w:color w:val="auto"/>
          <w:sz w:val="24"/>
          <w:highlight w:val="none"/>
        </w:rPr>
        <w:t>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r>
        <w:rPr>
          <w:rFonts w:hint="eastAsia" w:ascii="宋体" w:hAnsi="宋体" w:eastAsia="宋体"/>
          <w:color w:val="auto"/>
          <w:sz w:val="24"/>
          <w:highlight w:val="none"/>
        </w:rPr>
        <w:t>中标通知书须加盖采购人、采购代理机构公章并经公共资源交易中心加盖见证章后，方可发出。</w:t>
      </w:r>
    </w:p>
    <w:p w14:paraId="100D46D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24.2中标通知书对采购人和中标人具有同等法律效力。中标通知书发出以后，采购人改变中标结果或者中标人放弃中标，应当承担相应的法律责任。</w:t>
      </w:r>
    </w:p>
    <w:p w14:paraId="4A2615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24.3中标通知书是合同的组成部分。</w:t>
      </w:r>
    </w:p>
    <w:p w14:paraId="6FD8044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25.告知招标结果</w:t>
      </w:r>
    </w:p>
    <w:p w14:paraId="7E48274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25.1在公告中标结果的同时，采购代理机构同时以</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规定的形式告知未通过资格审查的投标人未通过的原因；采用综合评分法评审的，还将告知未中标人本人的评审得分和排序。</w:t>
      </w:r>
    </w:p>
    <w:p w14:paraId="63B34EC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26.履约保证金</w:t>
      </w:r>
    </w:p>
    <w:p w14:paraId="6E4108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26.1中标人应按照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规定缴纳履约保证金。</w:t>
      </w:r>
    </w:p>
    <w:p w14:paraId="649E8889">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26.2如果中标人没有按照上述履约保证金的规定执行，将视为放弃中标资格。在此情况下，采购人可确定下一中标候选人为中标人，也可以重新开展采购活动。</w:t>
      </w:r>
    </w:p>
    <w:p w14:paraId="34AA0C3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27.签订合同</w:t>
      </w:r>
    </w:p>
    <w:p w14:paraId="6774C09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473CCCE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27.2招标文件、中标人的投标文件及其澄清文件等，均为签订合同的依据。</w:t>
      </w:r>
    </w:p>
    <w:p w14:paraId="38F96F9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27.3中标人拒绝与采购人签订合同的，采购人可以按照评审报告推荐的中标候选人名单排序，确定下一中标候选人为中标人，也可以重新开展政府采购活动。</w:t>
      </w:r>
    </w:p>
    <w:p w14:paraId="3287B5B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27.4依据《政府采购促进中小企业发展管理办法》（财库〔2020〕46号）规定享受扶持政策获得政府采购合同的，小微企业不得将合同分包给大中型企业，中型企业不得将合同分包给大型企业。</w:t>
      </w:r>
    </w:p>
    <w:p w14:paraId="5BCB60A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28.代理费用</w:t>
      </w:r>
    </w:p>
    <w:p w14:paraId="53F386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28.1本项目代理费用的收取按</w:t>
      </w:r>
      <w:r>
        <w:rPr>
          <w:rFonts w:hint="eastAsia" w:ascii="宋体" w:hAnsi="宋体" w:eastAsia="宋体" w:cs="宋体"/>
          <w:color w:val="auto"/>
          <w:sz w:val="24"/>
          <w:szCs w:val="24"/>
          <w:highlight w:val="none"/>
          <w:u w:val="single"/>
        </w:rPr>
        <w:t>投标人须知前附表的</w:t>
      </w:r>
      <w:r>
        <w:rPr>
          <w:rFonts w:hint="eastAsia" w:ascii="宋体" w:hAnsi="宋体" w:eastAsia="宋体" w:cs="宋体"/>
          <w:color w:val="auto"/>
          <w:sz w:val="24"/>
          <w:szCs w:val="24"/>
          <w:highlight w:val="none"/>
        </w:rPr>
        <w:t>规定执行。</w:t>
      </w:r>
    </w:p>
    <w:p w14:paraId="04FA410F">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8" w:name="_Toc518923100"/>
      <w:bookmarkStart w:id="49" w:name="_Toc2583661"/>
      <w:r>
        <w:rPr>
          <w:rFonts w:hint="eastAsia" w:ascii="宋体" w:hAnsi="宋体" w:eastAsia="宋体" w:cs="宋体"/>
          <w:b/>
          <w:color w:val="auto"/>
          <w:sz w:val="24"/>
          <w:szCs w:val="24"/>
          <w:highlight w:val="none"/>
        </w:rPr>
        <w:t>29.廉洁自律规定</w:t>
      </w:r>
      <w:bookmarkEnd w:id="48"/>
      <w:bookmarkEnd w:id="49"/>
    </w:p>
    <w:p w14:paraId="4718D82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29.1采购代理机构工作人员不得以不正当手段获取政府采购代理业务，不得与采购人、供应商恶意串通。</w:t>
      </w:r>
    </w:p>
    <w:p w14:paraId="6EDA1EC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29.2采购代理机构工作人员不得接受采购人或者供应商组织的宴请、旅游、娱乐，不得收受礼品、现金、有价证券等，不得向采购人或者供应商报销应当由个人承担的费用。</w:t>
      </w:r>
    </w:p>
    <w:p w14:paraId="7889CF07">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50" w:name="_Toc518923101"/>
      <w:bookmarkStart w:id="51" w:name="_Toc2583662"/>
      <w:r>
        <w:rPr>
          <w:rFonts w:hint="eastAsia" w:ascii="宋体" w:hAnsi="宋体" w:eastAsia="宋体" w:cs="宋体"/>
          <w:b/>
          <w:color w:val="auto"/>
          <w:sz w:val="24"/>
          <w:szCs w:val="24"/>
          <w:highlight w:val="none"/>
        </w:rPr>
        <w:t>30.人员回避</w:t>
      </w:r>
      <w:bookmarkEnd w:id="50"/>
      <w:bookmarkEnd w:id="51"/>
    </w:p>
    <w:p w14:paraId="34173B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投标人认为采购人员及其相关人员有法律法规所列与其他供应商有利害关系的，可以向采购人或采购代理机构书面提出回避申请，并说明理由。</w:t>
      </w:r>
    </w:p>
    <w:p w14:paraId="3486EF6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31.质疑的提出与接收</w:t>
      </w:r>
    </w:p>
    <w:p w14:paraId="7BB012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4D35D6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6DF348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31.3采购代理机构质疑函接收部门、联系电话和通讯地址，见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54142D1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注：上述条款中所要求的书面形式包含通过电子交易系统递交方式。</w:t>
      </w:r>
    </w:p>
    <w:p w14:paraId="50BA645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14:paraId="52D9BE38">
      <w:pPr>
        <w:keepNext w:val="0"/>
        <w:keepLines w:val="0"/>
        <w:pageBreakBefore w:val="0"/>
        <w:widowControl w:val="0"/>
        <w:kinsoku/>
        <w:wordWrap w:val="0"/>
        <w:overflowPunct/>
        <w:topLinePunct w:val="0"/>
        <w:autoSpaceDE/>
        <w:autoSpaceDN/>
        <w:bidi w:val="0"/>
        <w:adjustRightInd/>
        <w:snapToGrid/>
        <w:spacing w:line="500" w:lineRule="exact"/>
        <w:ind w:left="-420" w:leftChars="-200" w:firstLine="436" w:firstLineChars="182"/>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74E60C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A0F735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32.3政府采购监督管理部门在处理投诉事项期间，可以视具体情况书面通知采购人暂停采购活动，但暂停时间最长不得超过30日。</w:t>
      </w:r>
    </w:p>
    <w:p w14:paraId="12BBE2A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14:paraId="69C7211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992B21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4A3F098">
      <w:pPr>
        <w:numPr>
          <w:ilvl w:val="0"/>
          <w:numId w:val="0"/>
        </w:numPr>
        <w:spacing w:line="360" w:lineRule="auto"/>
        <w:jc w:val="center"/>
        <w:outlineLvl w:val="0"/>
        <w:rPr>
          <w:rFonts w:hint="eastAsia" w:asciiTheme="minorEastAsia" w:hAnsiTheme="minorEastAsia" w:eastAsiaTheme="minorEastAsia"/>
          <w:b/>
          <w:color w:val="auto"/>
          <w:sz w:val="28"/>
          <w:highlight w:val="none"/>
          <w:lang w:eastAsia="zh-CN"/>
        </w:rPr>
      </w:pPr>
      <w:bookmarkStart w:id="52" w:name="_Toc2384"/>
      <w:r>
        <w:rPr>
          <w:rFonts w:hint="eastAsia" w:cs="@仿宋_GB2312" w:asciiTheme="minorEastAsia" w:hAnsiTheme="minorEastAsia" w:eastAsiaTheme="minorEastAsia"/>
          <w:b/>
          <w:color w:val="auto"/>
          <w:kern w:val="2"/>
          <w:sz w:val="28"/>
          <w:highlight w:val="none"/>
          <w:lang w:val="en-US" w:eastAsia="zh-CN" w:bidi="ar-SA"/>
        </w:rPr>
        <w:t>第三章</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val="en-US" w:eastAsia="zh-CN"/>
        </w:rPr>
        <w:t xml:space="preserve"> </w:t>
      </w:r>
      <w:r>
        <w:rPr>
          <w:rFonts w:hint="eastAsia" w:asciiTheme="minorEastAsia" w:hAnsiTheme="minorEastAsia" w:eastAsiaTheme="minorEastAsia"/>
          <w:b/>
          <w:color w:val="auto"/>
          <w:sz w:val="28"/>
          <w:highlight w:val="none"/>
        </w:rPr>
        <w:t>采购需求</w:t>
      </w:r>
      <w:bookmarkEnd w:id="52"/>
    </w:p>
    <w:p w14:paraId="76B254DB">
      <w:pPr>
        <w:keepNext w:val="0"/>
        <w:keepLines w:val="0"/>
        <w:pageBreakBefore w:val="0"/>
        <w:widowControl w:val="0"/>
        <w:kinsoku/>
        <w:wordWrap/>
        <w:overflowPunct/>
        <w:topLinePunct w:val="0"/>
        <w:autoSpaceDE/>
        <w:autoSpaceDN/>
        <w:bidi w:val="0"/>
        <w:adjustRightInd/>
        <w:snapToGrid/>
        <w:spacing w:line="500" w:lineRule="exact"/>
        <w:ind w:left="-420" w:leftChars="-20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前注：</w:t>
      </w:r>
    </w:p>
    <w:p w14:paraId="4777CE4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68BF599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66D469A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201D786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AA6640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128173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rPr>
      </w:pPr>
      <w:bookmarkStart w:id="53" w:name="_Toc4148"/>
      <w:bookmarkStart w:id="54" w:name="_Toc21798"/>
      <w:bookmarkStart w:id="55" w:name="_Toc27048"/>
      <w:bookmarkStart w:id="56" w:name="_Hlk23621890"/>
      <w:r>
        <w:rPr>
          <w:rFonts w:hint="eastAsia" w:ascii="宋体" w:hAnsi="宋体" w:eastAsia="宋体" w:cs="宋体"/>
          <w:b/>
          <w:color w:val="auto"/>
          <w:sz w:val="24"/>
          <w:szCs w:val="24"/>
          <w:highlight w:val="none"/>
        </w:rPr>
        <w:t>一、采购需求前附表</w:t>
      </w:r>
      <w:bookmarkEnd w:id="53"/>
      <w:bookmarkEnd w:id="54"/>
      <w:bookmarkEnd w:id="55"/>
    </w:p>
    <w:tbl>
      <w:tblPr>
        <w:tblStyle w:val="31"/>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0"/>
        <w:gridCol w:w="6855"/>
      </w:tblGrid>
      <w:tr w14:paraId="0761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1" w:type="pct"/>
            <w:vAlign w:val="center"/>
          </w:tcPr>
          <w:p w14:paraId="12BC8EFE">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998" w:type="pct"/>
            <w:vAlign w:val="center"/>
          </w:tcPr>
          <w:p w14:paraId="22D826F3">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条款名称</w:t>
            </w:r>
          </w:p>
        </w:tc>
        <w:tc>
          <w:tcPr>
            <w:tcW w:w="3509" w:type="pct"/>
            <w:vAlign w:val="center"/>
          </w:tcPr>
          <w:p w14:paraId="4BAD0CD4">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内容、说明与要求</w:t>
            </w:r>
          </w:p>
        </w:tc>
      </w:tr>
      <w:tr w14:paraId="37D6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491" w:type="pct"/>
            <w:vAlign w:val="center"/>
          </w:tcPr>
          <w:p w14:paraId="20D1E185">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p>
        </w:tc>
        <w:tc>
          <w:tcPr>
            <w:tcW w:w="998" w:type="pct"/>
            <w:vAlign w:val="center"/>
          </w:tcPr>
          <w:p w14:paraId="298C1946">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付款方式</w:t>
            </w:r>
          </w:p>
        </w:tc>
        <w:tc>
          <w:tcPr>
            <w:tcW w:w="3509" w:type="pct"/>
            <w:vAlign w:val="center"/>
          </w:tcPr>
          <w:p w14:paraId="63277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月对服务内容检查考核结果支付服务费用（考核标准按采购人规定要求执行）。考核合格，采购人于次月15日前支付上月的服务费；考核不合格，采购人依据考核情况酌情扣减服务费且同步进行整改，</w:t>
            </w:r>
            <w:r>
              <w:rPr>
                <w:rFonts w:hint="eastAsia" w:ascii="宋体" w:hAnsi="宋体" w:eastAsia="宋体" w:cs="宋体"/>
                <w:b w:val="0"/>
                <w:color w:val="auto"/>
                <w:sz w:val="24"/>
                <w:szCs w:val="24"/>
                <w:highlight w:val="none"/>
                <w:lang w:val="en-US" w:eastAsia="zh-CN"/>
              </w:rPr>
              <w:t>若整改仍不合格的终止合同</w:t>
            </w:r>
            <w:r>
              <w:rPr>
                <w:rFonts w:hint="eastAsia" w:ascii="宋体" w:hAnsi="宋体" w:eastAsia="宋体" w:cs="宋体"/>
                <w:color w:val="auto"/>
                <w:sz w:val="24"/>
                <w:szCs w:val="24"/>
                <w:highlight w:val="none"/>
                <w:lang w:val="en-US" w:eastAsia="zh-CN"/>
              </w:rPr>
              <w:t>。</w:t>
            </w:r>
          </w:p>
        </w:tc>
      </w:tr>
      <w:tr w14:paraId="471B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Align w:val="center"/>
          </w:tcPr>
          <w:p w14:paraId="7D0AB2D0">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p>
        </w:tc>
        <w:tc>
          <w:tcPr>
            <w:tcW w:w="998" w:type="pct"/>
            <w:vAlign w:val="center"/>
          </w:tcPr>
          <w:p w14:paraId="3D800FC9">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服务地点</w:t>
            </w:r>
          </w:p>
        </w:tc>
        <w:tc>
          <w:tcPr>
            <w:tcW w:w="3509" w:type="pct"/>
            <w:vAlign w:val="center"/>
          </w:tcPr>
          <w:p w14:paraId="55628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滁州市科学技术馆 ，采购人指定地点。</w:t>
            </w:r>
          </w:p>
        </w:tc>
      </w:tr>
      <w:tr w14:paraId="4D78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91" w:type="pct"/>
            <w:vAlign w:val="center"/>
          </w:tcPr>
          <w:p w14:paraId="352DD33F">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p>
        </w:tc>
        <w:tc>
          <w:tcPr>
            <w:tcW w:w="998" w:type="pct"/>
            <w:vAlign w:val="center"/>
          </w:tcPr>
          <w:p w14:paraId="269AEB0F">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509" w:type="pct"/>
            <w:vAlign w:val="center"/>
          </w:tcPr>
          <w:p w14:paraId="4464B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服务期三年，合同一年一签。</w:t>
            </w:r>
          </w:p>
        </w:tc>
      </w:tr>
      <w:tr w14:paraId="015A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Align w:val="center"/>
          </w:tcPr>
          <w:p w14:paraId="60B12BCF">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w:t>
            </w:r>
          </w:p>
        </w:tc>
        <w:tc>
          <w:tcPr>
            <w:tcW w:w="998" w:type="pct"/>
            <w:vAlign w:val="center"/>
          </w:tcPr>
          <w:p w14:paraId="3E33A1D6">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本项目采购标的名称及所属行业</w:t>
            </w:r>
          </w:p>
        </w:tc>
        <w:tc>
          <w:tcPr>
            <w:tcW w:w="3509" w:type="pct"/>
            <w:vAlign w:val="center"/>
          </w:tcPr>
          <w:p w14:paraId="41801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val="en-US" w:eastAsia="zh-CN"/>
              </w:rPr>
              <w:t>滁州市科学技术馆展教辅助服务及运行保障项目（2026年-2028年）</w:t>
            </w:r>
          </w:p>
          <w:p w14:paraId="5BB7A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val="en-US" w:eastAsia="zh-CN"/>
              </w:rPr>
              <w:t>物业管理</w:t>
            </w:r>
          </w:p>
        </w:tc>
      </w:tr>
    </w:tbl>
    <w:p w14:paraId="1E01076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lang w:val="en-US" w:eastAsia="zh-CN"/>
        </w:rPr>
      </w:pPr>
      <w:bookmarkStart w:id="57" w:name="_Hlk16461016"/>
      <w:bookmarkStart w:id="58" w:name="_Toc16543"/>
      <w:bookmarkStart w:id="59" w:name="_Toc8753"/>
      <w:bookmarkStart w:id="60" w:name="_Toc1985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bookmarkEnd w:id="56"/>
      <w:bookmarkEnd w:id="57"/>
      <w:bookmarkEnd w:id="58"/>
      <w:bookmarkEnd w:id="59"/>
      <w:r>
        <w:rPr>
          <w:rFonts w:hint="eastAsia" w:ascii="宋体" w:hAnsi="宋体" w:eastAsia="宋体" w:cs="宋体"/>
          <w:b/>
          <w:color w:val="auto"/>
          <w:sz w:val="24"/>
          <w:szCs w:val="24"/>
          <w:highlight w:val="none"/>
        </w:rPr>
        <w:t>项目概况及需求</w:t>
      </w:r>
      <w:bookmarkEnd w:id="60"/>
    </w:p>
    <w:p w14:paraId="68F7E65B">
      <w:pPr>
        <w:widowControl/>
        <w:spacing w:line="500" w:lineRule="exact"/>
        <w:ind w:firstLine="420"/>
        <w:outlineLvl w:val="1"/>
        <w:rPr>
          <w:rFonts w:hint="eastAsia" w:ascii="宋体" w:hAnsi="宋体" w:eastAsia="宋体" w:cs="宋体"/>
          <w:color w:val="auto"/>
          <w:sz w:val="24"/>
          <w:szCs w:val="24"/>
          <w:highlight w:val="none"/>
        </w:rPr>
      </w:pPr>
      <w:bookmarkStart w:id="61" w:name="_Toc2591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项目概况</w:t>
      </w:r>
    </w:p>
    <w:p w14:paraId="47A00AB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滁州市科技馆位于市政务中心西北角，总建设面积15515平方米，其中，地上建筑面积9695平方米，地下车库5820平方米。根据科技馆功能需要，馆内主要分为展览展示区、教育培训区、科技报告厅（数字科普影院）、办公服务区等功能区。馆内常设展厅面积约为4800平方米，设儿童展厅、安全岛、探索与发现、智慧之光和科学生活展厅五个主题展厅；科技馆常年向社会公众免费开放，除展厅参观外，还常年举办各类临展、科普报告、创客教育、学术交流等活动。</w:t>
      </w:r>
    </w:p>
    <w:p w14:paraId="094585B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馆属区域包含供配电系统、强弱电系统、给排水系统、消防系统、监控系统、智能化信息系统、网络通讯、电梯系统、空调及通风系统、地下车库（道闸系统）、照明系统、安检与检票系统、会务系统、展品展项、特效影院、电子显示屏等。电梯、空调、消防、</w:t>
      </w:r>
      <w:r>
        <w:rPr>
          <w:rFonts w:hint="eastAsia" w:ascii="宋体" w:hAnsi="宋体" w:eastAsia="宋体" w:cs="宋体"/>
          <w:color w:val="auto"/>
          <w:sz w:val="24"/>
          <w:szCs w:val="24"/>
          <w:highlight w:val="none"/>
          <w:lang w:val="en-US" w:eastAsia="zh-CN"/>
        </w:rPr>
        <w:t>监控、网络、取票检票</w:t>
      </w:r>
      <w:r>
        <w:rPr>
          <w:rFonts w:hint="eastAsia" w:ascii="宋体" w:hAnsi="宋体" w:eastAsia="宋体" w:cs="宋体"/>
          <w:color w:val="auto"/>
          <w:sz w:val="24"/>
          <w:szCs w:val="24"/>
          <w:highlight w:val="none"/>
          <w:lang w:val="zh-CN" w:eastAsia="zh-CN"/>
        </w:rPr>
        <w:t>等设施，做好馆内日常维护工作。</w:t>
      </w:r>
    </w:p>
    <w:p w14:paraId="635D1EC2">
      <w:pPr>
        <w:widowControl/>
        <w:spacing w:line="500" w:lineRule="exact"/>
        <w:ind w:firstLine="42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合同履行期内中标人按</w:t>
      </w:r>
      <w:r>
        <w:rPr>
          <w:rFonts w:hint="eastAsia" w:ascii="宋体" w:hAnsi="宋体" w:eastAsia="宋体" w:cs="宋体"/>
          <w:color w:val="auto"/>
          <w:sz w:val="24"/>
          <w:szCs w:val="24"/>
          <w:highlight w:val="none"/>
          <w:lang w:val="zh-CN" w:eastAsia="zh-CN"/>
        </w:rPr>
        <w:t>科技馆开闭馆时间和相关管理规定执行，全年开馆时间不少于</w:t>
      </w:r>
      <w:r>
        <w:rPr>
          <w:rFonts w:hint="eastAsia" w:ascii="宋体" w:hAnsi="宋体" w:eastAsia="宋体" w:cs="宋体"/>
          <w:color w:val="auto"/>
          <w:sz w:val="24"/>
          <w:szCs w:val="24"/>
          <w:highlight w:val="none"/>
          <w:lang w:val="en-US" w:eastAsia="zh-CN"/>
        </w:rPr>
        <w:t>250天</w:t>
      </w:r>
      <w:r>
        <w:rPr>
          <w:rFonts w:hint="eastAsia" w:ascii="宋体" w:hAnsi="宋体" w:eastAsia="宋体" w:cs="宋体"/>
          <w:color w:val="auto"/>
          <w:sz w:val="24"/>
          <w:szCs w:val="24"/>
          <w:highlight w:val="none"/>
          <w:lang w:val="zh-CN" w:eastAsia="zh-CN"/>
        </w:rPr>
        <w:t>。双休日、节假日尤为保障重点，须与采购人工作节奏密切配合。</w:t>
      </w:r>
    </w:p>
    <w:p w14:paraId="16FB43EA">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运行模式</w:t>
      </w:r>
    </w:p>
    <w:p w14:paraId="79A8C6B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负责</w:t>
      </w:r>
      <w:r>
        <w:rPr>
          <w:rFonts w:hint="eastAsia" w:ascii="宋体" w:hAnsi="宋体" w:eastAsia="宋体" w:cs="宋体"/>
          <w:color w:val="auto"/>
          <w:sz w:val="24"/>
          <w:szCs w:val="24"/>
          <w:highlight w:val="none"/>
          <w:lang w:val="en-US" w:eastAsia="zh-CN"/>
        </w:rPr>
        <w:t>滁州市科学技术馆展教辅助服务及运行保障项目（2026年-2028年）</w:t>
      </w:r>
      <w:r>
        <w:rPr>
          <w:rFonts w:hint="eastAsia" w:ascii="宋体" w:hAnsi="宋体" w:eastAsia="宋体" w:cs="宋体"/>
          <w:color w:val="auto"/>
          <w:sz w:val="24"/>
          <w:szCs w:val="24"/>
          <w:highlight w:val="none"/>
          <w:lang w:val="zh-CN" w:eastAsia="zh-CN"/>
        </w:rPr>
        <w:t>，采购人对中标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运行管理进行全程监督，同时提供必要的工作环境协调服务。</w:t>
      </w:r>
    </w:p>
    <w:p w14:paraId="33012861">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（三）协助做好滁州市科技馆年度工作任务（工作任务将依据实际工作需求进行动态调整，所涉数据仅作参考使用。）</w:t>
      </w:r>
    </w:p>
    <w:p w14:paraId="67EDE5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开馆时间≥250 天；</w:t>
      </w:r>
    </w:p>
    <w:p w14:paraId="65E83B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参观观众满意度≥95%；</w:t>
      </w:r>
    </w:p>
    <w:p w14:paraId="3388307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协办临展≥1场、每场≥30天，参观量≥10000人次；</w:t>
      </w:r>
    </w:p>
    <w:p w14:paraId="255DA333">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球幕影院≥700场次；</w:t>
      </w:r>
    </w:p>
    <w:p w14:paraId="050A2809">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助力“双减 ”科普活动；</w:t>
      </w:r>
    </w:p>
    <w:p w14:paraId="0798E902">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公益科普课不少于4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eastAsia="zh-CN"/>
        </w:rPr>
        <w:t>课时，不少于2000人次参与课程；</w:t>
      </w:r>
    </w:p>
    <w:p w14:paraId="78EBE82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全国科普日、科技活动周重大型科普活动每年不少于2场次，参与人数不少于300人/场；</w:t>
      </w:r>
    </w:p>
    <w:p w14:paraId="5D2712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主题系列活动不少于20场次，每场次不少于200人参与；</w:t>
      </w:r>
    </w:p>
    <w:p w14:paraId="1C92BFD0">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主题系列活动不少于20场次，每场次不少于200人参与；</w:t>
      </w:r>
    </w:p>
    <w:p w14:paraId="23B210C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不少于100 场次科学实验表演，参与科学实验秀人群不少于 20000 人；</w:t>
      </w:r>
    </w:p>
    <w:p w14:paraId="4E1513D9">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科普实验秀不少于 20 场次。</w:t>
      </w:r>
    </w:p>
    <w:p w14:paraId="0DCDA997">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（四）服务团队及岗位要求</w:t>
      </w:r>
    </w:p>
    <w:bookmarkEnd w:id="61"/>
    <w:tbl>
      <w:tblPr>
        <w:tblStyle w:val="77"/>
        <w:tblW w:w="9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834"/>
        <w:gridCol w:w="6811"/>
      </w:tblGrid>
      <w:tr w14:paraId="2A554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34" w:type="dxa"/>
            <w:vAlign w:val="top"/>
          </w:tcPr>
          <w:p w14:paraId="6378535A">
            <w:pPr>
              <w:pStyle w:val="78"/>
              <w:keepNext w:val="0"/>
              <w:keepLines w:val="0"/>
              <w:pageBreakBefore w:val="0"/>
              <w:wordWrap/>
              <w:overflowPunct/>
              <w:topLinePunct w:val="0"/>
              <w:autoSpaceDE w:val="0"/>
              <w:autoSpaceDN w:val="0"/>
              <w:bidi w:val="0"/>
              <w:adjustRightInd w:val="0"/>
              <w:spacing w:before="120" w:line="560" w:lineRule="exact"/>
              <w:ind w:left="636"/>
              <w:rPr>
                <w:rFonts w:hint="eastAsia" w:ascii="宋体" w:hAnsi="宋体" w:eastAsia="宋体" w:cs="宋体"/>
                <w:b w:val="0"/>
                <w:bCs w:val="0"/>
                <w:color w:val="auto"/>
                <w:sz w:val="24"/>
                <w:szCs w:val="24"/>
                <w:highlight w:val="none"/>
              </w:rPr>
            </w:pPr>
            <w:bookmarkStart w:id="62" w:name="_Toc23919"/>
            <w:bookmarkEnd w:id="62"/>
            <w:r>
              <w:rPr>
                <w:rFonts w:hint="eastAsia" w:ascii="宋体" w:hAnsi="宋体" w:eastAsia="宋体" w:cs="宋体"/>
                <w:b w:val="0"/>
                <w:bCs w:val="0"/>
                <w:color w:val="auto"/>
                <w:spacing w:val="-9"/>
                <w:sz w:val="24"/>
                <w:szCs w:val="24"/>
                <w:highlight w:val="none"/>
              </w:rPr>
              <w:t>部门</w:t>
            </w:r>
          </w:p>
        </w:tc>
        <w:tc>
          <w:tcPr>
            <w:tcW w:w="834" w:type="dxa"/>
            <w:vAlign w:val="top"/>
          </w:tcPr>
          <w:p w14:paraId="003F2F17">
            <w:pPr>
              <w:pStyle w:val="78"/>
              <w:keepNext w:val="0"/>
              <w:keepLines w:val="0"/>
              <w:pageBreakBefore w:val="0"/>
              <w:wordWrap/>
              <w:overflowPunct/>
              <w:topLinePunct w:val="0"/>
              <w:autoSpaceDE w:val="0"/>
              <w:autoSpaceDN w:val="0"/>
              <w:bidi w:val="0"/>
              <w:adjustRightInd w:val="0"/>
              <w:spacing w:before="120" w:line="560" w:lineRule="exact"/>
              <w:ind w:left="18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9"/>
                <w:sz w:val="24"/>
                <w:szCs w:val="24"/>
                <w:highlight w:val="none"/>
              </w:rPr>
              <w:t>人数</w:t>
            </w:r>
          </w:p>
        </w:tc>
        <w:tc>
          <w:tcPr>
            <w:tcW w:w="6811" w:type="dxa"/>
            <w:vAlign w:val="top"/>
          </w:tcPr>
          <w:p w14:paraId="6203CC7A">
            <w:pPr>
              <w:pStyle w:val="78"/>
              <w:keepNext w:val="0"/>
              <w:keepLines w:val="0"/>
              <w:pageBreakBefore w:val="0"/>
              <w:wordWrap/>
              <w:overflowPunct/>
              <w:topLinePunct w:val="0"/>
              <w:autoSpaceDE w:val="0"/>
              <w:autoSpaceDN w:val="0"/>
              <w:bidi w:val="0"/>
              <w:adjustRightInd w:val="0"/>
              <w:spacing w:before="120" w:line="560" w:lineRule="exact"/>
              <w:ind w:left="232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工作人员配置及职能</w:t>
            </w:r>
          </w:p>
        </w:tc>
      </w:tr>
      <w:tr w14:paraId="492B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34" w:type="dxa"/>
            <w:vAlign w:val="center"/>
          </w:tcPr>
          <w:p w14:paraId="0A70D640">
            <w:pPr>
              <w:pStyle w:val="78"/>
              <w:keepNext w:val="0"/>
              <w:keepLines w:val="0"/>
              <w:pageBreakBefore w:val="0"/>
              <w:wordWrap/>
              <w:overflowPunct/>
              <w:topLinePunct w:val="0"/>
              <w:autoSpaceDE w:val="0"/>
              <w:autoSpaceDN w:val="0"/>
              <w:bidi w:val="0"/>
              <w:adjustRightInd w:val="0"/>
              <w:spacing w:before="147" w:line="560" w:lineRule="exact"/>
              <w:jc w:val="center"/>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项目负责人</w:t>
            </w:r>
          </w:p>
        </w:tc>
        <w:tc>
          <w:tcPr>
            <w:tcW w:w="834" w:type="dxa"/>
            <w:vAlign w:val="top"/>
          </w:tcPr>
          <w:p w14:paraId="5522E250">
            <w:pPr>
              <w:pStyle w:val="78"/>
              <w:keepNext w:val="0"/>
              <w:keepLines w:val="0"/>
              <w:pageBreakBefore w:val="0"/>
              <w:wordWrap/>
              <w:overflowPunct/>
              <w:topLinePunct w:val="0"/>
              <w:autoSpaceDE w:val="0"/>
              <w:autoSpaceDN w:val="0"/>
              <w:bidi w:val="0"/>
              <w:adjustRightInd w:val="0"/>
              <w:spacing w:before="148" w:line="560" w:lineRule="exact"/>
              <w:ind w:left="37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6811" w:type="dxa"/>
            <w:vAlign w:val="top"/>
          </w:tcPr>
          <w:p w14:paraId="6A728833">
            <w:pPr>
              <w:pStyle w:val="78"/>
              <w:keepNext w:val="0"/>
              <w:keepLines w:val="0"/>
              <w:pageBreakBefore w:val="0"/>
              <w:wordWrap/>
              <w:overflowPunct/>
              <w:topLinePunct w:val="0"/>
              <w:autoSpaceDE w:val="0"/>
              <w:autoSpaceDN w:val="0"/>
              <w:bidi w:val="0"/>
              <w:adjustRightInd w:val="0"/>
              <w:spacing w:before="117" w:line="560" w:lineRule="exact"/>
              <w:ind w:left="12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lang w:eastAsia="zh-CN"/>
              </w:rPr>
              <w:t>大专</w:t>
            </w:r>
            <w:r>
              <w:rPr>
                <w:rFonts w:hint="eastAsia" w:ascii="宋体" w:hAnsi="宋体" w:eastAsia="宋体" w:cs="宋体"/>
                <w:b w:val="0"/>
                <w:bCs w:val="0"/>
                <w:color w:val="auto"/>
                <w:spacing w:val="-2"/>
                <w:sz w:val="24"/>
                <w:szCs w:val="24"/>
                <w:highlight w:val="none"/>
                <w:lang w:eastAsia="zh-CN"/>
              </w:rPr>
              <w:t>及</w:t>
            </w:r>
            <w:r>
              <w:rPr>
                <w:rFonts w:hint="eastAsia" w:ascii="宋体" w:hAnsi="宋体" w:eastAsia="宋体" w:cs="宋体"/>
                <w:b w:val="0"/>
                <w:bCs w:val="0"/>
                <w:color w:val="auto"/>
                <w:spacing w:val="-2"/>
                <w:sz w:val="24"/>
                <w:szCs w:val="24"/>
                <w:highlight w:val="none"/>
              </w:rPr>
              <w:t>以上</w:t>
            </w:r>
            <w:r>
              <w:rPr>
                <w:rFonts w:hint="eastAsia" w:ascii="宋体" w:hAnsi="宋体" w:eastAsia="宋体" w:cs="宋体"/>
                <w:b w:val="0"/>
                <w:bCs w:val="0"/>
                <w:color w:val="auto"/>
                <w:spacing w:val="-2"/>
                <w:sz w:val="24"/>
                <w:szCs w:val="24"/>
                <w:highlight w:val="none"/>
                <w:lang w:eastAsia="zh-CN"/>
              </w:rPr>
              <w:t>学历</w:t>
            </w:r>
            <w:r>
              <w:rPr>
                <w:rFonts w:hint="eastAsia" w:ascii="宋体" w:hAnsi="宋体" w:eastAsia="宋体" w:cs="宋体"/>
                <w:b w:val="0"/>
                <w:bCs w:val="0"/>
                <w:color w:val="auto"/>
                <w:spacing w:val="-2"/>
                <w:sz w:val="24"/>
                <w:szCs w:val="24"/>
                <w:highlight w:val="none"/>
              </w:rPr>
              <w:t>。负责</w:t>
            </w:r>
            <w:r>
              <w:rPr>
                <w:rFonts w:hint="eastAsia" w:ascii="宋体" w:hAnsi="宋体" w:eastAsia="宋体" w:cs="宋体"/>
                <w:b w:val="0"/>
                <w:bCs w:val="0"/>
                <w:color w:val="auto"/>
                <w:spacing w:val="-2"/>
                <w:sz w:val="24"/>
                <w:szCs w:val="24"/>
                <w:highlight w:val="none"/>
                <w:lang w:eastAsia="zh-CN"/>
              </w:rPr>
              <w:t>滁州</w:t>
            </w:r>
            <w:r>
              <w:rPr>
                <w:rFonts w:hint="eastAsia" w:ascii="宋体" w:hAnsi="宋体" w:eastAsia="宋体" w:cs="宋体"/>
                <w:b w:val="0"/>
                <w:bCs w:val="0"/>
                <w:color w:val="auto"/>
                <w:spacing w:val="-2"/>
                <w:sz w:val="24"/>
                <w:szCs w:val="24"/>
                <w:highlight w:val="none"/>
              </w:rPr>
              <w:t>市科技馆展教辅助服务及运行保障项目服务工作。</w:t>
            </w:r>
          </w:p>
        </w:tc>
      </w:tr>
      <w:tr w14:paraId="61EC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734" w:type="dxa"/>
            <w:vAlign w:val="top"/>
          </w:tcPr>
          <w:p w14:paraId="7F9633FF">
            <w:pPr>
              <w:pStyle w:val="78"/>
              <w:keepNext w:val="0"/>
              <w:keepLines w:val="0"/>
              <w:pageBreakBefore w:val="0"/>
              <w:wordWrap/>
              <w:overflowPunct/>
              <w:topLinePunct w:val="0"/>
              <w:autoSpaceDE w:val="0"/>
              <w:autoSpaceDN w:val="0"/>
              <w:bidi w:val="0"/>
              <w:adjustRightInd w:val="0"/>
              <w:spacing w:before="147" w:line="560" w:lineRule="exact"/>
              <w:jc w:val="center"/>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教育活动部负 责人</w:t>
            </w:r>
          </w:p>
        </w:tc>
        <w:tc>
          <w:tcPr>
            <w:tcW w:w="834" w:type="dxa"/>
            <w:vAlign w:val="center"/>
          </w:tcPr>
          <w:p w14:paraId="67229B3C">
            <w:pPr>
              <w:pStyle w:val="78"/>
              <w:keepNext w:val="0"/>
              <w:keepLines w:val="0"/>
              <w:pageBreakBefore w:val="0"/>
              <w:wordWrap/>
              <w:overflowPunct/>
              <w:topLinePunct w:val="0"/>
              <w:autoSpaceDE w:val="0"/>
              <w:autoSpaceDN w:val="0"/>
              <w:bidi w:val="0"/>
              <w:adjustRightInd w:val="0"/>
              <w:spacing w:before="78" w:line="560" w:lineRule="exact"/>
              <w:ind w:left="114"/>
              <w:jc w:val="center"/>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1</w:t>
            </w:r>
          </w:p>
        </w:tc>
        <w:tc>
          <w:tcPr>
            <w:tcW w:w="6811" w:type="dxa"/>
            <w:vAlign w:val="top"/>
          </w:tcPr>
          <w:p w14:paraId="7BBC0D0B">
            <w:pPr>
              <w:pStyle w:val="78"/>
              <w:keepNext w:val="0"/>
              <w:keepLines w:val="0"/>
              <w:pageBreakBefore w:val="0"/>
              <w:wordWrap/>
              <w:overflowPunct/>
              <w:topLinePunct w:val="0"/>
              <w:autoSpaceDE w:val="0"/>
              <w:autoSpaceDN w:val="0"/>
              <w:bidi w:val="0"/>
              <w:adjustRightInd w:val="0"/>
              <w:spacing w:before="78" w:line="560" w:lineRule="exact"/>
              <w:ind w:left="114"/>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大专及以上学历。协助项目负责人负责</w:t>
            </w:r>
            <w:r>
              <w:rPr>
                <w:rFonts w:hint="eastAsia" w:ascii="宋体" w:hAnsi="宋体" w:eastAsia="宋体" w:cs="宋体"/>
                <w:b w:val="0"/>
                <w:bCs w:val="0"/>
                <w:color w:val="auto"/>
                <w:spacing w:val="-2"/>
                <w:sz w:val="24"/>
                <w:szCs w:val="24"/>
                <w:highlight w:val="none"/>
                <w:lang w:eastAsia="zh-CN"/>
              </w:rPr>
              <w:t>滁州</w:t>
            </w:r>
            <w:r>
              <w:rPr>
                <w:rFonts w:hint="eastAsia" w:ascii="宋体" w:hAnsi="宋体" w:eastAsia="宋体" w:cs="宋体"/>
                <w:b w:val="0"/>
                <w:bCs w:val="0"/>
                <w:color w:val="auto"/>
                <w:spacing w:val="-2"/>
                <w:sz w:val="24"/>
                <w:szCs w:val="24"/>
                <w:highlight w:val="none"/>
              </w:rPr>
              <w:t>市科技馆展教辅助服务及运行保障项目服务工作。</w:t>
            </w:r>
          </w:p>
        </w:tc>
      </w:tr>
      <w:tr w14:paraId="3F5C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1734" w:type="dxa"/>
            <w:vAlign w:val="center"/>
          </w:tcPr>
          <w:p w14:paraId="27CA8C84">
            <w:pPr>
              <w:pStyle w:val="78"/>
              <w:keepNext w:val="0"/>
              <w:keepLines w:val="0"/>
              <w:pageBreakBefore w:val="0"/>
              <w:wordWrap/>
              <w:overflowPunct/>
              <w:topLinePunct w:val="0"/>
              <w:autoSpaceDE w:val="0"/>
              <w:autoSpaceDN w:val="0"/>
              <w:bidi w:val="0"/>
              <w:adjustRightInd w:val="0"/>
              <w:spacing w:before="78" w:line="5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lang w:eastAsia="zh-CN"/>
              </w:rPr>
              <w:t>运行</w:t>
            </w:r>
            <w:r>
              <w:rPr>
                <w:rFonts w:hint="eastAsia" w:ascii="宋体" w:hAnsi="宋体" w:eastAsia="宋体" w:cs="宋体"/>
                <w:b w:val="0"/>
                <w:bCs w:val="0"/>
                <w:color w:val="auto"/>
                <w:spacing w:val="-2"/>
                <w:sz w:val="24"/>
                <w:szCs w:val="24"/>
                <w:highlight w:val="none"/>
              </w:rPr>
              <w:t>保障部</w:t>
            </w:r>
          </w:p>
        </w:tc>
        <w:tc>
          <w:tcPr>
            <w:tcW w:w="834" w:type="dxa"/>
            <w:vAlign w:val="center"/>
          </w:tcPr>
          <w:p w14:paraId="0AAEC3D0">
            <w:pPr>
              <w:pStyle w:val="78"/>
              <w:keepNext w:val="0"/>
              <w:keepLines w:val="0"/>
              <w:pageBreakBefore w:val="0"/>
              <w:wordWrap/>
              <w:overflowPunct/>
              <w:topLinePunct w:val="0"/>
              <w:autoSpaceDE w:val="0"/>
              <w:autoSpaceDN w:val="0"/>
              <w:bidi w:val="0"/>
              <w:adjustRightInd w:val="0"/>
              <w:spacing w:before="78" w:line="560" w:lineRule="exact"/>
              <w:ind w:left="304"/>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7"/>
                <w:sz w:val="24"/>
                <w:szCs w:val="24"/>
                <w:highlight w:val="none"/>
                <w:lang w:val="en-US" w:eastAsia="zh-CN"/>
              </w:rPr>
              <w:t>21</w:t>
            </w:r>
          </w:p>
        </w:tc>
        <w:tc>
          <w:tcPr>
            <w:tcW w:w="6811" w:type="dxa"/>
            <w:vAlign w:val="top"/>
          </w:tcPr>
          <w:p w14:paraId="496588E9">
            <w:pPr>
              <w:pStyle w:val="78"/>
              <w:keepNext w:val="0"/>
              <w:keepLines w:val="0"/>
              <w:pageBreakBefore w:val="0"/>
              <w:wordWrap/>
              <w:overflowPunct/>
              <w:topLinePunct w:val="0"/>
              <w:autoSpaceDE w:val="0"/>
              <w:autoSpaceDN w:val="0"/>
              <w:bidi w:val="0"/>
              <w:adjustRightInd w:val="0"/>
              <w:spacing w:before="115" w:line="560" w:lineRule="exact"/>
              <w:ind w:left="116" w:right="107" w:firstLine="14"/>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2"/>
                <w:sz w:val="24"/>
                <w:szCs w:val="24"/>
                <w:highlight w:val="none"/>
                <w:lang w:val="en-US" w:eastAsia="zh-CN"/>
              </w:rPr>
              <w:t>1.</w:t>
            </w:r>
            <w:r>
              <w:rPr>
                <w:rFonts w:hint="eastAsia" w:ascii="宋体" w:hAnsi="宋体" w:eastAsia="宋体" w:cs="宋体"/>
                <w:b w:val="0"/>
                <w:bCs w:val="0"/>
                <w:color w:val="auto"/>
                <w:spacing w:val="-2"/>
                <w:sz w:val="24"/>
                <w:szCs w:val="24"/>
                <w:highlight w:val="none"/>
              </w:rPr>
              <w:t>保安人员</w:t>
            </w:r>
            <w:r>
              <w:rPr>
                <w:rFonts w:hint="eastAsia" w:ascii="宋体" w:hAnsi="宋体" w:eastAsia="宋体" w:cs="宋体"/>
                <w:b w:val="0"/>
                <w:bCs w:val="0"/>
                <w:color w:val="auto"/>
                <w:spacing w:val="-2"/>
                <w:sz w:val="24"/>
                <w:szCs w:val="24"/>
                <w:highlight w:val="none"/>
                <w:lang w:eastAsia="zh-CN"/>
              </w:rPr>
              <w:t>不少于</w:t>
            </w:r>
            <w:r>
              <w:rPr>
                <w:rFonts w:hint="eastAsia" w:ascii="宋体" w:hAnsi="宋体" w:eastAsia="宋体" w:cs="宋体"/>
                <w:b w:val="0"/>
                <w:bCs w:val="0"/>
                <w:color w:val="auto"/>
                <w:spacing w:val="-2"/>
                <w:sz w:val="24"/>
                <w:szCs w:val="24"/>
                <w:highlight w:val="none"/>
              </w:rPr>
              <w:t>8</w:t>
            </w:r>
            <w:r>
              <w:rPr>
                <w:rFonts w:hint="eastAsia" w:ascii="宋体" w:hAnsi="宋体" w:eastAsia="宋体" w:cs="宋体"/>
                <w:b w:val="0"/>
                <w:bCs w:val="0"/>
                <w:color w:val="auto"/>
                <w:spacing w:val="-2"/>
                <w:sz w:val="24"/>
                <w:szCs w:val="24"/>
                <w:highlight w:val="none"/>
                <w:lang w:eastAsia="zh-CN"/>
              </w:rPr>
              <w:t>人</w:t>
            </w:r>
            <w:r>
              <w:rPr>
                <w:rFonts w:hint="eastAsia" w:ascii="宋体" w:hAnsi="宋体" w:eastAsia="宋体" w:cs="宋体"/>
                <w:b w:val="0"/>
                <w:bCs w:val="0"/>
                <w:color w:val="auto"/>
                <w:spacing w:val="-2"/>
                <w:sz w:val="24"/>
                <w:szCs w:val="24"/>
                <w:highlight w:val="none"/>
              </w:rPr>
              <w:t>，男性，</w:t>
            </w:r>
            <w:r>
              <w:rPr>
                <w:rFonts w:hint="eastAsia" w:ascii="宋体" w:hAnsi="宋体" w:eastAsia="宋体" w:cs="宋体"/>
                <w:b w:val="0"/>
                <w:bCs w:val="0"/>
                <w:color w:val="auto"/>
                <w:spacing w:val="-1"/>
                <w:sz w:val="24"/>
                <w:szCs w:val="24"/>
                <w:highlight w:val="none"/>
                <w:lang w:val="en-US" w:eastAsia="zh-CN"/>
              </w:rPr>
              <w:t>法定退休年龄以内</w:t>
            </w:r>
            <w:r>
              <w:rPr>
                <w:rFonts w:hint="eastAsia" w:ascii="宋体" w:hAnsi="宋体" w:eastAsia="宋体" w:cs="宋体"/>
                <w:b w:val="0"/>
                <w:bCs w:val="0"/>
                <w:color w:val="auto"/>
                <w:spacing w:val="-1"/>
                <w:sz w:val="24"/>
                <w:szCs w:val="24"/>
                <w:highlight w:val="none"/>
              </w:rPr>
              <w:t>，无犯罪记录。思想政治条件好、训练有素、身体健康</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负责全馆安全保卫、展厅执勤、防火检查、巡查监控、车辆疏导以及节假日、会展临时安保、24小时值班等工作；</w:t>
            </w:r>
          </w:p>
          <w:p w14:paraId="6780AF06">
            <w:pPr>
              <w:pStyle w:val="78"/>
              <w:keepNext w:val="0"/>
              <w:keepLines w:val="0"/>
              <w:pageBreakBefore w:val="0"/>
              <w:wordWrap/>
              <w:overflowPunct/>
              <w:topLinePunct w:val="0"/>
              <w:autoSpaceDE w:val="0"/>
              <w:autoSpaceDN w:val="0"/>
              <w:bidi w:val="0"/>
              <w:adjustRightInd w:val="0"/>
              <w:spacing w:before="115" w:line="560" w:lineRule="exact"/>
              <w:ind w:left="116" w:right="107" w:firstLine="1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2.保洁人员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lang w:val="en-US" w:eastAsia="zh-CN"/>
              </w:rPr>
              <w:t>8</w:t>
            </w:r>
            <w:r>
              <w:rPr>
                <w:rFonts w:hint="eastAsia" w:ascii="宋体" w:hAnsi="宋体" w:eastAsia="宋体" w:cs="宋体"/>
                <w:b w:val="0"/>
                <w:bCs w:val="0"/>
                <w:color w:val="auto"/>
                <w:spacing w:val="-1"/>
                <w:sz w:val="24"/>
                <w:szCs w:val="24"/>
                <w:highlight w:val="none"/>
                <w:lang w:eastAsia="zh-CN"/>
              </w:rPr>
              <w:t>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1"/>
                <w:sz w:val="24"/>
                <w:szCs w:val="24"/>
                <w:highlight w:val="none"/>
                <w:lang w:val="en-US" w:eastAsia="zh-CN"/>
              </w:rPr>
              <w:t>法定退休年龄以内</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负责全馆卫生保洁、垃</w:t>
            </w:r>
            <w:r>
              <w:rPr>
                <w:rFonts w:hint="eastAsia" w:ascii="宋体" w:hAnsi="宋体" w:eastAsia="宋体" w:cs="宋体"/>
                <w:b w:val="0"/>
                <w:bCs w:val="0"/>
                <w:color w:val="auto"/>
                <w:spacing w:val="-3"/>
                <w:sz w:val="24"/>
                <w:szCs w:val="24"/>
                <w:highlight w:val="none"/>
              </w:rPr>
              <w:t>圾清运、绿化管护、</w:t>
            </w:r>
            <w:r>
              <w:rPr>
                <w:rFonts w:hint="eastAsia" w:ascii="宋体" w:hAnsi="宋体" w:eastAsia="宋体" w:cs="宋体"/>
                <w:b w:val="0"/>
                <w:bCs w:val="0"/>
                <w:color w:val="auto"/>
                <w:spacing w:val="-2"/>
                <w:sz w:val="24"/>
                <w:szCs w:val="24"/>
                <w:highlight w:val="none"/>
              </w:rPr>
              <w:t>教室保洁管理等工作；</w:t>
            </w:r>
          </w:p>
          <w:p w14:paraId="14B58688">
            <w:pPr>
              <w:pStyle w:val="78"/>
              <w:keepNext w:val="0"/>
              <w:keepLines w:val="0"/>
              <w:pageBreakBefore w:val="0"/>
              <w:wordWrap/>
              <w:overflowPunct/>
              <w:topLinePunct w:val="0"/>
              <w:autoSpaceDE w:val="0"/>
              <w:autoSpaceDN w:val="0"/>
              <w:bidi w:val="0"/>
              <w:adjustRightInd w:val="0"/>
              <w:spacing w:before="115" w:line="560" w:lineRule="exact"/>
              <w:ind w:left="112" w:right="107" w:firstLine="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3.工程技术人员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rPr>
              <w:t>3</w:t>
            </w:r>
            <w:r>
              <w:rPr>
                <w:rFonts w:hint="eastAsia" w:ascii="宋体" w:hAnsi="宋体" w:eastAsia="宋体" w:cs="宋体"/>
                <w:b w:val="0"/>
                <w:bCs w:val="0"/>
                <w:color w:val="auto"/>
                <w:spacing w:val="-2"/>
                <w:sz w:val="24"/>
                <w:szCs w:val="24"/>
                <w:highlight w:val="none"/>
                <w:lang w:eastAsia="zh-CN"/>
              </w:rPr>
              <w:t>人（含部门主管</w:t>
            </w:r>
            <w:r>
              <w:rPr>
                <w:rFonts w:hint="eastAsia" w:ascii="宋体" w:hAnsi="宋体" w:eastAsia="宋体" w:cs="宋体"/>
                <w:b w:val="0"/>
                <w:bCs w:val="0"/>
                <w:color w:val="auto"/>
                <w:spacing w:val="-2"/>
                <w:sz w:val="24"/>
                <w:szCs w:val="24"/>
                <w:highlight w:val="none"/>
                <w:lang w:val="en-US" w:eastAsia="zh-CN"/>
              </w:rPr>
              <w:t>1人）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1"/>
                <w:sz w:val="24"/>
                <w:szCs w:val="24"/>
                <w:highlight w:val="none"/>
              </w:rPr>
              <w:t>须持有与本岗工作相关的资格证书</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无犯罪记录</w:t>
            </w:r>
            <w:r>
              <w:rPr>
                <w:rFonts w:hint="eastAsia" w:ascii="宋体" w:hAnsi="宋体" w:eastAsia="宋体" w:cs="宋体"/>
                <w:b w:val="0"/>
                <w:bCs w:val="0"/>
                <w:color w:val="auto"/>
                <w:spacing w:val="-2"/>
                <w:sz w:val="24"/>
                <w:szCs w:val="24"/>
                <w:highlight w:val="none"/>
              </w:rPr>
              <w:t>、身体健康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负责全馆水、电、气系统等配套设备设</w:t>
            </w:r>
            <w:r>
              <w:rPr>
                <w:rFonts w:hint="eastAsia" w:ascii="宋体" w:hAnsi="宋体" w:eastAsia="宋体" w:cs="宋体"/>
                <w:b w:val="0"/>
                <w:bCs w:val="0"/>
                <w:color w:val="auto"/>
                <w:spacing w:val="-1"/>
                <w:sz w:val="24"/>
                <w:szCs w:val="24"/>
                <w:highlight w:val="none"/>
              </w:rPr>
              <w:t>施的日常维护（修）等工作，并做好相关巡查记录；</w:t>
            </w:r>
          </w:p>
          <w:p w14:paraId="61051167">
            <w:pPr>
              <w:pStyle w:val="78"/>
              <w:keepNext w:val="0"/>
              <w:keepLines w:val="0"/>
              <w:pageBreakBefore w:val="0"/>
              <w:wordWrap/>
              <w:overflowPunct/>
              <w:topLinePunct w:val="0"/>
              <w:autoSpaceDE w:val="0"/>
              <w:autoSpaceDN w:val="0"/>
              <w:bidi w:val="0"/>
              <w:adjustRightInd w:val="0"/>
              <w:spacing w:before="111" w:line="560" w:lineRule="exact"/>
              <w:ind w:left="114" w:right="107" w:hanging="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4</w:t>
            </w:r>
            <w:r>
              <w:rPr>
                <w:rFonts w:hint="eastAsia" w:ascii="宋体" w:hAnsi="宋体" w:eastAsia="宋体" w:cs="宋体"/>
                <w:b w:val="0"/>
                <w:bCs w:val="0"/>
                <w:color w:val="auto"/>
                <w:spacing w:val="1"/>
                <w:sz w:val="24"/>
                <w:szCs w:val="24"/>
                <w:highlight w:val="none"/>
              </w:rPr>
              <w:t>.后勤人员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rPr>
              <w:t>2</w:t>
            </w:r>
            <w:r>
              <w:rPr>
                <w:rFonts w:hint="eastAsia" w:ascii="宋体" w:hAnsi="宋体" w:eastAsia="宋体" w:cs="宋体"/>
                <w:b w:val="0"/>
                <w:bCs w:val="0"/>
                <w:color w:val="auto"/>
                <w:spacing w:val="1"/>
                <w:sz w:val="24"/>
                <w:szCs w:val="24"/>
                <w:highlight w:val="none"/>
                <w:lang w:eastAsia="zh-CN"/>
              </w:rPr>
              <w:t>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熟练掌握各种会议、接待的台型布置和礼仪接待规范</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负责馆内学术报告厅、会议室、贵宾厅、接待室等后勤服务。</w:t>
            </w:r>
          </w:p>
        </w:tc>
      </w:tr>
      <w:tr w14:paraId="5F4E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1734" w:type="dxa"/>
            <w:vAlign w:val="center"/>
          </w:tcPr>
          <w:p w14:paraId="09D937F2">
            <w:pPr>
              <w:pStyle w:val="78"/>
              <w:keepNext w:val="0"/>
              <w:keepLines w:val="0"/>
              <w:pageBreakBefore w:val="0"/>
              <w:wordWrap/>
              <w:overflowPunct/>
              <w:topLinePunct w:val="0"/>
              <w:autoSpaceDE w:val="0"/>
              <w:autoSpaceDN w:val="0"/>
              <w:bidi w:val="0"/>
              <w:adjustRightInd w:val="0"/>
              <w:spacing w:before="78" w:line="560" w:lineRule="exact"/>
              <w:ind w:left="27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展厅服务部</w:t>
            </w:r>
          </w:p>
        </w:tc>
        <w:tc>
          <w:tcPr>
            <w:tcW w:w="834" w:type="dxa"/>
            <w:vAlign w:val="center"/>
          </w:tcPr>
          <w:p w14:paraId="03B4CA77">
            <w:pPr>
              <w:pStyle w:val="78"/>
              <w:keepNext w:val="0"/>
              <w:keepLines w:val="0"/>
              <w:pageBreakBefore w:val="0"/>
              <w:wordWrap/>
              <w:overflowPunct/>
              <w:topLinePunct w:val="0"/>
              <w:autoSpaceDE w:val="0"/>
              <w:autoSpaceDN w:val="0"/>
              <w:bidi w:val="0"/>
              <w:adjustRightInd w:val="0"/>
              <w:spacing w:before="78" w:line="560" w:lineRule="exact"/>
              <w:ind w:left="304"/>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7"/>
                <w:sz w:val="24"/>
                <w:szCs w:val="24"/>
                <w:highlight w:val="none"/>
                <w:lang w:val="en-US" w:eastAsia="zh-CN"/>
              </w:rPr>
              <w:t>19</w:t>
            </w:r>
          </w:p>
        </w:tc>
        <w:tc>
          <w:tcPr>
            <w:tcW w:w="6811" w:type="dxa"/>
            <w:vAlign w:val="top"/>
          </w:tcPr>
          <w:p w14:paraId="29AE9948">
            <w:pPr>
              <w:pStyle w:val="78"/>
              <w:keepNext w:val="0"/>
              <w:keepLines w:val="0"/>
              <w:pageBreakBefore w:val="0"/>
              <w:wordWrap/>
              <w:overflowPunct/>
              <w:topLinePunct w:val="0"/>
              <w:autoSpaceDE w:val="0"/>
              <w:autoSpaceDN w:val="0"/>
              <w:bidi w:val="0"/>
              <w:adjustRightInd w:val="0"/>
              <w:spacing w:before="118" w:line="560" w:lineRule="exact"/>
              <w:ind w:left="117" w:right="108" w:firstLine="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展厅服务部</w:t>
            </w:r>
            <w:r>
              <w:rPr>
                <w:rFonts w:hint="eastAsia" w:ascii="宋体" w:hAnsi="宋体" w:eastAsia="宋体" w:cs="宋体"/>
                <w:b w:val="0"/>
                <w:bCs w:val="0"/>
                <w:color w:val="auto"/>
                <w:spacing w:val="-3"/>
                <w:sz w:val="24"/>
                <w:szCs w:val="24"/>
                <w:highlight w:val="none"/>
                <w:lang w:eastAsia="zh-CN"/>
              </w:rPr>
              <w:t>服</w:t>
            </w:r>
            <w:r>
              <w:rPr>
                <w:rFonts w:hint="eastAsia" w:ascii="宋体" w:hAnsi="宋体" w:eastAsia="宋体" w:cs="宋体"/>
                <w:b w:val="0"/>
                <w:bCs w:val="0"/>
                <w:color w:val="auto"/>
                <w:spacing w:val="-1"/>
                <w:sz w:val="24"/>
                <w:szCs w:val="24"/>
                <w:highlight w:val="none"/>
                <w:lang w:eastAsia="zh-CN"/>
              </w:rPr>
              <w:t>务人员不少于</w:t>
            </w:r>
            <w:r>
              <w:rPr>
                <w:rFonts w:hint="eastAsia" w:ascii="宋体" w:hAnsi="宋体" w:eastAsia="宋体" w:cs="宋体"/>
                <w:b w:val="0"/>
                <w:bCs w:val="0"/>
                <w:color w:val="auto"/>
                <w:spacing w:val="-1"/>
                <w:sz w:val="24"/>
                <w:szCs w:val="24"/>
                <w:highlight w:val="none"/>
                <w:lang w:val="en-US" w:eastAsia="zh-CN"/>
              </w:rPr>
              <w:t>19人，</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具有良好的沟通协调、活动组织能力。负责科技馆展厅</w:t>
            </w:r>
            <w:r>
              <w:rPr>
                <w:rFonts w:hint="eastAsia" w:ascii="宋体" w:hAnsi="宋体" w:eastAsia="宋体" w:cs="宋体"/>
                <w:b w:val="0"/>
                <w:bCs w:val="0"/>
                <w:color w:val="auto"/>
                <w:spacing w:val="-1"/>
                <w:sz w:val="24"/>
                <w:szCs w:val="24"/>
                <w:highlight w:val="none"/>
                <w:lang w:eastAsia="zh-CN"/>
              </w:rPr>
              <w:t>运行</w:t>
            </w:r>
            <w:r>
              <w:rPr>
                <w:rFonts w:hint="eastAsia" w:ascii="宋体" w:hAnsi="宋体" w:eastAsia="宋体" w:cs="宋体"/>
                <w:b w:val="0"/>
                <w:bCs w:val="0"/>
                <w:color w:val="auto"/>
                <w:spacing w:val="-1"/>
                <w:sz w:val="24"/>
                <w:szCs w:val="24"/>
                <w:highlight w:val="none"/>
              </w:rPr>
              <w:t>与管理、展品看护、前台接待、</w:t>
            </w:r>
            <w:r>
              <w:rPr>
                <w:rFonts w:hint="eastAsia" w:ascii="宋体" w:hAnsi="宋体" w:eastAsia="宋体" w:cs="宋体"/>
                <w:b w:val="0"/>
                <w:bCs w:val="0"/>
                <w:color w:val="auto"/>
                <w:spacing w:val="-1"/>
                <w:sz w:val="24"/>
                <w:szCs w:val="24"/>
                <w:highlight w:val="none"/>
                <w:lang w:eastAsia="zh-CN"/>
              </w:rPr>
              <w:t>球幕</w:t>
            </w:r>
            <w:r>
              <w:rPr>
                <w:rFonts w:hint="eastAsia" w:ascii="宋体" w:hAnsi="宋体" w:eastAsia="宋体" w:cs="宋体"/>
                <w:b w:val="0"/>
                <w:bCs w:val="0"/>
                <w:color w:val="auto"/>
                <w:spacing w:val="-1"/>
                <w:sz w:val="24"/>
                <w:szCs w:val="24"/>
                <w:highlight w:val="none"/>
              </w:rPr>
              <w:t>影院播放、展厅教育活动实施以及配合市科技馆做好相关赛事的辅助工作。</w:t>
            </w:r>
          </w:p>
        </w:tc>
      </w:tr>
      <w:tr w14:paraId="05AE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34" w:type="dxa"/>
            <w:vAlign w:val="top"/>
          </w:tcPr>
          <w:p w14:paraId="0F2B93D2">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p w14:paraId="608505F0">
            <w:pPr>
              <w:pStyle w:val="78"/>
              <w:keepNext w:val="0"/>
              <w:keepLines w:val="0"/>
              <w:pageBreakBefore w:val="0"/>
              <w:wordWrap/>
              <w:overflowPunct/>
              <w:topLinePunct w:val="0"/>
              <w:autoSpaceDE w:val="0"/>
              <w:autoSpaceDN w:val="0"/>
              <w:bidi w:val="0"/>
              <w:adjustRightInd w:val="0"/>
              <w:spacing w:before="78" w:line="560" w:lineRule="exact"/>
              <w:ind w:left="27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lang w:eastAsia="zh-CN"/>
              </w:rPr>
              <w:t>媒体服务</w:t>
            </w:r>
            <w:r>
              <w:rPr>
                <w:rFonts w:hint="eastAsia" w:ascii="宋体" w:hAnsi="宋体" w:eastAsia="宋体" w:cs="宋体"/>
                <w:b w:val="0"/>
                <w:bCs w:val="0"/>
                <w:color w:val="auto"/>
                <w:spacing w:val="-3"/>
                <w:sz w:val="24"/>
                <w:szCs w:val="24"/>
                <w:highlight w:val="none"/>
              </w:rPr>
              <w:t>部</w:t>
            </w:r>
          </w:p>
        </w:tc>
        <w:tc>
          <w:tcPr>
            <w:tcW w:w="834" w:type="dxa"/>
            <w:vAlign w:val="top"/>
          </w:tcPr>
          <w:p w14:paraId="033AD03C">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p w14:paraId="137E8AA2">
            <w:pPr>
              <w:pStyle w:val="78"/>
              <w:keepNext w:val="0"/>
              <w:keepLines w:val="0"/>
              <w:pageBreakBefore w:val="0"/>
              <w:wordWrap/>
              <w:overflowPunct/>
              <w:topLinePunct w:val="0"/>
              <w:autoSpaceDE w:val="0"/>
              <w:autoSpaceDN w:val="0"/>
              <w:bidi w:val="0"/>
              <w:adjustRightInd w:val="0"/>
              <w:spacing w:before="78" w:line="560" w:lineRule="exact"/>
              <w:ind w:left="36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6811" w:type="dxa"/>
            <w:vAlign w:val="top"/>
          </w:tcPr>
          <w:p w14:paraId="718B8BF0">
            <w:pPr>
              <w:pStyle w:val="78"/>
              <w:keepNext w:val="0"/>
              <w:keepLines w:val="0"/>
              <w:pageBreakBefore w:val="0"/>
              <w:wordWrap/>
              <w:overflowPunct/>
              <w:topLinePunct w:val="0"/>
              <w:autoSpaceDE w:val="0"/>
              <w:autoSpaceDN w:val="0"/>
              <w:bidi w:val="0"/>
              <w:adjustRightInd w:val="0"/>
              <w:spacing w:before="115" w:line="560" w:lineRule="exact"/>
              <w:ind w:left="114" w:right="152" w:firstLine="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lang w:val="en-US" w:eastAsia="zh-CN"/>
              </w:rPr>
              <w:t>媒体服务部服务人员不少于1人，大专或以上学历，</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3"/>
                <w:sz w:val="24"/>
                <w:szCs w:val="24"/>
                <w:highlight w:val="none"/>
                <w:lang w:val="en-US" w:eastAsia="zh-CN"/>
              </w:rPr>
              <w:t>负责微信公众号、新媒体等宣传工作，负责短视频及宣传片的策划、拍摄与执行工作。熟练掌握PS、拍照、摄影等技能，为开展活动提高必要的技术支持，具备扎实文字功底和视频剪辑能力。</w:t>
            </w:r>
          </w:p>
        </w:tc>
      </w:tr>
      <w:tr w14:paraId="0E8E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2568" w:type="dxa"/>
            <w:gridSpan w:val="2"/>
            <w:vAlign w:val="center"/>
          </w:tcPr>
          <w:p w14:paraId="48C4CD34">
            <w:pPr>
              <w:pStyle w:val="78"/>
              <w:keepNext w:val="0"/>
              <w:keepLines w:val="0"/>
              <w:pageBreakBefore w:val="0"/>
              <w:wordWrap/>
              <w:overflowPunct/>
              <w:topLinePunct w:val="0"/>
              <w:autoSpaceDE w:val="0"/>
              <w:autoSpaceDN w:val="0"/>
              <w:bidi w:val="0"/>
              <w:adjustRightInd w:val="0"/>
              <w:spacing w:before="78" w:line="560" w:lineRule="exact"/>
              <w:jc w:val="center"/>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合计</w:t>
            </w:r>
          </w:p>
        </w:tc>
        <w:tc>
          <w:tcPr>
            <w:tcW w:w="6811" w:type="dxa"/>
            <w:vAlign w:val="center"/>
          </w:tcPr>
          <w:p w14:paraId="71926C62">
            <w:pPr>
              <w:pStyle w:val="78"/>
              <w:keepNext w:val="0"/>
              <w:keepLines w:val="0"/>
              <w:pageBreakBefore w:val="0"/>
              <w:wordWrap/>
              <w:overflowPunct/>
              <w:topLinePunct w:val="0"/>
              <w:autoSpaceDE w:val="0"/>
              <w:autoSpaceDN w:val="0"/>
              <w:bidi w:val="0"/>
              <w:adjustRightInd w:val="0"/>
              <w:spacing w:before="78" w:line="560" w:lineRule="exact"/>
              <w:ind w:left="276"/>
              <w:jc w:val="center"/>
              <w:rPr>
                <w:rFonts w:hint="default"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43人</w:t>
            </w:r>
          </w:p>
        </w:tc>
      </w:tr>
    </w:tbl>
    <w:p w14:paraId="19AC9887">
      <w:pPr>
        <w:widowControl/>
        <w:spacing w:line="500" w:lineRule="exact"/>
        <w:ind w:firstLine="42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本项目配备人数为项目在满员时的最低配置。根据采购人实际需要，配置足够的工作人员。中标人不得以专业、工种人员工资不同要求调整合同价格。</w:t>
      </w:r>
    </w:p>
    <w:p w14:paraId="4A00052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鉴于科技馆的特殊性，中标人拟派的工作服务人员上岗前必须经过采购人面试、考核，面试考核不合格的，一律不准录用。所有人员进场前须提供体检合格的证明材料和劳动合同报采购人确认。</w:t>
      </w:r>
      <w:r>
        <w:rPr>
          <w:rFonts w:hint="eastAsia" w:ascii="宋体" w:hAnsi="宋体" w:eastAsia="宋体" w:cs="宋体"/>
          <w:color w:val="auto"/>
          <w:sz w:val="24"/>
          <w:szCs w:val="24"/>
          <w:highlight w:val="none"/>
          <w:lang w:val="zh-CN" w:eastAsia="zh-CN"/>
        </w:rPr>
        <w:t>部门负责人与关键技术岗位人员，在一年之内只允许更换一人次，其他岗位人员变动，须及时向采购人报告。</w:t>
      </w:r>
    </w:p>
    <w:p w14:paraId="27A05982">
      <w:pPr>
        <w:widowControl/>
        <w:spacing w:line="500" w:lineRule="exact"/>
        <w:ind w:firstLine="42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③</w:t>
      </w:r>
      <w:r>
        <w:rPr>
          <w:rFonts w:hint="eastAsia" w:ascii="宋体" w:hAnsi="宋体" w:eastAsia="宋体" w:cs="宋体"/>
          <w:color w:val="auto"/>
          <w:sz w:val="24"/>
          <w:szCs w:val="24"/>
          <w:highlight w:val="none"/>
          <w:lang w:eastAsia="zh-CN"/>
        </w:rPr>
        <w:t>如中标人履约时提供的</w:t>
      </w:r>
      <w:r>
        <w:rPr>
          <w:rFonts w:hint="eastAsia" w:ascii="宋体" w:hAnsi="宋体" w:eastAsia="宋体" w:cs="宋体"/>
          <w:color w:val="auto"/>
          <w:sz w:val="24"/>
          <w:szCs w:val="24"/>
          <w:highlight w:val="none"/>
          <w:lang w:val="zh-CN" w:eastAsia="zh-CN"/>
        </w:rPr>
        <w:t>关键技术岗位人员</w:t>
      </w:r>
      <w:r>
        <w:rPr>
          <w:rFonts w:hint="eastAsia" w:ascii="宋体" w:hAnsi="宋体" w:eastAsia="宋体" w:cs="宋体"/>
          <w:color w:val="auto"/>
          <w:sz w:val="24"/>
          <w:szCs w:val="24"/>
          <w:highlight w:val="none"/>
          <w:lang w:eastAsia="zh-CN"/>
        </w:rPr>
        <w:t>与其投标时投标文件中</w:t>
      </w:r>
      <w:r>
        <w:rPr>
          <w:rFonts w:hint="eastAsia" w:ascii="宋体" w:hAnsi="宋体" w:eastAsia="宋体" w:cs="宋体"/>
          <w:color w:val="auto"/>
          <w:sz w:val="24"/>
          <w:szCs w:val="24"/>
          <w:highlight w:val="none"/>
          <w:lang w:val="en-US" w:eastAsia="zh-CN"/>
        </w:rPr>
        <w:t>参与评审</w:t>
      </w:r>
      <w:r>
        <w:rPr>
          <w:rFonts w:hint="eastAsia" w:ascii="宋体" w:hAnsi="宋体" w:eastAsia="宋体" w:cs="宋体"/>
          <w:color w:val="auto"/>
          <w:sz w:val="24"/>
          <w:szCs w:val="24"/>
          <w:highlight w:val="none"/>
          <w:lang w:eastAsia="zh-CN"/>
        </w:rPr>
        <w:t>的人员不一致，且拒绝整改的，终止合同。</w:t>
      </w:r>
    </w:p>
    <w:p w14:paraId="5EDE9720">
      <w:pPr>
        <w:widowControl/>
        <w:numPr>
          <w:ilvl w:val="0"/>
          <w:numId w:val="2"/>
        </w:numPr>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p w14:paraId="4C586F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1.运行保障部</w:t>
      </w:r>
    </w:p>
    <w:p w14:paraId="1FBDCAE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负责保障馆属区域日常管理工作，主要包括保安、保洁、工程维修等。</w:t>
      </w:r>
    </w:p>
    <w:p w14:paraId="7071C38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运行保障服务内容和要求</w:t>
      </w:r>
    </w:p>
    <w:p w14:paraId="11921AD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馆属区域内设施设备的运行、维修、维护和管理；</w:t>
      </w:r>
    </w:p>
    <w:p w14:paraId="28E2C1E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馆属区域内房屋、地面、门窗、照明、消防器材的维护、维修及更换；</w:t>
      </w:r>
    </w:p>
    <w:p w14:paraId="4414868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提供24小时公共秩序维护和安全服务，做好设施设备（含展品展项）看护，维护展厅参观、办公区域秩序；</w:t>
      </w:r>
    </w:p>
    <w:p w14:paraId="7DEA971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馆属区域内展厅、公共场所、外立面、绿化区、室外相关场地的清洁卫生， 垃圾收集、清运及雨、污水管道的疏通等；</w:t>
      </w:r>
    </w:p>
    <w:p w14:paraId="54C5CC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馆属区域内车辆（机动车和非机动车）行驶引导、停放及场所管理；</w:t>
      </w:r>
    </w:p>
    <w:p w14:paraId="6D80E33B">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馆属区域内绿化养护和管理，</w:t>
      </w:r>
      <w:r>
        <w:rPr>
          <w:rFonts w:hint="eastAsia" w:ascii="宋体" w:hAnsi="宋体" w:eastAsia="宋体" w:cs="宋体"/>
          <w:color w:val="auto"/>
          <w:sz w:val="24"/>
          <w:szCs w:val="24"/>
          <w:highlight w:val="none"/>
          <w:lang w:val="en-US" w:eastAsia="zh-CN"/>
        </w:rPr>
        <w:t>绿植养护与更换保障，因养护不当导致绿植枯萎、死亡或长势极差（叶片脱落率＞50%）的，中标人须在7日内免费更换同品种、同规格的健康绿植，更换后确保成活率；</w:t>
      </w:r>
    </w:p>
    <w:p w14:paraId="658F1BC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各项活动的对接、协调及会务服务、接待服务（含车辆保障）等；</w:t>
      </w:r>
    </w:p>
    <w:p w14:paraId="41185FA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运行档案资料管理及相关事项的申报、处理、备案等；</w:t>
      </w:r>
    </w:p>
    <w:p w14:paraId="0376541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日常维修保养的专业单位在管理区域内作业时，中标人必须做好协调和管理；</w:t>
      </w:r>
    </w:p>
    <w:p w14:paraId="456D070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馆属区域内自然灾害、设备事故、突发公共安全事件等应建立应急预案， 并组织培训、演练及改进；</w:t>
      </w:r>
    </w:p>
    <w:p w14:paraId="60F62B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负责馆内巡视、管理，票务（线上预约）、出入馆安检等；</w:t>
      </w:r>
    </w:p>
    <w:p w14:paraId="14F5C9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馆属区域内四害消杀；</w:t>
      </w:r>
    </w:p>
    <w:p w14:paraId="79671E0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13）协助做好</w:t>
      </w:r>
      <w:r>
        <w:rPr>
          <w:rFonts w:hint="eastAsia" w:ascii="宋体" w:hAnsi="宋体" w:eastAsia="宋体" w:cs="宋体"/>
          <w:color w:val="auto"/>
          <w:sz w:val="24"/>
          <w:szCs w:val="24"/>
          <w:highlight w:val="none"/>
          <w:lang w:val="zh-CN" w:eastAsia="zh-CN"/>
        </w:rPr>
        <w:t>科普讲座、会议培训、学术交流、处理投诉事件、档案资料管理。</w:t>
      </w:r>
    </w:p>
    <w:p w14:paraId="5D90E56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eastAsia="zh-CN"/>
        </w:rPr>
        <w:t>当馆内物品、设备、设施的单个配件费用或单次维修总费用超过1000元时，费用承担方式为：中标人固定承担1000元（包含人工、辅材、基础维修等费用，）；超出1000元的部分（即总费用-1000元）由采购人承担，中标人不得将第三方服务费、人工费、拆卸搬运费等延伸费用计入“总费用”向采购人申请支付或虚报设备市场价格，否则采购人拒绝支付相关费用。</w:t>
      </w:r>
    </w:p>
    <w:p w14:paraId="61FB9B22">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15）外围地砖维修专项管理。维修范围：涵盖科技馆外围所有公共区域地砖（含人行道、广场、出入口衔接区域），包括地砖松动、空鼓、碎裂、高低不平等问题处理。</w:t>
      </w:r>
    </w:p>
    <w:p w14:paraId="5C36CAF5">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运行保障部每周安排1名保安或工程技术人员对围墙地砖进行专项巡查，发现破损或存在安全隐患的，及时完成维修。维修所需材料（同品牌/同规格地砖、水泥、沙子等）及人工费用全部由中标人承担，单独列支成本。无论外围地砖维修费用是否超过1000元，均包含在合同价款中，采购不再为此支付其他费用。</w:t>
      </w:r>
    </w:p>
    <w:p w14:paraId="0445C9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展教辅助服务及运行保障内容和要求（包括但并不限于此）：</w:t>
      </w:r>
    </w:p>
    <w:p w14:paraId="19EFA5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1）协助</w:t>
      </w:r>
      <w:r>
        <w:rPr>
          <w:rFonts w:hint="eastAsia" w:ascii="宋体" w:hAnsi="宋体" w:eastAsia="宋体" w:cs="宋体"/>
          <w:color w:val="auto"/>
          <w:sz w:val="24"/>
          <w:szCs w:val="24"/>
          <w:highlight w:val="none"/>
          <w:lang w:val="zh-CN" w:eastAsia="zh-CN"/>
        </w:rPr>
        <w:t>开展科学实验、科学表演、科普剧、亲子活动、主题活动等拓展性教育活动；</w:t>
      </w:r>
    </w:p>
    <w:p w14:paraId="34BF34F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2）协助</w:t>
      </w:r>
      <w:r>
        <w:rPr>
          <w:rFonts w:hint="eastAsia" w:ascii="宋体" w:hAnsi="宋体" w:eastAsia="宋体" w:cs="宋体"/>
          <w:color w:val="auto"/>
          <w:sz w:val="24"/>
          <w:szCs w:val="24"/>
          <w:highlight w:val="none"/>
          <w:lang w:val="zh-CN" w:eastAsia="zh-CN"/>
        </w:rPr>
        <w:t>开展科普日、科技活动周、特殊节日、科普夏（冬）令营、学术报告等科普活动；</w:t>
      </w:r>
    </w:p>
    <w:p w14:paraId="38FBA60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3）协助</w:t>
      </w:r>
      <w:r>
        <w:rPr>
          <w:rFonts w:hint="eastAsia" w:ascii="宋体" w:hAnsi="宋体" w:eastAsia="宋体" w:cs="宋体"/>
          <w:color w:val="auto"/>
          <w:sz w:val="24"/>
          <w:szCs w:val="24"/>
          <w:highlight w:val="none"/>
          <w:lang w:val="zh-CN" w:eastAsia="zh-CN"/>
        </w:rPr>
        <w:t>开展主题活动策划与实施等，保障创客教室正常运行；</w:t>
      </w:r>
    </w:p>
    <w:p w14:paraId="06FFC4B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4）协助</w:t>
      </w:r>
      <w:r>
        <w:rPr>
          <w:rFonts w:hint="eastAsia" w:ascii="宋体" w:hAnsi="宋体" w:eastAsia="宋体" w:cs="宋体"/>
          <w:color w:val="auto"/>
          <w:sz w:val="24"/>
          <w:szCs w:val="24"/>
          <w:highlight w:val="none"/>
          <w:lang w:val="zh-CN" w:eastAsia="zh-CN"/>
        </w:rPr>
        <w:t>开展科普进校园、进社区、进企业、进农村、进机关等活动；</w:t>
      </w:r>
    </w:p>
    <w:p w14:paraId="1B7B1A8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5）协助</w:t>
      </w:r>
      <w:r>
        <w:rPr>
          <w:rFonts w:hint="eastAsia" w:ascii="宋体" w:hAnsi="宋体" w:eastAsia="宋体" w:cs="宋体"/>
          <w:color w:val="auto"/>
          <w:sz w:val="24"/>
          <w:szCs w:val="24"/>
          <w:highlight w:val="none"/>
          <w:lang w:val="zh-CN" w:eastAsia="zh-CN"/>
        </w:rPr>
        <w:t>开展行业学术交流活动；</w:t>
      </w:r>
    </w:p>
    <w:p w14:paraId="3B9E650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利用微信、当地主流媒体（广播电台、电视台、报纸、官方网站） 和新媒体（抖音、微博等）进行科普宣传，发布活动新闻；</w:t>
      </w:r>
    </w:p>
    <w:p w14:paraId="4194C20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配合展品展项维保公司做好保养维修及多媒体软件的日常更新优化；</w:t>
      </w:r>
    </w:p>
    <w:p w14:paraId="586D9C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完成上级下达的文明创建、“双拥”、民生工程等相关工作。</w:t>
      </w:r>
    </w:p>
    <w:p w14:paraId="378807A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zh-CN" w:eastAsia="zh-CN"/>
        </w:rPr>
        <w:t>配套建设情况及设施设备运行、维护、养护管理内容：</w:t>
      </w:r>
    </w:p>
    <w:p w14:paraId="605CD8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（1）供电系统</w:t>
      </w:r>
    </w:p>
    <w:p w14:paraId="26BC642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（2）智能化系统</w:t>
      </w:r>
    </w:p>
    <w:p w14:paraId="45AE940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1）综合布线系统</w:t>
      </w:r>
    </w:p>
    <w:p w14:paraId="0A0EC64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2）计算机网络系统</w:t>
      </w:r>
    </w:p>
    <w:p w14:paraId="25AE383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3）无线网络系统</w:t>
      </w:r>
    </w:p>
    <w:p w14:paraId="0C9EE9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4）视频监控系统</w:t>
      </w:r>
    </w:p>
    <w:p w14:paraId="50854D4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5）防盗报警系统</w:t>
      </w:r>
    </w:p>
    <w:p w14:paraId="315911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6）门禁系统</w:t>
      </w:r>
    </w:p>
    <w:p w14:paraId="1CA44DA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7）楼宇自动化控制系统</w:t>
      </w:r>
    </w:p>
    <w:p w14:paraId="1362C51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8）公共信息发布系统</w:t>
      </w:r>
    </w:p>
    <w:p w14:paraId="7AFCEF8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9）无线对讲系统</w:t>
      </w:r>
    </w:p>
    <w:p w14:paraId="180B78B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10）背景音乐及消防广播系统</w:t>
      </w:r>
    </w:p>
    <w:p w14:paraId="524C369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11）会议系统</w:t>
      </w:r>
    </w:p>
    <w:p w14:paraId="0A9ED6A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（3）消防，通风系统</w:t>
      </w:r>
    </w:p>
    <w:p w14:paraId="27401DF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（4）给排水系统</w:t>
      </w:r>
    </w:p>
    <w:p w14:paraId="02CDC39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1）生活给水</w:t>
      </w:r>
    </w:p>
    <w:p w14:paraId="42718A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2）生活污水</w:t>
      </w:r>
    </w:p>
    <w:p w14:paraId="191EECA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3）雨水</w:t>
      </w:r>
    </w:p>
    <w:p w14:paraId="641FF58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4）建筑消防水系统</w:t>
      </w:r>
    </w:p>
    <w:p w14:paraId="277F595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（5）电梯系统</w:t>
      </w:r>
    </w:p>
    <w:p w14:paraId="117BF09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（6）中央空调系统</w:t>
      </w:r>
    </w:p>
    <w:p w14:paraId="278F7EA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（7）公共照明系统</w:t>
      </w:r>
    </w:p>
    <w:p w14:paraId="3906BAD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1）室内照明</w:t>
      </w:r>
    </w:p>
    <w:p w14:paraId="75310FF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2）展厅照明</w:t>
      </w:r>
    </w:p>
    <w:p w14:paraId="32FCA6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（8）防雷与接地系统</w:t>
      </w:r>
    </w:p>
    <w:p w14:paraId="5B0CE11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（9）展品展项、球幕影院、展厅布展</w:t>
      </w:r>
    </w:p>
    <w:p w14:paraId="1267882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eastAsia="zh-CN"/>
        </w:rPr>
        <w:t>设施设备运行、维修、养护管理要求</w:t>
      </w:r>
    </w:p>
    <w:p w14:paraId="396E021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（1）配套设备管理制度</w:t>
      </w:r>
    </w:p>
    <w:p w14:paraId="7B9087C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1）建立健全配套设备管理岗位制度，各层级人员需具有相应的专业技术知识和合法有效的上岗操作证书，定期开展职业素养和专业技术技能培训，考试合格方能上岗操作；</w:t>
      </w:r>
    </w:p>
    <w:p w14:paraId="7CE6DA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2）建立健全配套设备接管验收制度、计划性维修保养制度、运行管理制度、值班制度、交接班制度、报告记录制度、设备基础资料存档制度等；</w:t>
      </w:r>
    </w:p>
    <w:p w14:paraId="44CD18A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3）验收制度包括新建房屋附属配套设备的验收，也包括维修后设备的验收，以及新添置设备和更新设备的验收。验收后的设备基础资料应存档保管；</w:t>
      </w:r>
    </w:p>
    <w:p w14:paraId="715773B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4）计划性维修保养制度主要包括设备维修保养计划，确定设备维修保养的类别、等级、周期和内容，并进行监督检查；</w:t>
      </w:r>
    </w:p>
    <w:p w14:paraId="4B3879A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5）设备运行管理制度包括抄表制度、安全运行制度、文明运行制度等，特殊设备应制定特定的制度，以保证设备安全运行；</w:t>
      </w:r>
    </w:p>
    <w:p w14:paraId="42A36E3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6）值班制度内容包括在岗值守安全操作规定、按时巡查内容、发现异常或故障隐患等的处理程序和时限要求，以便安排人员抢修和维修；</w:t>
      </w:r>
    </w:p>
    <w:p w14:paraId="14014D9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7）交接班制度应对交接班程序、内容作出详细的规定和要求，保证设备持续运行正常；</w:t>
      </w:r>
    </w:p>
    <w:p w14:paraId="0C71B26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8）报告记录制度应对各个设备部门及时将设备运行和维修保养情况向工程部和项目经理作出报告作出规定，以便及时了解设备运行情况，及时发现设备管理中存在的问题，并加以解决；</w:t>
      </w:r>
    </w:p>
    <w:p w14:paraId="2840178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9）设备基础资料存档制度应对设备技术基础资料、维修保养记录、 日常巡查记录等资料的保存、使用和管理作出规定；</w:t>
      </w:r>
    </w:p>
    <w:p w14:paraId="1B41F1D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10）中标人应全面负责采购人的安防、消防设施器材的维护保养事宜。应</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lang w:val="zh-CN" w:eastAsia="zh-CN"/>
        </w:rPr>
        <w:t>与具有相应资质的安防、消防技术服务机构签订维保合同，每月对采购人的安防、消防设施、设备开展不少于1次维护保养，维护保养记录应及时报采购人，并存档备查；</w:t>
      </w:r>
    </w:p>
    <w:p w14:paraId="32928DA7">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11）中标人应当委托具有资质的安防、消防技术服务机构每年对全馆安防、消防设施设备进行1次全面检测，年度检测报告应及时报采购人，并存档备查；</w:t>
      </w:r>
    </w:p>
    <w:p w14:paraId="4617A54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12）中标人应当委托有资质的消防技术服务机构每年对全馆的消防安全状况开展1次全面评估，出具消防安全评估报告报采购人，并存档备查。</w:t>
      </w:r>
    </w:p>
    <w:p w14:paraId="7C6F842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（2）供电系统</w:t>
      </w:r>
    </w:p>
    <w:p w14:paraId="781A202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中标人须负责组织开展馆内供配电系统等关键设施设备的年度预防性试验，具体要求如下：试验需委托具备相应资质的专业检测机构实施，检测机构资质须提前报采购人备案审核。</w:t>
      </w:r>
    </w:p>
    <w:p w14:paraId="5B7FBED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试验项目、标准须符合国家及行业相关规范（如《电气装置安装工程电气设备交接试验标准》《建筑消防设施检测技术规程》等），并制定详细试验计划报采购人审批后执行。</w:t>
      </w:r>
    </w:p>
    <w:p w14:paraId="4E42869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试验完成后需提交正式检测报告，对发现的问题需及时制定整改方案，按采购人要求落实整改，试验及整改相关费用（不含重大设备更换费用）包含在合同价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lang w:val="zh-CN" w:eastAsia="zh-CN"/>
        </w:rPr>
        <w:t>中。</w:t>
      </w:r>
    </w:p>
    <w:p w14:paraId="7D343A80">
      <w:pPr>
        <w:spacing w:line="360" w:lineRule="auto"/>
        <w:ind w:firstLine="480" w:firstLineChars="200"/>
        <w:outlineLvl w:val="1"/>
        <w:rPr>
          <w:rFonts w:hint="eastAsia" w:ascii="宋体" w:hAnsi="宋体" w:eastAsia="宋体"/>
          <w:b w:val="0"/>
          <w:bCs/>
          <w:color w:val="auto"/>
          <w:sz w:val="24"/>
          <w:szCs w:val="18"/>
          <w:highlight w:val="none"/>
        </w:rPr>
      </w:pPr>
      <w:r>
        <w:rPr>
          <w:rFonts w:hint="eastAsia" w:ascii="宋体" w:hAnsi="宋体" w:eastAsia="宋体" w:cs="宋体"/>
          <w:color w:val="auto"/>
          <w:sz w:val="24"/>
          <w:szCs w:val="24"/>
          <w:highlight w:val="none"/>
          <w:lang w:val="zh-CN" w:eastAsia="zh-CN"/>
        </w:rPr>
        <w:t xml:space="preserve"> </w:t>
      </w:r>
      <w:r>
        <w:rPr>
          <w:rFonts w:hint="eastAsia" w:ascii="宋体" w:hAnsi="宋体" w:eastAsia="宋体"/>
          <w:b w:val="0"/>
          <w:bCs/>
          <w:color w:val="auto"/>
          <w:sz w:val="24"/>
          <w:szCs w:val="18"/>
          <w:highlight w:val="none"/>
        </w:rPr>
        <w:t>按照国家《电气设备预防性试验规程》等相关规范的要求，每年对电力设备进行 1 次预防性试验，每 6 个月对安全工器具（绝缘靴、绝缘手套、绝缘垫）进行 1 次预防性试验，每月一次现场巡查电力设备，对电力设备运行数据整理汇总</w:t>
      </w:r>
      <w:r>
        <w:rPr>
          <w:rFonts w:hint="eastAsia" w:ascii="宋体" w:hAnsi="宋体" w:eastAsia="宋体"/>
          <w:b w:val="0"/>
          <w:bCs/>
          <w:color w:val="auto"/>
          <w:sz w:val="24"/>
          <w:szCs w:val="18"/>
          <w:highlight w:val="none"/>
          <w:lang w:eastAsia="zh-CN"/>
        </w:rPr>
        <w:t>，</w:t>
      </w:r>
      <w:r>
        <w:rPr>
          <w:rFonts w:hint="eastAsia" w:ascii="宋体" w:hAnsi="宋体" w:eastAsia="宋体"/>
          <w:b w:val="0"/>
          <w:bCs/>
          <w:color w:val="auto"/>
          <w:sz w:val="24"/>
          <w:szCs w:val="18"/>
          <w:highlight w:val="none"/>
        </w:rPr>
        <w:t>测试电力设备运行状态是否可靠良好，试验后所得数据以文件形式将电力设备运行状态汇报给滁州市科学技术馆。</w:t>
      </w:r>
    </w:p>
    <w:p w14:paraId="1EF820E4">
      <w:pPr>
        <w:widowControl/>
        <w:spacing w:line="500" w:lineRule="exact"/>
        <w:ind w:firstLine="480" w:firstLineChars="20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1）高（低）压变（配）电房张贴有高（低）压变（配）电工作制度，配备相应的操作工具和安全操作保护设施；</w:t>
      </w:r>
    </w:p>
    <w:p w14:paraId="398C849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2）按照规定的周期进行高压、低压电气设备试验，留存高压、低压电气测试合格的报告；</w:t>
      </w:r>
    </w:p>
    <w:p w14:paraId="6709758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3）按照规定的周期对供电和变配电设备设施进行检查、维护、清洁，并做记录；</w:t>
      </w:r>
    </w:p>
    <w:p w14:paraId="172B1E2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设备巡查频次和内容</w:t>
      </w:r>
    </w:p>
    <w:tbl>
      <w:tblPr>
        <w:tblStyle w:val="77"/>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6"/>
        <w:gridCol w:w="4538"/>
        <w:gridCol w:w="2089"/>
      </w:tblGrid>
      <w:tr w14:paraId="4F13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856" w:type="dxa"/>
            <w:vAlign w:val="center"/>
          </w:tcPr>
          <w:p w14:paraId="79FFFE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设备巡查内容</w:t>
            </w:r>
          </w:p>
        </w:tc>
        <w:tc>
          <w:tcPr>
            <w:tcW w:w="4538" w:type="dxa"/>
            <w:vAlign w:val="center"/>
          </w:tcPr>
          <w:p w14:paraId="2C8DAB7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设备运行状态标准</w:t>
            </w:r>
          </w:p>
        </w:tc>
        <w:tc>
          <w:tcPr>
            <w:tcW w:w="2089" w:type="dxa"/>
            <w:vAlign w:val="center"/>
          </w:tcPr>
          <w:p w14:paraId="797AFF8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设备巡查频次</w:t>
            </w:r>
          </w:p>
        </w:tc>
      </w:tr>
      <w:tr w14:paraId="18B8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0C34B57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机房卫生、通风、温度、 湿度</w:t>
            </w:r>
          </w:p>
        </w:tc>
        <w:tc>
          <w:tcPr>
            <w:tcW w:w="4538" w:type="dxa"/>
            <w:vAlign w:val="center"/>
          </w:tcPr>
          <w:p w14:paraId="067FC1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干净，温度不超过45℃ , 湿度正常，通风 良好。</w:t>
            </w:r>
          </w:p>
        </w:tc>
        <w:tc>
          <w:tcPr>
            <w:tcW w:w="2089" w:type="dxa"/>
            <w:vMerge w:val="restart"/>
            <w:tcBorders>
              <w:bottom w:val="nil"/>
            </w:tcBorders>
            <w:vAlign w:val="center"/>
          </w:tcPr>
          <w:p w14:paraId="46C2B61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1次/天</w:t>
            </w:r>
          </w:p>
        </w:tc>
      </w:tr>
      <w:tr w14:paraId="238A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786E7B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机房应急照明、消防设施</w:t>
            </w:r>
          </w:p>
        </w:tc>
        <w:tc>
          <w:tcPr>
            <w:tcW w:w="4538" w:type="dxa"/>
            <w:vAlign w:val="center"/>
          </w:tcPr>
          <w:p w14:paraId="647CA6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应急照明使用正常，消防设施完好并定期 检查合格。</w:t>
            </w:r>
          </w:p>
        </w:tc>
        <w:tc>
          <w:tcPr>
            <w:tcW w:w="2089" w:type="dxa"/>
            <w:vMerge w:val="continue"/>
            <w:tcBorders>
              <w:top w:val="nil"/>
              <w:bottom w:val="nil"/>
            </w:tcBorders>
            <w:vAlign w:val="top"/>
          </w:tcPr>
          <w:p w14:paraId="2473FAB7">
            <w:pPr>
              <w:jc w:val="center"/>
              <w:rPr>
                <w:rFonts w:hint="eastAsia" w:ascii="宋体" w:hAnsi="宋体" w:eastAsia="宋体" w:cs="宋体"/>
                <w:color w:val="auto"/>
                <w:sz w:val="24"/>
                <w:szCs w:val="24"/>
                <w:highlight w:val="none"/>
              </w:rPr>
            </w:pPr>
          </w:p>
        </w:tc>
      </w:tr>
      <w:tr w14:paraId="39AE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856" w:type="dxa"/>
            <w:vAlign w:val="center"/>
          </w:tcPr>
          <w:p w14:paraId="3C3098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运行电流、电压</w:t>
            </w:r>
          </w:p>
        </w:tc>
        <w:tc>
          <w:tcPr>
            <w:tcW w:w="4538" w:type="dxa"/>
            <w:vAlign w:val="center"/>
          </w:tcPr>
          <w:p w14:paraId="6F691CA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运行电流、电压满足市电供电要求。</w:t>
            </w:r>
          </w:p>
        </w:tc>
        <w:tc>
          <w:tcPr>
            <w:tcW w:w="2089" w:type="dxa"/>
            <w:vMerge w:val="continue"/>
            <w:tcBorders>
              <w:top w:val="nil"/>
              <w:bottom w:val="nil"/>
            </w:tcBorders>
            <w:vAlign w:val="top"/>
          </w:tcPr>
          <w:p w14:paraId="724B537A">
            <w:pPr>
              <w:jc w:val="center"/>
              <w:rPr>
                <w:rFonts w:hint="eastAsia" w:ascii="宋体" w:hAnsi="宋体" w:eastAsia="宋体" w:cs="宋体"/>
                <w:color w:val="auto"/>
                <w:sz w:val="24"/>
                <w:szCs w:val="24"/>
                <w:highlight w:val="none"/>
              </w:rPr>
            </w:pPr>
          </w:p>
        </w:tc>
      </w:tr>
      <w:tr w14:paraId="50A23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856" w:type="dxa"/>
            <w:vAlign w:val="center"/>
          </w:tcPr>
          <w:p w14:paraId="167C4E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运行功率因素</w:t>
            </w:r>
          </w:p>
        </w:tc>
        <w:tc>
          <w:tcPr>
            <w:tcW w:w="4538" w:type="dxa"/>
            <w:vAlign w:val="center"/>
          </w:tcPr>
          <w:p w14:paraId="238283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满足市电供电要求。</w:t>
            </w:r>
          </w:p>
        </w:tc>
        <w:tc>
          <w:tcPr>
            <w:tcW w:w="2089" w:type="dxa"/>
            <w:vMerge w:val="continue"/>
            <w:tcBorders>
              <w:top w:val="nil"/>
              <w:bottom w:val="nil"/>
            </w:tcBorders>
            <w:vAlign w:val="top"/>
          </w:tcPr>
          <w:p w14:paraId="2C8F7FB7">
            <w:pPr>
              <w:jc w:val="center"/>
              <w:rPr>
                <w:rFonts w:hint="eastAsia" w:ascii="宋体" w:hAnsi="宋体" w:eastAsia="宋体" w:cs="宋体"/>
                <w:color w:val="auto"/>
                <w:sz w:val="24"/>
                <w:szCs w:val="24"/>
                <w:highlight w:val="none"/>
              </w:rPr>
            </w:pPr>
          </w:p>
        </w:tc>
      </w:tr>
      <w:tr w14:paraId="5CB7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856" w:type="dxa"/>
            <w:vAlign w:val="center"/>
          </w:tcPr>
          <w:p w14:paraId="5E2562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变压器负荷率、温度</w:t>
            </w:r>
          </w:p>
        </w:tc>
        <w:tc>
          <w:tcPr>
            <w:tcW w:w="4538" w:type="dxa"/>
            <w:vAlign w:val="center"/>
          </w:tcPr>
          <w:p w14:paraId="513ED6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负荷率不低于50%，温度不超85℃。</w:t>
            </w:r>
          </w:p>
        </w:tc>
        <w:tc>
          <w:tcPr>
            <w:tcW w:w="2089" w:type="dxa"/>
            <w:vMerge w:val="continue"/>
            <w:tcBorders>
              <w:top w:val="nil"/>
              <w:bottom w:val="nil"/>
            </w:tcBorders>
            <w:vAlign w:val="top"/>
          </w:tcPr>
          <w:p w14:paraId="11DB3CA9">
            <w:pPr>
              <w:jc w:val="center"/>
              <w:rPr>
                <w:rFonts w:hint="eastAsia" w:ascii="宋体" w:hAnsi="宋体" w:eastAsia="宋体" w:cs="宋体"/>
                <w:color w:val="auto"/>
                <w:sz w:val="24"/>
                <w:szCs w:val="24"/>
                <w:highlight w:val="none"/>
              </w:rPr>
            </w:pPr>
          </w:p>
        </w:tc>
      </w:tr>
      <w:tr w14:paraId="7DDBF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2856" w:type="dxa"/>
            <w:vAlign w:val="center"/>
          </w:tcPr>
          <w:p w14:paraId="4D13BA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断路器、空气开关；</w:t>
            </w:r>
          </w:p>
        </w:tc>
        <w:tc>
          <w:tcPr>
            <w:tcW w:w="4538" w:type="dxa"/>
            <w:vAlign w:val="center"/>
          </w:tcPr>
          <w:p w14:paraId="3BC56E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完好，使用正常。</w:t>
            </w:r>
          </w:p>
        </w:tc>
        <w:tc>
          <w:tcPr>
            <w:tcW w:w="2089" w:type="dxa"/>
            <w:vMerge w:val="continue"/>
            <w:tcBorders>
              <w:top w:val="nil"/>
              <w:bottom w:val="nil"/>
            </w:tcBorders>
            <w:vAlign w:val="top"/>
          </w:tcPr>
          <w:p w14:paraId="0D3824C0">
            <w:pPr>
              <w:jc w:val="center"/>
              <w:rPr>
                <w:rFonts w:hint="eastAsia" w:ascii="宋体" w:hAnsi="宋体" w:eastAsia="宋体" w:cs="宋体"/>
                <w:color w:val="auto"/>
                <w:sz w:val="24"/>
                <w:szCs w:val="24"/>
                <w:highlight w:val="none"/>
              </w:rPr>
            </w:pPr>
          </w:p>
        </w:tc>
      </w:tr>
      <w:tr w14:paraId="48DD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257557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各种仪表、指示显示正 常，标示清晰</w:t>
            </w:r>
          </w:p>
        </w:tc>
        <w:tc>
          <w:tcPr>
            <w:tcW w:w="4538" w:type="dxa"/>
            <w:vAlign w:val="center"/>
          </w:tcPr>
          <w:p w14:paraId="658437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完好，使用正常。</w:t>
            </w:r>
          </w:p>
        </w:tc>
        <w:tc>
          <w:tcPr>
            <w:tcW w:w="2089" w:type="dxa"/>
            <w:vMerge w:val="continue"/>
            <w:tcBorders>
              <w:top w:val="nil"/>
              <w:bottom w:val="nil"/>
            </w:tcBorders>
            <w:vAlign w:val="top"/>
          </w:tcPr>
          <w:p w14:paraId="5BD6ECF1">
            <w:pPr>
              <w:jc w:val="center"/>
              <w:rPr>
                <w:rFonts w:hint="eastAsia" w:ascii="宋体" w:hAnsi="宋体" w:eastAsia="宋体" w:cs="宋体"/>
                <w:color w:val="auto"/>
                <w:sz w:val="24"/>
                <w:szCs w:val="24"/>
                <w:highlight w:val="none"/>
              </w:rPr>
            </w:pPr>
          </w:p>
        </w:tc>
      </w:tr>
      <w:tr w14:paraId="6FCB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856" w:type="dxa"/>
            <w:vAlign w:val="center"/>
          </w:tcPr>
          <w:p w14:paraId="34DBE78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设备运行总状况</w:t>
            </w:r>
          </w:p>
        </w:tc>
        <w:tc>
          <w:tcPr>
            <w:tcW w:w="4538" w:type="dxa"/>
            <w:vAlign w:val="center"/>
          </w:tcPr>
          <w:p w14:paraId="436AF2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良好。</w:t>
            </w:r>
          </w:p>
        </w:tc>
        <w:tc>
          <w:tcPr>
            <w:tcW w:w="2089" w:type="dxa"/>
            <w:vMerge w:val="continue"/>
            <w:tcBorders>
              <w:top w:val="nil"/>
              <w:bottom w:val="nil"/>
            </w:tcBorders>
            <w:vAlign w:val="top"/>
          </w:tcPr>
          <w:p w14:paraId="1918BC97">
            <w:pPr>
              <w:jc w:val="center"/>
              <w:rPr>
                <w:rFonts w:hint="eastAsia" w:ascii="宋体" w:hAnsi="宋体" w:eastAsia="宋体" w:cs="宋体"/>
                <w:color w:val="auto"/>
                <w:sz w:val="24"/>
                <w:szCs w:val="24"/>
                <w:highlight w:val="none"/>
              </w:rPr>
            </w:pPr>
          </w:p>
        </w:tc>
      </w:tr>
      <w:tr w14:paraId="72FA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856" w:type="dxa"/>
            <w:vAlign w:val="center"/>
          </w:tcPr>
          <w:p w14:paraId="67945F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机房漏水、积水</w:t>
            </w:r>
          </w:p>
        </w:tc>
        <w:tc>
          <w:tcPr>
            <w:tcW w:w="4538" w:type="dxa"/>
            <w:vAlign w:val="center"/>
          </w:tcPr>
          <w:p w14:paraId="779C09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无漏水、积水。</w:t>
            </w:r>
          </w:p>
        </w:tc>
        <w:tc>
          <w:tcPr>
            <w:tcW w:w="2089" w:type="dxa"/>
            <w:vMerge w:val="continue"/>
            <w:tcBorders>
              <w:top w:val="nil"/>
            </w:tcBorders>
            <w:vAlign w:val="top"/>
          </w:tcPr>
          <w:p w14:paraId="592F703D">
            <w:pPr>
              <w:jc w:val="center"/>
              <w:rPr>
                <w:rFonts w:hint="eastAsia" w:ascii="宋体" w:hAnsi="宋体" w:eastAsia="宋体" w:cs="宋体"/>
                <w:color w:val="auto"/>
                <w:sz w:val="24"/>
                <w:szCs w:val="24"/>
                <w:highlight w:val="none"/>
              </w:rPr>
            </w:pPr>
          </w:p>
        </w:tc>
      </w:tr>
    </w:tbl>
    <w:p w14:paraId="5E0CFA6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4）高（低）压变（配）电柜操作运行正常，检测表计显示准确；</w:t>
      </w:r>
    </w:p>
    <w:p w14:paraId="0C7F37D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5）高（低）压变压器运行正常，温控显示准确，联控动作正常；</w:t>
      </w:r>
    </w:p>
    <w:p w14:paraId="7125A1B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6）变（配）电柜直流操作系统运行正常，蓄电池组充、放电量稳定，符合工作要求；</w:t>
      </w:r>
    </w:p>
    <w:p w14:paraId="5B8A740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7）低压配电柜运行正常，各类表计显示正常；</w:t>
      </w:r>
    </w:p>
    <w:p w14:paraId="6ED950E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8）功率因素自动补偿电容器（组）运行正常，自动切换正确可靠；</w:t>
      </w:r>
    </w:p>
    <w:p w14:paraId="0F37BB4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9）变（配）电系统联络自切正常；</w:t>
      </w:r>
    </w:p>
    <w:p w14:paraId="7D1E82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10）高（低）压变（配）电自身温度应处在合理范围内，一般应≤25℃；</w:t>
      </w:r>
    </w:p>
    <w:p w14:paraId="29434A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11）制定临时用电管理措施；</w:t>
      </w:r>
    </w:p>
    <w:p w14:paraId="10707B9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12）限电、停电应有明确的审批权限，按规定要求提前发布公告。遇紧急情况时，应采取必要的紧急处理措施；</w:t>
      </w:r>
    </w:p>
    <w:p w14:paraId="4F3D8F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13）公共区域的供电设备管井、箱柜门须处于锁闭状态，并配有设备标识、警示标识。临时开启使用时，应挂出防护警示提醒标识；</w:t>
      </w:r>
    </w:p>
    <w:p w14:paraId="091F7F6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14）供电、变配电维修保养要求</w:t>
      </w:r>
    </w:p>
    <w:tbl>
      <w:tblPr>
        <w:tblStyle w:val="77"/>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2"/>
        <w:gridCol w:w="1342"/>
        <w:gridCol w:w="2320"/>
      </w:tblGrid>
      <w:tr w14:paraId="520E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432" w:type="dxa"/>
            <w:vAlign w:val="center"/>
          </w:tcPr>
          <w:p w14:paraId="74CFD3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维修保养内容</w:t>
            </w:r>
          </w:p>
        </w:tc>
        <w:tc>
          <w:tcPr>
            <w:tcW w:w="1342" w:type="dxa"/>
            <w:vAlign w:val="center"/>
          </w:tcPr>
          <w:p w14:paraId="7D88A2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合格标准</w:t>
            </w:r>
          </w:p>
        </w:tc>
        <w:tc>
          <w:tcPr>
            <w:tcW w:w="2320" w:type="dxa"/>
            <w:vAlign w:val="center"/>
          </w:tcPr>
          <w:p w14:paraId="359576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维修保养频次</w:t>
            </w:r>
          </w:p>
        </w:tc>
      </w:tr>
      <w:tr w14:paraId="70D0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432" w:type="dxa"/>
            <w:vAlign w:val="center"/>
          </w:tcPr>
          <w:p w14:paraId="10C9FD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机房卫生清洁，无灰尘、积水、防鼠防鸟网牢固完 整，无漏洞。</w:t>
            </w:r>
          </w:p>
        </w:tc>
        <w:tc>
          <w:tcPr>
            <w:tcW w:w="1342" w:type="dxa"/>
            <w:vAlign w:val="center"/>
          </w:tcPr>
          <w:p w14:paraId="53AA00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w:t>
            </w:r>
          </w:p>
        </w:tc>
        <w:tc>
          <w:tcPr>
            <w:tcW w:w="2320" w:type="dxa"/>
            <w:vAlign w:val="center"/>
          </w:tcPr>
          <w:p w14:paraId="734DF06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26D9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32" w:type="dxa"/>
            <w:vAlign w:val="center"/>
          </w:tcPr>
          <w:p w14:paraId="74551C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配电箱（柜）整洁，门锁正常，开关灵活</w:t>
            </w:r>
          </w:p>
        </w:tc>
        <w:tc>
          <w:tcPr>
            <w:tcW w:w="1342" w:type="dxa"/>
            <w:vAlign w:val="center"/>
          </w:tcPr>
          <w:p w14:paraId="5E95FF3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0294F04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23F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1EB74E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接触器触点良好，无烧蚀，声音正常</w:t>
            </w:r>
          </w:p>
        </w:tc>
        <w:tc>
          <w:tcPr>
            <w:tcW w:w="1342" w:type="dxa"/>
            <w:vAlign w:val="center"/>
          </w:tcPr>
          <w:p w14:paraId="5C59A0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259BEF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1174C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7D09E2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继电器延时准确，接线触点完好</w:t>
            </w:r>
          </w:p>
        </w:tc>
        <w:tc>
          <w:tcPr>
            <w:tcW w:w="1342" w:type="dxa"/>
            <w:vAlign w:val="center"/>
          </w:tcPr>
          <w:p w14:paraId="2B4DB1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3CED4B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1BC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432" w:type="dxa"/>
            <w:vAlign w:val="center"/>
          </w:tcPr>
          <w:p w14:paraId="519F45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按钮、指示灯接线完好，触点接触可靠，指示灯明亮</w:t>
            </w:r>
          </w:p>
        </w:tc>
        <w:tc>
          <w:tcPr>
            <w:tcW w:w="1342" w:type="dxa"/>
            <w:vAlign w:val="center"/>
          </w:tcPr>
          <w:p w14:paraId="10DCB2F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03BEDC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5CD28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3F4478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熔断器底座牢固，接触良好</w:t>
            </w:r>
          </w:p>
        </w:tc>
        <w:tc>
          <w:tcPr>
            <w:tcW w:w="1342" w:type="dxa"/>
            <w:vAlign w:val="center"/>
          </w:tcPr>
          <w:p w14:paraId="422101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4CB88B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4072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432" w:type="dxa"/>
            <w:vAlign w:val="center"/>
          </w:tcPr>
          <w:p w14:paraId="0B635A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电容器无膨胀或高温渗油现象</w:t>
            </w:r>
          </w:p>
        </w:tc>
        <w:tc>
          <w:tcPr>
            <w:tcW w:w="1342" w:type="dxa"/>
            <w:vAlign w:val="center"/>
          </w:tcPr>
          <w:p w14:paraId="42AE48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5454067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F39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60F540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互感器接线柱牢靠，无发热</w:t>
            </w:r>
          </w:p>
        </w:tc>
        <w:tc>
          <w:tcPr>
            <w:tcW w:w="1342" w:type="dxa"/>
            <w:vAlign w:val="center"/>
          </w:tcPr>
          <w:p w14:paraId="42CBD0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7F34CE6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73A20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432" w:type="dxa"/>
            <w:vAlign w:val="center"/>
          </w:tcPr>
          <w:p w14:paraId="3ED30F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电度表、仪表，指示、计量精确，接线完好</w:t>
            </w:r>
          </w:p>
        </w:tc>
        <w:tc>
          <w:tcPr>
            <w:tcW w:w="1342" w:type="dxa"/>
            <w:vAlign w:val="center"/>
          </w:tcPr>
          <w:p w14:paraId="41FE40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06AA50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0D94A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32" w:type="dxa"/>
            <w:vAlign w:val="center"/>
          </w:tcPr>
          <w:p w14:paraId="063993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开关接触良好，开断正常，无发热</w:t>
            </w:r>
          </w:p>
        </w:tc>
        <w:tc>
          <w:tcPr>
            <w:tcW w:w="1342" w:type="dxa"/>
            <w:vAlign w:val="center"/>
          </w:tcPr>
          <w:p w14:paraId="6ABFDD5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1EA4F9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7C60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5432" w:type="dxa"/>
            <w:vAlign w:val="center"/>
          </w:tcPr>
          <w:p w14:paraId="796EDA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清洁电柜内灰尘</w:t>
            </w:r>
          </w:p>
        </w:tc>
        <w:tc>
          <w:tcPr>
            <w:tcW w:w="1342" w:type="dxa"/>
            <w:vAlign w:val="center"/>
          </w:tcPr>
          <w:p w14:paraId="30A3CC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w:t>
            </w:r>
          </w:p>
        </w:tc>
        <w:tc>
          <w:tcPr>
            <w:tcW w:w="2320" w:type="dxa"/>
            <w:vAlign w:val="center"/>
          </w:tcPr>
          <w:p w14:paraId="0A48CB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1次/季</w:t>
            </w:r>
          </w:p>
        </w:tc>
      </w:tr>
    </w:tbl>
    <w:p w14:paraId="0807A9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（3）给排水系统</w:t>
      </w:r>
    </w:p>
    <w:p w14:paraId="6AD779E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1）给排水系统应定期对给排水系统进行维护、润滑；</w:t>
      </w:r>
    </w:p>
    <w:p w14:paraId="2EAD412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2）每周检查一次污水泵、提升泵、排水泵、阀门等，排水系统通畅，各种管道阀门完好，仪表显示正确，无跑、冒、滴、漏；</w:t>
      </w:r>
    </w:p>
    <w:p w14:paraId="7770AAC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3）定期对污水处理系统全面维护保养,作业人员应有相应的职业资格；系统无明显异味和噪声；污水排放达到《污水综合排放标准》的要求；</w:t>
      </w:r>
    </w:p>
    <w:p w14:paraId="642D805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4）用户末端的水压及流量满足使用要求；</w:t>
      </w:r>
    </w:p>
    <w:p w14:paraId="3803443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5）每季对楼宇排水总管进行检查，定期对水泵、管道进行除锈油漆；</w:t>
      </w:r>
    </w:p>
    <w:p w14:paraId="6359985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6）定期对水泵、水质处理和消毒装置及设备控制柜进行保养；</w:t>
      </w:r>
    </w:p>
    <w:p w14:paraId="77A7475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7）如遇供水单位限水、停水，应按规定时间通知采购人的各部门；</w:t>
      </w:r>
    </w:p>
    <w:p w14:paraId="74E010C0">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负责馆内污水井、化粪池等区域的定期抽污及疏通工作，建立日常巡查机制，确保污水管道通畅不堵塞。抽污频率需根据场馆实际使用情况制定（每月至少1次定期检查，发现淤积及时处理），相关设备租赁、人工、清运等所有费用由中标人承担，无论费用是否超过1000元，均包含在合同价款中，采购不再为此支付其他费用。</w:t>
      </w:r>
    </w:p>
    <w:p w14:paraId="0BB984D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（4）升降设备系统</w:t>
      </w:r>
    </w:p>
    <w:p w14:paraId="4E51D07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1）电梯维修保养单位对电梯运行进行管理，对电梯实施定期保养，并做好日常电梯运行的巡检与记录；中标人对电梯运行和保养情况进行监督；</w:t>
      </w:r>
    </w:p>
    <w:p w14:paraId="02AFFCC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2）电梯应由专业维修保养资质的单位进行定期保养，每年进行安全检测并持有有效的《安全使用许可证》，确保电梯在有效期内安全运行；</w:t>
      </w:r>
    </w:p>
    <w:p w14:paraId="35DC9B2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3）保证电梯24小时运行，电梯运行平稳，乘座舒适，电梯准确启动运行，停层准确。轿厢内、外按钮、灯具等配件保持完好，轿厢整洁；</w:t>
      </w:r>
    </w:p>
    <w:p w14:paraId="0071ED3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4）电梯发生一般故障，专业维修人员应在30分钟内到场修理。发生电梯困人或其它重大事件时，应及时处理，专业维修人员应在15分钟内达到场抢修。</w:t>
      </w:r>
    </w:p>
    <w:p w14:paraId="6E3BC68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（5）中央空调系统（包括办公区域VRV空调系统）</w:t>
      </w:r>
    </w:p>
    <w:p w14:paraId="29A745E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1）对中央空调系统的维护保养应该按照规定的频次进行</w:t>
      </w:r>
    </w:p>
    <w:tbl>
      <w:tblPr>
        <w:tblStyle w:val="77"/>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7"/>
        <w:gridCol w:w="4881"/>
        <w:gridCol w:w="1195"/>
      </w:tblGrid>
      <w:tr w14:paraId="33B5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27" w:type="dxa"/>
            <w:vAlign w:val="center"/>
          </w:tcPr>
          <w:p w14:paraId="7ACED9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设备巡查内容</w:t>
            </w:r>
          </w:p>
        </w:tc>
        <w:tc>
          <w:tcPr>
            <w:tcW w:w="4881" w:type="dxa"/>
            <w:vAlign w:val="center"/>
          </w:tcPr>
          <w:p w14:paraId="51AB213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设备运行状态标准</w:t>
            </w:r>
          </w:p>
        </w:tc>
        <w:tc>
          <w:tcPr>
            <w:tcW w:w="1195" w:type="dxa"/>
            <w:vAlign w:val="center"/>
          </w:tcPr>
          <w:p w14:paraId="58E242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频次</w:t>
            </w:r>
          </w:p>
        </w:tc>
      </w:tr>
      <w:tr w14:paraId="3477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427" w:type="dxa"/>
            <w:vAlign w:val="center"/>
          </w:tcPr>
          <w:p w14:paraId="12C49F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机房卫生、通风、温度</w:t>
            </w:r>
          </w:p>
        </w:tc>
        <w:tc>
          <w:tcPr>
            <w:tcW w:w="4881" w:type="dxa"/>
            <w:vAlign w:val="center"/>
          </w:tcPr>
          <w:p w14:paraId="62A8733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干净，温度不超过45℃ , 通风良好。</w:t>
            </w:r>
          </w:p>
        </w:tc>
        <w:tc>
          <w:tcPr>
            <w:tcW w:w="1195" w:type="dxa"/>
            <w:vMerge w:val="restart"/>
            <w:tcBorders>
              <w:bottom w:val="nil"/>
            </w:tcBorders>
            <w:vAlign w:val="center"/>
          </w:tcPr>
          <w:p w14:paraId="4373058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2次/天</w:t>
            </w:r>
          </w:p>
        </w:tc>
      </w:tr>
      <w:tr w14:paraId="6FD2C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1AF7D1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机房应急照明、消防设施</w:t>
            </w:r>
          </w:p>
        </w:tc>
        <w:tc>
          <w:tcPr>
            <w:tcW w:w="4881" w:type="dxa"/>
            <w:vAlign w:val="center"/>
          </w:tcPr>
          <w:p w14:paraId="7226B28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应急照明使用正常，消防设施完好并定期检 查合格。</w:t>
            </w:r>
          </w:p>
        </w:tc>
        <w:tc>
          <w:tcPr>
            <w:tcW w:w="1195" w:type="dxa"/>
            <w:vMerge w:val="continue"/>
            <w:tcBorders>
              <w:top w:val="nil"/>
              <w:bottom w:val="nil"/>
            </w:tcBorders>
            <w:vAlign w:val="top"/>
          </w:tcPr>
          <w:p w14:paraId="6B28073E">
            <w:pPr>
              <w:rPr>
                <w:rFonts w:hint="eastAsia"/>
                <w:color w:val="auto"/>
                <w:highlight w:val="none"/>
              </w:rPr>
            </w:pPr>
          </w:p>
        </w:tc>
      </w:tr>
      <w:tr w14:paraId="62667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3DD9C92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水泵、阀门漏水及阀门开闭</w:t>
            </w:r>
          </w:p>
        </w:tc>
        <w:tc>
          <w:tcPr>
            <w:tcW w:w="4881" w:type="dxa"/>
            <w:vAlign w:val="center"/>
          </w:tcPr>
          <w:p w14:paraId="27845A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无明显漏水，阀门开闭正确。</w:t>
            </w:r>
          </w:p>
        </w:tc>
        <w:tc>
          <w:tcPr>
            <w:tcW w:w="1195" w:type="dxa"/>
            <w:vMerge w:val="continue"/>
            <w:tcBorders>
              <w:top w:val="nil"/>
              <w:bottom w:val="nil"/>
            </w:tcBorders>
            <w:vAlign w:val="top"/>
          </w:tcPr>
          <w:p w14:paraId="5A06C086">
            <w:pPr>
              <w:rPr>
                <w:rFonts w:hint="eastAsia"/>
                <w:color w:val="auto"/>
                <w:highlight w:val="none"/>
              </w:rPr>
            </w:pPr>
          </w:p>
        </w:tc>
      </w:tr>
      <w:tr w14:paraId="08BF4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3427" w:type="dxa"/>
            <w:vAlign w:val="center"/>
          </w:tcPr>
          <w:p w14:paraId="43CAA78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设备运行电流、电压</w:t>
            </w:r>
          </w:p>
        </w:tc>
        <w:tc>
          <w:tcPr>
            <w:tcW w:w="4881" w:type="dxa"/>
            <w:vAlign w:val="center"/>
          </w:tcPr>
          <w:p w14:paraId="39E39F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符合设计电流、电压。</w:t>
            </w:r>
          </w:p>
        </w:tc>
        <w:tc>
          <w:tcPr>
            <w:tcW w:w="1195" w:type="dxa"/>
            <w:vMerge w:val="continue"/>
            <w:tcBorders>
              <w:top w:val="nil"/>
              <w:bottom w:val="nil"/>
            </w:tcBorders>
            <w:vAlign w:val="top"/>
          </w:tcPr>
          <w:p w14:paraId="06A338DE">
            <w:pPr>
              <w:rPr>
                <w:rFonts w:hint="eastAsia"/>
                <w:color w:val="auto"/>
                <w:highlight w:val="none"/>
              </w:rPr>
            </w:pPr>
          </w:p>
        </w:tc>
      </w:tr>
      <w:tr w14:paraId="6ED0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75B4F9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冷冻水进出水温度及冷却水进 出水温度</w:t>
            </w:r>
          </w:p>
        </w:tc>
        <w:tc>
          <w:tcPr>
            <w:tcW w:w="4881" w:type="dxa"/>
            <w:vAlign w:val="center"/>
          </w:tcPr>
          <w:p w14:paraId="404D56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符合设计要求。</w:t>
            </w:r>
          </w:p>
        </w:tc>
        <w:tc>
          <w:tcPr>
            <w:tcW w:w="1195" w:type="dxa"/>
            <w:vMerge w:val="continue"/>
            <w:tcBorders>
              <w:top w:val="nil"/>
              <w:bottom w:val="nil"/>
            </w:tcBorders>
            <w:vAlign w:val="top"/>
          </w:tcPr>
          <w:p w14:paraId="4BF6E9A1">
            <w:pPr>
              <w:rPr>
                <w:rFonts w:hint="eastAsia"/>
                <w:color w:val="auto"/>
                <w:highlight w:val="none"/>
              </w:rPr>
            </w:pPr>
          </w:p>
        </w:tc>
      </w:tr>
      <w:tr w14:paraId="2562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322AE12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冷冻水及冷却水出水压力</w:t>
            </w:r>
          </w:p>
        </w:tc>
        <w:tc>
          <w:tcPr>
            <w:tcW w:w="4881" w:type="dxa"/>
            <w:vAlign w:val="center"/>
          </w:tcPr>
          <w:p w14:paraId="340F5D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符合设计要求。</w:t>
            </w:r>
          </w:p>
        </w:tc>
        <w:tc>
          <w:tcPr>
            <w:tcW w:w="1195" w:type="dxa"/>
            <w:vMerge w:val="continue"/>
            <w:tcBorders>
              <w:top w:val="nil"/>
              <w:bottom w:val="nil"/>
            </w:tcBorders>
            <w:vAlign w:val="top"/>
          </w:tcPr>
          <w:p w14:paraId="51926FDC">
            <w:pPr>
              <w:rPr>
                <w:rFonts w:hint="eastAsia"/>
                <w:color w:val="auto"/>
                <w:highlight w:val="none"/>
              </w:rPr>
            </w:pPr>
          </w:p>
        </w:tc>
      </w:tr>
      <w:tr w14:paraId="72F4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04AC48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高压、低压及油压回路</w:t>
            </w:r>
          </w:p>
        </w:tc>
        <w:tc>
          <w:tcPr>
            <w:tcW w:w="4881" w:type="dxa"/>
            <w:vAlign w:val="center"/>
          </w:tcPr>
          <w:p w14:paraId="37501B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油路畅通无漏油，压力符合产品设计要求。</w:t>
            </w:r>
          </w:p>
        </w:tc>
        <w:tc>
          <w:tcPr>
            <w:tcW w:w="1195" w:type="dxa"/>
            <w:vMerge w:val="continue"/>
            <w:tcBorders>
              <w:top w:val="nil"/>
              <w:bottom w:val="nil"/>
            </w:tcBorders>
            <w:vAlign w:val="top"/>
          </w:tcPr>
          <w:p w14:paraId="67423EDD">
            <w:pPr>
              <w:rPr>
                <w:rFonts w:hint="eastAsia"/>
                <w:color w:val="auto"/>
                <w:highlight w:val="none"/>
              </w:rPr>
            </w:pPr>
          </w:p>
        </w:tc>
      </w:tr>
      <w:tr w14:paraId="66F5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17342D3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各种仪表、指示显示正常，标 示清晰</w:t>
            </w:r>
          </w:p>
        </w:tc>
        <w:tc>
          <w:tcPr>
            <w:tcW w:w="4881" w:type="dxa"/>
            <w:vAlign w:val="center"/>
          </w:tcPr>
          <w:p w14:paraId="2098AE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油路畅通无漏油，压力符合产品设计要求。</w:t>
            </w:r>
          </w:p>
        </w:tc>
        <w:tc>
          <w:tcPr>
            <w:tcW w:w="1195" w:type="dxa"/>
            <w:vMerge w:val="continue"/>
            <w:tcBorders>
              <w:top w:val="nil"/>
              <w:bottom w:val="nil"/>
            </w:tcBorders>
            <w:vAlign w:val="top"/>
          </w:tcPr>
          <w:p w14:paraId="37C10748">
            <w:pPr>
              <w:rPr>
                <w:rFonts w:hint="eastAsia"/>
                <w:color w:val="auto"/>
                <w:highlight w:val="none"/>
              </w:rPr>
            </w:pPr>
          </w:p>
        </w:tc>
      </w:tr>
      <w:tr w14:paraId="3B6CF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78D059E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主机及各种水泵运行情况</w:t>
            </w:r>
          </w:p>
        </w:tc>
        <w:tc>
          <w:tcPr>
            <w:tcW w:w="4881" w:type="dxa"/>
            <w:vAlign w:val="center"/>
          </w:tcPr>
          <w:p w14:paraId="6FF7FC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运行正常。</w:t>
            </w:r>
          </w:p>
        </w:tc>
        <w:tc>
          <w:tcPr>
            <w:tcW w:w="1195" w:type="dxa"/>
            <w:vMerge w:val="continue"/>
            <w:tcBorders>
              <w:top w:val="nil"/>
              <w:bottom w:val="nil"/>
            </w:tcBorders>
            <w:vAlign w:val="top"/>
          </w:tcPr>
          <w:p w14:paraId="68E11295">
            <w:pPr>
              <w:rPr>
                <w:rFonts w:hint="eastAsia"/>
                <w:color w:val="auto"/>
                <w:highlight w:val="none"/>
              </w:rPr>
            </w:pPr>
          </w:p>
        </w:tc>
      </w:tr>
      <w:tr w14:paraId="29BA2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27" w:type="dxa"/>
            <w:vAlign w:val="center"/>
          </w:tcPr>
          <w:p w14:paraId="219FC8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冷却塔运行情况</w:t>
            </w:r>
          </w:p>
        </w:tc>
        <w:tc>
          <w:tcPr>
            <w:tcW w:w="4881" w:type="dxa"/>
            <w:vAlign w:val="center"/>
          </w:tcPr>
          <w:p w14:paraId="0915E4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运行正常。</w:t>
            </w:r>
          </w:p>
        </w:tc>
        <w:tc>
          <w:tcPr>
            <w:tcW w:w="1195" w:type="dxa"/>
            <w:vMerge w:val="continue"/>
            <w:tcBorders>
              <w:top w:val="nil"/>
            </w:tcBorders>
            <w:vAlign w:val="top"/>
          </w:tcPr>
          <w:p w14:paraId="78E8EFDE">
            <w:pPr>
              <w:rPr>
                <w:rFonts w:hint="eastAsia"/>
                <w:color w:val="auto"/>
                <w:highlight w:val="none"/>
              </w:rPr>
            </w:pPr>
          </w:p>
        </w:tc>
      </w:tr>
    </w:tbl>
    <w:p w14:paraId="1AA4905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2）定期对空调系统开机前进行检查，测试运行控制和安全控制功能，记录运行参数，分析运行记录；</w:t>
      </w:r>
    </w:p>
    <w:p w14:paraId="19DF4E1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3）定期检查冷却塔风机变速齿轮箱、淋水装置、循环泵、电器控制箱，保证冷却塔及附属设施的正常运行和良好保养，提供符合要求的冷却水；</w:t>
      </w:r>
    </w:p>
    <w:p w14:paraId="68FD74C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4）定期对空气处理单元、新风处理单元、风机盘管、滤网、加湿器、风阀、积水盘、风机表冷器进行清洗和保养；定期清洗和更换空调机组的空气过滤器、冷凝水积水盘和冷凝水管道；</w:t>
      </w:r>
    </w:p>
    <w:p w14:paraId="7ECC983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5）定期进行循环泵、空调主机、冷却风机电柜主电路螺栓紧固，测试绝缘值，作好记录；</w:t>
      </w:r>
    </w:p>
    <w:p w14:paraId="0886D1B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6）定期对空调系统主机、水泵、电机、管道、膨胀水箱、集水器、分水器进行检查保养；</w:t>
      </w:r>
    </w:p>
    <w:p w14:paraId="679C31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7）各种管道完好，阀件及仪表齐备，无跑、冒、滴、漏；</w:t>
      </w:r>
    </w:p>
    <w:p w14:paraId="68D10D0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8）保证冷冻主机及附属设施的正常运行和良好保养，提供符合要求的冷冻水；</w:t>
      </w:r>
    </w:p>
    <w:p w14:paraId="47BF2E0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9）对空调循环水质进行维护保养和水质分析，保证水系统内的水质符合国家标准要求；</w:t>
      </w:r>
    </w:p>
    <w:p w14:paraId="3D20BDC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10）能量计费系统处于完好状态；</w:t>
      </w:r>
    </w:p>
    <w:p w14:paraId="6B13FE0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）定期检查空调机组马达、风机的运转情况，记录运行参数；</w:t>
      </w:r>
    </w:p>
    <w:p w14:paraId="29ED350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）定期安排对新风量、排风量的测定；</w:t>
      </w:r>
    </w:p>
    <w:p w14:paraId="1FE9CE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）应考虑定期安排对空气品质的测定；</w:t>
      </w:r>
    </w:p>
    <w:p w14:paraId="1B224C4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）定期安排对风管系统的清洗；</w:t>
      </w:r>
    </w:p>
    <w:p w14:paraId="124AFAD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）空调柜机在质保期外的由中标人进行日常维修。</w:t>
      </w:r>
    </w:p>
    <w:p w14:paraId="43DB929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（6）公共照明系统（包含办公区域照明系统）</w:t>
      </w:r>
    </w:p>
    <w:p w14:paraId="1FD2EB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1）公共照明系统应每天一次巡检，楼宇亮化、公用会议室、门厅、电梯间、 楼梯间、休息室、楼道等公共部位应保持99%以上的亮灯率，如有缺损，应及时更换；</w:t>
      </w:r>
    </w:p>
    <w:p w14:paraId="219085F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2）每月一次对泛光照明灯具、吊灯等外观进行检查，保持清洁完好，并保持99%以上的亮灯率；</w:t>
      </w:r>
    </w:p>
    <w:p w14:paraId="1A340FE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3）每天一次巡检公共照明电气柜电器设备，遇有故障，应及时处置，保证运行安全、正常；</w:t>
      </w:r>
    </w:p>
    <w:p w14:paraId="14354A3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4）在确保安全的条件下，组织对馆内、展品等相关部分照明的维修。展品等相关部分照明维修，采购人现场监督实施；</w:t>
      </w:r>
    </w:p>
    <w:p w14:paraId="5EA612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）做好节能减排工作。</w:t>
      </w:r>
    </w:p>
    <w:p w14:paraId="66B0507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（7）馆内电子设备（电脑、投影仪、音响、触摸屏等）</w:t>
      </w:r>
    </w:p>
    <w:p w14:paraId="1F7122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1）馆内电子设备的日常运行管理；</w:t>
      </w:r>
    </w:p>
    <w:p w14:paraId="45A595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2）工程质量保修期结束后的设备维修保养；</w:t>
      </w:r>
    </w:p>
    <w:p w14:paraId="747765C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3）设备维修保养应及时高效，维修时间一般不超过3天；重大接待、重大活 动、节假日前进行设备检查；</w:t>
      </w:r>
    </w:p>
    <w:p w14:paraId="3D5D28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4）配合施工单位质保期间的维修工作。</w:t>
      </w:r>
    </w:p>
    <w:p w14:paraId="23F873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（8）消防系统</w:t>
      </w:r>
    </w:p>
    <w:p w14:paraId="61CDFFA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1）应对各项消防设备按规定进行定期检查，保证设施齐全、功能运行正常；</w:t>
      </w:r>
    </w:p>
    <w:p w14:paraId="464A2C2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火灾探测器定期进行实效模拟试验，探测器至少每年进行一次清洗，及时更换失效的器件。当被检测探头响应参数达到预定值时，探测器应当输出火警信号，同时启动探测器的确认灯。操作启动部件，手动火灾报警按钮应当能输出火灾报警信号，报警按钮应当有动作显示；</w:t>
      </w:r>
    </w:p>
    <w:p w14:paraId="46ADDC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3）每年应进行四次消防联动，检测各类消防系统各类运行参数和状况并作记录；</w:t>
      </w:r>
    </w:p>
    <w:p w14:paraId="774EDC7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4）消防灭火设施、器材应处于良好的待命状态，气体灭火装置应每季进行信号测试与压力状态检查，大空间消防水泵灭火装置应每年检测一次；</w:t>
      </w:r>
    </w:p>
    <w:p w14:paraId="2340AD20">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5）消防泵、喷淋泵、大空间泵、稳压泵（包括主备泵）每月启动一次并作记录，每年保养一次，保证工作正常、整洁；</w:t>
      </w:r>
    </w:p>
    <w:p w14:paraId="375977C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6）消火栓箱每月巡查一次，保持消火栓箱内各种配件完好；</w:t>
      </w:r>
    </w:p>
    <w:p w14:paraId="48A191A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7）消防水带每月巡查一次，阀杆处每半年加注润滑油并做放水检查一次。 灭火器到期更换，保证处于有效期；</w:t>
      </w:r>
    </w:p>
    <w:p w14:paraId="4C2FB4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8）运行保障应保证消防等系统设备，保证以下功能：</w:t>
      </w:r>
    </w:p>
    <w:p w14:paraId="6DA6282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A、火灾时应能在消防控制室将火灾疏散层的扬声器和广播背景音响系统强 制转入火灾应急广播状态，并控制在选定的楼层（区域）内；</w:t>
      </w:r>
    </w:p>
    <w:p w14:paraId="0428D16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B、报警功能：设备能正常接收来自火灾探测器及其它报警触发器件的火灾报警信号，发出声、光信号；</w:t>
      </w:r>
    </w:p>
    <w:p w14:paraId="0D3509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C、故障报警功能：当控制器和火灾探测器、控制器和传输火灾报警信号作用的部件发生故障时，应当正确指示出故障部位；</w:t>
      </w:r>
    </w:p>
    <w:p w14:paraId="69C8F40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D、火警优先功能：显示预报警和故障信号时，如有火灾报警信号输入，应当立即显示火灾报警信号；显示故障信号时，如有预报警信号输入，应当显示预报警信号；</w:t>
      </w:r>
    </w:p>
    <w:p w14:paraId="1FBE84D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E、电源转换功能：主电源切断时，备用电源应当能自动投入运行；当主电源恢复时能从备用电源自动转入主电源状态；</w:t>
      </w:r>
    </w:p>
    <w:p w14:paraId="4BAB33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F、火灾确认后，发出控制信号，强制电梯全部停于首层，并接受其反馈信号。消防电梯联动迫降后可进行人工操作，其功能、信号均应当正常。火灾确认后，应当控制相应部位的正压风机和排烟风机启动，接受其反馈信号并显示其状态；</w:t>
      </w:r>
    </w:p>
    <w:p w14:paraId="37B3BBC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G、火灾确认后，发出控制信号，将着火层的防烟风阀、排烟阀打开，接受其反馈信号并显示其状态；</w:t>
      </w:r>
    </w:p>
    <w:p w14:paraId="74561DE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H、消防控制室在确认火灾后，应当能控制有关部位的防火卷帘门按规定程序下降，接受其反馈信号并显示其状态；</w:t>
      </w:r>
    </w:p>
    <w:p w14:paraId="57E8F43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I、火灾确认后，应当释放建筑内的所有门禁装置，保证疏散门的畅通；</w:t>
      </w:r>
    </w:p>
    <w:p w14:paraId="55E74A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J、数据采集柜蓄电池正常、线路整齐、接线正确、工作正常、整洁；</w:t>
      </w:r>
    </w:p>
    <w:p w14:paraId="53AA346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K、末端设备安装牢固、位置正确、线路整齐、工作正常；</w:t>
      </w:r>
    </w:p>
    <w:p w14:paraId="45B446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L、中央联动装置工作正常、显示正确。</w:t>
      </w:r>
    </w:p>
    <w:p w14:paraId="7B68951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房屋本体维修养护服务内容及要求</w:t>
      </w:r>
    </w:p>
    <w:p w14:paraId="0CE0F5B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1）建立对房屋及其公用部位、公用设施设备等进行日常巡查制度，做好巡检记录，检修记录和保养记录齐全。发现问题及时报告，根据指示安排专项维修；</w:t>
      </w:r>
    </w:p>
    <w:p w14:paraId="281CED9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2）根据房屋的结构类型、用途和使用年限、使用环境等情况，每年对房屋结构进行定期检查，检查中发现问题应及时报告，制定维修计划，进行修缮；</w:t>
      </w:r>
    </w:p>
    <w:p w14:paraId="3AFBCC1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3）每年定期检查屋面、卫生间防水情况，确保无渗漏；检查外墙和外门窗等房屋外围护结构有无渗漏现象，发现渗漏的，应及时处理，确保无渗漏；</w:t>
      </w:r>
    </w:p>
    <w:p w14:paraId="07CB711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4）维修属于小修范围的，及时组织修复；属于大、中修范围的，应及时编制维修计划和房屋专项维修资金使用计划，向采购人提出报告与建议，根据采购人的决定，组织维修；</w:t>
      </w:r>
    </w:p>
    <w:p w14:paraId="7680539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5）宣传房屋安全使用的规范，检查和协助工作人员正确使用房屋及其设施设备；</w:t>
      </w:r>
    </w:p>
    <w:p w14:paraId="4AE703A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6）建立健全房屋及其设施设备竣工档案，维修设计方案及审批文件、维修施工监督记录、日常巡查记录等均应做好存档管理。服务合同到期后，须全部完整地移交给采购人；</w:t>
      </w:r>
    </w:p>
    <w:p w14:paraId="5A8329C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避雷系统应按规定由专业机构进行检测房屋本体的防雷设施应在每年3月前做好防雷电设施检查，保持所有的避雷设施及所有的金属物体的接地完好；防雷设施接地电阻不应大于1欧姆。引下线，屋顶避雷网线、中性点接地、设备层的避雷带、网无脱焊。如有生锈，应及时除锈，刷防锈漆和银粉漆进行保护；</w:t>
      </w:r>
    </w:p>
    <w:p w14:paraId="3F0CF77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8）每年检查一次重要机房的设备防静电地板的接地是否可靠，并对各楼层的金属窗、钢结构进行外观检查；</w:t>
      </w:r>
    </w:p>
    <w:p w14:paraId="32BA9B6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9）每半年一次对楼层强、弱电间内的接地装置进行检查，遇有问题及时解决；</w:t>
      </w:r>
    </w:p>
    <w:p w14:paraId="4C38FBF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10）每月一次对变配电室的设备接地带进行检查；每季对各重要机房内的配电柜及设备接地进行检查；保证所有机电设备、管道、构架等金属物接地良好；</w:t>
      </w:r>
    </w:p>
    <w:p w14:paraId="69DA5FD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11）所有避雷设施完好；</w:t>
      </w:r>
    </w:p>
    <w:p w14:paraId="32A3A278">
      <w:pPr>
        <w:widowControl/>
        <w:spacing w:line="500" w:lineRule="exact"/>
        <w:ind w:firstLine="420"/>
        <w:outlineLvl w:val="1"/>
        <w:rPr>
          <w:rFonts w:hint="default"/>
          <w:color w:val="auto"/>
          <w:highlight w:val="none"/>
          <w:lang w:val="en-US" w:eastAsia="zh-CN"/>
        </w:rPr>
      </w:pPr>
      <w:r>
        <w:rPr>
          <w:rFonts w:hint="eastAsia" w:ascii="宋体" w:hAnsi="宋体" w:eastAsia="宋体" w:cs="宋体"/>
          <w:color w:val="auto"/>
          <w:sz w:val="24"/>
          <w:szCs w:val="24"/>
          <w:highlight w:val="none"/>
          <w:lang w:val="zh-CN" w:eastAsia="zh-CN"/>
        </w:rPr>
        <w:t>12）接地电阻: &lt;4Ω, 弱电设备接地电阻: ≤1Ω。</w:t>
      </w:r>
    </w:p>
    <w:p w14:paraId="68D42E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2.展厅服务部</w:t>
      </w:r>
    </w:p>
    <w:p w14:paraId="3B68C36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1）展厅运行与管理</w:t>
      </w:r>
    </w:p>
    <w:p w14:paraId="28DB07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负责看护滁州市科技馆科普展品，确保展览展品的安全稳定运行；保证观众的有序参观，确保观众在参观时有一个良好的参观环境；负责科普报告厅、球幕影院科普影片的正常播放。</w:t>
      </w:r>
    </w:p>
    <w:tbl>
      <w:tblPr>
        <w:tblStyle w:val="77"/>
        <w:tblW w:w="93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462"/>
        <w:gridCol w:w="4578"/>
        <w:gridCol w:w="2540"/>
      </w:tblGrid>
      <w:tr w14:paraId="483A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15" w:type="dxa"/>
            <w:vAlign w:val="center"/>
          </w:tcPr>
          <w:p w14:paraId="4FA870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2" w:type="dxa"/>
            <w:vAlign w:val="center"/>
          </w:tcPr>
          <w:p w14:paraId="6D0971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578" w:type="dxa"/>
            <w:vAlign w:val="center"/>
          </w:tcPr>
          <w:p w14:paraId="518ECA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2540" w:type="dxa"/>
            <w:vAlign w:val="center"/>
          </w:tcPr>
          <w:p w14:paraId="08F1C6F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19F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15" w:type="dxa"/>
            <w:vAlign w:val="center"/>
          </w:tcPr>
          <w:p w14:paraId="69F05C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2" w:type="dxa"/>
            <w:vAlign w:val="center"/>
          </w:tcPr>
          <w:p w14:paraId="33088D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展品卫生</w:t>
            </w:r>
          </w:p>
        </w:tc>
        <w:tc>
          <w:tcPr>
            <w:tcW w:w="4578" w:type="dxa"/>
            <w:vAlign w:val="center"/>
          </w:tcPr>
          <w:p w14:paraId="335655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责任区内所有展品的清洁卫生，日常做到展品表面无浮尘，镜面光洁；每月开展两次集中大扫除。</w:t>
            </w:r>
          </w:p>
        </w:tc>
        <w:tc>
          <w:tcPr>
            <w:tcW w:w="2540" w:type="dxa"/>
            <w:vAlign w:val="center"/>
          </w:tcPr>
          <w:p w14:paraId="4E7575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在每月进行的卫生检查工  作中，展品卫生合格率要达 到98%。</w:t>
            </w:r>
          </w:p>
        </w:tc>
      </w:tr>
      <w:tr w14:paraId="67E5D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trPr>
        <w:tc>
          <w:tcPr>
            <w:tcW w:w="815" w:type="dxa"/>
            <w:vAlign w:val="center"/>
          </w:tcPr>
          <w:p w14:paraId="02DAE3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2" w:type="dxa"/>
            <w:vAlign w:val="center"/>
          </w:tcPr>
          <w:p w14:paraId="064CE7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展品运行</w:t>
            </w:r>
          </w:p>
        </w:tc>
        <w:tc>
          <w:tcPr>
            <w:tcW w:w="4578" w:type="dxa"/>
            <w:vAlign w:val="center"/>
          </w:tcPr>
          <w:p w14:paraId="18FCB7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天在开馆前完成展品开启工作，开启展品后必须逐一操作测试和观察，及时掌握展品的运行状态；正常情况下，所有展品必须对观众开放，定时开放或演示的特殊项目，必须按照公示的时间开放或演示；巡视检查展品的运行状态，及时报修和采取保护措施。</w:t>
            </w:r>
          </w:p>
        </w:tc>
        <w:tc>
          <w:tcPr>
            <w:tcW w:w="2540" w:type="dxa"/>
            <w:vAlign w:val="center"/>
          </w:tcPr>
          <w:p w14:paraId="439193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对故障展品必须在2小时内及时报修</w:t>
            </w:r>
          </w:p>
        </w:tc>
      </w:tr>
      <w:tr w14:paraId="27A7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1" w:hRule="atLeast"/>
        </w:trPr>
        <w:tc>
          <w:tcPr>
            <w:tcW w:w="815" w:type="dxa"/>
            <w:vAlign w:val="center"/>
          </w:tcPr>
          <w:p w14:paraId="726830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2" w:type="dxa"/>
            <w:vAlign w:val="center"/>
          </w:tcPr>
          <w:p w14:paraId="0E9B4E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观众组织与 秩序维护</w:t>
            </w:r>
          </w:p>
        </w:tc>
        <w:tc>
          <w:tcPr>
            <w:tcW w:w="4578" w:type="dxa"/>
            <w:vAlign w:val="center"/>
          </w:tcPr>
          <w:p w14:paraId="5A95E1A8">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引导观众安全有序参观，及时处置展厅停电、火警等各类突发事件；及时制止观众坐展品、抱孩子站展品、暴力操作展品、拿走展品零件等易发现象；及时清理观众随手放在展品上的垃圾；及时复位展品零件；巡视观众的参观行为，及时发现并制止不文明行为；预防观众意外伤害事件发生并在发生意外伤害事件时及时有效应对</w:t>
            </w:r>
            <w:r>
              <w:rPr>
                <w:rFonts w:hint="eastAsia" w:ascii="宋体" w:hAnsi="宋体" w:eastAsia="宋体" w:cs="宋体"/>
                <w:color w:val="auto"/>
                <w:sz w:val="24"/>
                <w:szCs w:val="24"/>
                <w:highlight w:val="none"/>
                <w:lang w:eastAsia="zh-CN"/>
              </w:rPr>
              <w:t>。</w:t>
            </w:r>
          </w:p>
        </w:tc>
        <w:tc>
          <w:tcPr>
            <w:tcW w:w="2540" w:type="dxa"/>
            <w:vAlign w:val="center"/>
          </w:tcPr>
          <w:p w14:paraId="06B699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因工作疏忽、过失造成人身伤害和财产损失的，须承担相应的责任。</w:t>
            </w:r>
          </w:p>
        </w:tc>
      </w:tr>
      <w:tr w14:paraId="7061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815" w:type="dxa"/>
            <w:vAlign w:val="center"/>
          </w:tcPr>
          <w:p w14:paraId="6B81E5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2" w:type="dxa"/>
            <w:vAlign w:val="center"/>
          </w:tcPr>
          <w:p w14:paraId="59C6C0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观众服务</w:t>
            </w:r>
          </w:p>
        </w:tc>
        <w:tc>
          <w:tcPr>
            <w:tcW w:w="4578" w:type="dxa"/>
            <w:vAlign w:val="center"/>
          </w:tcPr>
          <w:p w14:paraId="1314CD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树立窗口形象，文明礼貌，为观众答疑解惑；负责有关参观咨询服务，按照规定做好团体参观的预约与接待，及时将展厅中出现的问题反馈展厅负责人，并做好客流量等相关统计。</w:t>
            </w:r>
          </w:p>
        </w:tc>
        <w:tc>
          <w:tcPr>
            <w:tcW w:w="2540" w:type="dxa"/>
            <w:vAlign w:val="center"/>
          </w:tcPr>
          <w:p w14:paraId="40CAA5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全年被观众投诉不超过3次，各级单位检查必须要全部优秀。</w:t>
            </w:r>
          </w:p>
        </w:tc>
      </w:tr>
      <w:tr w14:paraId="0C39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815" w:type="dxa"/>
            <w:vAlign w:val="center"/>
          </w:tcPr>
          <w:p w14:paraId="16333AD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462" w:type="dxa"/>
            <w:vAlign w:val="center"/>
          </w:tcPr>
          <w:p w14:paraId="6CCD69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特效影院</w:t>
            </w:r>
          </w:p>
        </w:tc>
        <w:tc>
          <w:tcPr>
            <w:tcW w:w="4578" w:type="dxa"/>
            <w:vAlign w:val="center"/>
          </w:tcPr>
          <w:p w14:paraId="567B206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负责特效影院的日常播放、放映管理、设备管理等特色活动的开展。</w:t>
            </w:r>
          </w:p>
        </w:tc>
        <w:tc>
          <w:tcPr>
            <w:tcW w:w="2540" w:type="dxa"/>
            <w:vAlign w:val="center"/>
          </w:tcPr>
          <w:p w14:paraId="0C1231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按采购人要求，做好相关服 务工作，确保各项活动圆满 完成。</w:t>
            </w:r>
          </w:p>
        </w:tc>
      </w:tr>
    </w:tbl>
    <w:p w14:paraId="58B13CD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）重要活动辅助工作</w:t>
      </w:r>
    </w:p>
    <w:p w14:paraId="23F0D71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协助科技馆完成科普临展、科普报告会及各类特色科普活动的策划与实施工作，同时承担上述活动的现场管理职责。</w:t>
      </w:r>
    </w:p>
    <w:tbl>
      <w:tblPr>
        <w:tblStyle w:val="77"/>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484"/>
        <w:gridCol w:w="4064"/>
        <w:gridCol w:w="3037"/>
      </w:tblGrid>
      <w:tr w14:paraId="011A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8" w:type="dxa"/>
            <w:vAlign w:val="top"/>
          </w:tcPr>
          <w:p w14:paraId="5D1D1B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4" w:type="dxa"/>
            <w:vAlign w:val="top"/>
          </w:tcPr>
          <w:p w14:paraId="0741F14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064" w:type="dxa"/>
            <w:vAlign w:val="top"/>
          </w:tcPr>
          <w:p w14:paraId="48E2FE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3037" w:type="dxa"/>
            <w:vAlign w:val="top"/>
          </w:tcPr>
          <w:p w14:paraId="46897B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E57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838" w:type="dxa"/>
            <w:vAlign w:val="center"/>
          </w:tcPr>
          <w:p w14:paraId="0EC71C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4" w:type="dxa"/>
            <w:vAlign w:val="center"/>
          </w:tcPr>
          <w:p w14:paraId="6AE70EC7">
            <w:pPr>
              <w:widowControl/>
              <w:spacing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科普</w:t>
            </w:r>
            <w:r>
              <w:rPr>
                <w:rFonts w:hint="eastAsia" w:ascii="宋体" w:hAnsi="宋体" w:eastAsia="宋体" w:cs="宋体"/>
                <w:color w:val="auto"/>
                <w:sz w:val="24"/>
                <w:szCs w:val="24"/>
                <w:highlight w:val="none"/>
              </w:rPr>
              <w:t>临展</w:t>
            </w:r>
          </w:p>
        </w:tc>
        <w:tc>
          <w:tcPr>
            <w:tcW w:w="4064" w:type="dxa"/>
            <w:vAlign w:val="center"/>
          </w:tcPr>
          <w:p w14:paraId="785FCE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负责临展的布展、撤展、秩序维护、 现场管理、讲解、活动策划等辅助性 工作。</w:t>
            </w:r>
          </w:p>
        </w:tc>
        <w:tc>
          <w:tcPr>
            <w:tcW w:w="3037" w:type="dxa"/>
            <w:vMerge w:val="restart"/>
            <w:vAlign w:val="center"/>
          </w:tcPr>
          <w:p w14:paraId="7B2C47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按采购人要求，做好相关辅 助性服务工作，确保各项活 动圆满完成。</w:t>
            </w:r>
          </w:p>
        </w:tc>
      </w:tr>
      <w:tr w14:paraId="29042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572657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4" w:type="dxa"/>
            <w:vAlign w:val="center"/>
          </w:tcPr>
          <w:p w14:paraId="65CC4A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科普报告</w:t>
            </w:r>
          </w:p>
        </w:tc>
        <w:tc>
          <w:tcPr>
            <w:tcW w:w="4064" w:type="dxa"/>
            <w:vAlign w:val="center"/>
          </w:tcPr>
          <w:p w14:paraId="6AFA5B51">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负责会前准备、人员组织、现场服务、活动宣传等辅助性工作</w:t>
            </w:r>
            <w:r>
              <w:rPr>
                <w:rFonts w:hint="eastAsia" w:ascii="宋体" w:hAnsi="宋体" w:eastAsia="宋体" w:cs="宋体"/>
                <w:color w:val="auto"/>
                <w:sz w:val="24"/>
                <w:szCs w:val="24"/>
                <w:highlight w:val="none"/>
                <w:lang w:eastAsia="zh-CN"/>
              </w:rPr>
              <w:t>。</w:t>
            </w:r>
          </w:p>
        </w:tc>
        <w:tc>
          <w:tcPr>
            <w:tcW w:w="3037" w:type="dxa"/>
            <w:vMerge w:val="continue"/>
            <w:vAlign w:val="top"/>
          </w:tcPr>
          <w:p w14:paraId="4101B6E8">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r w14:paraId="7851E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0661E4E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4" w:type="dxa"/>
            <w:vAlign w:val="center"/>
          </w:tcPr>
          <w:p w14:paraId="599EC7E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科普实验秀</w:t>
            </w:r>
          </w:p>
        </w:tc>
        <w:tc>
          <w:tcPr>
            <w:tcW w:w="4064" w:type="dxa"/>
            <w:vAlign w:val="top"/>
          </w:tcPr>
          <w:p w14:paraId="0FEAA4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协助完成各项辅助性工作，具体涵盖活动筹备、展区布置、撤展执行、参与人员组织及现场服务保障。</w:t>
            </w:r>
          </w:p>
        </w:tc>
        <w:tc>
          <w:tcPr>
            <w:tcW w:w="3037" w:type="dxa"/>
            <w:vMerge w:val="continue"/>
            <w:vAlign w:val="top"/>
          </w:tcPr>
          <w:p w14:paraId="57DBED6B">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r w14:paraId="0D9E9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18D7AE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4" w:type="dxa"/>
            <w:vAlign w:val="center"/>
          </w:tcPr>
          <w:p w14:paraId="1ADC32B4">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全国科普日</w:t>
            </w:r>
          </w:p>
        </w:tc>
        <w:tc>
          <w:tcPr>
            <w:tcW w:w="4064" w:type="dxa"/>
            <w:vAlign w:val="top"/>
          </w:tcPr>
          <w:p w14:paraId="16DFE6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协助开展大赛相关工作，主要负责会前筹备、现场秩序维护、参会者服务等辅助性事务。。</w:t>
            </w:r>
          </w:p>
        </w:tc>
        <w:tc>
          <w:tcPr>
            <w:tcW w:w="3037" w:type="dxa"/>
            <w:vMerge w:val="continue"/>
            <w:vAlign w:val="top"/>
          </w:tcPr>
          <w:p w14:paraId="6C4B6511">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bl>
    <w:p w14:paraId="5082593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3.媒体服务部</w:t>
      </w:r>
    </w:p>
    <w:p w14:paraId="3FE7D92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利用宣传推广传递科普价值、提升场馆社会影响力，是科技馆对外展示形象、开展公众互动的重要窗口。</w:t>
      </w:r>
    </w:p>
    <w:tbl>
      <w:tblPr>
        <w:tblStyle w:val="77"/>
        <w:tblW w:w="9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499"/>
        <w:gridCol w:w="4078"/>
        <w:gridCol w:w="3023"/>
      </w:tblGrid>
      <w:tr w14:paraId="741C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40" w:type="dxa"/>
            <w:vAlign w:val="top"/>
          </w:tcPr>
          <w:p w14:paraId="4548454F">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序号</w:t>
            </w:r>
          </w:p>
        </w:tc>
        <w:tc>
          <w:tcPr>
            <w:tcW w:w="1499" w:type="dxa"/>
            <w:vAlign w:val="top"/>
          </w:tcPr>
          <w:p w14:paraId="6679E861">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活动类型</w:t>
            </w:r>
          </w:p>
        </w:tc>
        <w:tc>
          <w:tcPr>
            <w:tcW w:w="4078" w:type="dxa"/>
            <w:vAlign w:val="top"/>
          </w:tcPr>
          <w:p w14:paraId="3BEC21ED">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说明</w:t>
            </w:r>
          </w:p>
        </w:tc>
        <w:tc>
          <w:tcPr>
            <w:tcW w:w="3023" w:type="dxa"/>
            <w:vAlign w:val="top"/>
          </w:tcPr>
          <w:p w14:paraId="52EFFFCE">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要求</w:t>
            </w:r>
          </w:p>
        </w:tc>
      </w:tr>
      <w:tr w14:paraId="69739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0" w:type="dxa"/>
            <w:vAlign w:val="center"/>
          </w:tcPr>
          <w:p w14:paraId="5E5F657A">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p>
        </w:tc>
        <w:tc>
          <w:tcPr>
            <w:tcW w:w="1499" w:type="dxa"/>
            <w:vAlign w:val="center"/>
          </w:tcPr>
          <w:p w14:paraId="2FE476A4">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协助做好科普内容创作与输出</w:t>
            </w:r>
          </w:p>
        </w:tc>
        <w:tc>
          <w:tcPr>
            <w:tcW w:w="4078" w:type="dxa"/>
            <w:vAlign w:val="center"/>
          </w:tcPr>
          <w:p w14:paraId="04122647">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围绕场馆展品、科普活动、教育课程等核心业务，策划并制作图文、短视频、音频、直播等多元化科普内容，如展品深度解读、活动预告与回顾、趣味科普知识分享等。</w:t>
            </w:r>
          </w:p>
        </w:tc>
        <w:tc>
          <w:tcPr>
            <w:tcW w:w="3023" w:type="dxa"/>
            <w:vMerge w:val="restart"/>
            <w:tcBorders>
              <w:bottom w:val="nil"/>
            </w:tcBorders>
            <w:vAlign w:val="center"/>
          </w:tcPr>
          <w:p w14:paraId="03CD7219">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按采购人要求，做好相关拍摄和剪辑工作，确保宣传工作顺利推进。</w:t>
            </w:r>
          </w:p>
        </w:tc>
      </w:tr>
      <w:tr w14:paraId="43B8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0" w:type="dxa"/>
            <w:vAlign w:val="center"/>
          </w:tcPr>
          <w:p w14:paraId="07E3C0E5">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p>
        </w:tc>
        <w:tc>
          <w:tcPr>
            <w:tcW w:w="1499" w:type="dxa"/>
            <w:vAlign w:val="center"/>
          </w:tcPr>
          <w:p w14:paraId="55C62915">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活动媒体支持与记录</w:t>
            </w:r>
          </w:p>
        </w:tc>
        <w:tc>
          <w:tcPr>
            <w:tcW w:w="4078" w:type="dxa"/>
            <w:vAlign w:val="center"/>
          </w:tcPr>
          <w:p w14:paraId="67D7885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为场馆大型科普活动、学术交流、研学实践等提供全流程媒体支持，包括活动前宣传预热、活动中拍照摄像、活动后新闻稿撰写与发布，同步做好影像资料的归档管理。</w:t>
            </w:r>
          </w:p>
        </w:tc>
        <w:tc>
          <w:tcPr>
            <w:tcW w:w="3023" w:type="dxa"/>
            <w:vMerge w:val="continue"/>
            <w:tcBorders>
              <w:top w:val="nil"/>
              <w:bottom w:val="nil"/>
            </w:tcBorders>
            <w:vAlign w:val="top"/>
          </w:tcPr>
          <w:p w14:paraId="7F93621E">
            <w:pPr>
              <w:widowControl/>
              <w:spacing w:line="500" w:lineRule="exact"/>
              <w:jc w:val="center"/>
              <w:outlineLvl w:val="1"/>
              <w:rPr>
                <w:rFonts w:hint="eastAsia" w:ascii="宋体" w:hAnsi="宋体" w:eastAsia="宋体" w:cs="宋体"/>
                <w:color w:val="auto"/>
                <w:sz w:val="24"/>
                <w:szCs w:val="24"/>
                <w:highlight w:val="none"/>
                <w:lang w:val="zh-CN" w:eastAsia="zh-CN"/>
              </w:rPr>
            </w:pPr>
          </w:p>
        </w:tc>
      </w:tr>
      <w:tr w14:paraId="1A59A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840" w:type="dxa"/>
            <w:vAlign w:val="center"/>
          </w:tcPr>
          <w:p w14:paraId="58E9818E">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w:t>
            </w:r>
          </w:p>
        </w:tc>
        <w:tc>
          <w:tcPr>
            <w:tcW w:w="1499" w:type="dxa"/>
            <w:vAlign w:val="center"/>
          </w:tcPr>
          <w:p w14:paraId="52DBD2C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公众互动与舆情处理</w:t>
            </w:r>
          </w:p>
        </w:tc>
        <w:tc>
          <w:tcPr>
            <w:tcW w:w="4078" w:type="dxa"/>
            <w:vAlign w:val="top"/>
          </w:tcPr>
          <w:p w14:paraId="6A2757C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通过媒体平台收集公众建议与反馈，及时回应公众咨询；开展科普领域舆情监测，妥善处理相关舆情，维护场馆良好公众形象。</w:t>
            </w:r>
          </w:p>
        </w:tc>
        <w:tc>
          <w:tcPr>
            <w:tcW w:w="3023" w:type="dxa"/>
            <w:vMerge w:val="continue"/>
            <w:tcBorders>
              <w:top w:val="nil"/>
            </w:tcBorders>
            <w:vAlign w:val="top"/>
          </w:tcPr>
          <w:p w14:paraId="3EFC6820">
            <w:pPr>
              <w:widowControl/>
              <w:spacing w:line="500" w:lineRule="exact"/>
              <w:jc w:val="center"/>
              <w:outlineLvl w:val="1"/>
              <w:rPr>
                <w:rFonts w:hint="eastAsia" w:ascii="宋体" w:hAnsi="宋体" w:eastAsia="宋体" w:cs="宋体"/>
                <w:color w:val="auto"/>
                <w:sz w:val="24"/>
                <w:szCs w:val="24"/>
                <w:highlight w:val="none"/>
                <w:lang w:val="zh-CN" w:eastAsia="zh-CN"/>
              </w:rPr>
            </w:pPr>
          </w:p>
        </w:tc>
      </w:tr>
    </w:tbl>
    <w:p w14:paraId="484D39D2">
      <w:pPr>
        <w:widowControl/>
        <w:numPr>
          <w:ilvl w:val="0"/>
          <w:numId w:val="3"/>
        </w:numPr>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其他服务要求</w:t>
      </w:r>
    </w:p>
    <w:p w14:paraId="6772D124">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eastAsia="zh-CN"/>
        </w:rPr>
        <w:t>公共秩序维护服务</w:t>
      </w:r>
    </w:p>
    <w:p w14:paraId="71DF475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（1）实行出入口24小时站岗值勤，严禁易燃易爆等危险物品进入管理区域。非开馆时间实施封闭式管理；</w:t>
      </w:r>
    </w:p>
    <w:p w14:paraId="752FF5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（2）保证办公秩序不受任何干扰和影响，禁止推销、叫卖、携带宠物及闲杂人员等进入办公区域；保证参观秩序井然有序，劝阻参观人员不文明行为；</w:t>
      </w:r>
    </w:p>
    <w:p w14:paraId="3730FE2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（3）保证馆内设备以及公共财产不受损坏和丢失；</w:t>
      </w:r>
    </w:p>
    <w:p w14:paraId="6BD07AE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（4）对进入办公区人员，建立问询身份查验、预约核实和登记制度，要求记录真实、准确、完整；</w:t>
      </w:r>
    </w:p>
    <w:p w14:paraId="1030062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（5）按规定着装，仪态仪表风度沉着、稳重、大方，举止文明，符合礼节，语言礼貌，文雅，态度热情；</w:t>
      </w:r>
    </w:p>
    <w:p w14:paraId="046BB8D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（6）疏导交通，指挥各种车辆慢速行驶，按照划定区域停放，无乱停放现象；</w:t>
      </w:r>
    </w:p>
    <w:p w14:paraId="3A91E42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实行24小时值班巡查制度，确保整个区域内无火灾、无偷盗、无治事件、交通事故发生，无安全隐患。对消防、治安、防汛、暴恐、公共卫生等突发事件有应急预案，一旦发生，能够做到及时确认、报警、处置，防止事态进一步恶化，事件处理及时率100%；</w:t>
      </w:r>
    </w:p>
    <w:p w14:paraId="4B73B9E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（8）中标供应商应定期组织开展安全检查、防火巡查、检查，及时消除安全及火灾隐患；</w:t>
      </w:r>
    </w:p>
    <w:p w14:paraId="2C16A1B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（9）按照国家标准、行业标准配置安全设施、器材，设置安全标志，定期开展维护、保养和检测，确保完好有效；</w:t>
      </w:r>
    </w:p>
    <w:p w14:paraId="78221AA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（10）对职工进行岗前安全培训(包括安防及消防)，定期开展安全培训和有 针对性的安全演练；</w:t>
      </w:r>
    </w:p>
    <w:p w14:paraId="6E4A20C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（11）建立安防消防安全档案，建立义务消防队，开展自防自救；</w:t>
      </w:r>
    </w:p>
    <w:p w14:paraId="0607B11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（12）馆方开展消防安全培训及演练时，中标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应紧密配合并提供相应的技术支持服务。</w:t>
      </w:r>
    </w:p>
    <w:p w14:paraId="7FE59E5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lang w:val="zh-CN" w:eastAsia="zh-CN"/>
        </w:rPr>
        <w:t>馆属区域内的环境卫生服务</w:t>
      </w:r>
    </w:p>
    <w:p w14:paraId="15A5586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（1）环境卫生服务内容</w:t>
      </w:r>
    </w:p>
    <w:p w14:paraId="5B83129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公共区域保洁:公用部位(展厅、走廊、过道、楼梯间、天台与屋顶室内墙壁、裸露的钢构、外墙等)、空调进出风口、中央空调风道每年定期清理一次，室外场地、道路、景观灯具、公共绿化、扶栏管以及其他公共区域的清扫保洁、办公和生活垃圾的收集和清运、化粪池和污水管道的清理及疏通、公共卫生防疫等；</w:t>
      </w:r>
    </w:p>
    <w:p w14:paraId="58EBC9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2）公共会议室、楼层走道、办公区等公共区域每天清扫，并在正常工作时 间内保持清洁；保持墙面、天花板、门窗、踢脚线等部位的清洁，保持室内无杂 物，无污痕、无尘挂。每天开窗通风，保持空气清新。</w:t>
      </w:r>
    </w:p>
    <w:p w14:paraId="53B1C88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3）要保持卫生间卫生洁具、墙面、地面、玻璃等处的清洁，无异味、地面 无积水；</w:t>
      </w:r>
    </w:p>
    <w:p w14:paraId="1159C11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4）卫生间、楼道、走廊等公共部位需制定保洁巡视制度，垃圾筒需及时清倒，并清洗箱体，保持箱内无污染；</w:t>
      </w:r>
    </w:p>
    <w:p w14:paraId="167BA84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5）场地和道路每天清扫，保持馆内周围干净整洁，无垃圾、无弃物，垃圾日产日清；</w:t>
      </w:r>
    </w:p>
    <w:p w14:paraId="6648F2E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6）建筑物的入口门厅、楼道等公共部位及馆属区域内道路整洁，无堆放杂物的现象；</w:t>
      </w:r>
    </w:p>
    <w:p w14:paraId="2358613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7）馆外墙面、球幕外墙一年清洗1次；</w:t>
      </w:r>
    </w:p>
    <w:p w14:paraId="7F0FAD5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楼内墙面清扫、清洗：高位1次/月、低位1次/周。瓷砖部分：高位1次/月、低位1次/周(3米以上为高位)；大理石、花岗岩材质部分(含墙、柱、地面）清洗打蜡2次/年；不锈钢材质部分(含楼道扶手、电梯门等)日常保洁，另根据污染程度使用护理剂；</w:t>
      </w:r>
    </w:p>
    <w:p w14:paraId="475B11F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9）会议室保洁应在会前会后及时完成。</w:t>
      </w:r>
    </w:p>
    <w:p w14:paraId="382BD82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（2）环境卫生保洁服务要求</w:t>
      </w:r>
    </w:p>
    <w:p w14:paraId="377661F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1）建立环境卫生保洁管理制度和保洁服务方案，对保洁服务工作做好记录；</w:t>
      </w:r>
    </w:p>
    <w:p w14:paraId="5164B90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2）配置专职保洁服务人员，明确环境卫生保洁责任范围，环境卫生保洁服务实行定时定点和流动保洁相结合，保持服务区域卫生、整洁、干净；</w:t>
      </w:r>
    </w:p>
    <w:p w14:paraId="1BD337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3）垃圾应专人负责，按要求及时清运；建筑垃圾应有专人负责清理；</w:t>
      </w:r>
    </w:p>
    <w:p w14:paraId="0F54C2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消毒灭害工作应在尽量不影响观众参观、工作人员办公的前提下进行；使用的药品是防疫部门发放的，或者使用应符合国家、行业标准的低毒高效药剂。消毒灭害工作过程中注意做好个人防护，不得出现人员伤害现象。消毒灭害或日常保洁工作进行后，应采取通风或必要的异味处理方案，确保正常开馆、上班时间无异味；</w:t>
      </w:r>
    </w:p>
    <w:p w14:paraId="45D39E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5）出现自来水爆管、化粪池外溢、公共性疫情等情况，应立即启动相应应急预案，全力配合有关部门，保障办公及来访人员人身安全，减少财产损失。</w:t>
      </w:r>
    </w:p>
    <w:p w14:paraId="75D74E5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（3）材质清洁要求</w:t>
      </w:r>
    </w:p>
    <w:p w14:paraId="6CB008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主要材质清洁质量要求</w:t>
      </w:r>
    </w:p>
    <w:tbl>
      <w:tblPr>
        <w:tblStyle w:val="77"/>
        <w:tblW w:w="93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2533"/>
        <w:gridCol w:w="5231"/>
      </w:tblGrid>
      <w:tr w14:paraId="33CE2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549" w:type="dxa"/>
            <w:vAlign w:val="center"/>
          </w:tcPr>
          <w:p w14:paraId="5C2D9FDE">
            <w:pPr>
              <w:pStyle w:val="78"/>
              <w:keepNext w:val="0"/>
              <w:keepLines w:val="0"/>
              <w:pageBreakBefore w:val="0"/>
              <w:wordWrap/>
              <w:overflowPunct/>
              <w:topLinePunct w:val="0"/>
              <w:autoSpaceDE w:val="0"/>
              <w:autoSpaceDN w:val="0"/>
              <w:bidi w:val="0"/>
              <w:adjustRightInd w:val="0"/>
              <w:spacing w:before="118" w:line="560" w:lineRule="exact"/>
              <w:ind w:left="12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大类</w:t>
            </w:r>
          </w:p>
        </w:tc>
        <w:tc>
          <w:tcPr>
            <w:tcW w:w="2533" w:type="dxa"/>
            <w:vAlign w:val="center"/>
          </w:tcPr>
          <w:p w14:paraId="22BC0D21">
            <w:pPr>
              <w:pStyle w:val="78"/>
              <w:keepNext w:val="0"/>
              <w:keepLines w:val="0"/>
              <w:pageBreakBefore w:val="0"/>
              <w:wordWrap/>
              <w:overflowPunct/>
              <w:topLinePunct w:val="0"/>
              <w:autoSpaceDE w:val="0"/>
              <w:autoSpaceDN w:val="0"/>
              <w:bidi w:val="0"/>
              <w:adjustRightInd w:val="0"/>
              <w:spacing w:before="118" w:line="560" w:lineRule="exact"/>
              <w:ind w:left="11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5"/>
                <w:sz w:val="24"/>
                <w:szCs w:val="24"/>
                <w:highlight w:val="none"/>
              </w:rPr>
              <w:t>材质</w:t>
            </w:r>
          </w:p>
        </w:tc>
        <w:tc>
          <w:tcPr>
            <w:tcW w:w="5231" w:type="dxa"/>
            <w:vAlign w:val="center"/>
          </w:tcPr>
          <w:p w14:paraId="7011A68E">
            <w:pPr>
              <w:pStyle w:val="78"/>
              <w:keepNext w:val="0"/>
              <w:keepLines w:val="0"/>
              <w:pageBreakBefore w:val="0"/>
              <w:wordWrap/>
              <w:overflowPunct/>
              <w:topLinePunct w:val="0"/>
              <w:autoSpaceDE w:val="0"/>
              <w:autoSpaceDN w:val="0"/>
              <w:bidi w:val="0"/>
              <w:adjustRightInd w:val="0"/>
              <w:spacing w:before="118" w:line="560" w:lineRule="exact"/>
              <w:ind w:left="116"/>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质量要求</w:t>
            </w:r>
          </w:p>
        </w:tc>
      </w:tr>
      <w:tr w14:paraId="7D78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3FD671E6">
            <w:pPr>
              <w:keepNext w:val="0"/>
              <w:keepLines w:val="0"/>
              <w:pageBreakBefore w:val="0"/>
              <w:wordWrap/>
              <w:overflowPunct/>
              <w:topLinePunct w:val="0"/>
              <w:autoSpaceDE w:val="0"/>
              <w:autoSpaceDN w:val="0"/>
              <w:bidi w:val="0"/>
              <w:adjustRightInd w:val="0"/>
              <w:spacing w:line="5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硬地面</w:t>
            </w:r>
          </w:p>
        </w:tc>
        <w:tc>
          <w:tcPr>
            <w:tcW w:w="2533" w:type="dxa"/>
            <w:vAlign w:val="center"/>
          </w:tcPr>
          <w:p w14:paraId="56D8E14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大理石</w:t>
            </w:r>
          </w:p>
        </w:tc>
        <w:tc>
          <w:tcPr>
            <w:tcW w:w="5231" w:type="dxa"/>
            <w:vAlign w:val="center"/>
          </w:tcPr>
          <w:p w14:paraId="07EFCAC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表面光亮、洁净、接缝四周边角无污垢。</w:t>
            </w:r>
          </w:p>
        </w:tc>
      </w:tr>
      <w:tr w14:paraId="4195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08279C53">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1ED5F1E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花岗岩</w:t>
            </w:r>
          </w:p>
        </w:tc>
        <w:tc>
          <w:tcPr>
            <w:tcW w:w="5231" w:type="dxa"/>
            <w:vAlign w:val="top"/>
          </w:tcPr>
          <w:p w14:paraId="49C7A93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表面光亮、无污迹、接缝四周边角无污垢。</w:t>
            </w:r>
          </w:p>
        </w:tc>
      </w:tr>
      <w:tr w14:paraId="7F14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C9A65C4">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652944F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木制地板</w:t>
            </w:r>
          </w:p>
        </w:tc>
        <w:tc>
          <w:tcPr>
            <w:tcW w:w="5231" w:type="dxa"/>
            <w:vAlign w:val="top"/>
          </w:tcPr>
          <w:p w14:paraId="32D3334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面光亮、四周边角无积灰、无污渍。</w:t>
            </w:r>
          </w:p>
        </w:tc>
      </w:tr>
      <w:tr w14:paraId="08F7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428F8C8B">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1CFD533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PVC板</w:t>
            </w:r>
          </w:p>
        </w:tc>
        <w:tc>
          <w:tcPr>
            <w:tcW w:w="5231" w:type="dxa"/>
            <w:vAlign w:val="top"/>
          </w:tcPr>
          <w:p w14:paraId="5AD6BB3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光亮、无污迹。</w:t>
            </w:r>
          </w:p>
        </w:tc>
      </w:tr>
      <w:tr w14:paraId="6A71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A459A49">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7275F3D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瓷砖</w:t>
            </w:r>
          </w:p>
        </w:tc>
        <w:tc>
          <w:tcPr>
            <w:tcW w:w="5231" w:type="dxa"/>
            <w:vAlign w:val="top"/>
          </w:tcPr>
          <w:p w14:paraId="621227B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光洁、明亮、无污渍、无水迹。</w:t>
            </w:r>
          </w:p>
        </w:tc>
      </w:tr>
      <w:tr w14:paraId="6513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0A746149">
            <w:pPr>
              <w:keepNext w:val="0"/>
              <w:keepLines w:val="0"/>
              <w:pageBreakBefore w:val="0"/>
              <w:wordWrap/>
              <w:overflowPunct/>
              <w:topLinePunct w:val="0"/>
              <w:autoSpaceDE w:val="0"/>
              <w:autoSpaceDN w:val="0"/>
              <w:bidi w:val="0"/>
              <w:adjustRightInd w:val="0"/>
              <w:spacing w:line="5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软地面</w:t>
            </w:r>
          </w:p>
        </w:tc>
        <w:tc>
          <w:tcPr>
            <w:tcW w:w="2533" w:type="dxa"/>
            <w:vAlign w:val="top"/>
          </w:tcPr>
          <w:p w14:paraId="407C048E">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地毯</w:t>
            </w:r>
          </w:p>
        </w:tc>
        <w:tc>
          <w:tcPr>
            <w:tcW w:w="5231" w:type="dxa"/>
            <w:vAlign w:val="top"/>
          </w:tcPr>
          <w:p w14:paraId="2E73D96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色泽均一、无褪色、无毛边、柔软、纤维成同一方向。</w:t>
            </w:r>
          </w:p>
        </w:tc>
      </w:tr>
      <w:tr w14:paraId="38FF1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07E3E0EC">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584DD2F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塑胶地垫</w:t>
            </w:r>
          </w:p>
        </w:tc>
        <w:tc>
          <w:tcPr>
            <w:tcW w:w="5231" w:type="dxa"/>
            <w:vAlign w:val="top"/>
          </w:tcPr>
          <w:p w14:paraId="74054BA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lang w:eastAsia="zh-CN"/>
              </w:rPr>
            </w:pPr>
            <w:r>
              <w:rPr>
                <w:rFonts w:hint="eastAsia" w:ascii="宋体" w:hAnsi="宋体" w:eastAsia="宋体" w:cs="宋体"/>
                <w:b w:val="0"/>
                <w:bCs w:val="0"/>
                <w:color w:val="auto"/>
                <w:spacing w:val="-5"/>
                <w:sz w:val="24"/>
                <w:szCs w:val="24"/>
                <w:highlight w:val="none"/>
              </w:rPr>
              <w:t>表面平整、色泽均一、无残留物、无污渍、无板结</w:t>
            </w:r>
            <w:r>
              <w:rPr>
                <w:rFonts w:hint="eastAsia" w:ascii="宋体" w:hAnsi="宋体" w:eastAsia="宋体" w:cs="宋体"/>
                <w:b w:val="0"/>
                <w:bCs w:val="0"/>
                <w:color w:val="auto"/>
                <w:spacing w:val="-5"/>
                <w:sz w:val="24"/>
                <w:szCs w:val="24"/>
                <w:highlight w:val="none"/>
                <w:lang w:eastAsia="zh-CN"/>
              </w:rPr>
              <w:t>。</w:t>
            </w:r>
          </w:p>
        </w:tc>
      </w:tr>
      <w:tr w14:paraId="2512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6D9742CB">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金属材质</w:t>
            </w:r>
          </w:p>
        </w:tc>
        <w:tc>
          <w:tcPr>
            <w:tcW w:w="2533" w:type="dxa"/>
            <w:vAlign w:val="top"/>
          </w:tcPr>
          <w:p w14:paraId="4704127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亚光丝纹不锈钢</w:t>
            </w:r>
          </w:p>
        </w:tc>
        <w:tc>
          <w:tcPr>
            <w:tcW w:w="5231" w:type="dxa"/>
            <w:vAlign w:val="top"/>
          </w:tcPr>
          <w:p w14:paraId="63398CC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表面色泽均一、无斑点、无擦痕、无污迹。</w:t>
            </w:r>
          </w:p>
        </w:tc>
      </w:tr>
      <w:tr w14:paraId="4C22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75409453">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D31543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抛光镜面不锈钢</w:t>
            </w:r>
          </w:p>
        </w:tc>
        <w:tc>
          <w:tcPr>
            <w:tcW w:w="5231" w:type="dxa"/>
            <w:vAlign w:val="top"/>
          </w:tcPr>
          <w:p w14:paraId="57E10B3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明亮、无擦痕、无印迹。</w:t>
            </w:r>
          </w:p>
        </w:tc>
      </w:tr>
      <w:tr w14:paraId="01CFC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32379A0">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4BE1F0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亚光轧花不锈钢</w:t>
            </w:r>
          </w:p>
        </w:tc>
        <w:tc>
          <w:tcPr>
            <w:tcW w:w="5231" w:type="dxa"/>
            <w:vAlign w:val="top"/>
          </w:tcPr>
          <w:p w14:paraId="2BE4FDF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色泽均一、无斑点、无擦痕、无污迹。</w:t>
            </w:r>
          </w:p>
        </w:tc>
      </w:tr>
      <w:tr w14:paraId="3B1B3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746A2A03">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CF64B4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铝合金</w:t>
            </w:r>
          </w:p>
        </w:tc>
        <w:tc>
          <w:tcPr>
            <w:tcW w:w="5231" w:type="dxa"/>
            <w:vAlign w:val="top"/>
          </w:tcPr>
          <w:p w14:paraId="0A272BD9">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表面光滑、洁净、无斑点、无灰尘、无污迹。</w:t>
            </w:r>
          </w:p>
        </w:tc>
      </w:tr>
      <w:tr w14:paraId="23C2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26B13BC7">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其他材质</w:t>
            </w:r>
          </w:p>
        </w:tc>
        <w:tc>
          <w:tcPr>
            <w:tcW w:w="2533" w:type="dxa"/>
            <w:vAlign w:val="top"/>
          </w:tcPr>
          <w:p w14:paraId="54DEB7D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玻璃</w:t>
            </w:r>
          </w:p>
        </w:tc>
        <w:tc>
          <w:tcPr>
            <w:tcW w:w="5231" w:type="dxa"/>
            <w:vAlign w:val="top"/>
          </w:tcPr>
          <w:p w14:paraId="66C33A57">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洁净明亮、通透性强、无划痕、无水迹。</w:t>
            </w:r>
          </w:p>
        </w:tc>
      </w:tr>
      <w:tr w14:paraId="1EE4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2E07052D">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DCAFF5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墙纸</w:t>
            </w:r>
          </w:p>
        </w:tc>
        <w:tc>
          <w:tcPr>
            <w:tcW w:w="5231" w:type="dxa"/>
            <w:vAlign w:val="top"/>
          </w:tcPr>
          <w:p w14:paraId="71EB15A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无斑点、无污渍。</w:t>
            </w:r>
          </w:p>
        </w:tc>
      </w:tr>
      <w:tr w14:paraId="1FE5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2F65BCD1">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2D87246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高密度板(复合板)</w:t>
            </w:r>
          </w:p>
        </w:tc>
        <w:tc>
          <w:tcPr>
            <w:tcW w:w="5231" w:type="dxa"/>
            <w:vAlign w:val="top"/>
          </w:tcPr>
          <w:p w14:paraId="7A98440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色泽均一、无擦痕、无积灰、无污渍。</w:t>
            </w:r>
          </w:p>
        </w:tc>
      </w:tr>
      <w:tr w14:paraId="31117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1ED3B620">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4A4E4EE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涂料</w:t>
            </w:r>
          </w:p>
        </w:tc>
        <w:tc>
          <w:tcPr>
            <w:tcW w:w="5231" w:type="dxa"/>
            <w:vAlign w:val="top"/>
          </w:tcPr>
          <w:p w14:paraId="07F4E42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无灰尘、无污渍</w:t>
            </w:r>
          </w:p>
        </w:tc>
      </w:tr>
      <w:tr w14:paraId="24995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1A95DA8F">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7CEE5FF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金箔面</w:t>
            </w:r>
          </w:p>
        </w:tc>
        <w:tc>
          <w:tcPr>
            <w:tcW w:w="5231" w:type="dxa"/>
            <w:vAlign w:val="top"/>
          </w:tcPr>
          <w:p w14:paraId="118136D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光亮、无灰尘、无污渍。</w:t>
            </w:r>
          </w:p>
        </w:tc>
      </w:tr>
    </w:tbl>
    <w:p w14:paraId="59FB3E3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highlight w:val="none"/>
          <w:lang w:val="zh-CN" w:eastAsia="zh-CN" w:bidi="ar-SA"/>
        </w:rPr>
        <w:t>（4）</w:t>
      </w:r>
      <w:r>
        <w:rPr>
          <w:rFonts w:hint="eastAsia" w:ascii="宋体" w:hAnsi="宋体" w:eastAsia="宋体" w:cs="宋体"/>
          <w:color w:val="auto"/>
          <w:sz w:val="24"/>
          <w:szCs w:val="24"/>
          <w:highlight w:val="none"/>
          <w:lang w:val="zh-CN" w:eastAsia="zh-CN"/>
        </w:rPr>
        <w:t>各区域环境卫生保洁要求</w:t>
      </w:r>
    </w:p>
    <w:tbl>
      <w:tblPr>
        <w:tblStyle w:val="77"/>
        <w:tblW w:w="9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7111"/>
      </w:tblGrid>
      <w:tr w14:paraId="67CFB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268" w:type="dxa"/>
            <w:vAlign w:val="top"/>
          </w:tcPr>
          <w:p w14:paraId="05A0424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项目</w:t>
            </w:r>
          </w:p>
        </w:tc>
        <w:tc>
          <w:tcPr>
            <w:tcW w:w="7111" w:type="dxa"/>
            <w:vAlign w:val="top"/>
          </w:tcPr>
          <w:p w14:paraId="534DB9B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服务要求</w:t>
            </w:r>
          </w:p>
        </w:tc>
      </w:tr>
      <w:tr w14:paraId="6141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center"/>
          </w:tcPr>
          <w:p w14:paraId="1499C00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走廊、门厅、大厅、 电梯厅、楼梯或消防 梯地面</w:t>
            </w:r>
          </w:p>
        </w:tc>
        <w:tc>
          <w:tcPr>
            <w:tcW w:w="7111" w:type="dxa"/>
            <w:vAlign w:val="top"/>
          </w:tcPr>
          <w:p w14:paraId="5323636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地表面、接缝、角落、边线等处洁净，地面干净有光泽，无垃圾、 杂物、灰尘、污迹、划痕等现象，保持地面材质原貌。门框、窗框、 窗台、金属件表面光亮、无灰尘、无污渍、无絮状物。旋转门、门 中轴、门框、门边缝部位光亮、无痕迹、无灰尘。旋转门空调出风 口无灰尘、无污迹。门把手干净、无痕迹、定时消毒。</w:t>
            </w:r>
          </w:p>
        </w:tc>
      </w:tr>
      <w:tr w14:paraId="5028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2268" w:type="dxa"/>
            <w:vAlign w:val="center"/>
          </w:tcPr>
          <w:p w14:paraId="2EABA37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楼梯扶手、栏杆、窗 台、指示牌</w:t>
            </w:r>
          </w:p>
        </w:tc>
        <w:tc>
          <w:tcPr>
            <w:tcW w:w="7111" w:type="dxa"/>
            <w:vAlign w:val="top"/>
          </w:tcPr>
          <w:p w14:paraId="72E1ED6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保持干净、无灰尘、光亮。窗框、窗台、金属件表面光亮、无灰尘、 无污渍、无絮状物。指示牌、广告牌无灰尘、无污迹、无痕迹，金 属件表面光亮，无痕迹。</w:t>
            </w:r>
          </w:p>
        </w:tc>
      </w:tr>
      <w:tr w14:paraId="5EA3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2268" w:type="dxa"/>
            <w:vAlign w:val="center"/>
          </w:tcPr>
          <w:p w14:paraId="53A2BF1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消防栓、消防箱、公 共设施摄像头、门警 器</w:t>
            </w:r>
          </w:p>
        </w:tc>
        <w:tc>
          <w:tcPr>
            <w:tcW w:w="7111" w:type="dxa"/>
            <w:vAlign w:val="top"/>
          </w:tcPr>
          <w:p w14:paraId="0922BCB1">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保持表面干净，无灰尘、无污迹。报警器、火警通讯电话插座、灭 火器表面光亮、无灰尘、无污迹。喷淋盖、烟感器、喇叭无灰尘、 无污渍。监控表面光亮、无灰尘、无斑点、无絮状物。消防栓外表 面光亮、无痕迹、无灰尘，内侧无灰尘、无污迹。</w:t>
            </w:r>
          </w:p>
        </w:tc>
      </w:tr>
      <w:tr w14:paraId="18733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top"/>
          </w:tcPr>
          <w:p w14:paraId="754AA64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天花板、风口、公共 灯具内或外走廊、楼</w:t>
            </w:r>
          </w:p>
          <w:p w14:paraId="425B7889">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梯窗玻璃、大厅门厅</w:t>
            </w:r>
          </w:p>
        </w:tc>
        <w:tc>
          <w:tcPr>
            <w:tcW w:w="7111" w:type="dxa"/>
            <w:vAlign w:val="top"/>
          </w:tcPr>
          <w:p w14:paraId="6BF5733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目视无灰尘、无死蚊虫遮贴、无污迹、无蜘蛛网，表面、接缝、角 落、边线等处无污渍、无灰尘、无斑点。保持洁净、光亮、无灰尘、 无污迹、无水迹、无垃圾堆积。</w:t>
            </w:r>
          </w:p>
        </w:tc>
      </w:tr>
      <w:tr w14:paraId="2A24B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68" w:type="dxa"/>
            <w:vAlign w:val="center"/>
          </w:tcPr>
          <w:p w14:paraId="091F9CE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服务功能性用房（如 会议室、接待室、茶 水间）</w:t>
            </w:r>
          </w:p>
        </w:tc>
        <w:tc>
          <w:tcPr>
            <w:tcW w:w="7111" w:type="dxa"/>
            <w:vAlign w:val="top"/>
          </w:tcPr>
          <w:p w14:paraId="3F04854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会议室窗台上无灰尘、玻璃明净、门板无灰尘、泥渍；桌椅干净、摆放整齐；四壁干净，无蜘蛛网。保持干净、整洁、无垃圾；热水炉外壳应无污迹、水渍。不锈钢台面无水迹、无污渍、无擦痕；不锈钢水槽干净、无斑点、无污迹无杂物、水垢，落水口无污垢；冷、热水笼头表面光亮、无污渍、无水垢；下水道无异味、定期滴入消毒液。</w:t>
            </w:r>
          </w:p>
        </w:tc>
      </w:tr>
      <w:tr w14:paraId="3BE2F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86E8B8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公共卫生间</w:t>
            </w:r>
          </w:p>
        </w:tc>
        <w:tc>
          <w:tcPr>
            <w:tcW w:w="7111" w:type="dxa"/>
            <w:vAlign w:val="top"/>
          </w:tcPr>
          <w:p w14:paraId="632F921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坐厕内、小便池内刷洗干净、喷洒消毒、保持无异味、无污迹、无水渍、无垃圾、无积水，镜面保持光亮、无水迹、面盆无水锈；云石台面无水迹、无皂迹、无毛发，光洁明亮；洁具应表面光洁、明亮、内外侧无污渍、无毛发、无异味、定时消毒；镜子明净、无水渍、无擦痕、镜框边缘无灰尘；废物箱表面无污迹、无灰尘、无异味，定时消毒；外露水管连接处无碱性污垢、管道表面光亮、无灰尘；卫生间内保持空气清新、无异味；及时补充品牌洗手液、擦手纸、卫生纸等。</w:t>
            </w:r>
          </w:p>
        </w:tc>
      </w:tr>
      <w:tr w14:paraId="1A37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3EE705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垃圾收集</w:t>
            </w:r>
          </w:p>
        </w:tc>
        <w:tc>
          <w:tcPr>
            <w:tcW w:w="7111" w:type="dxa"/>
            <w:vAlign w:val="top"/>
          </w:tcPr>
          <w:p w14:paraId="2EBDFDB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垃圾收集点周围地面无散落垃圾、无污水、无污迹、无异味、干净整洁。</w:t>
            </w:r>
          </w:p>
        </w:tc>
      </w:tr>
      <w:tr w14:paraId="5938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8" w:hRule="atLeast"/>
        </w:trPr>
        <w:tc>
          <w:tcPr>
            <w:tcW w:w="2268" w:type="dxa"/>
            <w:vAlign w:val="center"/>
          </w:tcPr>
          <w:p w14:paraId="7C02949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电梯轿厢</w:t>
            </w:r>
          </w:p>
        </w:tc>
        <w:tc>
          <w:tcPr>
            <w:tcW w:w="7111" w:type="dxa"/>
            <w:vAlign w:val="top"/>
          </w:tcPr>
          <w:p w14:paraId="490A0D2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轿厢壁无浮灰，不锈钢表面光亮、无污迹；垂直升降电梯轿厢四壁光洁明亮；操作面板无污迹、无灰尘、无擦痕；保持空气清新、无异味；自动扶梯踏步、阶梯干净、无灰尘、无污迹，橡胶扶手保持色泽均一、无灰尘、无污渍、定时消毒。</w:t>
            </w:r>
          </w:p>
        </w:tc>
      </w:tr>
      <w:tr w14:paraId="445F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796D40D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设备机房、管道</w:t>
            </w:r>
          </w:p>
        </w:tc>
        <w:tc>
          <w:tcPr>
            <w:tcW w:w="7111" w:type="dxa"/>
            <w:vAlign w:val="center"/>
          </w:tcPr>
          <w:p w14:paraId="54FE80F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无卫生死角、无垃圾堆积，无灰尘、目视无蜘蛛网、无污渍、无水渍。</w:t>
            </w:r>
          </w:p>
        </w:tc>
      </w:tr>
      <w:tr w14:paraId="44D9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3472E4F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室内外墙</w:t>
            </w:r>
          </w:p>
        </w:tc>
        <w:tc>
          <w:tcPr>
            <w:tcW w:w="7111" w:type="dxa"/>
            <w:vAlign w:val="top"/>
          </w:tcPr>
          <w:p w14:paraId="3A896D7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目视洁净、光亮、无污垢；表面、接缝、角落、边线等处洁净；无污迹、无灰尘、无划痕。</w:t>
            </w:r>
          </w:p>
        </w:tc>
      </w:tr>
      <w:tr w14:paraId="51D49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268" w:type="dxa"/>
            <w:vAlign w:val="center"/>
          </w:tcPr>
          <w:p w14:paraId="175423A7">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垃圾桶</w:t>
            </w:r>
          </w:p>
        </w:tc>
        <w:tc>
          <w:tcPr>
            <w:tcW w:w="7111" w:type="dxa"/>
            <w:vAlign w:val="center"/>
          </w:tcPr>
          <w:p w14:paraId="56D7E04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桶无满溢、无异味、无污迹。</w:t>
            </w:r>
          </w:p>
        </w:tc>
      </w:tr>
      <w:tr w14:paraId="1365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268" w:type="dxa"/>
            <w:vAlign w:val="center"/>
          </w:tcPr>
          <w:p w14:paraId="6D8292C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消杀灭害</w:t>
            </w:r>
          </w:p>
        </w:tc>
        <w:tc>
          <w:tcPr>
            <w:tcW w:w="7111" w:type="dxa"/>
            <w:vAlign w:val="center"/>
          </w:tcPr>
          <w:p w14:paraId="07BDB35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对通风口、明沟、垃圾房喷洒药水。</w:t>
            </w:r>
          </w:p>
        </w:tc>
      </w:tr>
      <w:tr w14:paraId="05D8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6A82C2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电器设施</w:t>
            </w:r>
          </w:p>
        </w:tc>
        <w:tc>
          <w:tcPr>
            <w:tcW w:w="7111" w:type="dxa"/>
            <w:vAlign w:val="center"/>
          </w:tcPr>
          <w:p w14:paraId="1A5BB3F1">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灯泡、灯管无灰尘、灯罩无灰尘、无污迹、其它装饰件无灰尘、光 亮、无污迹、开关、插座、配电箱无灰尘、无污迹。</w:t>
            </w:r>
          </w:p>
        </w:tc>
      </w:tr>
    </w:tbl>
    <w:p w14:paraId="64033E2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lang w:val="zh-CN" w:eastAsia="zh-CN"/>
        </w:rPr>
        <w:t>馆属区域绿化养护</w:t>
      </w:r>
    </w:p>
    <w:p w14:paraId="7306EE8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（1）绿化养护</w:t>
      </w:r>
    </w:p>
    <w:p w14:paraId="135732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整修及时，定期修剪、打药、除虫、除草，及时浇灌，冬季及时裹干、涂白，并根据绿地植物分布状况及生长的各个阶段，对植物群落进行合理养护，保持植物季相分明、群落完整、层次得当、生长茂盛，把精品绿化养护到位；</w:t>
      </w:r>
    </w:p>
    <w:p w14:paraId="6BB6F4A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（2）馆内区域的四害消杀按照我国卫生委员会的标准执行。</w:t>
      </w:r>
    </w:p>
    <w:p w14:paraId="6E38E96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lang w:val="zh-CN" w:eastAsia="zh-CN"/>
        </w:rPr>
        <w:t>会务服务</w:t>
      </w:r>
    </w:p>
    <w:p w14:paraId="58903DF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（1）会前准备工作</w:t>
      </w:r>
    </w:p>
    <w:p w14:paraId="0CF7666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1）根据会务信息，服务人员提前2小时检查会议室灯具，发现问题及时通知工程部进行检修；</w:t>
      </w:r>
    </w:p>
    <w:p w14:paraId="6A2C8F0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2）会前1小时开启门窗通风，保持室内空气清新，随后关闭门窗，开启空调设备，调节室内温度；一般冬季控制在20℃±2℃ , 夏季控制在26℃±2℃；</w:t>
      </w:r>
    </w:p>
    <w:p w14:paraId="0FEB9B6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3）根据会务信息，摆好桌椅、席卡、纸笔，如有特殊要求，按</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要求执行；</w:t>
      </w:r>
    </w:p>
    <w:p w14:paraId="02363CF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lang w:val="zh-CN" w:eastAsia="zh-CN"/>
        </w:rPr>
        <w:t>负责连接好计算机和投影设备，调整好音响扩音设备、话筒及其音量，灯光照明等；</w:t>
      </w:r>
    </w:p>
    <w:p w14:paraId="0988E4D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5）茶杯要求杯盖、杯身无黄斑、无缺口、无水迹且光亮。茶杯每次使用后请清洗干净，并消毒后存放于消毒柜中；</w:t>
      </w:r>
    </w:p>
    <w:p w14:paraId="72E2B32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6）热水瓶要求表面洁净光亮，水温在90℃以上，冲泡和续水时注意防止烫伤；</w:t>
      </w:r>
    </w:p>
    <w:p w14:paraId="2B9265F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7）根据会务要求提供清洁的擦脸小毛巾，温度控制在40℃；</w:t>
      </w:r>
    </w:p>
    <w:p w14:paraId="18502E8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8）会议开始前10分钟，安排至少一名服务人员站在会议室门前迎候参会人员。另有服务人员负责参会人员的登记工作、拍照；</w:t>
      </w:r>
    </w:p>
    <w:p w14:paraId="2151136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9）服务人员做到精神饱满，仪容仪表端庄大方，淡妆上岗，微笑迎宾。</w:t>
      </w:r>
    </w:p>
    <w:p w14:paraId="6BEAA82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（2）会议期间</w:t>
      </w:r>
    </w:p>
    <w:p w14:paraId="5AB8450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1）对参加会议的客人要主动问清参加会议的名称，以防走错会场耽误会议；</w:t>
      </w:r>
    </w:p>
    <w:p w14:paraId="01B2C5B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2）面带微笑，举止大方礼貌迎客；</w:t>
      </w:r>
    </w:p>
    <w:p w14:paraId="5E62B37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3）客人入座后，即刻提供茶水，遵循先宾后主顺序提供茶水；</w:t>
      </w:r>
    </w:p>
    <w:p w14:paraId="4BBE4E1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4）茶杯摆放和提放杯盖声音要轻，茶杯柄应朝向客人且呈右手45°方向，切忌手指接触茶杯口；</w:t>
      </w:r>
    </w:p>
    <w:p w14:paraId="45BAB3D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5）会议期间续水时间为20分钟；</w:t>
      </w:r>
    </w:p>
    <w:p w14:paraId="7CA1557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6）会议期间服务人员一般不得随意进出会场，应站在门口随时听候会议主办方提出的服务要求，提供服务。</w:t>
      </w:r>
    </w:p>
    <w:p w14:paraId="25B940D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（3）会议结束后的工作</w:t>
      </w:r>
    </w:p>
    <w:p w14:paraId="6EA9D55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1）会议结束时，服务人员应及时开启会议室大门，并站立在门口微笑送客，说“请走好，再见 ”；</w:t>
      </w:r>
    </w:p>
    <w:p w14:paraId="14FE9E6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2）待全部客人离场后，方可进入会场清理桌上资料、茶杯、饮料、小毛巾等物品，并将茶杯和小毛巾送往茶水间清洗、消毒。茶杯存放于会议室消毒柜中，小毛巾晾干后放入会议室橱柜中，留待下次使用；</w:t>
      </w:r>
    </w:p>
    <w:p w14:paraId="13E61A2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3）会前会后由保洁人员负责会议室卫生保洁工作；</w:t>
      </w:r>
    </w:p>
    <w:p w14:paraId="370C080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lang w:val="zh-CN" w:eastAsia="zh-CN"/>
        </w:rPr>
        <w:t>关闭空调、计算机、投影设备、音响扩音设备等；</w:t>
      </w:r>
    </w:p>
    <w:p w14:paraId="1D5C3E5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5）撤下会议横幅、标语等悬挂物品，恢复会议室原貌，开窗通风30分钟后关闭会议室；</w:t>
      </w:r>
    </w:p>
    <w:p w14:paraId="75AD6A0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6）发现遗失物品，应妥善保管并及时交专人处理，尽快联系失主或等失主认领。</w:t>
      </w:r>
    </w:p>
    <w:p w14:paraId="5EB5CC0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zh-CN" w:eastAsia="zh-CN"/>
        </w:rPr>
        <w:t>接待服务</w:t>
      </w:r>
    </w:p>
    <w:p w14:paraId="552FB50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（1）前台接待服务</w:t>
      </w:r>
    </w:p>
    <w:p w14:paraId="6418FC8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1）前台接待服务工作时间必须较采购人工作人员正常上班时间提前30分钟；</w:t>
      </w:r>
    </w:p>
    <w:p w14:paraId="45870D0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2）来访接待应遵循“有问必答”的原则，接待人员应热情回答来访者的咨询，确保答复率100%，问候、问话、回答等用语规范；</w:t>
      </w:r>
    </w:p>
    <w:p w14:paraId="191BD60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3）对来访者进行事由询问和身份登记，查验有效证件（一般为身份证，或介绍信）无误、电话联系确认后，方可放行进入。</w:t>
      </w:r>
    </w:p>
    <w:p w14:paraId="6C7772C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（2）贵宾接待服务</w:t>
      </w:r>
    </w:p>
    <w:p w14:paraId="792B91E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1）规范化服务，有需要时提供规范的礼仪服务；</w:t>
      </w:r>
    </w:p>
    <w:p w14:paraId="3F55B7C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2）按规定着装，仪态仪表风度沉着、稳重、端庄大方，举止文明，符合礼节。语言礼貌、文雅，态度热情；</w:t>
      </w:r>
    </w:p>
    <w:p w14:paraId="09A0FE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3）贵宾接待前，做好贵宾室的布置（配备好纸笔、茶水、烟灰缸、纸巾、毛巾等相关物品）工作，贵宾电梯、贵宾通道的开放等工作；</w:t>
      </w:r>
    </w:p>
    <w:p w14:paraId="2A1412C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4）贵宾接待中的倒水、续水及其它服务等事宜；</w:t>
      </w:r>
    </w:p>
    <w:p w14:paraId="50316AD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5）贵宾接待结束后，现场的保洁及相关设备、物品的清点、归还等工作；</w:t>
      </w:r>
    </w:p>
    <w:p w14:paraId="25C020B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6）完成业主交办的其它工作。</w:t>
      </w:r>
    </w:p>
    <w:p w14:paraId="0A013C0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（3）客户服务</w:t>
      </w:r>
    </w:p>
    <w:p w14:paraId="53F5C2E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1）设立客户服务接待中心，负责接待与运行有关的各类服务需求，以及房屋、设备等报修服务要求；</w:t>
      </w:r>
    </w:p>
    <w:p w14:paraId="297615D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2）接到报修时，应及时受理，并在规定的时间内到达现场处理，小修项目宜当天完成（预约除外）；</w:t>
      </w:r>
    </w:p>
    <w:p w14:paraId="38F1B8F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3）维修结果应及时反馈给报修单位或报修人。</w:t>
      </w:r>
    </w:p>
    <w:p w14:paraId="243B661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（4）投诉处理</w:t>
      </w:r>
    </w:p>
    <w:p w14:paraId="1F66CD6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直接受理的投诉，应核实情况，及时处理并回复投诉者。属于中标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责任的，应及时向投诉者道歉并纠正；属于无责投诉的应向投诉者做好解释工作。中标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与投诉者无法协商解决的，应上报采购人处理；中标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直接受理的投诉，应在一个工作日内回复处理结果，最长不得超过三个工作日；</w:t>
      </w:r>
    </w:p>
    <w:p w14:paraId="58159D8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2）向保卫部门或公安机关报案的投诉，协助保卫部门或公安部门处理；</w:t>
      </w:r>
    </w:p>
    <w:p w14:paraId="38E782E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3）涉及依法裁决的投诉，应按法律程序处理；</w:t>
      </w:r>
    </w:p>
    <w:p w14:paraId="33525FF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4）受理、处置各种投诉应做好记录。</w:t>
      </w:r>
    </w:p>
    <w:p w14:paraId="22B94AC7">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lang w:val="zh-CN" w:eastAsia="zh-CN"/>
        </w:rPr>
        <w:t>馆内管理服务</w:t>
      </w:r>
    </w:p>
    <w:p w14:paraId="4389FD0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（1）做好设备看护工作，保证馆内设备以及公共财产不受损坏和丢失；开馆前和闭馆后要对设备进行检查并签字确认；</w:t>
      </w:r>
    </w:p>
    <w:p w14:paraId="7DAA9F7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（2）做好馆内观众服务工作，及时发现游客的需求并竭力解决；</w:t>
      </w:r>
    </w:p>
    <w:p w14:paraId="68365BD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（3）维持馆内参观秩序，保证参观秩序井然有序，劝阻参观人员不文明行为；</w:t>
      </w:r>
    </w:p>
    <w:p w14:paraId="0B5CB44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（4）维持馆内环境卫生清洁，每天对展厅卫生清洁至少二次，保证馆内无垃圾、无水迹，设备无明显印迹；</w:t>
      </w:r>
    </w:p>
    <w:p w14:paraId="7D902C1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（5）突发意外事件时，立即上报，并按预案执行；</w:t>
      </w:r>
    </w:p>
    <w:p w14:paraId="166EC6C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（6）做好设备设施的报修工作，发现设备故障及时报修；</w:t>
      </w:r>
    </w:p>
    <w:p w14:paraId="1D21961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（7）按规定着装，仪态仪表风度沉着、稳重、大方，举止文明，符合礼节；语言礼貌、文雅，态度热情；</w:t>
      </w:r>
    </w:p>
    <w:p w14:paraId="28435C2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（8）设备内清洁作业在确保安全条件下，由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现场指导下进行，一般每半年一次，因设备类型不同可适当调整频次；</w:t>
      </w:r>
    </w:p>
    <w:p w14:paraId="0FDBE3A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（9）配合采购人开展观众调查工作。</w:t>
      </w:r>
    </w:p>
    <w:p w14:paraId="46B5FAA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lang w:val="zh-CN" w:eastAsia="zh-CN"/>
        </w:rPr>
        <w:t>票务、安检、导览台服务</w:t>
      </w:r>
    </w:p>
    <w:p w14:paraId="19E08BA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（1）总体服务要求：做好观众入馆取票、信息登记、安全检查、入馆导引、导览台的预约、咨询、文明城市创建、寄存等服务。</w:t>
      </w:r>
    </w:p>
    <w:p w14:paraId="2917C50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（2）具体服务内容</w:t>
      </w:r>
    </w:p>
    <w:p w14:paraId="6D1B8EE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1）熟练掌握游客取票系统的使用，做好游客入馆前的取票工作；</w:t>
      </w:r>
    </w:p>
    <w:p w14:paraId="32719DE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2）熟练掌握科技馆危险品和违禁品目录；</w:t>
      </w:r>
    </w:p>
    <w:p w14:paraId="33213F4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3）熟练掌握安检系统的使用方法，严格安检，杜绝观众携带危险品、违禁品入馆；</w:t>
      </w:r>
    </w:p>
    <w:p w14:paraId="09C7B73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4）做好游客出馆的安检工作，严禁游客从出口通道入馆；</w:t>
      </w:r>
    </w:p>
    <w:p w14:paraId="2BEBD1B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5）引导游客有序取票入馆，防止拥挤；</w:t>
      </w:r>
    </w:p>
    <w:p w14:paraId="458D7DF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6）接待游客的电话、现场咨询，及时解答游客疑问；</w:t>
      </w:r>
    </w:p>
    <w:p w14:paraId="5F25D56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7）接待游客寄存，为游客提供满意的行李寄存服务；</w:t>
      </w:r>
    </w:p>
    <w:p w14:paraId="4C2313A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8）接待游客预约，为游客提供高效的参观预约与导览服务；</w:t>
      </w:r>
    </w:p>
    <w:p w14:paraId="6C95A12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9）为游客提供轮椅、婴儿车、充电宝等租借工作；</w:t>
      </w:r>
    </w:p>
    <w:p w14:paraId="5289B3B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10）做好导览台、票务台、安检台设备设施的日常管理工作；</w:t>
      </w:r>
    </w:p>
    <w:p w14:paraId="6956AEB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11）每月做好各类服务项目的数据统计工作；</w:t>
      </w:r>
    </w:p>
    <w:p w14:paraId="06494BC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12）做好</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交代的其他工作。</w:t>
      </w:r>
    </w:p>
    <w:p w14:paraId="61B91A2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4.8其他服务内容及要求</w:t>
      </w:r>
    </w:p>
    <w:p w14:paraId="3B2A5AD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（1）制定运行管理方案和其他各种规章制度，监督贯彻执行；</w:t>
      </w:r>
    </w:p>
    <w:p w14:paraId="36EF459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（2）制定质量管理、员工守则和奖惩办法等；</w:t>
      </w:r>
    </w:p>
    <w:p w14:paraId="74EA810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（3）完善档案、图纸、维修记录等技术资料的管理工作；</w:t>
      </w:r>
    </w:p>
    <w:p w14:paraId="69240AB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（4）制定岗位目标责任，完善各专业管理制度，加强技术培训；</w:t>
      </w:r>
    </w:p>
    <w:p w14:paraId="2F39BAD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（5）定期向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征询服务意见，并做好记录，进行分析，及时反馈；</w:t>
      </w:r>
    </w:p>
    <w:p w14:paraId="2A78016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（6）定期对目标任务和服务质量完成情况进行统计考核；</w:t>
      </w:r>
    </w:p>
    <w:p w14:paraId="2E57B04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（7）对每日工作进行计划安排，并认真填写工作日志；</w:t>
      </w:r>
    </w:p>
    <w:p w14:paraId="541581D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（8）加强应急管理，制定各类突发事件应急预案，加强应急演练；</w:t>
      </w:r>
    </w:p>
    <w:p w14:paraId="37F83A3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（9）积极完成</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另行安排的其它工作，如抗洪防汛、清除积雪、搬运物品、整治环境卫生等；</w:t>
      </w:r>
    </w:p>
    <w:p w14:paraId="27C3097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（10）保证设备、设施（供电、供水、供暖、空调等）、车辆、建筑物及附属物的完好，如有损坏按价赔偿；</w:t>
      </w:r>
    </w:p>
    <w:p w14:paraId="342B809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（11）馆属区域出现失窃，中标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应按损失原价赔偿；</w:t>
      </w:r>
    </w:p>
    <w:p w14:paraId="7E4380B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w:t>
      </w:r>
      <w:r>
        <w:rPr>
          <w:rFonts w:hint="eastAsia" w:ascii="宋体" w:hAnsi="宋体" w:eastAsia="宋体" w:cs="宋体"/>
          <w:color w:val="auto"/>
          <w:sz w:val="24"/>
          <w:szCs w:val="24"/>
          <w:highlight w:val="none"/>
          <w:lang w:val="en-US" w:eastAsia="zh-CN"/>
        </w:rPr>
        <w:t>合同履行期间</w:t>
      </w:r>
      <w:r>
        <w:rPr>
          <w:rFonts w:hint="eastAsia" w:ascii="宋体" w:hAnsi="宋体" w:eastAsia="宋体" w:cs="宋体"/>
          <w:color w:val="auto"/>
          <w:sz w:val="24"/>
          <w:szCs w:val="24"/>
          <w:highlight w:val="none"/>
          <w:lang w:val="zh-CN" w:eastAsia="zh-CN"/>
        </w:rPr>
        <w:t>采购人若有管理与服务区域（范围）或服务项目变更，应提前向中标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通报；</w:t>
      </w:r>
    </w:p>
    <w:p w14:paraId="37A2E0E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（13）如</w:t>
      </w:r>
      <w:r>
        <w:rPr>
          <w:rFonts w:hint="eastAsia" w:ascii="宋体" w:hAnsi="宋体" w:eastAsia="宋体" w:cs="宋体"/>
          <w:color w:val="auto"/>
          <w:sz w:val="24"/>
          <w:szCs w:val="24"/>
          <w:highlight w:val="none"/>
          <w:lang w:val="en-US" w:eastAsia="zh-CN"/>
        </w:rPr>
        <w:t>合同终止或解除，</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人须</w:t>
      </w:r>
      <w:r>
        <w:rPr>
          <w:rFonts w:hint="eastAsia" w:ascii="宋体" w:hAnsi="宋体" w:eastAsia="宋体" w:cs="宋体"/>
          <w:color w:val="auto"/>
          <w:sz w:val="24"/>
          <w:szCs w:val="24"/>
          <w:highlight w:val="none"/>
          <w:lang w:val="zh-CN" w:eastAsia="zh-CN"/>
        </w:rPr>
        <w:t>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交付全套档案资料（含电子文档）、工器具等，经过</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验收合格，并完成与后续管理企业的衔接后，方可退出；</w:t>
      </w:r>
    </w:p>
    <w:p w14:paraId="773397F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（14）采购人不</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人的</w:t>
      </w:r>
      <w:r>
        <w:rPr>
          <w:rFonts w:hint="eastAsia" w:ascii="宋体" w:hAnsi="宋体" w:eastAsia="宋体" w:cs="宋体"/>
          <w:color w:val="auto"/>
          <w:sz w:val="24"/>
          <w:szCs w:val="24"/>
          <w:highlight w:val="none"/>
          <w:lang w:val="zh-CN" w:eastAsia="zh-CN"/>
        </w:rPr>
        <w:t>员工提供住宿与工作餐；</w:t>
      </w:r>
    </w:p>
    <w:p w14:paraId="556F55C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（15）从事专业设施的维修、改造的单位须具备相</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val="zh-CN" w:eastAsia="zh-CN"/>
        </w:rPr>
        <w:t>资质；</w:t>
      </w:r>
    </w:p>
    <w:p w14:paraId="31FCF02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（16）运行保障部工作人员每年提供一份市级以上正规医疗机构出具的体检健康证明；</w:t>
      </w:r>
    </w:p>
    <w:p w14:paraId="147818D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（17）上岗人数必须符合招投标文件</w:t>
      </w:r>
      <w:r>
        <w:rPr>
          <w:rFonts w:hint="eastAsia" w:ascii="宋体" w:hAnsi="宋体" w:eastAsia="宋体" w:cs="宋体"/>
          <w:color w:val="auto"/>
          <w:sz w:val="24"/>
          <w:szCs w:val="24"/>
          <w:highlight w:val="none"/>
          <w:lang w:val="en-US" w:eastAsia="zh-CN"/>
        </w:rPr>
        <w:t>和实际需求</w:t>
      </w:r>
      <w:r>
        <w:rPr>
          <w:rFonts w:hint="eastAsia" w:ascii="宋体" w:hAnsi="宋体" w:eastAsia="宋体" w:cs="宋体"/>
          <w:color w:val="auto"/>
          <w:sz w:val="24"/>
          <w:szCs w:val="24"/>
          <w:highlight w:val="none"/>
          <w:lang w:val="zh-CN" w:eastAsia="zh-CN"/>
        </w:rPr>
        <w:t>，如</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lang w:val="zh-CN" w:eastAsia="zh-CN"/>
        </w:rPr>
        <w:t>人员少于</w:t>
      </w:r>
      <w:r>
        <w:rPr>
          <w:rFonts w:hint="eastAsia" w:ascii="宋体" w:hAnsi="宋体" w:eastAsia="宋体" w:cs="宋体"/>
          <w:color w:val="auto"/>
          <w:sz w:val="24"/>
          <w:szCs w:val="24"/>
          <w:highlight w:val="none"/>
          <w:lang w:val="en-US" w:eastAsia="zh-CN"/>
        </w:rPr>
        <w:t>中标单位其</w:t>
      </w:r>
      <w:r>
        <w:rPr>
          <w:rFonts w:hint="eastAsia" w:ascii="宋体" w:hAnsi="宋体" w:eastAsia="宋体" w:cs="宋体"/>
          <w:color w:val="auto"/>
          <w:sz w:val="24"/>
          <w:szCs w:val="24"/>
          <w:highlight w:val="none"/>
          <w:lang w:val="zh-CN" w:eastAsia="zh-CN"/>
        </w:rPr>
        <w:t>投标文件</w:t>
      </w:r>
      <w:r>
        <w:rPr>
          <w:rFonts w:hint="eastAsia" w:ascii="宋体" w:hAnsi="宋体" w:eastAsia="宋体" w:cs="宋体"/>
          <w:color w:val="auto"/>
          <w:sz w:val="24"/>
          <w:szCs w:val="24"/>
          <w:highlight w:val="none"/>
          <w:lang w:val="en-US" w:eastAsia="zh-CN"/>
        </w:rPr>
        <w:t>中响应</w:t>
      </w:r>
      <w:r>
        <w:rPr>
          <w:rFonts w:hint="eastAsia" w:ascii="宋体" w:hAnsi="宋体" w:eastAsia="宋体" w:cs="宋体"/>
          <w:color w:val="auto"/>
          <w:sz w:val="24"/>
          <w:szCs w:val="24"/>
          <w:highlight w:val="none"/>
          <w:lang w:val="zh-CN" w:eastAsia="zh-CN"/>
        </w:rPr>
        <w:t>人数，则由采购人按缺额人数从运行服务费中扣除缺少的人员费用；</w:t>
      </w:r>
    </w:p>
    <w:p w14:paraId="1D9CF5E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（18）不得私自挪用采购人任何物品，拆装任何设备设施必须经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同意；</w:t>
      </w:r>
    </w:p>
    <w:p w14:paraId="2A400C4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（19）根据采购人业务工作和开展各项活动的特殊需要，提供相应的服务和工作上的配合；</w:t>
      </w:r>
    </w:p>
    <w:p w14:paraId="3828672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（20）中标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在接到采购人通知后五个工作日内按人员要求完成人员配备 （如辅导员按十个工作日），否则</w:t>
      </w:r>
      <w:r>
        <w:rPr>
          <w:rFonts w:hint="eastAsia" w:ascii="宋体" w:hAnsi="宋体" w:eastAsia="宋体" w:cs="宋体"/>
          <w:color w:val="auto"/>
          <w:sz w:val="24"/>
          <w:szCs w:val="24"/>
          <w:highlight w:val="none"/>
          <w:lang w:val="en-US" w:eastAsia="zh-CN"/>
        </w:rPr>
        <w:t>终止</w:t>
      </w:r>
      <w:r>
        <w:rPr>
          <w:rFonts w:hint="eastAsia" w:ascii="宋体" w:hAnsi="宋体" w:eastAsia="宋体" w:cs="宋体"/>
          <w:color w:val="auto"/>
          <w:sz w:val="24"/>
          <w:szCs w:val="24"/>
          <w:highlight w:val="none"/>
          <w:lang w:val="zh-CN" w:eastAsia="zh-CN"/>
        </w:rPr>
        <w:t>合同；</w:t>
      </w:r>
    </w:p>
    <w:p w14:paraId="2B61BF0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（21）</w:t>
      </w:r>
      <w:r>
        <w:rPr>
          <w:rFonts w:hint="eastAsia" w:ascii="宋体" w:hAnsi="宋体" w:eastAsia="宋体" w:cs="宋体"/>
          <w:color w:val="auto"/>
          <w:sz w:val="24"/>
          <w:szCs w:val="24"/>
          <w:highlight w:val="none"/>
          <w:lang w:val="en-US" w:eastAsia="zh-CN"/>
        </w:rPr>
        <w:t>若配备的</w:t>
      </w:r>
      <w:r>
        <w:rPr>
          <w:rFonts w:hint="eastAsia" w:ascii="宋体" w:hAnsi="宋体" w:eastAsia="宋体" w:cs="宋体"/>
          <w:color w:val="auto"/>
          <w:sz w:val="24"/>
          <w:szCs w:val="24"/>
          <w:highlight w:val="none"/>
          <w:lang w:val="zh-CN" w:eastAsia="zh-CN"/>
        </w:rPr>
        <w:t>人员满足不了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文件要求，采购人可要求中标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限期整改，</w:t>
      </w:r>
      <w:r>
        <w:rPr>
          <w:rFonts w:hint="eastAsia" w:ascii="宋体" w:hAnsi="宋体" w:eastAsia="宋体" w:cs="宋体"/>
          <w:color w:val="auto"/>
          <w:sz w:val="24"/>
          <w:szCs w:val="24"/>
          <w:highlight w:val="none"/>
          <w:lang w:val="en-US" w:eastAsia="zh-CN"/>
        </w:rPr>
        <w:t>整改仍不到位的</w:t>
      </w:r>
      <w:r>
        <w:rPr>
          <w:rFonts w:hint="eastAsia" w:ascii="宋体" w:hAnsi="宋体" w:eastAsia="宋体" w:cs="宋体"/>
          <w:color w:val="auto"/>
          <w:sz w:val="24"/>
          <w:szCs w:val="24"/>
          <w:highlight w:val="none"/>
          <w:lang w:val="zh-CN" w:eastAsia="zh-CN"/>
        </w:rPr>
        <w:t>，如第二次出现类似情况，除扣除费用外，</w:t>
      </w:r>
      <w:r>
        <w:rPr>
          <w:rFonts w:hint="eastAsia" w:ascii="宋体" w:hAnsi="宋体" w:eastAsia="宋体" w:cs="宋体"/>
          <w:color w:val="auto"/>
          <w:sz w:val="24"/>
          <w:szCs w:val="24"/>
          <w:highlight w:val="none"/>
          <w:lang w:val="en-US" w:eastAsia="zh-CN"/>
        </w:rPr>
        <w:t>终止</w:t>
      </w:r>
      <w:r>
        <w:rPr>
          <w:rFonts w:hint="eastAsia" w:ascii="宋体" w:hAnsi="宋体" w:eastAsia="宋体" w:cs="宋体"/>
          <w:color w:val="auto"/>
          <w:sz w:val="24"/>
          <w:szCs w:val="24"/>
          <w:highlight w:val="none"/>
          <w:lang w:val="zh-CN" w:eastAsia="zh-CN"/>
        </w:rPr>
        <w:t>合同；</w:t>
      </w:r>
    </w:p>
    <w:p w14:paraId="4717E8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（22）中标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与员工的任何劳动纠纷均由中标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处理。如对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造成声誉或其他损失的，</w:t>
      </w:r>
      <w:r>
        <w:rPr>
          <w:rFonts w:hint="eastAsia" w:ascii="宋体" w:hAnsi="宋体" w:eastAsia="宋体" w:cs="宋体"/>
          <w:color w:val="auto"/>
          <w:sz w:val="24"/>
          <w:szCs w:val="24"/>
          <w:highlight w:val="none"/>
          <w:lang w:val="en-US" w:eastAsia="zh-CN"/>
        </w:rPr>
        <w:t>采购人将</w:t>
      </w:r>
      <w:r>
        <w:rPr>
          <w:rFonts w:hint="eastAsia" w:ascii="宋体" w:hAnsi="宋体" w:eastAsia="宋体" w:cs="宋体"/>
          <w:color w:val="auto"/>
          <w:sz w:val="24"/>
          <w:szCs w:val="24"/>
          <w:highlight w:val="none"/>
          <w:lang w:val="zh-CN" w:eastAsia="zh-CN"/>
        </w:rPr>
        <w:t>对中标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进行追偿；</w:t>
      </w:r>
    </w:p>
    <w:p w14:paraId="351057C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（23）完成采购人临时安排的其他服务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eastAsia="zh-CN"/>
        </w:rPr>
        <w:t>。</w:t>
      </w:r>
    </w:p>
    <w:p w14:paraId="3AC0DF6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）除评分标准中要求提供的相关人员证明材料作为评分条件外，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文件中无须提供人员其他相关证明材料。</w:t>
      </w:r>
      <w:r>
        <w:rPr>
          <w:rFonts w:hint="eastAsia" w:ascii="宋体" w:hAnsi="宋体" w:eastAsia="宋体" w:cs="宋体"/>
          <w:color w:val="auto"/>
          <w:sz w:val="24"/>
          <w:szCs w:val="24"/>
          <w:highlight w:val="none"/>
          <w:lang w:val="en-US" w:eastAsia="zh-CN"/>
        </w:rPr>
        <w:t>履约时实际人员不响应或负偏离，弄虚作假谋取中标资格的，采购人有权上报相关部门，按相关法律处理，</w:t>
      </w:r>
      <w:r>
        <w:rPr>
          <w:rFonts w:hint="eastAsia" w:ascii="宋体" w:hAnsi="宋体" w:eastAsia="宋体" w:cs="宋体"/>
          <w:color w:val="auto"/>
          <w:sz w:val="24"/>
          <w:szCs w:val="24"/>
          <w:highlight w:val="none"/>
          <w:lang w:val="zh-CN" w:eastAsia="zh-CN"/>
        </w:rPr>
        <w:t>由此产生的后果及责任由</w:t>
      </w:r>
      <w:r>
        <w:rPr>
          <w:rFonts w:hint="eastAsia" w:ascii="宋体" w:hAnsi="宋体" w:eastAsia="宋体" w:cs="宋体"/>
          <w:color w:val="auto"/>
          <w:sz w:val="24"/>
          <w:szCs w:val="24"/>
          <w:highlight w:val="none"/>
          <w:lang w:val="en-US" w:eastAsia="zh-CN"/>
        </w:rPr>
        <w:t>中标人自行</w:t>
      </w:r>
      <w:r>
        <w:rPr>
          <w:rFonts w:hint="eastAsia" w:ascii="宋体" w:hAnsi="宋体" w:eastAsia="宋体" w:cs="宋体"/>
          <w:color w:val="auto"/>
          <w:sz w:val="24"/>
          <w:szCs w:val="24"/>
          <w:highlight w:val="none"/>
          <w:lang w:val="zh-CN" w:eastAsia="zh-CN"/>
        </w:rPr>
        <w:t>承担。</w:t>
      </w:r>
    </w:p>
    <w:p w14:paraId="7E3F931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（25）中标人</w:t>
      </w:r>
      <w:r>
        <w:rPr>
          <w:rFonts w:hint="eastAsia" w:ascii="宋体" w:hAnsi="宋体" w:eastAsia="宋体" w:cs="宋体"/>
          <w:color w:val="auto"/>
          <w:sz w:val="24"/>
          <w:szCs w:val="24"/>
          <w:highlight w:val="none"/>
          <w:lang w:val="zh-CN" w:eastAsia="zh-CN"/>
        </w:rPr>
        <w:t>应未经采购人同意开展活动（或以采购人名义开展活动） 造成不良影响，采购人将依法追究</w:t>
      </w:r>
      <w:r>
        <w:rPr>
          <w:rFonts w:hint="eastAsia" w:ascii="宋体" w:hAnsi="宋体" w:eastAsia="宋体" w:cs="宋体"/>
          <w:color w:val="auto"/>
          <w:sz w:val="24"/>
          <w:szCs w:val="24"/>
          <w:highlight w:val="none"/>
          <w:lang w:val="en-US" w:eastAsia="zh-CN"/>
        </w:rPr>
        <w:t>其法律</w:t>
      </w:r>
      <w:r>
        <w:rPr>
          <w:rFonts w:hint="eastAsia" w:ascii="宋体" w:hAnsi="宋体" w:eastAsia="宋体" w:cs="宋体"/>
          <w:color w:val="auto"/>
          <w:sz w:val="24"/>
          <w:szCs w:val="24"/>
          <w:highlight w:val="none"/>
          <w:lang w:val="zh-CN" w:eastAsia="zh-CN"/>
        </w:rPr>
        <w:t>责任。</w:t>
      </w:r>
    </w:p>
    <w:p w14:paraId="69E1E03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26）合同履行期间</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须加强安全管理，严禁出现安全事故；若发生任何安全事故，一切责任由中标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承担。</w:t>
      </w:r>
    </w:p>
    <w:p w14:paraId="5C9D65D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val="zh-CN" w:eastAsia="zh-CN"/>
        </w:rPr>
        <w:t>因中标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责任造成采购人重大经济损或重要影响的，采购人在报相关部门备案后终止合同，造成的影响和损失由中标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承担。</w:t>
      </w:r>
    </w:p>
    <w:p w14:paraId="380A994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（六）考核办法</w:t>
      </w:r>
    </w:p>
    <w:p w14:paraId="3C7E5C7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1.月度</w:t>
      </w:r>
      <w:r>
        <w:rPr>
          <w:rFonts w:hint="eastAsia" w:ascii="宋体" w:hAnsi="宋体" w:eastAsia="宋体" w:cs="宋体"/>
          <w:color w:val="auto"/>
          <w:sz w:val="24"/>
          <w:szCs w:val="24"/>
          <w:highlight w:val="none"/>
          <w:lang w:val="zh-CN" w:eastAsia="zh-CN"/>
        </w:rPr>
        <w:t>考核基础分为100分，加分项目10分，总分110分。得90分（含）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的全额支付月度服务费</w:t>
      </w:r>
      <w:r>
        <w:rPr>
          <w:rFonts w:hint="eastAsia" w:ascii="宋体" w:hAnsi="宋体" w:eastAsia="宋体" w:cs="宋体"/>
          <w:color w:val="auto"/>
          <w:sz w:val="24"/>
          <w:szCs w:val="24"/>
          <w:highlight w:val="none"/>
          <w:lang w:val="zh-CN" w:eastAsia="zh-CN"/>
        </w:rPr>
        <w:t>；得80</w:t>
      </w:r>
      <w:r>
        <w:rPr>
          <w:rFonts w:hint="eastAsia" w:ascii="宋体" w:hAnsi="宋体" w:eastAsia="宋体" w:cs="宋体"/>
          <w:color w:val="auto"/>
          <w:sz w:val="24"/>
          <w:szCs w:val="24"/>
          <w:highlight w:val="none"/>
          <w:lang w:val="en-US" w:eastAsia="zh-CN"/>
        </w:rPr>
        <w:t>分（含）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w:t>
      </w:r>
      <w:r>
        <w:rPr>
          <w:rFonts w:hint="eastAsia" w:ascii="宋体" w:hAnsi="宋体" w:eastAsia="宋体" w:cs="宋体"/>
          <w:color w:val="auto"/>
          <w:sz w:val="24"/>
          <w:szCs w:val="24"/>
          <w:highlight w:val="none"/>
          <w:lang w:val="en-US" w:eastAsia="zh-CN"/>
        </w:rPr>
        <w:t>的支付月度服务费的90%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得70分（含）-80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不含）支付月度服务费的75%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得60分（含）-70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不含）支付月度服务费的50%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下的不支付月度服务费；连续两个月度考核得60分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下的终止合同；具体考核细则待项目实施阶段由采购人制定。</w:t>
      </w:r>
    </w:p>
    <w:p w14:paraId="573FA1F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年度考核平均得分90分(含）以上可直接续签下一年度合同；年度考核得分80分（含）至90分（不含）提出下一年度专项整改方案经采购人同意后，可签订下一年度合同；年度考核得分80分（不含）以下不再续签下一年度合同。</w:t>
      </w:r>
    </w:p>
    <w:p w14:paraId="58C088F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三、报价要求</w:t>
      </w:r>
    </w:p>
    <w:p w14:paraId="26490C7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投标时应对费用组成部分进行分项报价，费用总价</w:t>
      </w:r>
      <w:r>
        <w:rPr>
          <w:rFonts w:hint="eastAsia" w:ascii="宋体" w:hAnsi="宋体" w:eastAsia="宋体" w:cs="宋体"/>
          <w:color w:val="auto"/>
          <w:sz w:val="24"/>
          <w:szCs w:val="24"/>
          <w:highlight w:val="none"/>
          <w:lang w:val="en-US" w:eastAsia="zh-CN"/>
        </w:rPr>
        <w:t>180</w:t>
      </w:r>
      <w:r>
        <w:rPr>
          <w:rFonts w:hint="eastAsia" w:ascii="宋体" w:hAnsi="宋体" w:eastAsia="宋体" w:cs="宋体"/>
          <w:color w:val="auto"/>
          <w:sz w:val="24"/>
          <w:szCs w:val="24"/>
          <w:highlight w:val="none"/>
          <w:lang w:val="zh-CN" w:eastAsia="zh-CN"/>
        </w:rPr>
        <w:t>万元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val="zh-CN" w:eastAsia="zh-CN"/>
        </w:rPr>
        <w:t>。</w:t>
      </w:r>
    </w:p>
    <w:p w14:paraId="51EDC4F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2.中标人</w:t>
      </w:r>
      <w:r>
        <w:rPr>
          <w:rFonts w:hint="eastAsia" w:ascii="宋体" w:hAnsi="宋体" w:eastAsia="宋体" w:cs="宋体"/>
          <w:color w:val="auto"/>
          <w:sz w:val="24"/>
          <w:szCs w:val="24"/>
          <w:highlight w:val="none"/>
          <w:lang w:val="zh-CN" w:eastAsia="zh-CN"/>
        </w:rPr>
        <w:t>必须和拟派的所有岗位人员按照相关规定签订劳动合同并为其缴纳社保，否则产生的相关纠纷由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自行承担。投标时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zh-CN" w:eastAsia="zh-CN"/>
        </w:rPr>
        <w:t>充分考虑企业利润，如因企业漏报或主动让利，产生的相关纠纷由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w:t>
      </w:r>
    </w:p>
    <w:p w14:paraId="6B0D6D1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投标人应考虑合同期内政策性费用调整的风险。投标报价应考虑滁州市最低工资标准上调等风险，履约期限内不得以最低工资标准上调以及物价指数上涨等理由要求增加物业管理费用。</w:t>
      </w:r>
    </w:p>
    <w:p w14:paraId="1B81DD2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4.投标报价</w:t>
      </w:r>
      <w:r>
        <w:rPr>
          <w:rFonts w:hint="eastAsia" w:ascii="宋体" w:hAnsi="宋体" w:eastAsia="宋体" w:cs="宋体"/>
          <w:color w:val="auto"/>
          <w:sz w:val="24"/>
          <w:szCs w:val="24"/>
          <w:highlight w:val="none"/>
          <w:lang w:val="zh-CN" w:eastAsia="zh-CN"/>
        </w:rPr>
        <w:t>组成包括但不限于人员工资、管理费、保洁服务的工具及耗材费、电梯地毯购置费、安保设备费（对讲机、警棍、防暴叉等）、设备维保费【消防、电  梯、强弱电、安防、空调及网络系统等维保和年检费，包括展厅、办公区照明灯具、消防器材</w:t>
      </w:r>
      <w:r>
        <w:rPr>
          <w:rFonts w:hint="eastAsia" w:ascii="宋体" w:hAnsi="宋体" w:eastAsia="宋体" w:cs="宋体"/>
          <w:color w:val="auto"/>
          <w:sz w:val="24"/>
          <w:szCs w:val="24"/>
          <w:highlight w:val="none"/>
          <w:lang w:val="en-US" w:eastAsia="zh-CN"/>
        </w:rPr>
        <w:t>维护及</w:t>
      </w:r>
      <w:r>
        <w:rPr>
          <w:rFonts w:hint="eastAsia" w:ascii="宋体" w:hAnsi="宋体" w:eastAsia="宋体" w:cs="宋体"/>
          <w:color w:val="auto"/>
          <w:sz w:val="24"/>
          <w:szCs w:val="24"/>
          <w:highlight w:val="none"/>
          <w:lang w:val="zh-CN" w:eastAsia="zh-CN"/>
        </w:rPr>
        <w:t>更换】、</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val="zh-CN" w:eastAsia="zh-CN"/>
        </w:rPr>
        <w:t>维修养护</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lang w:val="zh-CN" w:eastAsia="zh-CN"/>
        </w:rPr>
        <w:t>工器具及服装费、办公费、税金、利润、劳动保险费、各种加班费、食宿与交通、安全、仓储、运输（包括垃圾外运）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为完成合同所需的一切本身和不可或缺的所有工作开支、政策性文件规定及合同包含的所有风险、责任等各项全部费用</w:t>
      </w:r>
      <w:r>
        <w:rPr>
          <w:rFonts w:hint="eastAsia" w:ascii="宋体" w:hAnsi="宋体" w:eastAsia="宋体" w:cs="宋体"/>
          <w:color w:val="auto"/>
          <w:sz w:val="24"/>
          <w:szCs w:val="24"/>
          <w:highlight w:val="none"/>
          <w:lang w:val="en-US" w:eastAsia="zh-CN"/>
        </w:rPr>
        <w:t>及国家对中标单位征收的各种税费等所有一切费用，综合单价今后将不作任何调整。</w:t>
      </w:r>
    </w:p>
    <w:p w14:paraId="6E4BC8D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（1）人员成本费：运行团队人员工资、绩效、福利补贴、社保等支出等；</w:t>
      </w:r>
    </w:p>
    <w:p w14:paraId="368D7E4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（2）行政管理费：行政办公、员工培训、员工制服、交通、公务、会务、通讯网络费用、办公耗材、防汛物资、疫情防控物资、消防器材、绿植配置与养护等运行保障费用；</w:t>
      </w:r>
    </w:p>
    <w:p w14:paraId="282D57F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）大型设备设施及消防维保（包含电梯维保、空调维保、消防维保）；其中：</w:t>
      </w:r>
      <w:r>
        <w:rPr>
          <w:rFonts w:hint="eastAsia" w:ascii="宋体" w:hAnsi="宋体" w:eastAsia="宋体" w:cs="宋体"/>
          <w:color w:val="auto"/>
          <w:sz w:val="24"/>
          <w:szCs w:val="24"/>
          <w:highlight w:val="none"/>
          <w:lang w:val="en-US" w:eastAsia="zh-CN"/>
        </w:rPr>
        <w:t>中央空调冷媒充装，每年4月（夏季使用前）、10月（冬季使用前）各进行1次冷媒充装，确保空调制冷/制热效果达标，每次充装前检测系统压力及冷媒存量，按设备最大容量足量充装，由具备空调维修资质的外委单位或工程技术人员实施，充装前检查系统密封性，避免冷媒泄漏，冷媒材料费、人工服务费及检测费用纳入中标人合同价款中，采购人不额外支付费用。</w:t>
      </w:r>
    </w:p>
    <w:p w14:paraId="7322399B">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用于运行保障的设备、清洁用品、用具及公用部位的卫生用品、用具、会议所需用品（茶叶、纸杯等）由中标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购置并承担费用（</w:t>
      </w:r>
      <w:r>
        <w:rPr>
          <w:rFonts w:hint="eastAsia" w:ascii="宋体" w:hAnsi="宋体" w:eastAsia="宋体" w:cs="宋体"/>
          <w:color w:val="auto"/>
          <w:sz w:val="24"/>
          <w:szCs w:val="24"/>
          <w:highlight w:val="none"/>
          <w:lang w:val="en-US" w:eastAsia="zh-CN"/>
        </w:rPr>
        <w:t>含在其合同价款中）</w:t>
      </w:r>
      <w:r>
        <w:rPr>
          <w:rFonts w:hint="eastAsia" w:ascii="宋体" w:hAnsi="宋体" w:eastAsia="宋体" w:cs="宋体"/>
          <w:color w:val="auto"/>
          <w:sz w:val="24"/>
          <w:szCs w:val="24"/>
          <w:highlight w:val="none"/>
          <w:lang w:val="zh-CN" w:eastAsia="zh-CN"/>
        </w:rPr>
        <w:t>，具体数量、品牌</w:t>
      </w:r>
      <w:r>
        <w:rPr>
          <w:rFonts w:hint="eastAsia" w:ascii="宋体" w:hAnsi="宋体" w:eastAsia="宋体" w:cs="宋体"/>
          <w:color w:val="auto"/>
          <w:sz w:val="24"/>
          <w:szCs w:val="24"/>
          <w:highlight w:val="none"/>
          <w:lang w:val="en-US" w:eastAsia="zh-CN"/>
        </w:rPr>
        <w:t>报采购人</w:t>
      </w:r>
      <w:r>
        <w:rPr>
          <w:rFonts w:hint="eastAsia" w:ascii="宋体" w:hAnsi="宋体" w:eastAsia="宋体" w:cs="宋体"/>
          <w:color w:val="auto"/>
          <w:sz w:val="24"/>
          <w:szCs w:val="24"/>
          <w:highlight w:val="none"/>
          <w:lang w:val="zh-CN" w:eastAsia="zh-CN"/>
        </w:rPr>
        <w:t>同意后执行。</w:t>
      </w:r>
    </w:p>
    <w:p w14:paraId="7E840EFE">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应自行勘察项目现场，如投标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因未及时勘察现场而导致的报价缺项漏项废标、或中标后无法</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自行承担一切后果。</w:t>
      </w:r>
    </w:p>
    <w:p w14:paraId="1FA9591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下列费用由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负责：</w:t>
      </w:r>
    </w:p>
    <w:p w14:paraId="4DAA4D8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水、电、气等能源费；</w:t>
      </w:r>
    </w:p>
    <w:p w14:paraId="649F05F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会议横幅制作、文具用品费用；</w:t>
      </w:r>
    </w:p>
    <w:p w14:paraId="36158F1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en-US" w:eastAsia="zh-CN"/>
        </w:rPr>
        <w:t>向中标人提供</w:t>
      </w:r>
      <w:r>
        <w:rPr>
          <w:rFonts w:hint="eastAsia" w:ascii="宋体" w:hAnsi="宋体" w:eastAsia="宋体" w:cs="宋体"/>
          <w:color w:val="auto"/>
          <w:sz w:val="24"/>
          <w:szCs w:val="24"/>
          <w:highlight w:val="none"/>
          <w:lang w:val="zh-CN" w:eastAsia="zh-CN"/>
        </w:rPr>
        <w:t>必要的办公场所及办公家具。</w:t>
      </w:r>
    </w:p>
    <w:p w14:paraId="2BE1D47B">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设施设备的大修维修费经第三方论证后确定属采购人承担</w:t>
      </w:r>
      <w:r>
        <w:rPr>
          <w:rFonts w:hint="eastAsia" w:ascii="宋体" w:hAnsi="宋体" w:eastAsia="宋体" w:cs="宋体"/>
          <w:color w:val="auto"/>
          <w:sz w:val="24"/>
          <w:szCs w:val="24"/>
          <w:highlight w:val="none"/>
          <w:lang w:val="en-US" w:eastAsia="zh-CN"/>
        </w:rPr>
        <w:t>的由采购人承担</w:t>
      </w:r>
      <w:r>
        <w:rPr>
          <w:rFonts w:hint="eastAsia" w:ascii="宋体" w:hAnsi="宋体" w:eastAsia="宋体" w:cs="宋体"/>
          <w:color w:val="auto"/>
          <w:sz w:val="24"/>
          <w:szCs w:val="24"/>
          <w:highlight w:val="none"/>
          <w:lang w:val="zh-CN" w:eastAsia="zh-CN"/>
        </w:rPr>
        <w:t>。但因</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日常维护不善或不到位而造成的损失，由中标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按相应责任</w:t>
      </w:r>
      <w:r>
        <w:rPr>
          <w:rFonts w:hint="eastAsia" w:ascii="宋体" w:hAnsi="宋体" w:eastAsia="宋体" w:cs="宋体"/>
          <w:color w:val="auto"/>
          <w:sz w:val="24"/>
          <w:szCs w:val="24"/>
          <w:highlight w:val="none"/>
          <w:lang w:val="en-US" w:eastAsia="zh-CN"/>
        </w:rPr>
        <w:t>另行</w:t>
      </w:r>
      <w:r>
        <w:rPr>
          <w:rFonts w:hint="eastAsia" w:ascii="宋体" w:hAnsi="宋体" w:eastAsia="宋体" w:cs="宋体"/>
          <w:color w:val="auto"/>
          <w:sz w:val="24"/>
          <w:szCs w:val="24"/>
          <w:highlight w:val="none"/>
          <w:lang w:val="zh-CN" w:eastAsia="zh-CN"/>
        </w:rPr>
        <w:t>承担费用。</w:t>
      </w:r>
    </w:p>
    <w:p w14:paraId="57F8575B">
      <w:pPr>
        <w:pStyle w:val="2"/>
        <w:rPr>
          <w:rFonts w:hint="default"/>
          <w:color w:val="auto"/>
          <w:highlight w:val="none"/>
          <w:lang w:val="en-US" w:eastAsia="zh-CN"/>
        </w:rPr>
      </w:pPr>
    </w:p>
    <w:p w14:paraId="0591D30C">
      <w:pPr>
        <w:pStyle w:val="2"/>
        <w:rPr>
          <w:rFonts w:hint="default"/>
          <w:color w:val="auto"/>
          <w:highlight w:val="none"/>
          <w:lang w:val="en-US" w:eastAsia="zh-CN"/>
        </w:rPr>
      </w:pPr>
    </w:p>
    <w:p w14:paraId="2851CF55">
      <w:pPr>
        <w:rPr>
          <w:rFonts w:hint="eastAsia" w:asciiTheme="minorEastAsia" w:hAnsiTheme="minorEastAsia" w:eastAsiaTheme="minorEastAsia"/>
          <w:b/>
          <w:color w:val="auto"/>
          <w:sz w:val="28"/>
          <w:highlight w:val="none"/>
        </w:rPr>
      </w:pPr>
      <w:bookmarkStart w:id="63" w:name="_Toc23942"/>
      <w:r>
        <w:rPr>
          <w:rFonts w:hint="eastAsia" w:asciiTheme="minorEastAsia" w:hAnsiTheme="minorEastAsia" w:eastAsiaTheme="minorEastAsia"/>
          <w:b/>
          <w:color w:val="auto"/>
          <w:sz w:val="28"/>
          <w:highlight w:val="none"/>
        </w:rPr>
        <w:br w:type="page"/>
      </w:r>
    </w:p>
    <w:p w14:paraId="4FE1EF48">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63"/>
    </w:p>
    <w:p w14:paraId="6EF9F6B7">
      <w:pPr>
        <w:spacing w:line="500" w:lineRule="exact"/>
        <w:ind w:left="-619" w:leftChars="-295" w:firstLine="439" w:firstLineChars="182"/>
        <w:outlineLvl w:val="1"/>
        <w:rPr>
          <w:rFonts w:ascii="宋体" w:hAnsi="宋体" w:eastAsia="宋体" w:cs="宋体"/>
          <w:b/>
          <w:color w:val="auto"/>
          <w:sz w:val="24"/>
          <w:szCs w:val="24"/>
          <w:highlight w:val="none"/>
        </w:rPr>
      </w:pPr>
      <w:bookmarkStart w:id="64" w:name="_Toc11823"/>
      <w:bookmarkStart w:id="65" w:name="_Toc25410"/>
      <w:bookmarkStart w:id="66" w:name="_Toc4705"/>
      <w:r>
        <w:rPr>
          <w:rFonts w:hint="eastAsia" w:ascii="宋体" w:hAnsi="宋体" w:eastAsia="宋体" w:cs="宋体"/>
          <w:b/>
          <w:color w:val="auto"/>
          <w:sz w:val="24"/>
          <w:szCs w:val="24"/>
          <w:highlight w:val="none"/>
        </w:rPr>
        <w:t>一、总则</w:t>
      </w:r>
      <w:bookmarkEnd w:id="64"/>
      <w:bookmarkEnd w:id="65"/>
      <w:bookmarkEnd w:id="66"/>
    </w:p>
    <w:p w14:paraId="0CCF1A89">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本项目将按照招标文件第二章 投标人须知的相关要求及本章的规定评标。</w:t>
      </w:r>
    </w:p>
    <w:p w14:paraId="6C00D5A2">
      <w:pPr>
        <w:spacing w:line="500" w:lineRule="exact"/>
        <w:ind w:left="-619" w:leftChars="-295" w:firstLine="439" w:firstLineChars="182"/>
        <w:outlineLvl w:val="1"/>
        <w:rPr>
          <w:rFonts w:ascii="宋体" w:hAnsi="宋体" w:eastAsia="宋体" w:cs="宋体"/>
          <w:b/>
          <w:color w:val="auto"/>
          <w:sz w:val="24"/>
          <w:szCs w:val="24"/>
          <w:highlight w:val="none"/>
        </w:rPr>
      </w:pPr>
      <w:bookmarkStart w:id="67" w:name="_Toc31871"/>
      <w:bookmarkStart w:id="68" w:name="_Toc32410"/>
      <w:bookmarkStart w:id="69" w:name="_Toc24180"/>
      <w:r>
        <w:rPr>
          <w:rFonts w:hint="eastAsia" w:ascii="宋体" w:hAnsi="宋体" w:eastAsia="宋体" w:cs="宋体"/>
          <w:b/>
          <w:color w:val="auto"/>
          <w:sz w:val="24"/>
          <w:szCs w:val="24"/>
          <w:highlight w:val="none"/>
        </w:rPr>
        <w:t>二、评标方法</w:t>
      </w:r>
      <w:bookmarkEnd w:id="67"/>
      <w:bookmarkEnd w:id="68"/>
      <w:bookmarkEnd w:id="69"/>
    </w:p>
    <w:p w14:paraId="7F7C6C98">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2.1资格审查</w:t>
      </w:r>
    </w:p>
    <w:tbl>
      <w:tblPr>
        <w:tblStyle w:val="31"/>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20"/>
        <w:gridCol w:w="4592"/>
        <w:gridCol w:w="2481"/>
      </w:tblGrid>
      <w:tr w14:paraId="7B63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6FBACCC">
            <w:pPr>
              <w:keepNext w:val="0"/>
              <w:keepLines w:val="0"/>
              <w:suppressLineNumbers w:val="0"/>
              <w:adjustRightInd w:val="0"/>
              <w:snapToGrid w:val="0"/>
              <w:spacing w:before="0" w:beforeAutospacing="0" w:after="0" w:afterAutospacing="0" w:line="500" w:lineRule="exact"/>
              <w:ind w:left="-619" w:leftChars="-295" w:right="-10" w:firstLine="439" w:firstLineChars="182"/>
              <w:jc w:val="center"/>
              <w:rPr>
                <w:rFonts w:hint="default" w:ascii="宋体" w:hAnsi="宋体" w:eastAsia="宋体" w:cs="宋体"/>
                <w:color w:val="auto"/>
                <w:sz w:val="24"/>
                <w:szCs w:val="24"/>
                <w:highlight w:val="none"/>
              </w:rPr>
            </w:pPr>
            <w:r>
              <w:rPr>
                <w:rFonts w:hint="eastAsia" w:ascii="宋体" w:hAnsi="宋体" w:eastAsia="宋体" w:cs="宋体"/>
                <w:b/>
                <w:color w:val="auto"/>
                <w:sz w:val="24"/>
                <w:szCs w:val="24"/>
                <w:highlight w:val="none"/>
              </w:rPr>
              <w:t>资格审查表</w:t>
            </w:r>
          </w:p>
        </w:tc>
      </w:tr>
      <w:tr w14:paraId="2C4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06" w:type="pct"/>
            <w:tcBorders>
              <w:bottom w:val="single" w:color="auto" w:sz="4" w:space="0"/>
            </w:tcBorders>
            <w:vAlign w:val="center"/>
          </w:tcPr>
          <w:p w14:paraId="39C32410">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8" w:type="pct"/>
            <w:tcBorders>
              <w:bottom w:val="single" w:color="auto" w:sz="4" w:space="0"/>
            </w:tcBorders>
            <w:vAlign w:val="center"/>
          </w:tcPr>
          <w:p w14:paraId="59F7C63C">
            <w:pPr>
              <w:pStyle w:val="52"/>
              <w:keepNext w:val="0"/>
              <w:keepLines w:val="0"/>
              <w:suppressLineNumbers w:val="0"/>
              <w:pBdr>
                <w:bottom w:val="none" w:color="auto" w:sz="0" w:space="0"/>
              </w:pBdr>
              <w:tabs>
                <w:tab w:val="clear" w:pos="4153"/>
                <w:tab w:val="clear" w:pos="8306"/>
              </w:tabs>
              <w:snapToGrid w:val="0"/>
              <w:spacing w:before="0" w:beforeAutospacing="0" w:after="0" w:afterAutospacing="0" w:line="500" w:lineRule="exact"/>
              <w:ind w:left="-619" w:leftChars="-295" w:right="-10" w:firstLine="436" w:firstLineChars="182"/>
              <w:textAlignment w:val="auto"/>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审查因素</w:t>
            </w:r>
          </w:p>
        </w:tc>
        <w:tc>
          <w:tcPr>
            <w:tcW w:w="2575" w:type="pct"/>
            <w:tcBorders>
              <w:bottom w:val="single" w:color="auto" w:sz="4" w:space="0"/>
            </w:tcBorders>
            <w:vAlign w:val="center"/>
          </w:tcPr>
          <w:p w14:paraId="6B6EC51B">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1389" w:type="pct"/>
            <w:tcBorders>
              <w:bottom w:val="single" w:color="auto" w:sz="4" w:space="0"/>
            </w:tcBorders>
            <w:vAlign w:val="center"/>
          </w:tcPr>
          <w:p w14:paraId="2A853786">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4C9B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6" w:type="pct"/>
            <w:tcBorders>
              <w:bottom w:val="single" w:color="auto" w:sz="4" w:space="0"/>
            </w:tcBorders>
            <w:vAlign w:val="center"/>
          </w:tcPr>
          <w:p w14:paraId="7F7CA48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28" w:type="pct"/>
            <w:tcBorders>
              <w:bottom w:val="single" w:color="auto" w:sz="4" w:space="0"/>
            </w:tcBorders>
            <w:vAlign w:val="center"/>
          </w:tcPr>
          <w:p w14:paraId="399FAAEE">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2575" w:type="pct"/>
            <w:tcBorders>
              <w:bottom w:val="single" w:color="auto" w:sz="4" w:space="0"/>
            </w:tcBorders>
            <w:vAlign w:val="center"/>
          </w:tcPr>
          <w:p w14:paraId="5EF08B61">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（1）投标人为企业（包括合伙企业）的，应提供有效的营业执照；</w:t>
            </w:r>
          </w:p>
          <w:p w14:paraId="669E2684">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（2）投标人为事业单位的，应提供有效的事业单位法人证书；</w:t>
            </w:r>
          </w:p>
          <w:p w14:paraId="15A77D53">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（3）投标人是非企业机构的，应提供有效的执业许可证或登记证书等证明文件；</w:t>
            </w:r>
          </w:p>
          <w:p w14:paraId="02063179">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（4）投标人是个体工商户的，应提供有效的个体工商户营业执照；</w:t>
            </w:r>
          </w:p>
          <w:p w14:paraId="168C6CAE">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（5）投标人是自然人的，应提供有效的自然人身份证明。</w:t>
            </w:r>
          </w:p>
        </w:tc>
        <w:tc>
          <w:tcPr>
            <w:tcW w:w="1389" w:type="pct"/>
            <w:vAlign w:val="center"/>
          </w:tcPr>
          <w:p w14:paraId="5E8A7155">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11F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6" w:type="pct"/>
            <w:tcBorders>
              <w:bottom w:val="single" w:color="auto" w:sz="4" w:space="0"/>
            </w:tcBorders>
            <w:vAlign w:val="center"/>
          </w:tcPr>
          <w:p w14:paraId="46E60A88">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8" w:type="pct"/>
            <w:tcBorders>
              <w:bottom w:val="single" w:color="auto" w:sz="4" w:space="0"/>
            </w:tcBorders>
            <w:vAlign w:val="center"/>
          </w:tcPr>
          <w:p w14:paraId="7C62E2A5">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投标人资格声明书</w:t>
            </w:r>
          </w:p>
        </w:tc>
        <w:tc>
          <w:tcPr>
            <w:tcW w:w="2575" w:type="pct"/>
            <w:tcBorders>
              <w:bottom w:val="single" w:color="auto" w:sz="4" w:space="0"/>
            </w:tcBorders>
            <w:vAlign w:val="center"/>
          </w:tcPr>
          <w:p w14:paraId="1426EC96">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提供符合招标文件要求的《投标人资格声明书》。</w:t>
            </w:r>
          </w:p>
        </w:tc>
        <w:tc>
          <w:tcPr>
            <w:tcW w:w="1389" w:type="pct"/>
            <w:vAlign w:val="center"/>
          </w:tcPr>
          <w:p w14:paraId="4C902BB2">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3B96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4A1C3C0D">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28" w:type="pct"/>
            <w:vAlign w:val="center"/>
          </w:tcPr>
          <w:p w14:paraId="125B96ED">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75" w:type="pct"/>
            <w:vAlign w:val="center"/>
          </w:tcPr>
          <w:p w14:paraId="0337CB22">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条中的不良信用记录情形</w:t>
            </w:r>
          </w:p>
        </w:tc>
        <w:tc>
          <w:tcPr>
            <w:tcW w:w="1389" w:type="pct"/>
            <w:vAlign w:val="center"/>
          </w:tcPr>
          <w:p w14:paraId="6678CF02">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无须投标人提供，由采购人或采购代理机构查询。</w:t>
            </w:r>
          </w:p>
        </w:tc>
      </w:tr>
      <w:tr w14:paraId="5C7F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14:paraId="7FAA49F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28" w:type="pct"/>
            <w:tcBorders>
              <w:bottom w:val="single" w:color="auto" w:sz="4" w:space="0"/>
            </w:tcBorders>
            <w:vAlign w:val="center"/>
          </w:tcPr>
          <w:p w14:paraId="75583106">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tc>
        <w:tc>
          <w:tcPr>
            <w:tcW w:w="2575" w:type="pct"/>
            <w:tcBorders>
              <w:bottom w:val="single" w:color="auto" w:sz="4" w:space="0"/>
            </w:tcBorders>
            <w:vAlign w:val="center"/>
          </w:tcPr>
          <w:p w14:paraId="1B9E9457">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符合申请人的资格要求中落实政府采购政策需满足的资格要求：</w:t>
            </w:r>
          </w:p>
          <w:p w14:paraId="25E21659">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（1）专门面向中小企业采购的，投标人应提供《中小企业声明函》或《残疾人福利性单位声明函》或由省级以上监狱管理局、戒毒管理局（含新疆 生产建设兵团）出具的属于监狱企业的证明文件。</w:t>
            </w:r>
          </w:p>
          <w:p w14:paraId="58DF9A7A">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389" w:type="pct"/>
            <w:tcBorders>
              <w:bottom w:val="single" w:color="auto" w:sz="4" w:space="0"/>
            </w:tcBorders>
            <w:vAlign w:val="center"/>
          </w:tcPr>
          <w:p w14:paraId="0F4FAE08">
            <w:pPr>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bl>
    <w:p w14:paraId="7E89212F">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资格审查指标通过标准：</w:t>
      </w:r>
      <w:r>
        <w:rPr>
          <w:rFonts w:hint="eastAsia" w:ascii="宋体" w:hAnsi="宋体" w:eastAsia="宋体" w:cs="宋体"/>
          <w:color w:val="auto"/>
          <w:sz w:val="24"/>
          <w:szCs w:val="24"/>
          <w:highlight w:val="none"/>
        </w:rPr>
        <w:t>投标人必须通过资格审查表中的全部评审指标。</w:t>
      </w:r>
    </w:p>
    <w:p w14:paraId="37D0E617">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2.2符合性审查</w:t>
      </w:r>
    </w:p>
    <w:p w14:paraId="21FE4162">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评标委员会对通过资格审查的投标人的投标文件进行符合性审查，以确定其是否满足招标文件的实质性要求。符合性审查表如下：</w:t>
      </w:r>
    </w:p>
    <w:tbl>
      <w:tblPr>
        <w:tblStyle w:val="31"/>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05"/>
        <w:gridCol w:w="3612"/>
        <w:gridCol w:w="3037"/>
      </w:tblGrid>
      <w:tr w14:paraId="37C5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75DEA23">
            <w:pPr>
              <w:keepNext w:val="0"/>
              <w:keepLines w:val="0"/>
              <w:suppressLineNumbers w:val="0"/>
              <w:adjustRightInd w:val="0"/>
              <w:snapToGrid w:val="0"/>
              <w:spacing w:before="0" w:beforeAutospacing="0" w:after="0" w:afterAutospacing="0" w:line="500" w:lineRule="exact"/>
              <w:ind w:left="-619" w:leftChars="-295" w:right="-10" w:firstLine="439" w:firstLineChars="182"/>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c>
      </w:tr>
      <w:tr w14:paraId="0DBE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02" w:type="pct"/>
            <w:tcBorders>
              <w:bottom w:val="single" w:color="auto" w:sz="4" w:space="0"/>
            </w:tcBorders>
            <w:vAlign w:val="center"/>
          </w:tcPr>
          <w:p w14:paraId="23981DC9">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94" w:type="pct"/>
            <w:tcBorders>
              <w:bottom w:val="single" w:color="auto" w:sz="4" w:space="0"/>
            </w:tcBorders>
            <w:vAlign w:val="center"/>
          </w:tcPr>
          <w:p w14:paraId="5DD3FB9F">
            <w:pPr>
              <w:pStyle w:val="52"/>
              <w:keepNext w:val="0"/>
              <w:keepLines w:val="0"/>
              <w:suppressLineNumbers w:val="0"/>
              <w:pBdr>
                <w:bottom w:val="none" w:color="auto" w:sz="0" w:space="0"/>
              </w:pBdr>
              <w:tabs>
                <w:tab w:val="clear" w:pos="4153"/>
                <w:tab w:val="clear" w:pos="8306"/>
              </w:tabs>
              <w:snapToGrid w:val="0"/>
              <w:spacing w:before="0" w:beforeAutospacing="0" w:after="0" w:afterAutospacing="0" w:line="500" w:lineRule="exact"/>
              <w:ind w:left="-619" w:leftChars="-295" w:right="-10" w:firstLine="436" w:firstLineChars="182"/>
              <w:textAlignment w:val="auto"/>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2012" w:type="pct"/>
            <w:tcBorders>
              <w:bottom w:val="single" w:color="auto" w:sz="4" w:space="0"/>
            </w:tcBorders>
            <w:vAlign w:val="center"/>
          </w:tcPr>
          <w:p w14:paraId="5525B9B3">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690" w:type="pct"/>
            <w:tcBorders>
              <w:bottom w:val="single" w:color="auto" w:sz="4" w:space="0"/>
            </w:tcBorders>
            <w:vAlign w:val="center"/>
          </w:tcPr>
          <w:p w14:paraId="61D04421">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43E1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42BEB87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4" w:type="pct"/>
            <w:vAlign w:val="center"/>
          </w:tcPr>
          <w:p w14:paraId="3ED046D3">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2012" w:type="pct"/>
            <w:vAlign w:val="center"/>
          </w:tcPr>
          <w:p w14:paraId="3EAB94AC">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16130FA4">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5D64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29C404CB">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4" w:type="pct"/>
            <w:vAlign w:val="center"/>
          </w:tcPr>
          <w:p w14:paraId="249DB544">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tc>
        <w:tc>
          <w:tcPr>
            <w:tcW w:w="2012" w:type="pct"/>
            <w:vAlign w:val="center"/>
          </w:tcPr>
          <w:p w14:paraId="26A4D789">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32B9CDC1">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7BE0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590527B5">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94" w:type="pct"/>
            <w:vAlign w:val="center"/>
          </w:tcPr>
          <w:p w14:paraId="364E1FAA">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012" w:type="pct"/>
            <w:vAlign w:val="center"/>
          </w:tcPr>
          <w:p w14:paraId="15D58A51">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777F8B89">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法定代表人参加投标的无需此件，提供身份证明即可。详见第六章投标文件格式。</w:t>
            </w:r>
          </w:p>
        </w:tc>
      </w:tr>
      <w:tr w14:paraId="09B7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4E51296E">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94" w:type="pct"/>
            <w:vAlign w:val="center"/>
          </w:tcPr>
          <w:p w14:paraId="11CC476B">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2012" w:type="pct"/>
            <w:vAlign w:val="center"/>
          </w:tcPr>
          <w:p w14:paraId="328AF50D">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符合招标文件投标人须知正文第9条要求</w:t>
            </w:r>
          </w:p>
        </w:tc>
        <w:tc>
          <w:tcPr>
            <w:tcW w:w="1690" w:type="pct"/>
            <w:vAlign w:val="center"/>
          </w:tcPr>
          <w:p w14:paraId="70C2C442">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0A73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17411964">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94" w:type="pct"/>
            <w:vAlign w:val="center"/>
          </w:tcPr>
          <w:p w14:paraId="794055BF">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012" w:type="pct"/>
            <w:vAlign w:val="center"/>
          </w:tcPr>
          <w:p w14:paraId="2267472F">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符合招标文件采购需求中对付款方式、服务地点、服务期限等实质性要求</w:t>
            </w:r>
          </w:p>
        </w:tc>
        <w:tc>
          <w:tcPr>
            <w:tcW w:w="1690" w:type="pct"/>
            <w:vAlign w:val="center"/>
          </w:tcPr>
          <w:p w14:paraId="3C287A95">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06F3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0E159065">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94" w:type="pct"/>
            <w:shd w:val="clear" w:color="auto" w:fill="auto"/>
            <w:vAlign w:val="center"/>
          </w:tcPr>
          <w:p w14:paraId="1D3611F6">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leftChars="0"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其他要求</w:t>
            </w:r>
          </w:p>
        </w:tc>
        <w:tc>
          <w:tcPr>
            <w:tcW w:w="2012" w:type="pct"/>
            <w:shd w:val="clear" w:color="auto" w:fill="auto"/>
            <w:vAlign w:val="center"/>
          </w:tcPr>
          <w:p w14:paraId="7524B701">
            <w:pPr>
              <w:keepNext w:val="0"/>
              <w:keepLines w:val="0"/>
              <w:suppressLineNumbers w:val="0"/>
              <w:spacing w:before="0" w:beforeAutospacing="0" w:after="0" w:afterAutospacing="0" w:line="500" w:lineRule="exact"/>
              <w:ind w:left="0" w:right="-10" w:right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符合法律、行政法规规定的其他条件或招标文件列明的其他实质性要求</w:t>
            </w:r>
          </w:p>
        </w:tc>
        <w:tc>
          <w:tcPr>
            <w:tcW w:w="1690" w:type="pct"/>
            <w:shd w:val="clear" w:color="auto" w:fill="auto"/>
            <w:vAlign w:val="center"/>
          </w:tcPr>
          <w:p w14:paraId="20DCBAB9">
            <w:pPr>
              <w:keepNext w:val="0"/>
              <w:keepLines w:val="0"/>
              <w:suppressLineNumbers w:val="0"/>
              <w:adjustRightInd w:val="0"/>
              <w:snapToGrid w:val="0"/>
              <w:spacing w:before="0" w:beforeAutospacing="0" w:after="0" w:afterAutospacing="0" w:line="500" w:lineRule="exact"/>
              <w:ind w:left="-19" w:leftChars="-9" w:right="-10" w:rightChars="0" w:firstLine="19" w:firstLineChars="8"/>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详见第六章投标文件格式。</w:t>
            </w:r>
          </w:p>
        </w:tc>
      </w:tr>
    </w:tbl>
    <w:p w14:paraId="1855D6A7">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符合性审查指标通过标准：</w:t>
      </w:r>
      <w:r>
        <w:rPr>
          <w:rFonts w:hint="eastAsia" w:ascii="宋体" w:hAnsi="宋体" w:eastAsia="宋体" w:cs="宋体"/>
          <w:color w:val="auto"/>
          <w:sz w:val="24"/>
          <w:szCs w:val="24"/>
          <w:highlight w:val="none"/>
        </w:rPr>
        <w:t>投标人必须通过符合性审查表中的全部评审指标。</w:t>
      </w:r>
    </w:p>
    <w:p w14:paraId="67373B47">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2.3详细审查</w:t>
      </w:r>
    </w:p>
    <w:p w14:paraId="2900BB44">
      <w:pPr>
        <w:spacing w:line="500" w:lineRule="exact"/>
        <w:ind w:left="-619" w:leftChars="-295"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2.3.1评标委员会按照下表对投标文件进行详细审查和评分。</w:t>
      </w:r>
    </w:p>
    <w:p w14:paraId="069038A2">
      <w:pPr>
        <w:spacing w:line="500" w:lineRule="exact"/>
        <w:ind w:left="-619" w:leftChars="-295"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2.3.2本项目综合评分满分为100分，其中：技术资信分值占总分值的权重为</w:t>
      </w: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%，价格分值占总分值的权重为</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%。具体评分细则如下：</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24"/>
        <w:gridCol w:w="4304"/>
        <w:gridCol w:w="1348"/>
      </w:tblGrid>
      <w:tr w14:paraId="503B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vAlign w:val="center"/>
          </w:tcPr>
          <w:p w14:paraId="469698A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E8B8C3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381" w:type="pct"/>
            <w:tcBorders>
              <w:top w:val="single" w:color="auto" w:sz="4" w:space="0"/>
              <w:left w:val="single" w:color="auto" w:sz="4" w:space="0"/>
              <w:bottom w:val="single" w:color="auto" w:sz="4" w:space="0"/>
              <w:right w:val="single" w:color="auto" w:sz="4" w:space="0"/>
            </w:tcBorders>
            <w:vAlign w:val="center"/>
          </w:tcPr>
          <w:p w14:paraId="2D98287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745" w:type="pct"/>
            <w:tcBorders>
              <w:top w:val="single" w:color="auto" w:sz="4" w:space="0"/>
              <w:left w:val="single" w:color="auto" w:sz="4" w:space="0"/>
              <w:bottom w:val="single" w:color="auto" w:sz="4" w:space="0"/>
              <w:right w:val="single" w:color="auto" w:sz="4" w:space="0"/>
            </w:tcBorders>
            <w:vAlign w:val="center"/>
          </w:tcPr>
          <w:p w14:paraId="32000E1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2FF5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single" w:color="auto" w:sz="4" w:space="0"/>
              <w:left w:val="single" w:color="auto" w:sz="4" w:space="0"/>
              <w:right w:val="single" w:color="auto" w:sz="4" w:space="0"/>
            </w:tcBorders>
            <w:vAlign w:val="center"/>
          </w:tcPr>
          <w:p w14:paraId="184F458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资信分</w:t>
            </w:r>
          </w:p>
          <w:p w14:paraId="3438CC6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83</w:t>
            </w:r>
            <w:r>
              <w:rPr>
                <w:rFonts w:hint="eastAsia" w:ascii="宋体" w:hAnsi="宋体" w:eastAsia="宋体" w:cs="宋体"/>
                <w:color w:val="auto"/>
                <w:sz w:val="24"/>
                <w:szCs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6C1BC1D4">
            <w:pPr>
              <w:keepNext w:val="0"/>
              <w:keepLines w:val="0"/>
              <w:suppressLineNumbers w:val="0"/>
              <w:wordWrap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w:t>
            </w:r>
            <w:r>
              <w:rPr>
                <w:rFonts w:hint="eastAsia" w:ascii="宋体" w:hAnsi="宋体" w:eastAsia="宋体" w:cs="宋体"/>
                <w:color w:val="auto"/>
                <w:sz w:val="24"/>
                <w:szCs w:val="24"/>
                <w:highlight w:val="none"/>
                <w:lang w:val="zh-CN" w:eastAsia="zh-CN"/>
              </w:rPr>
              <w:t>业绩</w:t>
            </w:r>
          </w:p>
        </w:tc>
        <w:tc>
          <w:tcPr>
            <w:tcW w:w="2381" w:type="pct"/>
            <w:tcBorders>
              <w:top w:val="single" w:color="auto" w:sz="4" w:space="0"/>
              <w:left w:val="single" w:color="auto" w:sz="4" w:space="0"/>
              <w:bottom w:val="single" w:color="auto" w:sz="4" w:space="0"/>
              <w:right w:val="single" w:color="auto" w:sz="4" w:space="0"/>
            </w:tcBorders>
            <w:vAlign w:val="center"/>
          </w:tcPr>
          <w:p w14:paraId="4E57232D">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投标人自</w:t>
            </w:r>
            <w:r>
              <w:rPr>
                <w:rFonts w:hint="default" w:ascii="宋体" w:hAnsi="宋体" w:eastAsia="宋体" w:cs="宋体"/>
                <w:bCs/>
                <w:color w:val="auto"/>
                <w:sz w:val="24"/>
                <w:szCs w:val="24"/>
                <w:highlight w:val="none"/>
                <w:lang w:val="en-US" w:eastAsia="zh-CN"/>
              </w:rPr>
              <w:t>202</w:t>
            </w:r>
            <w:r>
              <w:rPr>
                <w:rFonts w:hint="eastAsia" w:ascii="宋体" w:hAnsi="宋体" w:eastAsia="宋体" w:cs="宋体"/>
                <w:bCs/>
                <w:color w:val="auto"/>
                <w:sz w:val="24"/>
                <w:szCs w:val="24"/>
                <w:highlight w:val="none"/>
                <w:lang w:val="en-US" w:eastAsia="zh-CN"/>
              </w:rPr>
              <w:t>2年</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月</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日以来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以合同签订时间为准</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，具有公共建筑服务项目业绩（服务合同必须同时包括“安保或秩序维护”和保洁和设备设施维护和会务和绿化养（维）护五项内容，否则不认可；含在管、已履约完毕的业绩）的</w:t>
            </w: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分，满分2分。</w:t>
            </w:r>
          </w:p>
          <w:p w14:paraId="433B1A92">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注：①投标文件中提供业绩合同扫描件，若合同无法体现签订时间、服务内容等关键评审因素的，需另附招标人（合同甲方）证明材料的扫描件。合同内容中的服务内容与业绩要求描述不一致，但内容相同的均予以认可。</w:t>
            </w:r>
          </w:p>
          <w:p w14:paraId="1B0C5ACA">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②投标人业绩和拟派项目负责人业绩相同的，仅计分一次，不重复计分。</w:t>
            </w:r>
          </w:p>
          <w:p w14:paraId="3E36140F">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③提供的项目业绩只计算评标分值对应的项目数量，按照排列顺序从首个业绩开始评审至对应数量，超出部分不进行评审。对应数量内业绩不符合招标文件要求不得分的，不再补充评审超出部分业绩。如：提供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个业绩即得满分的，按照投标文件排序评审第一项业绩，其余超出部分不再评审。</w:t>
            </w:r>
          </w:p>
        </w:tc>
        <w:tc>
          <w:tcPr>
            <w:tcW w:w="745" w:type="pct"/>
            <w:tcBorders>
              <w:top w:val="single" w:color="auto" w:sz="4" w:space="0"/>
              <w:left w:val="single" w:color="auto" w:sz="4" w:space="0"/>
              <w:bottom w:val="single" w:color="auto" w:sz="4" w:space="0"/>
              <w:right w:val="single" w:color="auto" w:sz="4" w:space="0"/>
            </w:tcBorders>
            <w:vAlign w:val="center"/>
          </w:tcPr>
          <w:p w14:paraId="637318F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2分</w:t>
            </w:r>
          </w:p>
        </w:tc>
      </w:tr>
      <w:tr w14:paraId="2015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DAD2BB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2A9C238">
            <w:pPr>
              <w:keepNext w:val="0"/>
              <w:keepLines w:val="0"/>
              <w:suppressLineNumbers w:val="0"/>
              <w:wordWrap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2.拟派项目负责人业绩</w:t>
            </w:r>
          </w:p>
        </w:tc>
        <w:tc>
          <w:tcPr>
            <w:tcW w:w="2381" w:type="pct"/>
            <w:tcBorders>
              <w:top w:val="single" w:color="auto" w:sz="4" w:space="0"/>
              <w:left w:val="single" w:color="auto" w:sz="4" w:space="0"/>
              <w:bottom w:val="single" w:color="auto" w:sz="4" w:space="0"/>
              <w:right w:val="single" w:color="auto" w:sz="4" w:space="0"/>
            </w:tcBorders>
            <w:vAlign w:val="center"/>
          </w:tcPr>
          <w:p w14:paraId="10DF0F2C">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自</w:t>
            </w:r>
            <w:r>
              <w:rPr>
                <w:rFonts w:hint="default" w:ascii="宋体" w:hAnsi="宋体" w:eastAsia="宋体" w:cs="宋体"/>
                <w:bCs/>
                <w:color w:val="auto"/>
                <w:sz w:val="24"/>
                <w:szCs w:val="24"/>
                <w:highlight w:val="none"/>
                <w:lang w:val="en-US" w:eastAsia="zh-CN"/>
              </w:rPr>
              <w:t>202</w:t>
            </w:r>
            <w:r>
              <w:rPr>
                <w:rFonts w:hint="eastAsia" w:ascii="宋体" w:hAnsi="宋体" w:eastAsia="宋体" w:cs="宋体"/>
                <w:bCs/>
                <w:color w:val="auto"/>
                <w:sz w:val="24"/>
                <w:szCs w:val="24"/>
                <w:highlight w:val="none"/>
                <w:lang w:val="en-US" w:eastAsia="zh-CN"/>
              </w:rPr>
              <w:t>2年</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月</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日以来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以合同签订时间为准</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，投标人拟派项目负责人具有公共建筑服务项目业绩（服务合同必须同时包括“安保或秩序维护”和保洁和设备设施维护和会务和绿化养（维）护五项内容，否则不认可；含在管、已履约完毕的业绩）的</w:t>
            </w: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 xml:space="preserve">分，满分2分。 </w:t>
            </w:r>
          </w:p>
          <w:p w14:paraId="7F127C37">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①</w:t>
            </w:r>
            <w:r>
              <w:rPr>
                <w:rFonts w:hint="eastAsia" w:ascii="宋体" w:hAnsi="宋体" w:eastAsia="宋体" w:cs="宋体"/>
                <w:bCs/>
                <w:color w:val="auto"/>
                <w:sz w:val="24"/>
                <w:szCs w:val="24"/>
                <w:highlight w:val="none"/>
              </w:rPr>
              <w:t>投标文件中提供业绩合同扫描件，若合同无法体现签订时间、服务内容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项目负责人姓名</w:t>
            </w:r>
            <w:r>
              <w:rPr>
                <w:rFonts w:hint="eastAsia" w:ascii="宋体" w:hAnsi="宋体" w:eastAsia="宋体" w:cs="宋体"/>
                <w:bCs/>
                <w:color w:val="auto"/>
                <w:sz w:val="24"/>
                <w:szCs w:val="24"/>
                <w:highlight w:val="none"/>
              </w:rPr>
              <w:t>等关键评审因素的，需另附招标人（合同甲方）证明材料的扫描件。</w:t>
            </w:r>
            <w:r>
              <w:rPr>
                <w:rFonts w:hint="eastAsia" w:ascii="宋体" w:hAnsi="宋体" w:eastAsia="宋体" w:cs="宋体"/>
                <w:bCs/>
                <w:color w:val="auto"/>
                <w:sz w:val="24"/>
                <w:szCs w:val="24"/>
                <w:highlight w:val="none"/>
                <w:lang w:val="en-US" w:eastAsia="zh-CN"/>
              </w:rPr>
              <w:t>合同内容中的服务内容与业绩要求描述不一致，但内容相同的均予以认可。</w:t>
            </w:r>
          </w:p>
          <w:p w14:paraId="14D23F36">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lang w:val="en-US" w:eastAsia="zh-CN"/>
              </w:rPr>
              <w:t xml:space="preserve">投标人业绩和拟派项目负责人业绩相同的，仅计分一次，不重复计分。 </w:t>
            </w:r>
          </w:p>
          <w:p w14:paraId="0E026D2C">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③拟派项目负责人业绩须在投标单位以项目负责人身份参与的业绩，在其他单位或以其他身份参与的业绩不予以评分。</w:t>
            </w:r>
          </w:p>
          <w:p w14:paraId="633EC4A8">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个业绩即得满分的，按照投标文件排序评审第一项业绩，其余超出部分不再评审。</w:t>
            </w:r>
          </w:p>
        </w:tc>
        <w:tc>
          <w:tcPr>
            <w:tcW w:w="745" w:type="pct"/>
            <w:tcBorders>
              <w:top w:val="single" w:color="auto" w:sz="4" w:space="0"/>
              <w:left w:val="single" w:color="auto" w:sz="4" w:space="0"/>
              <w:bottom w:val="single" w:color="auto" w:sz="4" w:space="0"/>
              <w:right w:val="single" w:color="auto" w:sz="4" w:space="0"/>
            </w:tcBorders>
            <w:vAlign w:val="center"/>
          </w:tcPr>
          <w:p w14:paraId="782BAB4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2分</w:t>
            </w:r>
          </w:p>
        </w:tc>
      </w:tr>
      <w:tr w14:paraId="7170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37B56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1E7DC5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荣誉</w:t>
            </w:r>
          </w:p>
        </w:tc>
        <w:tc>
          <w:tcPr>
            <w:tcW w:w="2381" w:type="pct"/>
            <w:tcBorders>
              <w:top w:val="single" w:color="auto" w:sz="4" w:space="0"/>
              <w:left w:val="single" w:color="auto" w:sz="4" w:space="0"/>
              <w:bottom w:val="single" w:color="auto" w:sz="4" w:space="0"/>
              <w:right w:val="single" w:color="auto" w:sz="4" w:space="0"/>
            </w:tcBorders>
            <w:vAlign w:val="center"/>
          </w:tcPr>
          <w:p w14:paraId="43B8D1F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1.投标人或其服务项目自2022年1月1日至投标截止日，具有</w:t>
            </w:r>
            <w:r>
              <w:rPr>
                <w:rFonts w:hint="eastAsia" w:asciiTheme="minorEastAsia" w:hAnsiTheme="minorEastAsia" w:eastAsiaTheme="minorEastAsia"/>
                <w:color w:val="auto"/>
                <w:sz w:val="24"/>
                <w:szCs w:val="20"/>
                <w:highlight w:val="none"/>
                <w:lang w:val="en-US" w:eastAsia="zh-CN"/>
              </w:rPr>
              <w:t>行政主管部门（或其下属的机构或政府部门授权的第三方评定机构）颁发的</w:t>
            </w:r>
            <w:r>
              <w:rPr>
                <w:rFonts w:hint="eastAsia" w:ascii="宋体" w:hAnsi="宋体" w:eastAsia="宋体" w:cs="宋体"/>
                <w:color w:val="auto"/>
                <w:sz w:val="24"/>
                <w:szCs w:val="24"/>
                <w:highlight w:val="none"/>
                <w:lang w:val="en-US" w:eastAsia="zh-CN"/>
              </w:rPr>
              <w:t>荣誉或表彰，每提供一个得2分，最高得2分。</w:t>
            </w:r>
          </w:p>
          <w:p w14:paraId="3759048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2.投标人或其服务项目自2022年1月1日至投标截止日，在物业管理工作中具有</w:t>
            </w:r>
            <w:r>
              <w:rPr>
                <w:rFonts w:hint="eastAsia" w:asciiTheme="minorEastAsia" w:hAnsiTheme="minorEastAsia" w:eastAsiaTheme="minorEastAsia"/>
                <w:color w:val="auto"/>
                <w:sz w:val="24"/>
                <w:szCs w:val="20"/>
                <w:highlight w:val="none"/>
                <w:lang w:val="en-US" w:eastAsia="zh-CN"/>
              </w:rPr>
              <w:t>行政主管部门（或其下属的机构或政府部门授权的第三方评定机构）颁发的</w:t>
            </w:r>
            <w:r>
              <w:rPr>
                <w:rFonts w:hint="eastAsia" w:ascii="宋体" w:hAnsi="宋体" w:eastAsia="宋体" w:cs="宋体"/>
                <w:color w:val="auto"/>
                <w:sz w:val="24"/>
                <w:szCs w:val="24"/>
                <w:highlight w:val="none"/>
                <w:lang w:val="en-US" w:eastAsia="zh-CN"/>
              </w:rPr>
              <w:t>荣誉或表彰，每提供一个得2分，最高得2分。</w:t>
            </w:r>
          </w:p>
          <w:p w14:paraId="1E8E07B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响应文件中提供证书、批复、颁发单位荣誉文件、网上公示截图(具有其中之一即可)等证明材料。以上材料提供扫描件，未提或提供不全的不得分，如为所管项目荣誉，响应文件中同时提供业绩合同扫描件。②上述评分项最多提供两个荣誉，按照排列顺序从首个荣誉开始评审至对应数量，超出部分不进行评审。相同荣誉按最高分计取，不重复计分。有效时间以荣誉证书文件颁发时间为准。</w:t>
            </w:r>
          </w:p>
        </w:tc>
        <w:tc>
          <w:tcPr>
            <w:tcW w:w="745" w:type="pct"/>
            <w:tcBorders>
              <w:top w:val="single" w:color="auto" w:sz="4" w:space="0"/>
              <w:left w:val="single" w:color="auto" w:sz="4" w:space="0"/>
              <w:bottom w:val="single" w:color="auto" w:sz="4" w:space="0"/>
              <w:right w:val="single" w:color="auto" w:sz="4" w:space="0"/>
            </w:tcBorders>
            <w:vAlign w:val="center"/>
          </w:tcPr>
          <w:p w14:paraId="6ACD5FF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4分</w:t>
            </w:r>
          </w:p>
        </w:tc>
      </w:tr>
      <w:tr w14:paraId="5436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7D7792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73E63D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信用等级</w:t>
            </w:r>
          </w:p>
        </w:tc>
        <w:tc>
          <w:tcPr>
            <w:tcW w:w="2381" w:type="pct"/>
            <w:tcBorders>
              <w:top w:val="single" w:color="auto" w:sz="4" w:space="0"/>
              <w:left w:val="single" w:color="auto" w:sz="4" w:space="0"/>
              <w:bottom w:val="single" w:color="auto" w:sz="4" w:space="0"/>
              <w:right w:val="single" w:color="auto" w:sz="4" w:space="0"/>
            </w:tcBorders>
            <w:vAlign w:val="center"/>
          </w:tcPr>
          <w:p w14:paraId="34F2806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自2022年1月1日以来，投标人（含其分公司）至投标截止日，投标人被物业行政主管部门评为甲级（类）的得2分；被评为乙级(类)的得1分；本项满分6分。</w:t>
            </w:r>
          </w:p>
          <w:p w14:paraId="0801D33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注：①投标文件中提供物业主管部门颁发的证明文件或官网公示截图等材料扫描件；信用等级命名不同的，还须提供行业行政主管部门划分信用等级的证明材料扫描件。</w:t>
            </w:r>
          </w:p>
          <w:p w14:paraId="1AAC184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②上述评分项最多提供3个信用评定，按照排列顺序从首个评分项开始评审至对应数量，超出部分不进行评审，不累计计分。有效时间以物业行政主管部门颁发的证明文件时间为准。</w:t>
            </w:r>
          </w:p>
          <w:p w14:paraId="5E1BB7B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③物业信用等级命名如有不同，性质类似均予以认可，如: AAA 级(类)、AA 级 (类)、A 级(类)，一级(类)、二级(类)、三级(类)等。最高等级的以甲级(类)计算，次高等级的按乙级(类)计算。</w:t>
            </w:r>
          </w:p>
        </w:tc>
        <w:tc>
          <w:tcPr>
            <w:tcW w:w="745" w:type="pct"/>
            <w:tcBorders>
              <w:top w:val="single" w:color="auto" w:sz="4" w:space="0"/>
              <w:left w:val="single" w:color="auto" w:sz="4" w:space="0"/>
              <w:bottom w:val="single" w:color="auto" w:sz="4" w:space="0"/>
              <w:right w:val="single" w:color="auto" w:sz="4" w:space="0"/>
            </w:tcBorders>
            <w:vAlign w:val="center"/>
          </w:tcPr>
          <w:p w14:paraId="55BEBD8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6分</w:t>
            </w:r>
          </w:p>
        </w:tc>
      </w:tr>
      <w:tr w14:paraId="1EEC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15C26D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1AA3B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人员配备</w:t>
            </w:r>
          </w:p>
        </w:tc>
        <w:tc>
          <w:tcPr>
            <w:tcW w:w="2381" w:type="pct"/>
            <w:tcBorders>
              <w:top w:val="single" w:color="auto" w:sz="4" w:space="0"/>
              <w:left w:val="single" w:color="auto" w:sz="4" w:space="0"/>
              <w:bottom w:val="single" w:color="auto" w:sz="4" w:space="0"/>
              <w:right w:val="single" w:color="auto" w:sz="4" w:space="0"/>
            </w:tcBorders>
            <w:vAlign w:val="center"/>
          </w:tcPr>
          <w:p w14:paraId="36C41AC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一、项目经理（4分）</w:t>
            </w:r>
          </w:p>
          <w:p w14:paraId="34A5C7C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①具有人社部门颁发的中级及以上职称证书的，得2分；</w:t>
            </w:r>
          </w:p>
          <w:p w14:paraId="08F6404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②具有安全生产管理人员证书的，得2分（须附应急管理部门官方网站成绩公示截图）。</w:t>
            </w:r>
          </w:p>
          <w:p w14:paraId="0DAC3CE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二、拟为本项目配备的其他人员(不含项目经理)（8分）：</w:t>
            </w:r>
          </w:p>
          <w:p w14:paraId="224DFF5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①具有电梯特种设备安全管理A证的，得2分（须附市场监督管理部门网站查询截图）；</w:t>
            </w:r>
          </w:p>
          <w:p w14:paraId="5333D38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②具有四级及以上消防设施操作员或建（构）筑物消防员证书的，得2分（须附技能人才评价证书全国联网查询截图）；</w:t>
            </w:r>
          </w:p>
          <w:p w14:paraId="2C9B682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③具有应急管理部门颁发（或备案）的特种设备高压证和特种设备低压证书得2分；</w:t>
            </w:r>
          </w:p>
          <w:p w14:paraId="31D13E8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④具有普通话二级甲等及以上等级证书的，得1分（须附国家普通话水平测试网查询截图）；</w:t>
            </w:r>
          </w:p>
          <w:p w14:paraId="3E6C5BB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⑤具有新媒体（或全媒体）运营师证书的，得1分。</w:t>
            </w:r>
          </w:p>
          <w:p w14:paraId="4229EB9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注：上述人员不得兼任。</w:t>
            </w:r>
          </w:p>
          <w:p w14:paraId="4ED2533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投标文件中同时提供以下证明材料：</w:t>
            </w:r>
          </w:p>
          <w:p w14:paraId="0FC26F1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（1）上述人员名单（格式自拟）；</w:t>
            </w:r>
          </w:p>
          <w:p w14:paraId="6962FCD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（2）上述人员有效身份证（含正反页）、相关证书或证明材料扫描件；</w:t>
            </w:r>
          </w:p>
          <w:p w14:paraId="59C09D0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（3）上述人员相关证书或证明材料扫描件。</w:t>
            </w:r>
          </w:p>
          <w:p w14:paraId="6518ED8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上述人员须持有社保部门出具的本单位为其缴纳的投标前近三个月内任意一月的养老保险证明（含官网在线打印件，证明文件两个月内有效）【或投标人（或其分公司）提供已为上述人员缴纳养老保险证明的承诺书（格式自拟）】。</w:t>
            </w:r>
          </w:p>
        </w:tc>
        <w:tc>
          <w:tcPr>
            <w:tcW w:w="745" w:type="pct"/>
            <w:tcBorders>
              <w:top w:val="single" w:color="auto" w:sz="4" w:space="0"/>
              <w:left w:val="single" w:color="auto" w:sz="4" w:space="0"/>
              <w:bottom w:val="single" w:color="auto" w:sz="4" w:space="0"/>
              <w:right w:val="single" w:color="auto" w:sz="4" w:space="0"/>
            </w:tcBorders>
            <w:vAlign w:val="center"/>
          </w:tcPr>
          <w:p w14:paraId="7317E00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12分</w:t>
            </w:r>
          </w:p>
        </w:tc>
      </w:tr>
      <w:tr w14:paraId="5BAE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99297B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824" w:type="dxa"/>
            <w:tcBorders>
              <w:top w:val="single" w:color="auto" w:sz="4" w:space="0"/>
              <w:left w:val="single" w:color="auto" w:sz="4" w:space="0"/>
              <w:bottom w:val="single" w:color="auto" w:sz="4" w:space="0"/>
              <w:right w:val="single" w:color="auto" w:sz="4" w:space="0"/>
            </w:tcBorders>
            <w:vAlign w:val="center"/>
          </w:tcPr>
          <w:p w14:paraId="40B4DA2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6.项目调研</w:t>
            </w:r>
          </w:p>
        </w:tc>
        <w:tc>
          <w:tcPr>
            <w:tcW w:w="4304" w:type="dxa"/>
            <w:tcBorders>
              <w:top w:val="single" w:color="auto" w:sz="4" w:space="0"/>
              <w:left w:val="single" w:color="auto" w:sz="4" w:space="0"/>
              <w:bottom w:val="single" w:color="auto" w:sz="4" w:space="0"/>
              <w:right w:val="single" w:color="auto" w:sz="4" w:space="0"/>
            </w:tcBorders>
            <w:vAlign w:val="center"/>
          </w:tcPr>
          <w:p w14:paraId="361F870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有关法规、政策、标准及本项目特点，拟提出项目的前期调研和对项目需求的理解程度，管理深度和广度的做法，超前性、创造性、全方位贴心服务的意识，创造优美舒适、安全文明、洁净环境的设想等内容。评标委员会根据供应商提供的以上内容综合评分：</w:t>
            </w:r>
          </w:p>
          <w:p w14:paraId="5ED88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①内容健全周密，完整详细，实施措施完善的得5分；</w:t>
            </w:r>
          </w:p>
          <w:p w14:paraId="5E91C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②内容完整，有实施措施，符合实际需求的3分；</w:t>
            </w:r>
          </w:p>
          <w:p w14:paraId="06D58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③内容粗糙，条理不清晰，存在不足的得1分。</w:t>
            </w:r>
          </w:p>
          <w:p w14:paraId="6198AE3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④未提供不得分。</w:t>
            </w:r>
          </w:p>
        </w:tc>
        <w:tc>
          <w:tcPr>
            <w:tcW w:w="1348" w:type="dxa"/>
            <w:tcBorders>
              <w:top w:val="single" w:color="auto" w:sz="4" w:space="0"/>
              <w:left w:val="single" w:color="auto" w:sz="4" w:space="0"/>
              <w:bottom w:val="single" w:color="auto" w:sz="4" w:space="0"/>
              <w:right w:val="single" w:color="auto" w:sz="4" w:space="0"/>
            </w:tcBorders>
            <w:vAlign w:val="center"/>
          </w:tcPr>
          <w:p w14:paraId="0F0A717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319F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532C3D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F8B35C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7.运行管理方案</w:t>
            </w:r>
          </w:p>
          <w:p w14:paraId="016925D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2381" w:type="pct"/>
            <w:tcBorders>
              <w:top w:val="single" w:color="auto" w:sz="4" w:space="0"/>
              <w:left w:val="single" w:color="auto" w:sz="4" w:space="0"/>
              <w:bottom w:val="single" w:color="auto" w:sz="4" w:space="0"/>
              <w:right w:val="single" w:color="auto" w:sz="4" w:space="0"/>
            </w:tcBorders>
            <w:vAlign w:val="center"/>
          </w:tcPr>
          <w:p w14:paraId="40750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根据投标人针对本项目的运行团队组织架构、岗位职责、招聘培训、考察学习、绩效考核等方案进行综合评分：</w:t>
            </w:r>
          </w:p>
          <w:p w14:paraId="568EC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 xml:space="preserve">①方案周密、详尽、保障措施完善，贴合科技馆实际运行状况，充分考虑人员分配、充分考虑日常工作安排实施方案等因素的得5分； </w:t>
            </w:r>
          </w:p>
          <w:p w14:paraId="2E4D6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②方案简单可行，方案及保障措施合理的得3分；</w:t>
            </w:r>
          </w:p>
          <w:p w14:paraId="23EFA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③方案粗糙存在不足，方案及保障措施不满足实际工作的得1分；</w:t>
            </w:r>
          </w:p>
          <w:p w14:paraId="072DC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134F60E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4B23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0824005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BA0586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8.展厅服务方案</w:t>
            </w:r>
          </w:p>
        </w:tc>
        <w:tc>
          <w:tcPr>
            <w:tcW w:w="2381" w:type="pct"/>
            <w:tcBorders>
              <w:top w:val="single" w:color="auto" w:sz="4" w:space="0"/>
              <w:left w:val="single" w:color="auto" w:sz="4" w:space="0"/>
              <w:bottom w:val="single" w:color="auto" w:sz="4" w:space="0"/>
              <w:right w:val="single" w:color="auto" w:sz="4" w:space="0"/>
            </w:tcBorders>
            <w:vAlign w:val="center"/>
          </w:tcPr>
          <w:p w14:paraId="50F51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①对展厅辅助人员的招聘、培训、考核和激励有成熟的体系。需具备良好的科学素养、沟通能力和临场应变能力，有详细的持续培训计划的，得5分；</w:t>
            </w:r>
          </w:p>
          <w:p w14:paraId="2DCC6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②服务方案完整，覆盖了主要服务环节，但在细节和个性化服务上考虑不足的，得3分；</w:t>
            </w:r>
          </w:p>
          <w:p w14:paraId="58EF0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③仅提出基础性的服务内容，缺乏深度和体系的得1分；</w:t>
            </w:r>
          </w:p>
          <w:p w14:paraId="4B2C5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F43DAD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4588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1B7A94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AA88A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9.展品维护方案</w:t>
            </w:r>
          </w:p>
        </w:tc>
        <w:tc>
          <w:tcPr>
            <w:tcW w:w="2381" w:type="pct"/>
            <w:tcBorders>
              <w:top w:val="single" w:color="auto" w:sz="4" w:space="0"/>
              <w:left w:val="single" w:color="auto" w:sz="4" w:space="0"/>
              <w:bottom w:val="single" w:color="auto" w:sz="4" w:space="0"/>
              <w:right w:val="single" w:color="auto" w:sz="4" w:space="0"/>
            </w:tcBorders>
            <w:vAlign w:val="center"/>
          </w:tcPr>
          <w:p w14:paraId="3AF5F19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不仅提出常规的保洁、安保、工程维修方案，更能针对科技馆大量精密互动展品的特点，提出前瞻性的、制度化的预防性维护保养计划。对展品故障有快速响应和修复机制，并备有关键备件预案的，得5分；</w:t>
            </w:r>
          </w:p>
          <w:p w14:paraId="6839CF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②设施和展品维护方案完整，但预防性维护和快速响应机制不够突出的，得3分；</w:t>
            </w:r>
          </w:p>
          <w:p w14:paraId="207B955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③以被动维修和基础保洁安保为主，对展品特殊性考虑不足的，得1分；</w:t>
            </w:r>
          </w:p>
          <w:p w14:paraId="7A69285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316F4E5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EAA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275C79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1009" w:type="pct"/>
            <w:tcBorders>
              <w:top w:val="single" w:color="auto" w:sz="4" w:space="0"/>
              <w:left w:val="single" w:color="auto" w:sz="4" w:space="0"/>
              <w:bottom w:val="single" w:color="auto" w:sz="4" w:space="0"/>
              <w:right w:val="single" w:color="auto" w:sz="4" w:space="0"/>
            </w:tcBorders>
            <w:vAlign w:val="center"/>
          </w:tcPr>
          <w:p w14:paraId="376D453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10.综合协调方案</w:t>
            </w:r>
          </w:p>
        </w:tc>
        <w:tc>
          <w:tcPr>
            <w:tcW w:w="2381" w:type="pct"/>
            <w:tcBorders>
              <w:top w:val="single" w:color="auto" w:sz="4" w:space="0"/>
              <w:left w:val="single" w:color="auto" w:sz="4" w:space="0"/>
              <w:bottom w:val="single" w:color="auto" w:sz="4" w:space="0"/>
              <w:right w:val="single" w:color="auto" w:sz="4" w:space="0"/>
            </w:tcBorders>
            <w:vAlign w:val="center"/>
          </w:tcPr>
          <w:p w14:paraId="0755299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针对本项目的实际情况制定的综合协调方案，充分考虑服务范围内复杂的各 </w:t>
            </w:r>
          </w:p>
          <w:p w14:paraId="3D4E52C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类人群关系，如工作人员、来往市民、幼儿儿童等，评标委员会根据投标人提供的以上内容综合评分： </w:t>
            </w:r>
          </w:p>
          <w:p w14:paraId="2F3726D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①内容健全周密，实施措施完整，针对各类情形的综合协调有明确的措施方 </w:t>
            </w:r>
          </w:p>
          <w:p w14:paraId="654ECDF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案，内容与采购需求结合紧密的得5分； </w:t>
            </w:r>
          </w:p>
          <w:p w14:paraId="1A7953C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②内容完整，符合实际需求的得3分； </w:t>
            </w:r>
          </w:p>
          <w:p w14:paraId="004D9C0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③方案编制内容缺失、实施流程混乱、存在前后不一致或与本项目无关的内容的得1分； </w:t>
            </w:r>
          </w:p>
          <w:p w14:paraId="589AF3A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500B25E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2829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D349BC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ABE26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11.安全措施方案</w:t>
            </w:r>
          </w:p>
        </w:tc>
        <w:tc>
          <w:tcPr>
            <w:tcW w:w="2381" w:type="pct"/>
            <w:tcBorders>
              <w:top w:val="single" w:color="auto" w:sz="4" w:space="0"/>
              <w:left w:val="single" w:color="auto" w:sz="4" w:space="0"/>
              <w:bottom w:val="single" w:color="auto" w:sz="4" w:space="0"/>
              <w:right w:val="single" w:color="auto" w:sz="4" w:space="0"/>
            </w:tcBorders>
            <w:vAlign w:val="center"/>
          </w:tcPr>
          <w:p w14:paraId="0B232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①能全面识别运行中可能出现的各类风险（如客流不及预期、重大安全事故、展品大面积故障、公众投诉危机等），并针对每类风险提出了具体、有效的规避、转移和应对措施的，得5分；</w:t>
            </w:r>
          </w:p>
          <w:p w14:paraId="4F321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②能识别主要风险，应对措施常规可行的，得3分；</w:t>
            </w:r>
          </w:p>
          <w:p w14:paraId="2885C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③风险识别不全，应对措施空泛的，得1分；</w:t>
            </w:r>
          </w:p>
          <w:p w14:paraId="60755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1597A29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2C3F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52208BD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1ACB01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color w:val="auto"/>
                <w:kern w:val="0"/>
                <w:sz w:val="24"/>
                <w:szCs w:val="24"/>
                <w:highlight w:val="none"/>
                <w:lang w:val="en-US" w:eastAsia="zh-CN" w:bidi="ar"/>
              </w:rPr>
              <w:t>12.设施设备报修维修方案</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5A9F3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根据投标人提供的设施设备报修维修方案，包括保修完成时限、维修质量、主动巡查主动维修进行综合评分：</w:t>
            </w:r>
          </w:p>
          <w:p w14:paraId="3798F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①设施设备报修、维修方案详尽，有利于项目顺利实施的得5分；</w:t>
            </w:r>
          </w:p>
          <w:p w14:paraId="6DEDDE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②设施设备报修、维修方案符合项目需求的得3分； </w:t>
            </w:r>
          </w:p>
          <w:p w14:paraId="080F9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③设施设备报修、维修方案，需进一步提升完善的得1分；</w:t>
            </w:r>
          </w:p>
          <w:p w14:paraId="3D896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④未提供方案的不得分。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34823C2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509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470EEA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45305C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13.运行成本分析</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6F15C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根据投标人对运行科技馆的运行费用分析、费用投入、费用组成、财务测算等方面进行综合评分：</w:t>
            </w:r>
          </w:p>
          <w:p w14:paraId="4BD61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①分析的完整、正确、可实施的得5分；</w:t>
            </w:r>
          </w:p>
          <w:p w14:paraId="10D7F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②分析合理的得3分；</w:t>
            </w:r>
          </w:p>
          <w:p w14:paraId="5BFCE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③分析不合理的得1分；</w:t>
            </w:r>
          </w:p>
          <w:p w14:paraId="027F9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4EAB1EA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043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EC892B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F4750C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14.应急处理预案</w:t>
            </w:r>
          </w:p>
        </w:tc>
        <w:tc>
          <w:tcPr>
            <w:tcW w:w="2381" w:type="pct"/>
            <w:tcBorders>
              <w:top w:val="single" w:color="auto" w:sz="4" w:space="0"/>
              <w:left w:val="single" w:color="auto" w:sz="4" w:space="0"/>
              <w:bottom w:val="single" w:color="auto" w:sz="4" w:space="0"/>
              <w:right w:val="single" w:color="auto" w:sz="4" w:space="0"/>
            </w:tcBorders>
            <w:vAlign w:val="center"/>
          </w:tcPr>
          <w:p w14:paraId="54A31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应急预案体系完整，覆盖消防、治安、公共卫生、突发事件（如停电、设备伤人）、大型活动人群管控等。方案流程清晰，责任到人，并承诺定期组织全员演练和培训，有详细的与馆方、消防、公安的联动机制的，得5分；</w:t>
            </w:r>
          </w:p>
          <w:p w14:paraId="318A4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②应急预案合理，但细节和演练计划不够具体，得3分；</w:t>
            </w:r>
          </w:p>
          <w:p w14:paraId="4A9B1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③有简单的安全规定，但未形成系统、可行的应急预案的，得1分；</w:t>
            </w:r>
          </w:p>
          <w:p w14:paraId="42800F6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2DAB55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583E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1C921B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60B41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15.投入的物</w:t>
            </w:r>
          </w:p>
          <w:p w14:paraId="0859FD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资装备方案</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3CAD9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投入的物资装备方包括但不限于投入的工具设备（机械化清扫保洁设备、集中洗涤消毒设备、疏通机、小型维修工具等）、耗材、物料、通讯、办公用品等进行综合评分： </w:t>
            </w:r>
          </w:p>
          <w:p w14:paraId="6C0BC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①投标人投入的物资装备、设备配备齐全、先进、可靠，能很好的完成各项物业管理工作，充分满足项目需求，切实可行的得5分； </w:t>
            </w:r>
          </w:p>
          <w:p w14:paraId="1E249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②投标人投入的物资装备、设备配备齐全、可靠，能够完成各项物业管理，满足项目需求实际的3分； </w:t>
            </w:r>
          </w:p>
          <w:p w14:paraId="2A523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③投标人投入的物资装备、设备配备简单，仅能满足项目使用的得1分；</w:t>
            </w:r>
          </w:p>
          <w:p w14:paraId="621A6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④未提供相关内容的不得分。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62F5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0"/>
                <w:highlight w:val="none"/>
                <w:lang w:val="en-US" w:eastAsia="zh-CN"/>
              </w:rPr>
              <w:t>0-5分</w:t>
            </w:r>
          </w:p>
        </w:tc>
      </w:tr>
      <w:tr w14:paraId="17F6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6A3046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12CE49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16.增值服务</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0C354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根据本项目特点，为进一步提升服务质量，投标人除满足招标文件要求的服务需求以外提供增值服务内容:</w:t>
            </w:r>
          </w:p>
          <w:p w14:paraId="5E058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①内容覆盖全面、要点突出、完整详实，表述清晰，利于项目实施的得4分；</w:t>
            </w:r>
          </w:p>
          <w:p w14:paraId="793FA4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②与本项目实际需求适应度高，便于实施的得3分；</w:t>
            </w:r>
          </w:p>
          <w:p w14:paraId="04859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③内容覆盖不够全面，要点不突出，具体细节有待完善的得1分；</w:t>
            </w:r>
          </w:p>
          <w:p w14:paraId="6C70D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④差的或未提供相关内容的不得分。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D40A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0-4分</w:t>
            </w:r>
          </w:p>
        </w:tc>
      </w:tr>
      <w:tr w14:paraId="196C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860E69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7DEC82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17.制度建设</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6193487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根据投标人针对本项目的人员管理、展项管理、参观接待流程、安全管理、展品展项维保等制度方案进行综合评分： </w:t>
            </w:r>
          </w:p>
          <w:p w14:paraId="2825527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①方案完整详细、可行实用的得3分； </w:t>
            </w:r>
          </w:p>
          <w:p w14:paraId="4320DA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②方案适合本项目采购需求得2分； </w:t>
            </w:r>
          </w:p>
          <w:p w14:paraId="36E059E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③方案满足项目要求但有矛盾点或关键点缺失的得1分； </w:t>
            </w:r>
          </w:p>
          <w:p w14:paraId="6333C05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w:t>
            </w:r>
            <w:r>
              <w:rPr>
                <w:rFonts w:hint="eastAsia" w:ascii="宋体" w:hAnsi="宋体" w:eastAsia="宋体" w:cs="宋体"/>
                <w:color w:val="auto"/>
                <w:sz w:val="24"/>
                <w:szCs w:val="24"/>
                <w:highlight w:val="none"/>
                <w:lang w:val="en-US" w:eastAsia="zh-CN"/>
              </w:rPr>
              <w:t>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2FE22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0-3分</w:t>
            </w:r>
          </w:p>
        </w:tc>
      </w:tr>
      <w:tr w14:paraId="7D7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tcBorders>
              <w:left w:val="single" w:color="auto" w:sz="4" w:space="0"/>
              <w:right w:val="single" w:color="auto" w:sz="4" w:space="0"/>
            </w:tcBorders>
            <w:vAlign w:val="center"/>
          </w:tcPr>
          <w:p w14:paraId="350DD21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0528001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分）</w:t>
            </w:r>
          </w:p>
        </w:tc>
        <w:tc>
          <w:tcPr>
            <w:tcW w:w="4136" w:type="pct"/>
            <w:gridSpan w:val="3"/>
            <w:tcBorders>
              <w:top w:val="single" w:color="auto" w:sz="4" w:space="0"/>
              <w:left w:val="single" w:color="auto" w:sz="4" w:space="0"/>
              <w:bottom w:val="single" w:color="auto" w:sz="4" w:space="0"/>
              <w:right w:val="single" w:color="auto" w:sz="4" w:space="0"/>
            </w:tcBorders>
            <w:vAlign w:val="center"/>
          </w:tcPr>
          <w:p w14:paraId="6FBC548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分。其他投标人的价格分统一按照下列公式计算：</w:t>
            </w:r>
          </w:p>
          <w:p w14:paraId="23705B25">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％×100</w:t>
            </w:r>
          </w:p>
        </w:tc>
      </w:tr>
    </w:tbl>
    <w:p w14:paraId="04929C6C">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2831B2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CAF5B0B">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3EE13A26">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.3.3</w:t>
      </w:r>
      <w:r>
        <w:rPr>
          <w:rFonts w:hint="eastAsia" w:asciiTheme="minorEastAsia" w:hAnsiTheme="minorEastAsia" w:eastAsiaTheme="minorEastAsia"/>
          <w:color w:val="auto"/>
          <w:sz w:val="24"/>
          <w:szCs w:val="24"/>
          <w:highlight w:val="none"/>
        </w:rPr>
        <w:t>分值汇总</w:t>
      </w:r>
    </w:p>
    <w:p w14:paraId="00F211FE">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评标委员会各成员应当独立对每个</w:t>
      </w:r>
      <w:r>
        <w:rPr>
          <w:rFonts w:hint="eastAsia" w:asciiTheme="minorEastAsia" w:hAnsiTheme="minorEastAsia" w:eastAsiaTheme="minorEastAsia"/>
          <w:color w:val="auto"/>
          <w:sz w:val="24"/>
          <w:szCs w:val="24"/>
          <w:highlight w:val="none"/>
        </w:rPr>
        <w:t>有效</w:t>
      </w:r>
      <w:r>
        <w:rPr>
          <w:rFonts w:asciiTheme="minorEastAsia" w:hAnsiTheme="minorEastAsia" w:eastAsiaTheme="minorEastAsia"/>
          <w:color w:val="auto"/>
          <w:sz w:val="24"/>
          <w:szCs w:val="24"/>
          <w:highlight w:val="none"/>
        </w:rPr>
        <w:t>投标人的投标文件进行评</w:t>
      </w:r>
      <w:r>
        <w:rPr>
          <w:rFonts w:hint="eastAsia" w:asciiTheme="minorEastAsia" w:hAnsiTheme="minorEastAsia" w:eastAsiaTheme="minorEastAsia"/>
          <w:color w:val="auto"/>
          <w:sz w:val="24"/>
          <w:szCs w:val="24"/>
          <w:highlight w:val="none"/>
        </w:rPr>
        <w:t>分</w:t>
      </w:r>
      <w:r>
        <w:rPr>
          <w:rFonts w:asciiTheme="minorEastAsia" w:hAnsiTheme="minorEastAsia" w:eastAsiaTheme="minorEastAsia"/>
          <w:color w:val="auto"/>
          <w:sz w:val="24"/>
          <w:szCs w:val="24"/>
          <w:highlight w:val="none"/>
        </w:rPr>
        <w:t>，并汇总每个投</w:t>
      </w:r>
      <w:r>
        <w:rPr>
          <w:rFonts w:hint="eastAsia" w:asciiTheme="minorEastAsia" w:hAnsiTheme="minorEastAsia" w:eastAsiaTheme="minorEastAsia"/>
          <w:color w:val="auto"/>
          <w:sz w:val="24"/>
          <w:szCs w:val="24"/>
          <w:highlight w:val="none"/>
        </w:rPr>
        <w:t>标人的得分。取各位评委评分之平均值，四舍五入保留至小数点后两位数，</w:t>
      </w:r>
      <w:r>
        <w:rPr>
          <w:rFonts w:asciiTheme="minorEastAsia" w:hAnsiTheme="minorEastAsia" w:eastAsiaTheme="minorEastAsia"/>
          <w:color w:val="auto"/>
          <w:sz w:val="24"/>
          <w:szCs w:val="24"/>
          <w:highlight w:val="none"/>
        </w:rPr>
        <w:t>得到该投标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w:t>
      </w:r>
      <w:r>
        <w:rPr>
          <w:rFonts w:hint="eastAsia" w:asciiTheme="minorEastAsia" w:hAnsiTheme="minorEastAsia" w:eastAsiaTheme="minorEastAsia"/>
          <w:color w:val="auto"/>
          <w:sz w:val="24"/>
          <w:szCs w:val="24"/>
          <w:highlight w:val="none"/>
        </w:rPr>
        <w:t>。</w:t>
      </w:r>
    </w:p>
    <w:p w14:paraId="5CBCA9F9">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将投标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的技术资信分加上根据上述标准计算出的价格分，即为该投标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的综合总得分。</w:t>
      </w:r>
    </w:p>
    <w:p w14:paraId="0285BEF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三、无效投标条款</w:t>
      </w:r>
    </w:p>
    <w:p w14:paraId="141C54A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3.1投标文件有下列情形之一的,其投标文件拒收:</w:t>
      </w:r>
    </w:p>
    <w:p w14:paraId="7F8CCD5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 未在开标截止时间前通过网上招标投标系统递交有效电子投标文件的，开标系统不予接收，投标将被拒绝。</w:t>
      </w:r>
    </w:p>
    <w:p w14:paraId="0493207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6291F7A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3.2投标人有下列情形之一的,资格审查后其投标作无效投标处理：</w:t>
      </w:r>
    </w:p>
    <w:p w14:paraId="3D771B3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(1)投标人为本项目提供招标代理服务的；</w:t>
      </w:r>
    </w:p>
    <w:p w14:paraId="25F7AD3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(2)投标人与在本项目代理机构存在相互任职或工作的；</w:t>
      </w:r>
    </w:p>
    <w:p w14:paraId="104AFB7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(3)招标公告写明专门面向中小企业采购，投标人提供的货物非中小企业制造的；</w:t>
      </w:r>
    </w:p>
    <w:p w14:paraId="0F7031A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(4)要求供应商以联合体形式参加采购活动，投标人非联合体或者联合协议中中小企业合同金额未达到应当达到的比例；</w:t>
      </w:r>
    </w:p>
    <w:p w14:paraId="01C1F83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(5)要求获得采购合同的供应商向中小企业分包，投标人未提供分包意向协议或者分包意向协议中中小企业合同金额未达到应当达到的比例；</w:t>
      </w:r>
    </w:p>
    <w:p w14:paraId="11894A68">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(6)评标专家无法查看并检验电子投标文件中相关资料的；</w:t>
      </w:r>
    </w:p>
    <w:p w14:paraId="1A553B2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(7)联合体投标未提交联合体协议的；</w:t>
      </w:r>
    </w:p>
    <w:p w14:paraId="4BA0719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(8)责令停产停业的；</w:t>
      </w:r>
    </w:p>
    <w:p w14:paraId="73392D0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(9)暂停或者取消参与政府采购项目资格的；</w:t>
      </w:r>
    </w:p>
    <w:p w14:paraId="3E34C87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(10)投标人单位负责人为同一人或者存在（直接）控股、管理关系的不同单位的；</w:t>
      </w:r>
    </w:p>
    <w:p w14:paraId="513B7EA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(11)投标人基本资格条件和特定资格条件中有一项及以上不符合要求的；</w:t>
      </w:r>
    </w:p>
    <w:p w14:paraId="3C0DEAB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67882A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(13)其它情形，经评标委员会委提出按无效投标处理，并经公共资源交易监督部门核准的；</w:t>
      </w:r>
    </w:p>
    <w:p w14:paraId="3A73609D">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(14)投标人投标MAC地址或投标人联系人或联系电话相同的，由评标委员会否决其投标，并报告监管部门作不良行为处理和进一步调查；</w:t>
      </w:r>
    </w:p>
    <w:p w14:paraId="5D4F6AB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(15)投标人单方面出现其他投标人材料的；</w:t>
      </w:r>
    </w:p>
    <w:p w14:paraId="65F0033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(16)招标公告未写明允许采购进口产品，投标人所投产品为进口产品的；</w:t>
      </w:r>
    </w:p>
    <w:p w14:paraId="602AF59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(17)招标文件规定的其它无效投标情形。</w:t>
      </w:r>
    </w:p>
    <w:p w14:paraId="6171A97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3.3 投标人有下列情形之一的,符合性审查后其投标按无效投标处理：</w:t>
      </w:r>
    </w:p>
    <w:p w14:paraId="65648CD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(1)投标文件签字、盖章不全，经评标委员会一致认定对开评标内容有实质性影响并经公共资源交易监督部门核准的；</w:t>
      </w:r>
    </w:p>
    <w:p w14:paraId="1B7FB9E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 经公共资源交易监督部门核准的；</w:t>
      </w:r>
    </w:p>
    <w:p w14:paraId="0ACAFD3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(3)同一投标人提交两个以上不同的投标文件或者投标报价，但招标文件规定提交备选方案的除外；</w:t>
      </w:r>
    </w:p>
    <w:p w14:paraId="3664AF9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(4)投标文件没有对招标文件的实质性要求和条件作出响应;</w:t>
      </w:r>
    </w:p>
    <w:p w14:paraId="462E7AE8">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(5)投标报价超出规定的投标限价或公布的采购预算的或投标人的投标报价各项单价高于招标文件给定的单价最高限价；</w:t>
      </w:r>
    </w:p>
    <w:p w14:paraId="4D4E217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(6)不按评标委员会要求澄清、说明或补正的，或者评标委员会根据招标文件的规定对投标文件的计算错误进行修正后，投标人不接受修正的投标报价的。</w:t>
      </w:r>
    </w:p>
    <w:p w14:paraId="7F3E4B1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(7)其它情形，经评标委员会委提出按无效投标处理，并经公共资源交易监督部门核准的；</w:t>
      </w:r>
    </w:p>
    <w:p w14:paraId="0B38FC1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(8)投标文件含有采购人不能接受的附加条件的；</w:t>
      </w:r>
    </w:p>
    <w:p w14:paraId="41AB412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(9)招标文件规定的其它无效投标情形。</w:t>
      </w:r>
    </w:p>
    <w:p w14:paraId="33E1E62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3.4 投标人有下列情形之一的, 详细评审后其投标按无效投标处理：</w:t>
      </w:r>
    </w:p>
    <w:p w14:paraId="2F522AB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(1)投标产品不符合必须强制执行的国家标准的；</w:t>
      </w:r>
    </w:p>
    <w:p w14:paraId="0C727E2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(2)投标人有串通投标、弄虚作假、行贿等违法行为；</w:t>
      </w:r>
    </w:p>
    <w:p w14:paraId="69D9CB1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(3)投标文件含有违反国家法律、法规的内容，或附有采购人不能接受的条件的；</w:t>
      </w:r>
    </w:p>
    <w:p w14:paraId="189BDDA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(4)报价明显低于其他投标人，且不能证明报价合理性的投标无效；</w:t>
      </w:r>
    </w:p>
    <w:p w14:paraId="4B2E614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(5)拒不确认评标委员会评审修正的投标无效；</w:t>
      </w:r>
    </w:p>
    <w:p w14:paraId="5B82DAF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(6)其它情形，经评标委员会委提出按无效投标处理，并经公共资源交易监督部门核准的；</w:t>
      </w:r>
    </w:p>
    <w:p w14:paraId="0F23AE24">
      <w:pPr>
        <w:spacing w:line="500" w:lineRule="exact"/>
        <w:ind w:firstLine="437"/>
        <w:jc w:val="left"/>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(7)招标文件规定的其它无效投标情形。</w:t>
      </w:r>
    </w:p>
    <w:p w14:paraId="0EBD5F12">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(6)其它情形，经评标委员会委提出按无效投标处理，并经公共资源交易监督部门核准的；</w:t>
      </w:r>
    </w:p>
    <w:p w14:paraId="72C6C2A0">
      <w:pPr>
        <w:spacing w:line="500" w:lineRule="exact"/>
        <w:ind w:firstLine="43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(7)招标文件规定的其它无效投标情形。</w:t>
      </w:r>
      <w:r>
        <w:rPr>
          <w:rFonts w:asciiTheme="minorEastAsia" w:hAnsiTheme="minorEastAsia" w:eastAsiaTheme="minorEastAsia"/>
          <w:color w:val="auto"/>
          <w:sz w:val="24"/>
          <w:highlight w:val="none"/>
        </w:rPr>
        <w:br w:type="page"/>
      </w:r>
    </w:p>
    <w:p w14:paraId="4D39CB65">
      <w:pPr>
        <w:spacing w:line="360" w:lineRule="auto"/>
        <w:jc w:val="center"/>
        <w:outlineLvl w:val="0"/>
        <w:rPr>
          <w:rFonts w:hint="eastAsia" w:ascii="宋体" w:hAnsi="宋体" w:eastAsia="宋体" w:cs="宋体"/>
          <w:b/>
          <w:color w:val="auto"/>
          <w:sz w:val="28"/>
          <w:highlight w:val="none"/>
        </w:rPr>
      </w:pPr>
      <w:bookmarkStart w:id="70" w:name="_Toc32537"/>
      <w:r>
        <w:rPr>
          <w:rFonts w:hint="eastAsia" w:ascii="宋体" w:hAnsi="宋体" w:eastAsia="宋体" w:cs="宋体"/>
          <w:b/>
          <w:color w:val="auto"/>
          <w:sz w:val="28"/>
          <w:highlight w:val="none"/>
        </w:rPr>
        <w:t>第五章  政府采购合同</w:t>
      </w:r>
      <w:bookmarkEnd w:id="70"/>
    </w:p>
    <w:p w14:paraId="41479CD5">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21582B2E">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1646A82F">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1A69FC18">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bookmarkStart w:id="71" w:name="_Toc44"/>
      <w:r>
        <w:rPr>
          <w:rFonts w:hint="eastAsia" w:ascii="宋体" w:hAnsi="宋体" w:eastAsia="宋体" w:cs="宋体"/>
          <w:b/>
          <w:color w:val="auto"/>
          <w:sz w:val="30"/>
          <w:szCs w:val="30"/>
          <w:highlight w:val="none"/>
        </w:rPr>
        <w:t>一</w:t>
      </w:r>
      <w:bookmarkStart w:id="72" w:name="_Toc449028946"/>
      <w:r>
        <w:rPr>
          <w:rFonts w:hint="eastAsia" w:ascii="宋体" w:hAnsi="宋体" w:eastAsia="宋体" w:cs="宋体"/>
          <w:b/>
          <w:color w:val="auto"/>
          <w:sz w:val="30"/>
          <w:szCs w:val="30"/>
          <w:highlight w:val="none"/>
        </w:rPr>
        <w:t>、合同协议书（格式）</w:t>
      </w:r>
      <w:bookmarkEnd w:id="71"/>
      <w:bookmarkEnd w:id="72"/>
    </w:p>
    <w:p w14:paraId="33363D32">
      <w:pPr>
        <w:spacing w:before="120" w:line="480" w:lineRule="auto"/>
        <w:ind w:left="960"/>
        <w:rPr>
          <w:rFonts w:hint="eastAsia" w:ascii="宋体" w:hAnsi="宋体" w:eastAsia="宋体" w:cs="宋体"/>
          <w:color w:val="auto"/>
          <w:sz w:val="24"/>
          <w:highlight w:val="none"/>
        </w:rPr>
      </w:pPr>
    </w:p>
    <w:p w14:paraId="3601C792">
      <w:pPr>
        <w:spacing w:before="120" w:line="480" w:lineRule="auto"/>
        <w:ind w:left="960"/>
        <w:rPr>
          <w:rFonts w:hint="eastAsia" w:ascii="宋体" w:hAnsi="宋体" w:eastAsia="宋体" w:cs="宋体"/>
          <w:color w:val="auto"/>
          <w:sz w:val="24"/>
          <w:highlight w:val="none"/>
        </w:rPr>
      </w:pPr>
    </w:p>
    <w:p w14:paraId="78E97017">
      <w:pPr>
        <w:spacing w:before="120" w:line="480" w:lineRule="auto"/>
        <w:ind w:left="960"/>
        <w:rPr>
          <w:rFonts w:hint="eastAsia" w:ascii="宋体" w:hAnsi="宋体" w:eastAsia="宋体" w:cs="宋体"/>
          <w:color w:val="auto"/>
          <w:sz w:val="24"/>
          <w:highlight w:val="none"/>
        </w:rPr>
      </w:pPr>
    </w:p>
    <w:p w14:paraId="099959D1">
      <w:pPr>
        <w:spacing w:before="120" w:line="480" w:lineRule="auto"/>
        <w:ind w:left="960"/>
        <w:rPr>
          <w:rFonts w:hint="eastAsia" w:ascii="宋体" w:hAnsi="宋体" w:eastAsia="宋体" w:cs="宋体"/>
          <w:color w:val="auto"/>
          <w:sz w:val="24"/>
          <w:highlight w:val="none"/>
        </w:rPr>
      </w:pPr>
    </w:p>
    <w:p w14:paraId="63C2BF0E">
      <w:pPr>
        <w:spacing w:before="120" w:line="480" w:lineRule="auto"/>
        <w:ind w:left="960"/>
        <w:rPr>
          <w:rFonts w:hint="eastAsia" w:ascii="宋体" w:hAnsi="宋体" w:eastAsia="宋体" w:cs="宋体"/>
          <w:color w:val="auto"/>
          <w:sz w:val="24"/>
          <w:highlight w:val="none"/>
        </w:rPr>
      </w:pPr>
    </w:p>
    <w:p w14:paraId="683B3651">
      <w:pPr>
        <w:spacing w:before="120" w:line="480" w:lineRule="auto"/>
        <w:ind w:left="960"/>
        <w:rPr>
          <w:rFonts w:hint="eastAsia" w:ascii="宋体" w:hAnsi="宋体" w:eastAsia="宋体" w:cs="宋体"/>
          <w:color w:val="auto"/>
          <w:szCs w:val="21"/>
          <w:highlight w:val="none"/>
        </w:rPr>
      </w:pPr>
    </w:p>
    <w:p w14:paraId="426D81A8">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eastAsia="zh-CN"/>
        </w:rPr>
        <w:t>滁州市科学技术馆展教辅助服务及运行保障项目（2026年-2028年）</w:t>
      </w:r>
    </w:p>
    <w:p w14:paraId="7FBF6B68">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04CCF697">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滁州市科学技术馆 </w:t>
      </w:r>
    </w:p>
    <w:p w14:paraId="226FEBAD">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r>
        <w:rPr>
          <w:rFonts w:hint="eastAsia" w:ascii="宋体" w:hAnsi="宋体" w:eastAsia="宋体" w:cs="宋体"/>
          <w:color w:val="auto"/>
          <w:szCs w:val="21"/>
          <w:highlight w:val="none"/>
          <w:u w:val="single"/>
        </w:rPr>
        <w:t xml:space="preserve">                              </w:t>
      </w:r>
    </w:p>
    <w:p w14:paraId="5B6CEE98">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14:paraId="6625F190">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A92EFD3">
      <w:pPr>
        <w:widowControl/>
        <w:jc w:val="left"/>
        <w:rPr>
          <w:rFonts w:ascii="宋体" w:hAnsi="宋体"/>
          <w:color w:val="auto"/>
          <w:szCs w:val="21"/>
          <w:highlight w:val="none"/>
        </w:rPr>
      </w:pPr>
      <w:r>
        <w:rPr>
          <w:rFonts w:ascii="宋体" w:hAnsi="宋体"/>
          <w:color w:val="auto"/>
          <w:szCs w:val="21"/>
          <w:highlight w:val="none"/>
        </w:rPr>
        <w:br w:type="page"/>
      </w:r>
    </w:p>
    <w:p w14:paraId="026B85A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u w:val="single"/>
          <w:lang w:val="en-US" w:eastAsia="zh-CN"/>
        </w:rPr>
        <w:t>滁州市科学技术馆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滁州市政府采购中心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采购方式采购活动，经采购小组评定，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供应商，现按照采购文件确定的事项签订本合同。</w:t>
      </w:r>
    </w:p>
    <w:p w14:paraId="3F9B4D6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D677C96">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3" w:name="_Toc24059"/>
      <w:bookmarkStart w:id="74" w:name="_Toc3029"/>
      <w:bookmarkStart w:id="75" w:name="_Toc2232"/>
      <w:r>
        <w:rPr>
          <w:rFonts w:hint="eastAsia" w:ascii="宋体" w:hAnsi="宋体" w:eastAsia="宋体" w:cs="宋体"/>
          <w:b/>
          <w:bCs/>
          <w:color w:val="auto"/>
          <w:sz w:val="24"/>
          <w:szCs w:val="24"/>
          <w:highlight w:val="none"/>
          <w:lang w:val="zh-CN"/>
        </w:rPr>
        <w:t>1.1 合同组成部分</w:t>
      </w:r>
      <w:bookmarkEnd w:id="73"/>
      <w:bookmarkEnd w:id="74"/>
      <w:bookmarkEnd w:id="75"/>
    </w:p>
    <w:p w14:paraId="6D5DB4D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61D0B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191453A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通知书；</w:t>
      </w:r>
    </w:p>
    <w:p w14:paraId="6FF64B5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文件（含澄清或者说明文件）；</w:t>
      </w:r>
    </w:p>
    <w:p w14:paraId="431DBC2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1.1.4采购文件（含澄清或者修改文件）；</w:t>
      </w:r>
    </w:p>
    <w:p w14:paraId="7FDCFF9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3329157A">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6" w:name="_Toc6311"/>
      <w:bookmarkStart w:id="77" w:name="_Toc18585"/>
      <w:bookmarkStart w:id="78" w:name="_Toc22185"/>
      <w:bookmarkStart w:id="79" w:name="_Toc6773"/>
      <w:bookmarkStart w:id="80" w:name="_Toc2918"/>
      <w:r>
        <w:rPr>
          <w:rFonts w:hint="eastAsia" w:ascii="宋体" w:hAnsi="宋体" w:eastAsia="宋体" w:cs="宋体"/>
          <w:b/>
          <w:bCs/>
          <w:color w:val="auto"/>
          <w:sz w:val="24"/>
          <w:szCs w:val="24"/>
          <w:highlight w:val="none"/>
          <w:lang w:val="zh-CN"/>
        </w:rPr>
        <w:t xml:space="preserve">1.2 </w:t>
      </w:r>
      <w:bookmarkEnd w:id="76"/>
      <w:bookmarkEnd w:id="77"/>
      <w:bookmarkEnd w:id="78"/>
      <w:bookmarkEnd w:id="79"/>
      <w:bookmarkEnd w:id="80"/>
      <w:r>
        <w:rPr>
          <w:rFonts w:hint="eastAsia" w:ascii="宋体" w:hAnsi="宋体" w:eastAsia="宋体" w:cs="宋体"/>
          <w:b/>
          <w:bCs/>
          <w:color w:val="auto"/>
          <w:sz w:val="24"/>
          <w:szCs w:val="24"/>
          <w:highlight w:val="none"/>
          <w:lang w:val="zh-CN"/>
        </w:rPr>
        <w:t>服务</w:t>
      </w:r>
    </w:p>
    <w:p w14:paraId="7F771E1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lang w:val="en-US" w:eastAsia="zh-CN"/>
        </w:rPr>
        <w:t>滁州市科学技术馆展教辅助服务及运行保障项目（2026年-2028年）</w:t>
      </w:r>
      <w:r>
        <w:rPr>
          <w:rFonts w:hint="eastAsia" w:ascii="宋体" w:hAnsi="宋体" w:eastAsia="宋体" w:cs="宋体"/>
          <w:color w:val="auto"/>
          <w:sz w:val="24"/>
          <w:szCs w:val="24"/>
          <w:highlight w:val="none"/>
        </w:rPr>
        <w:t>；</w:t>
      </w:r>
    </w:p>
    <w:p w14:paraId="7D34BAB0">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lang w:val="en-US" w:eastAsia="zh-CN"/>
        </w:rPr>
        <w:t>详见招标文件第三章《采购需求》全部内容</w:t>
      </w:r>
      <w:r>
        <w:rPr>
          <w:rFonts w:hint="eastAsia" w:ascii="宋体" w:hAnsi="宋体" w:eastAsia="宋体" w:cs="宋体"/>
          <w:color w:val="auto"/>
          <w:sz w:val="24"/>
          <w:szCs w:val="24"/>
          <w:highlight w:val="none"/>
        </w:rPr>
        <w:t>；</w:t>
      </w:r>
    </w:p>
    <w:p w14:paraId="3B743FF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lang w:val="en-US" w:eastAsia="zh-CN"/>
        </w:rPr>
        <w:t>满足招标文件要求、满足考核相关要求</w:t>
      </w:r>
      <w:r>
        <w:rPr>
          <w:rFonts w:hint="eastAsia" w:ascii="宋体" w:hAnsi="宋体" w:eastAsia="宋体" w:cs="宋体"/>
          <w:color w:val="auto"/>
          <w:sz w:val="24"/>
          <w:szCs w:val="24"/>
          <w:highlight w:val="none"/>
        </w:rPr>
        <w:t>。</w:t>
      </w:r>
    </w:p>
    <w:p w14:paraId="65F6F947">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1" w:name="_Toc21631"/>
      <w:bookmarkStart w:id="82" w:name="_Toc21551"/>
      <w:bookmarkStart w:id="83" w:name="_Toc23292"/>
      <w:r>
        <w:rPr>
          <w:rFonts w:hint="eastAsia" w:ascii="宋体" w:hAnsi="宋体" w:eastAsia="宋体" w:cs="宋体"/>
          <w:b/>
          <w:bCs/>
          <w:color w:val="auto"/>
          <w:sz w:val="24"/>
          <w:szCs w:val="24"/>
          <w:highlight w:val="none"/>
          <w:lang w:val="zh-CN"/>
        </w:rPr>
        <w:t>1.3 价款</w:t>
      </w:r>
      <w:bookmarkEnd w:id="81"/>
      <w:bookmarkEnd w:id="82"/>
      <w:bookmarkEnd w:id="83"/>
    </w:p>
    <w:p w14:paraId="5C4F7196">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55A2E9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576"/>
        <w:gridCol w:w="13"/>
        <w:gridCol w:w="3419"/>
        <w:gridCol w:w="13"/>
      </w:tblGrid>
      <w:tr w14:paraId="095E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16" w:hRule="atLeast"/>
          <w:jc w:val="center"/>
        </w:trPr>
        <w:tc>
          <w:tcPr>
            <w:tcW w:w="562" w:type="pct"/>
            <w:vAlign w:val="center"/>
          </w:tcPr>
          <w:p w14:paraId="02DB8C7D">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532" w:type="pct"/>
            <w:vAlign w:val="center"/>
          </w:tcPr>
          <w:p w14:paraId="1E5D7505">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1899" w:type="pct"/>
            <w:gridSpan w:val="2"/>
            <w:vAlign w:val="center"/>
          </w:tcPr>
          <w:p w14:paraId="57472EF1">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2053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3" w:hRule="atLeast"/>
          <w:jc w:val="center"/>
        </w:trPr>
        <w:tc>
          <w:tcPr>
            <w:tcW w:w="562" w:type="pct"/>
          </w:tcPr>
          <w:p w14:paraId="5D2776B2">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532" w:type="pct"/>
            <w:vAlign w:val="center"/>
          </w:tcPr>
          <w:p w14:paraId="39C11A7D">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7D886419">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FB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21" w:hRule="atLeast"/>
          <w:jc w:val="center"/>
        </w:trPr>
        <w:tc>
          <w:tcPr>
            <w:tcW w:w="562" w:type="pct"/>
          </w:tcPr>
          <w:p w14:paraId="76C291A4">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2532" w:type="pct"/>
            <w:vAlign w:val="center"/>
          </w:tcPr>
          <w:p w14:paraId="3018084D">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27BDE5D8">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2257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4756CC3">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2532" w:type="pct"/>
            <w:vAlign w:val="center"/>
          </w:tcPr>
          <w:p w14:paraId="72A1A313">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1AEE1415">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B07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6B3946B">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2532" w:type="pct"/>
            <w:vAlign w:val="center"/>
          </w:tcPr>
          <w:p w14:paraId="6163DDDA">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7DDB580E">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F7E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565B84B">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899" w:type="pct"/>
            <w:gridSpan w:val="2"/>
            <w:vAlign w:val="center"/>
          </w:tcPr>
          <w:p w14:paraId="5F6B5B22">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bl>
    <w:p w14:paraId="451CA63F">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4" w:name="_Toc10340"/>
      <w:bookmarkStart w:id="85" w:name="_Toc1814"/>
      <w:bookmarkStart w:id="86" w:name="_Toc22618"/>
      <w:r>
        <w:rPr>
          <w:rFonts w:hint="eastAsia" w:ascii="宋体" w:hAnsi="宋体" w:eastAsia="宋体" w:cs="宋体"/>
          <w:b/>
          <w:bCs/>
          <w:color w:val="auto"/>
          <w:sz w:val="24"/>
          <w:szCs w:val="24"/>
          <w:highlight w:val="none"/>
          <w:lang w:val="zh-CN"/>
        </w:rPr>
        <w:t>1.4 付款方式和发票开具方式</w:t>
      </w:r>
      <w:bookmarkEnd w:id="84"/>
      <w:bookmarkEnd w:id="85"/>
      <w:bookmarkEnd w:id="86"/>
    </w:p>
    <w:p w14:paraId="76C9EB9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p>
    <w:p w14:paraId="13B657F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增值税发票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35BA04">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7" w:name="_Toc19304"/>
      <w:bookmarkStart w:id="88" w:name="_Toc2846"/>
      <w:bookmarkStart w:id="89" w:name="_Toc32071"/>
      <w:r>
        <w:rPr>
          <w:rFonts w:hint="eastAsia" w:ascii="宋体" w:hAnsi="宋体" w:eastAsia="宋体" w:cs="宋体"/>
          <w:b/>
          <w:bCs/>
          <w:color w:val="auto"/>
          <w:sz w:val="24"/>
          <w:szCs w:val="24"/>
          <w:highlight w:val="none"/>
          <w:lang w:val="zh-CN"/>
        </w:rPr>
        <w:t>1.5 服务期限、地点和方式</w:t>
      </w:r>
      <w:bookmarkEnd w:id="87"/>
      <w:bookmarkEnd w:id="88"/>
      <w:bookmarkEnd w:id="89"/>
    </w:p>
    <w:p w14:paraId="698AE82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lang w:val="en-US" w:eastAsia="zh-CN"/>
        </w:rPr>
        <w:t xml:space="preserve">   三年，合同一年一签     ；</w:t>
      </w:r>
    </w:p>
    <w:p w14:paraId="6C5B56E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lang w:val="en-US" w:eastAsia="zh-CN"/>
        </w:rPr>
        <w:t xml:space="preserve"> 滁州市科学技术馆 ，采购人指定地点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5D257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现场驻点服务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2AC062B">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0" w:name="_Toc27250"/>
      <w:bookmarkStart w:id="91" w:name="_Toc21423"/>
      <w:bookmarkStart w:id="92" w:name="_Toc19554"/>
      <w:r>
        <w:rPr>
          <w:rFonts w:hint="eastAsia" w:ascii="宋体" w:hAnsi="宋体" w:eastAsia="宋体" w:cs="宋体"/>
          <w:b/>
          <w:bCs/>
          <w:color w:val="auto"/>
          <w:sz w:val="24"/>
          <w:szCs w:val="24"/>
          <w:highlight w:val="none"/>
          <w:lang w:val="zh-CN"/>
        </w:rPr>
        <w:t>1.6 违约责任</w:t>
      </w:r>
      <w:bookmarkEnd w:id="90"/>
      <w:bookmarkEnd w:id="91"/>
      <w:bookmarkEnd w:id="92"/>
    </w:p>
    <w:p w14:paraId="7FAA203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61671D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0.5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78B12E8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24A1B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5CEA26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6E9362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AADABA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4D7DCFD">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3" w:name="_Toc16021"/>
      <w:bookmarkStart w:id="94" w:name="_Toc28375"/>
      <w:bookmarkStart w:id="95" w:name="_Toc15583"/>
      <w:r>
        <w:rPr>
          <w:rFonts w:hint="eastAsia" w:ascii="宋体" w:hAnsi="宋体" w:eastAsia="宋体" w:cs="宋体"/>
          <w:b/>
          <w:bCs/>
          <w:color w:val="auto"/>
          <w:sz w:val="24"/>
          <w:szCs w:val="24"/>
          <w:highlight w:val="none"/>
          <w:lang w:val="zh-CN"/>
        </w:rPr>
        <w:t>1.7 合同争议的解决</w:t>
      </w:r>
      <w:bookmarkEnd w:id="93"/>
      <w:bookmarkEnd w:id="94"/>
      <w:bookmarkEnd w:id="95"/>
    </w:p>
    <w:p w14:paraId="1D9D3DF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1.7.2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E36959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77217B8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有管辖权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6FDD3833">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6" w:name="_Toc15322"/>
      <w:bookmarkStart w:id="97" w:name="_Toc11173"/>
      <w:bookmarkStart w:id="98" w:name="_Toc7245"/>
      <w:r>
        <w:rPr>
          <w:rFonts w:hint="eastAsia" w:ascii="宋体" w:hAnsi="宋体" w:eastAsia="宋体" w:cs="宋体"/>
          <w:b/>
          <w:bCs/>
          <w:color w:val="auto"/>
          <w:sz w:val="24"/>
          <w:szCs w:val="24"/>
          <w:highlight w:val="none"/>
          <w:lang w:val="zh-CN"/>
        </w:rPr>
        <w:t>1.8 合同生效</w:t>
      </w:r>
      <w:bookmarkEnd w:id="96"/>
      <w:bookmarkEnd w:id="97"/>
      <w:bookmarkEnd w:id="98"/>
    </w:p>
    <w:p w14:paraId="082D387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03ABA0E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27A2C64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77AA9ED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0742EA27">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99"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22196FA8">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乙方账户信息</w:t>
      </w:r>
    </w:p>
    <w:p w14:paraId="0EFD29C3">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w:t>
      </w:r>
      <w:r>
        <w:rPr>
          <w:rFonts w:hint="eastAsia" w:ascii="宋体" w:hAnsi="宋体" w:eastAsia="宋体" w:cs="宋体"/>
          <w:bCs/>
          <w:color w:val="auto"/>
          <w:sz w:val="24"/>
          <w:szCs w:val="24"/>
          <w:highlight w:val="none"/>
          <w:u w:val="single"/>
        </w:rPr>
        <w:t xml:space="preserve">            </w:t>
      </w:r>
    </w:p>
    <w:p w14:paraId="47933B4B">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u w:val="single"/>
        </w:rPr>
        <w:t xml:space="preserve">            </w:t>
      </w:r>
    </w:p>
    <w:p w14:paraId="69A6E57A">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35465A90">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E2EB996">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99"/>
    </w:p>
    <w:p w14:paraId="3673F29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00" w:name="_Ref467379214"/>
      <w:bookmarkStart w:id="101" w:name="_Ref467379109"/>
      <w:bookmarkStart w:id="102" w:name="_Ref467379094"/>
      <w:bookmarkStart w:id="103" w:name="_Ref467378463"/>
      <w:bookmarkStart w:id="104" w:name="_Ref467379225"/>
      <w:bookmarkStart w:id="105" w:name="_Toc279701240"/>
      <w:bookmarkStart w:id="106" w:name="_Toc16917"/>
      <w:bookmarkStart w:id="107" w:name="_Toc28763"/>
      <w:bookmarkStart w:id="108" w:name="_Ref467379195"/>
      <w:bookmarkStart w:id="109" w:name="_Toc259093669"/>
      <w:bookmarkStart w:id="110" w:name="_Ref467378499"/>
      <w:bookmarkStart w:id="111" w:name="_Ref467379205"/>
      <w:bookmarkStart w:id="112" w:name="_Ref467378404"/>
      <w:bookmarkStart w:id="113" w:name="_Ref467379101"/>
      <w:bookmarkStart w:id="114" w:name="_Toc487900349"/>
      <w:bookmarkStart w:id="115" w:name="_Toc19614"/>
      <w:r>
        <w:rPr>
          <w:rFonts w:hint="eastAsia" w:ascii="宋体" w:hAnsi="宋体" w:eastAsia="宋体" w:cs="宋体"/>
          <w:b/>
          <w:bCs/>
          <w:color w:val="auto"/>
          <w:sz w:val="24"/>
          <w:highlight w:val="none"/>
          <w:lang w:val="zh-CN"/>
        </w:rPr>
        <w:t>2.1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5ABECF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19D5931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2.1.1“合同”系指采购人和成交供应商签订的载明双方当事人所达成的协议，并包括所有的附件、附录和构成合同的其他文件。</w:t>
      </w:r>
    </w:p>
    <w:p w14:paraId="4C795C4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2.1.2“合同价”系指根据合同约定，成交供应商在完全履行合同义务后，采购人应支付给成交供应商的价格。</w:t>
      </w:r>
    </w:p>
    <w:p w14:paraId="6E768F5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2.1.3“服务”系指成交供应商根据合同约定应向采购人履行的除货物和工程以外的其他政府采购对象，包括采购人自身需要的服务和向社会公众提供的公共服务。</w:t>
      </w:r>
    </w:p>
    <w:p w14:paraId="150BFE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6" w:name="_Ref467378840"/>
      <w:r>
        <w:rPr>
          <w:rFonts w:hint="eastAsia" w:ascii="宋体" w:hAnsi="宋体" w:eastAsia="宋体" w:cs="宋体"/>
          <w:color w:val="auto"/>
          <w:sz w:val="24"/>
          <w:highlight w:val="none"/>
        </w:rPr>
        <w:t>2.1.4“甲方”系指与成交供应商签署合同的采购人</w:t>
      </w:r>
      <w:bookmarkEnd w:id="116"/>
      <w:r>
        <w:rPr>
          <w:rFonts w:hint="eastAsia" w:ascii="宋体" w:hAnsi="宋体" w:eastAsia="宋体" w:cs="宋体"/>
          <w:color w:val="auto"/>
          <w:sz w:val="24"/>
          <w:highlight w:val="none"/>
        </w:rPr>
        <w:t>；采购人委托采购代理机构代表其与乙方签订合同的，采购人的授权委托书作为合同附件。</w:t>
      </w:r>
    </w:p>
    <w:p w14:paraId="6C17558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7" w:name="_Ref467379400"/>
      <w:r>
        <w:rPr>
          <w:rFonts w:hint="eastAsia" w:ascii="宋体" w:hAnsi="宋体" w:eastAsia="宋体" w:cs="宋体"/>
          <w:color w:val="auto"/>
          <w:sz w:val="24"/>
          <w:highlight w:val="none"/>
        </w:rPr>
        <w:t>2.1.5“乙方”系指根据合同约定提供服务的成交供应商</w:t>
      </w:r>
      <w:bookmarkEnd w:id="117"/>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E12CA4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8" w:name="_Ref467379436"/>
      <w:r>
        <w:rPr>
          <w:rFonts w:hint="eastAsia" w:ascii="宋体" w:hAnsi="宋体" w:eastAsia="宋体" w:cs="宋体"/>
          <w:color w:val="auto"/>
          <w:sz w:val="24"/>
          <w:highlight w:val="none"/>
        </w:rPr>
        <w:t>2.1.6“现场”系指合同约定提供服务的地点。</w:t>
      </w:r>
      <w:bookmarkEnd w:id="118"/>
    </w:p>
    <w:p w14:paraId="4E0EF00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19" w:name="_Toc13336"/>
      <w:bookmarkStart w:id="120" w:name="_Toc32504"/>
      <w:bookmarkStart w:id="121" w:name="_Toc259093670"/>
      <w:bookmarkStart w:id="122" w:name="_Toc279701241"/>
      <w:bookmarkStart w:id="123" w:name="_Toc487900350"/>
      <w:bookmarkStart w:id="124" w:name="_Toc27635"/>
      <w:r>
        <w:rPr>
          <w:rFonts w:hint="eastAsia" w:ascii="宋体" w:hAnsi="宋体" w:eastAsia="宋体" w:cs="宋体"/>
          <w:b/>
          <w:bCs/>
          <w:color w:val="auto"/>
          <w:sz w:val="24"/>
          <w:highlight w:val="none"/>
          <w:lang w:val="zh-CN"/>
        </w:rPr>
        <w:t>2.2 技术规范</w:t>
      </w:r>
      <w:bookmarkEnd w:id="119"/>
      <w:bookmarkEnd w:id="120"/>
      <w:bookmarkEnd w:id="121"/>
      <w:bookmarkEnd w:id="122"/>
      <w:bookmarkEnd w:id="123"/>
      <w:bookmarkEnd w:id="124"/>
    </w:p>
    <w:p w14:paraId="0AD58AA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5E3616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25" w:name="_Toc9829"/>
      <w:bookmarkStart w:id="126" w:name="_Toc259093671"/>
      <w:bookmarkStart w:id="127" w:name="_Toc279701242"/>
      <w:bookmarkStart w:id="128" w:name="_Toc487900351"/>
      <w:bookmarkStart w:id="129" w:name="_Toc27853"/>
      <w:bookmarkStart w:id="130" w:name="_Toc31634"/>
      <w:r>
        <w:rPr>
          <w:rFonts w:hint="eastAsia" w:ascii="宋体" w:hAnsi="宋体" w:eastAsia="宋体" w:cs="宋体"/>
          <w:b/>
          <w:bCs/>
          <w:color w:val="auto"/>
          <w:sz w:val="24"/>
          <w:highlight w:val="none"/>
          <w:lang w:val="zh-CN"/>
        </w:rPr>
        <w:t>2.3 知识产权</w:t>
      </w:r>
      <w:bookmarkEnd w:id="125"/>
      <w:bookmarkEnd w:id="126"/>
      <w:bookmarkEnd w:id="127"/>
      <w:bookmarkEnd w:id="128"/>
      <w:bookmarkEnd w:id="129"/>
      <w:bookmarkEnd w:id="130"/>
    </w:p>
    <w:p w14:paraId="32AAFAD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7F1CE4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16F8FF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31" w:name="_Ref467379542"/>
      <w:bookmarkStart w:id="132" w:name="_Toc487900354"/>
      <w:bookmarkStart w:id="133" w:name="_Ref467379527"/>
      <w:bookmarkStart w:id="134" w:name="_Ref467379536"/>
      <w:bookmarkStart w:id="135" w:name="_Ref467378541"/>
      <w:bookmarkStart w:id="136" w:name="_Ref467378591"/>
      <w:bookmarkStart w:id="137" w:name="_Toc279701245"/>
      <w:bookmarkStart w:id="138" w:name="_Toc259093674"/>
      <w:bookmarkStart w:id="139" w:name="_Toc30272"/>
      <w:bookmarkStart w:id="140" w:name="_Toc26182"/>
      <w:bookmarkStart w:id="141" w:name="_Toc19074"/>
      <w:r>
        <w:rPr>
          <w:rFonts w:hint="eastAsia" w:ascii="宋体" w:hAnsi="宋体" w:eastAsia="宋体" w:cs="宋体"/>
          <w:b/>
          <w:bCs/>
          <w:color w:val="auto"/>
          <w:sz w:val="24"/>
          <w:highlight w:val="none"/>
          <w:lang w:val="zh-CN"/>
        </w:rPr>
        <w:t>2.</w:t>
      </w:r>
      <w:bookmarkEnd w:id="131"/>
      <w:bookmarkEnd w:id="132"/>
      <w:bookmarkEnd w:id="133"/>
      <w:bookmarkEnd w:id="134"/>
      <w:bookmarkEnd w:id="135"/>
      <w:bookmarkEnd w:id="136"/>
      <w:bookmarkEnd w:id="137"/>
      <w:bookmarkEnd w:id="138"/>
      <w:r>
        <w:rPr>
          <w:rFonts w:hint="eastAsia" w:ascii="宋体" w:hAnsi="宋体" w:eastAsia="宋体" w:cs="宋体"/>
          <w:b/>
          <w:bCs/>
          <w:color w:val="auto"/>
          <w:sz w:val="24"/>
          <w:highlight w:val="none"/>
          <w:lang w:val="zh-CN"/>
        </w:rPr>
        <w:t>4 履约检查和问题反馈</w:t>
      </w:r>
      <w:bookmarkEnd w:id="139"/>
      <w:bookmarkEnd w:id="140"/>
      <w:bookmarkEnd w:id="141"/>
    </w:p>
    <w:p w14:paraId="5A13AEF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42" w:name="_Toc186431854"/>
      <w:bookmarkStart w:id="143" w:name="_Toc279701247"/>
      <w:bookmarkStart w:id="144" w:name="_Toc259093676"/>
      <w:bookmarkStart w:id="145" w:name="_Toc487900357"/>
      <w:bookmarkStart w:id="146" w:name="_Ref467379793"/>
      <w:bookmarkStart w:id="147" w:name="_Ref46737980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B79B8C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142"/>
      <w:bookmarkStart w:id="148" w:name="_Toc186431855"/>
      <w:r>
        <w:rPr>
          <w:rFonts w:hint="eastAsia" w:ascii="宋体" w:hAnsi="宋体" w:eastAsia="宋体" w:cs="宋体"/>
          <w:color w:val="auto"/>
          <w:sz w:val="24"/>
          <w:highlight w:val="none"/>
        </w:rPr>
        <w:t>。</w:t>
      </w:r>
    </w:p>
    <w:bookmarkEnd w:id="148"/>
    <w:p w14:paraId="1411F83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9" w:name="_Toc7836"/>
      <w:bookmarkStart w:id="150" w:name="_Toc28451"/>
      <w:bookmarkStart w:id="151" w:name="_Toc19219"/>
      <w:r>
        <w:rPr>
          <w:rFonts w:hint="eastAsia" w:ascii="宋体" w:hAnsi="宋体" w:eastAsia="宋体" w:cs="宋体"/>
          <w:b/>
          <w:bCs/>
          <w:color w:val="auto"/>
          <w:sz w:val="24"/>
          <w:highlight w:val="none"/>
          <w:lang w:val="zh-CN"/>
        </w:rPr>
        <w:t>2.5 结算方式和付款条件</w:t>
      </w:r>
      <w:bookmarkEnd w:id="143"/>
      <w:bookmarkEnd w:id="144"/>
      <w:bookmarkEnd w:id="145"/>
      <w:bookmarkEnd w:id="146"/>
      <w:bookmarkEnd w:id="147"/>
      <w:bookmarkEnd w:id="149"/>
      <w:bookmarkEnd w:id="150"/>
      <w:bookmarkEnd w:id="151"/>
    </w:p>
    <w:p w14:paraId="587BC4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AD35C7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52" w:name="_Ref467379923"/>
      <w:bookmarkStart w:id="153" w:name="_Toc487900358"/>
      <w:bookmarkStart w:id="154" w:name="_Toc279701248"/>
      <w:bookmarkStart w:id="155" w:name="_Toc259093677"/>
      <w:bookmarkStart w:id="156" w:name="_Ref467379852"/>
      <w:bookmarkStart w:id="157" w:name="_Ref467379863"/>
      <w:bookmarkStart w:id="158" w:name="_Toc16110"/>
      <w:bookmarkStart w:id="159" w:name="_Toc3225"/>
      <w:bookmarkStart w:id="160" w:name="_Toc774"/>
      <w:r>
        <w:rPr>
          <w:rFonts w:hint="eastAsia" w:ascii="宋体" w:hAnsi="宋体" w:eastAsia="宋体" w:cs="宋体"/>
          <w:b/>
          <w:bCs/>
          <w:color w:val="auto"/>
          <w:sz w:val="24"/>
          <w:highlight w:val="none"/>
          <w:lang w:val="zh-CN"/>
        </w:rPr>
        <w:t>2.6 技术资料</w:t>
      </w:r>
      <w:bookmarkEnd w:id="152"/>
      <w:bookmarkEnd w:id="153"/>
      <w:bookmarkEnd w:id="154"/>
      <w:bookmarkEnd w:id="155"/>
      <w:bookmarkEnd w:id="156"/>
      <w:bookmarkEnd w:id="157"/>
      <w:r>
        <w:rPr>
          <w:rFonts w:hint="eastAsia" w:ascii="宋体" w:hAnsi="宋体" w:eastAsia="宋体" w:cs="宋体"/>
          <w:b/>
          <w:bCs/>
          <w:color w:val="auto"/>
          <w:sz w:val="24"/>
          <w:highlight w:val="none"/>
          <w:lang w:val="zh-CN"/>
        </w:rPr>
        <w:t>和保密义务</w:t>
      </w:r>
      <w:bookmarkEnd w:id="158"/>
      <w:bookmarkEnd w:id="159"/>
      <w:bookmarkEnd w:id="160"/>
    </w:p>
    <w:p w14:paraId="73F6839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3A02F1E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2F0588F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8E695F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1" w:name="_Toc7860"/>
      <w:r>
        <w:rPr>
          <w:rFonts w:hint="eastAsia" w:ascii="宋体" w:hAnsi="宋体" w:eastAsia="宋体" w:cs="宋体"/>
          <w:b/>
          <w:bCs/>
          <w:color w:val="auto"/>
          <w:sz w:val="24"/>
          <w:highlight w:val="none"/>
          <w:lang w:val="zh-CN"/>
        </w:rPr>
        <w:t>2.7 质量保证</w:t>
      </w:r>
      <w:bookmarkEnd w:id="161"/>
    </w:p>
    <w:p w14:paraId="5000421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6ECF68C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318099B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62" w:name="_Toc22267"/>
      <w:r>
        <w:rPr>
          <w:rFonts w:hint="eastAsia" w:ascii="宋体" w:hAnsi="宋体" w:eastAsia="宋体" w:cs="宋体"/>
          <w:b/>
          <w:color w:val="auto"/>
          <w:sz w:val="24"/>
          <w:highlight w:val="none"/>
        </w:rPr>
        <w:t>2.8 延迟履行</w:t>
      </w:r>
      <w:bookmarkEnd w:id="162"/>
    </w:p>
    <w:p w14:paraId="57AD425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E9F697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3" w:name="_Toc7502"/>
      <w:bookmarkStart w:id="164" w:name="_Toc487900364"/>
      <w:bookmarkStart w:id="165" w:name="_Ref467378121"/>
      <w:bookmarkStart w:id="166" w:name="_Toc279701254"/>
      <w:bookmarkStart w:id="167" w:name="_Toc259093683"/>
      <w:r>
        <w:rPr>
          <w:rFonts w:hint="eastAsia" w:ascii="宋体" w:hAnsi="宋体" w:eastAsia="宋体" w:cs="宋体"/>
          <w:b/>
          <w:bCs/>
          <w:color w:val="auto"/>
          <w:sz w:val="24"/>
          <w:highlight w:val="none"/>
          <w:lang w:val="zh-CN"/>
        </w:rPr>
        <w:t>2.9 合同变更</w:t>
      </w:r>
      <w:bookmarkEnd w:id="163"/>
    </w:p>
    <w:p w14:paraId="05C0632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2F24D0C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68" w:name="_Toc487900369"/>
      <w:bookmarkStart w:id="169" w:name="_Toc279701259"/>
      <w:bookmarkStart w:id="170" w:name="_Toc259093688"/>
    </w:p>
    <w:p w14:paraId="4B095DC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1" w:name="_Toc10366"/>
      <w:bookmarkStart w:id="172" w:name="_Toc22955"/>
      <w:bookmarkStart w:id="173" w:name="_Toc15237"/>
      <w:r>
        <w:rPr>
          <w:rFonts w:hint="eastAsia" w:ascii="宋体" w:hAnsi="宋体" w:eastAsia="宋体" w:cs="宋体"/>
          <w:b/>
          <w:bCs/>
          <w:color w:val="auto"/>
          <w:sz w:val="24"/>
          <w:highlight w:val="none"/>
          <w:lang w:val="zh-CN"/>
        </w:rPr>
        <w:t>2.10 合同转让</w:t>
      </w:r>
      <w:bookmarkEnd w:id="168"/>
      <w:bookmarkEnd w:id="169"/>
      <w:bookmarkEnd w:id="170"/>
      <w:r>
        <w:rPr>
          <w:rFonts w:hint="eastAsia" w:ascii="宋体" w:hAnsi="宋体" w:eastAsia="宋体" w:cs="宋体"/>
          <w:b/>
          <w:bCs/>
          <w:color w:val="auto"/>
          <w:sz w:val="24"/>
          <w:highlight w:val="none"/>
          <w:lang w:val="zh-CN"/>
        </w:rPr>
        <w:t>和分包</w:t>
      </w:r>
      <w:bookmarkEnd w:id="171"/>
      <w:bookmarkEnd w:id="172"/>
      <w:bookmarkEnd w:id="173"/>
    </w:p>
    <w:p w14:paraId="4722C71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16F21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4" w:name="_Toc13566"/>
      <w:bookmarkStart w:id="175" w:name="_Toc16508"/>
      <w:bookmarkStart w:id="176" w:name="_Toc14066"/>
      <w:r>
        <w:rPr>
          <w:rFonts w:hint="eastAsia" w:ascii="宋体" w:hAnsi="宋体" w:eastAsia="宋体" w:cs="宋体"/>
          <w:b/>
          <w:bCs/>
          <w:color w:val="auto"/>
          <w:sz w:val="24"/>
          <w:highlight w:val="none"/>
          <w:lang w:val="zh-CN"/>
        </w:rPr>
        <w:t>2.11 不可抗力</w:t>
      </w:r>
      <w:bookmarkEnd w:id="174"/>
      <w:bookmarkEnd w:id="175"/>
      <w:bookmarkEnd w:id="176"/>
    </w:p>
    <w:p w14:paraId="31E0B89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71E8B2F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2763D18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7CDF9A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36A10C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7" w:name="_Toc30676"/>
      <w:bookmarkStart w:id="178" w:name="_Toc689"/>
      <w:bookmarkStart w:id="179" w:name="_Toc487900365"/>
      <w:bookmarkStart w:id="180" w:name="_Toc259093684"/>
      <w:bookmarkStart w:id="181" w:name="_Toc279701255"/>
      <w:bookmarkStart w:id="182" w:name="_Toc6969"/>
      <w:r>
        <w:rPr>
          <w:rFonts w:hint="eastAsia" w:ascii="宋体" w:hAnsi="宋体" w:eastAsia="宋体" w:cs="宋体"/>
          <w:b/>
          <w:bCs/>
          <w:color w:val="auto"/>
          <w:sz w:val="24"/>
          <w:highlight w:val="none"/>
          <w:lang w:val="zh-CN"/>
        </w:rPr>
        <w:t>2.12 税费</w:t>
      </w:r>
      <w:bookmarkEnd w:id="177"/>
      <w:bookmarkEnd w:id="178"/>
      <w:bookmarkEnd w:id="179"/>
      <w:bookmarkEnd w:id="180"/>
      <w:bookmarkEnd w:id="181"/>
      <w:bookmarkEnd w:id="182"/>
    </w:p>
    <w:p w14:paraId="219FAFF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4B619DB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83" w:name="_Toc279701258"/>
      <w:bookmarkStart w:id="184" w:name="_Toc8298"/>
      <w:bookmarkStart w:id="185" w:name="_Toc7102"/>
      <w:bookmarkStart w:id="186" w:name="_Toc259093687"/>
      <w:bookmarkStart w:id="187" w:name="_Toc16959"/>
      <w:bookmarkStart w:id="188" w:name="_Toc487900368"/>
      <w:r>
        <w:rPr>
          <w:rFonts w:hint="eastAsia" w:ascii="宋体" w:hAnsi="宋体" w:eastAsia="宋体" w:cs="宋体"/>
          <w:b/>
          <w:bCs/>
          <w:color w:val="auto"/>
          <w:sz w:val="24"/>
          <w:highlight w:val="none"/>
          <w:lang w:val="zh-CN"/>
        </w:rPr>
        <w:t>2.13 乙方破产</w:t>
      </w:r>
      <w:bookmarkEnd w:id="183"/>
      <w:bookmarkEnd w:id="184"/>
      <w:bookmarkEnd w:id="185"/>
      <w:bookmarkEnd w:id="186"/>
      <w:bookmarkEnd w:id="187"/>
      <w:bookmarkEnd w:id="188"/>
    </w:p>
    <w:p w14:paraId="0340A91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06F6C2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89" w:name="_Toc6134"/>
      <w:bookmarkStart w:id="190" w:name="_Toc29333"/>
      <w:bookmarkStart w:id="191" w:name="_Toc15387"/>
      <w:r>
        <w:rPr>
          <w:rFonts w:hint="eastAsia" w:ascii="宋体" w:hAnsi="宋体" w:eastAsia="宋体" w:cs="宋体"/>
          <w:b/>
          <w:bCs/>
          <w:color w:val="auto"/>
          <w:sz w:val="24"/>
          <w:highlight w:val="none"/>
          <w:lang w:val="zh-CN"/>
        </w:rPr>
        <w:t>2.14 合同中止、终止</w:t>
      </w:r>
      <w:bookmarkEnd w:id="189"/>
      <w:bookmarkEnd w:id="190"/>
      <w:bookmarkEnd w:id="191"/>
    </w:p>
    <w:p w14:paraId="1624090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3FFEB29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8C2A41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92" w:name="_Toc6596"/>
      <w:bookmarkStart w:id="193" w:name="_Toc1125"/>
      <w:bookmarkStart w:id="194" w:name="_Toc14563"/>
      <w:r>
        <w:rPr>
          <w:rFonts w:hint="eastAsia" w:ascii="宋体" w:hAnsi="宋体" w:eastAsia="宋体" w:cs="宋体"/>
          <w:b/>
          <w:bCs/>
          <w:color w:val="auto"/>
          <w:sz w:val="24"/>
          <w:highlight w:val="none"/>
          <w:lang w:val="zh-CN"/>
        </w:rPr>
        <w:t>2.15 检验和验收</w:t>
      </w:r>
      <w:bookmarkEnd w:id="192"/>
      <w:bookmarkEnd w:id="193"/>
      <w:bookmarkEnd w:id="194"/>
    </w:p>
    <w:p w14:paraId="293FC9B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45465D0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22782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64"/>
    <w:bookmarkEnd w:id="165"/>
    <w:bookmarkEnd w:id="166"/>
    <w:bookmarkEnd w:id="167"/>
    <w:p w14:paraId="4F21128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rPr>
      </w:pPr>
      <w:bookmarkStart w:id="195" w:name="_Toc12773"/>
      <w:bookmarkStart w:id="196" w:name="_Toc18567"/>
      <w:bookmarkStart w:id="197" w:name="_Toc259093692"/>
      <w:bookmarkStart w:id="198" w:name="_Toc487900373"/>
      <w:bookmarkStart w:id="199" w:name="_Toc10330"/>
      <w:bookmarkStart w:id="200" w:name="_Toc279701263"/>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95"/>
      <w:bookmarkEnd w:id="196"/>
      <w:bookmarkEnd w:id="197"/>
      <w:bookmarkEnd w:id="198"/>
      <w:bookmarkEnd w:id="199"/>
      <w:bookmarkEnd w:id="200"/>
    </w:p>
    <w:p w14:paraId="0024B3C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1CB4BC7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785E7A8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201" w:name="_Toc3148"/>
      <w:bookmarkStart w:id="202" w:name="_Toc279701264"/>
      <w:bookmarkStart w:id="203" w:name="_Toc16673"/>
      <w:bookmarkStart w:id="204" w:name="_Toc259093693"/>
      <w:bookmarkStart w:id="205" w:name="_Toc12004"/>
      <w:bookmarkStart w:id="206" w:name="_Toc487900374"/>
      <w:r>
        <w:rPr>
          <w:rFonts w:hint="eastAsia" w:ascii="宋体" w:hAnsi="宋体" w:eastAsia="宋体" w:cs="宋体"/>
          <w:b/>
          <w:bCs/>
          <w:color w:val="auto"/>
          <w:sz w:val="24"/>
          <w:highlight w:val="none"/>
          <w:lang w:val="zh-CN"/>
        </w:rPr>
        <w:t>2.17 履约保证金</w:t>
      </w:r>
      <w:bookmarkEnd w:id="201"/>
      <w:bookmarkEnd w:id="202"/>
      <w:bookmarkEnd w:id="203"/>
      <w:bookmarkEnd w:id="204"/>
      <w:bookmarkEnd w:id="205"/>
    </w:p>
    <w:p w14:paraId="54C2901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w:t>
      </w:r>
    </w:p>
    <w:p w14:paraId="10778A4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逾期退还履约保证金</w:t>
      </w:r>
      <w:r>
        <w:rPr>
          <w:rFonts w:hint="eastAsia" w:ascii="宋体" w:hAnsi="宋体" w:eastAsia="宋体" w:cs="宋体"/>
          <w:color w:val="auto"/>
          <w:sz w:val="24"/>
          <w:szCs w:val="24"/>
          <w:highlight w:val="none"/>
          <w:lang w:val="en-US" w:eastAsia="zh-CN"/>
        </w:rPr>
        <w:t>应承担违约责任。</w:t>
      </w:r>
    </w:p>
    <w:p w14:paraId="10CEB34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6"/>
    <w:p w14:paraId="11FBBEF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207" w:name="_Toc19890"/>
      <w:bookmarkStart w:id="208" w:name="_Toc6885"/>
      <w:bookmarkStart w:id="209" w:name="_Toc14001"/>
      <w:r>
        <w:rPr>
          <w:rFonts w:hint="eastAsia" w:ascii="宋体" w:hAnsi="宋体" w:eastAsia="宋体" w:cs="宋体"/>
          <w:b/>
          <w:bCs/>
          <w:color w:val="auto"/>
          <w:sz w:val="24"/>
          <w:highlight w:val="none"/>
          <w:lang w:val="zh-CN"/>
        </w:rPr>
        <w:t>2.18 合同份数</w:t>
      </w:r>
      <w:bookmarkEnd w:id="207"/>
      <w:bookmarkEnd w:id="208"/>
      <w:bookmarkEnd w:id="209"/>
    </w:p>
    <w:p w14:paraId="0E524B9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F277491">
      <w:pPr>
        <w:spacing w:line="360" w:lineRule="auto"/>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210"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10"/>
    </w:p>
    <w:p w14:paraId="666F15B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0"/>
        <w:gridCol w:w="8036"/>
      </w:tblGrid>
      <w:tr w14:paraId="0453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3" w:type="pct"/>
            <w:tcBorders>
              <w:left w:val="single" w:color="auto" w:sz="4" w:space="0"/>
            </w:tcBorders>
            <w:vAlign w:val="center"/>
          </w:tcPr>
          <w:p w14:paraId="359A4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526" w:type="pct"/>
            <w:vAlign w:val="center"/>
          </w:tcPr>
          <w:p w14:paraId="4D831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39D4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3" w:type="pct"/>
            <w:tcBorders>
              <w:left w:val="single" w:color="auto" w:sz="4" w:space="0"/>
            </w:tcBorders>
            <w:shd w:val="clear" w:color="auto" w:fill="auto"/>
            <w:vAlign w:val="center"/>
          </w:tcPr>
          <w:p w14:paraId="70637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2.3.2</w:t>
            </w:r>
          </w:p>
        </w:tc>
        <w:tc>
          <w:tcPr>
            <w:tcW w:w="4526" w:type="pct"/>
            <w:shd w:val="clear" w:color="auto" w:fill="auto"/>
            <w:vAlign w:val="center"/>
          </w:tcPr>
          <w:p w14:paraId="33099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具有知识产权的计算机软件等货物的知识产权归属</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服务期限内，</w:t>
            </w:r>
            <w:r>
              <w:rPr>
                <w:rFonts w:hint="eastAsia" w:ascii="宋体" w:hAnsi="宋体" w:eastAsia="宋体" w:cs="宋体"/>
                <w:color w:val="auto"/>
                <w:sz w:val="24"/>
                <w:szCs w:val="20"/>
                <w:highlight w:val="none"/>
              </w:rPr>
              <w:t>知识产权归属</w:t>
            </w:r>
            <w:r>
              <w:rPr>
                <w:rFonts w:hint="eastAsia" w:ascii="宋体" w:hAnsi="宋体" w:eastAsia="宋体" w:cs="宋体"/>
                <w:color w:val="auto"/>
                <w:sz w:val="24"/>
                <w:szCs w:val="20"/>
                <w:highlight w:val="none"/>
                <w:lang w:val="en-US" w:eastAsia="zh-CN"/>
              </w:rPr>
              <w:t>乙方；乙方负责服务期内管理软件系统的维护。服务期限届满后甲方拥有该软件系统的使用权。</w:t>
            </w:r>
          </w:p>
        </w:tc>
      </w:tr>
      <w:tr w14:paraId="02EE8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492F8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4526" w:type="pct"/>
            <w:shd w:val="clear" w:color="auto" w:fill="auto"/>
            <w:vAlign w:val="center"/>
          </w:tcPr>
          <w:p w14:paraId="5DC3E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根据每月对服务内容检查考核结果支付服务费用（考核标准按甲方规定要求执行）。考核合格，甲方于次月15日前支付上月的服务费；考核不合格，甲方依据考核情况酌情扣减服务费且同步进行整改，若整改仍不合格的终止合同。</w:t>
            </w:r>
          </w:p>
          <w:p w14:paraId="1EE84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月度</w:t>
            </w:r>
            <w:r>
              <w:rPr>
                <w:rFonts w:hint="eastAsia" w:ascii="宋体" w:hAnsi="宋体" w:eastAsia="宋体" w:cs="宋体"/>
                <w:color w:val="auto"/>
                <w:sz w:val="24"/>
                <w:szCs w:val="24"/>
                <w:highlight w:val="none"/>
                <w:lang w:val="zh-CN" w:eastAsia="zh-CN"/>
              </w:rPr>
              <w:t>考核基础分为100分，加分项目10分，总分110分。得90分 （含）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的全额支付月度服务费</w:t>
            </w:r>
            <w:r>
              <w:rPr>
                <w:rFonts w:hint="eastAsia" w:ascii="宋体" w:hAnsi="宋体" w:eastAsia="宋体" w:cs="宋体"/>
                <w:color w:val="auto"/>
                <w:sz w:val="24"/>
                <w:szCs w:val="24"/>
                <w:highlight w:val="none"/>
                <w:lang w:val="zh-CN" w:eastAsia="zh-CN"/>
              </w:rPr>
              <w:t>；得80</w:t>
            </w:r>
            <w:r>
              <w:rPr>
                <w:rFonts w:hint="eastAsia" w:ascii="宋体" w:hAnsi="宋体" w:eastAsia="宋体" w:cs="宋体"/>
                <w:color w:val="auto"/>
                <w:sz w:val="24"/>
                <w:szCs w:val="24"/>
                <w:highlight w:val="none"/>
                <w:lang w:val="en-US" w:eastAsia="zh-CN"/>
              </w:rPr>
              <w:t>分（含）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w:t>
            </w:r>
            <w:r>
              <w:rPr>
                <w:rFonts w:hint="eastAsia" w:ascii="宋体" w:hAnsi="宋体" w:eastAsia="宋体" w:cs="宋体"/>
                <w:color w:val="auto"/>
                <w:sz w:val="24"/>
                <w:szCs w:val="24"/>
                <w:highlight w:val="none"/>
                <w:lang w:val="en-US" w:eastAsia="zh-CN"/>
              </w:rPr>
              <w:t>的支付月度服务费的90%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得70分（含）-80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不含）支付月度服务费的75%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得60分（含）-70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不含）支付月度服务费的50%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下的不支付月度服务费；连续两个月度考核得60分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下的终止合同；具体考核细则待项目实施阶段由采购人制定。</w:t>
            </w:r>
          </w:p>
          <w:p w14:paraId="613D5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度考核平均得分90分(含）以上可直接续签下一年度合同；年度考核得分80分（含）至90分（不含）提出下一年度专项整改方案经采购人同意后，可签订下一年度合同；年度考核得分80分（不含）以下不再续签下一年度合同。</w:t>
            </w:r>
          </w:p>
        </w:tc>
      </w:tr>
      <w:tr w14:paraId="41CF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7C446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w:t>
            </w:r>
          </w:p>
        </w:tc>
        <w:tc>
          <w:tcPr>
            <w:tcW w:w="4526" w:type="pct"/>
            <w:shd w:val="clear" w:color="auto" w:fill="auto"/>
            <w:vAlign w:val="center"/>
          </w:tcPr>
          <w:p w14:paraId="0B9BC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cs="Times New Roman" w:asciiTheme="minorEastAsia" w:hAnsiTheme="minorEastAsia" w:eastAsiaTheme="minorEastAsia"/>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2.11.3</w:t>
            </w: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因不可抗力致使合同有变更必要的，双方当事人应在不可抗力发生的3个工作日内以书面形式变更合同</w:t>
            </w:r>
            <w:r>
              <w:rPr>
                <w:rFonts w:hint="eastAsia" w:cs="Times New Roman" w:asciiTheme="minorEastAsia" w:hAnsiTheme="minorEastAsia" w:eastAsiaTheme="minorEastAsia"/>
                <w:color w:val="auto"/>
                <w:sz w:val="24"/>
                <w:szCs w:val="24"/>
                <w:highlight w:val="none"/>
                <w:lang w:eastAsia="zh-CN"/>
              </w:rPr>
              <w:t>。</w:t>
            </w:r>
          </w:p>
          <w:p w14:paraId="5E04D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rPr>
              <w:t>2.11.4</w:t>
            </w:r>
            <w:r>
              <w:rPr>
                <w:rFonts w:hint="eastAsia" w:cs="Times New Roman" w:asciiTheme="minorEastAsia" w:hAnsiTheme="minorEastAsia" w:eastAsiaTheme="minorEastAsia"/>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r>
              <w:rPr>
                <w:rFonts w:hint="eastAsia" w:cs="Times New Roman" w:asciiTheme="minorEastAsia" w:hAnsiTheme="minorEastAsia" w:eastAsiaTheme="minorEastAsia"/>
                <w:color w:val="auto"/>
                <w:sz w:val="24"/>
                <w:szCs w:val="24"/>
                <w:highlight w:val="none"/>
                <w:lang w:eastAsia="zh-CN"/>
              </w:rPr>
              <w:t>。</w:t>
            </w:r>
          </w:p>
        </w:tc>
      </w:tr>
      <w:tr w14:paraId="7A0F1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4DA23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p>
        </w:tc>
        <w:tc>
          <w:tcPr>
            <w:tcW w:w="4526" w:type="pct"/>
            <w:shd w:val="clear" w:color="auto" w:fill="auto"/>
            <w:vAlign w:val="center"/>
          </w:tcPr>
          <w:p w14:paraId="74EE5F1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2.15.1乙方须接受甲方对项目执行情况、服务质量等的监督、检查和验收，甲方有权查看与项目直接相关的凭证和资料，乙方应予以配合。</w:t>
            </w:r>
          </w:p>
          <w:p w14:paraId="29686A70">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2.15.3</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《考核评分细则》</w:t>
            </w:r>
            <w:r>
              <w:rPr>
                <w:rFonts w:hint="eastAsia" w:ascii="宋体" w:hAnsi="宋体" w:eastAsia="宋体" w:cs="宋体"/>
                <w:color w:val="auto"/>
                <w:sz w:val="24"/>
                <w:szCs w:val="24"/>
                <w:highlight w:val="none"/>
                <w:lang w:val="en-US" w:eastAsia="zh-CN"/>
              </w:rPr>
              <w:t>对乙方按月进行考核评分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《考核评分细则》待项目实施阶段，由甲方根据乙方投标文件响应内容制定</w:t>
            </w:r>
            <w:r>
              <w:rPr>
                <w:rFonts w:hint="eastAsia" w:ascii="宋体" w:hAnsi="宋体" w:eastAsia="宋体" w:cs="宋体"/>
                <w:color w:val="auto"/>
                <w:sz w:val="24"/>
                <w:szCs w:val="24"/>
                <w:highlight w:val="none"/>
                <w:lang w:eastAsia="zh-CN"/>
              </w:rPr>
              <w:t>。</w:t>
            </w:r>
          </w:p>
        </w:tc>
      </w:tr>
      <w:tr w14:paraId="73F1C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686090D7">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2.17</w:t>
            </w:r>
          </w:p>
        </w:tc>
        <w:tc>
          <w:tcPr>
            <w:tcW w:w="4526" w:type="pct"/>
            <w:vAlign w:val="center"/>
          </w:tcPr>
          <w:p w14:paraId="5567E0E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5B5BA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40" w:type="dxa"/>
            <w:tcBorders>
              <w:left w:val="single" w:color="auto" w:sz="4" w:space="0"/>
            </w:tcBorders>
            <w:vAlign w:val="center"/>
          </w:tcPr>
          <w:p w14:paraId="7C594F1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2.18</w:t>
            </w:r>
          </w:p>
        </w:tc>
        <w:tc>
          <w:tcPr>
            <w:tcW w:w="8036" w:type="dxa"/>
            <w:vAlign w:val="center"/>
          </w:tcPr>
          <w:p w14:paraId="4165430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合同一式陆份，甲乙双方各执叁份。</w:t>
            </w:r>
          </w:p>
        </w:tc>
      </w:tr>
      <w:tr w14:paraId="2E4F1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40" w:type="dxa"/>
            <w:tcBorders>
              <w:left w:val="single" w:color="auto" w:sz="4" w:space="0"/>
            </w:tcBorders>
            <w:vAlign w:val="center"/>
          </w:tcPr>
          <w:p w14:paraId="0E7E6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036" w:type="dxa"/>
            <w:vAlign w:val="center"/>
          </w:tcPr>
          <w:p w14:paraId="6B41A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乙方须在签订合同后完成与原服务单位的工作对接，以及投入工作的前期与甲方相关对接，做到全员上岗投入使用，不得出现缺岗或岗位缺人等现象，如出现，甲方不予支付任何费用，产生的损失由乙方自负。</w:t>
            </w:r>
          </w:p>
        </w:tc>
      </w:tr>
      <w:tr w14:paraId="16BC9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20371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526" w:type="pct"/>
            <w:vAlign w:val="center"/>
          </w:tcPr>
          <w:p w14:paraId="7E06F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乙方未按</w:t>
            </w:r>
            <w:r>
              <w:rPr>
                <w:rFonts w:hint="eastAsia" w:ascii="宋体" w:hAnsi="宋体" w:eastAsia="宋体" w:cs="宋体"/>
                <w:color w:val="auto"/>
                <w:sz w:val="24"/>
                <w:szCs w:val="24"/>
                <w:highlight w:val="none"/>
                <w:u w:val="single"/>
                <w:lang w:val="en-US" w:eastAsia="zh-CN"/>
              </w:rPr>
              <w:t>招标文件第三章《采购需求》执行的</w:t>
            </w:r>
            <w:r>
              <w:rPr>
                <w:rFonts w:hint="eastAsia" w:ascii="宋体" w:hAnsi="宋体" w:eastAsia="宋体" w:cs="宋体"/>
                <w:color w:val="auto"/>
                <w:sz w:val="24"/>
                <w:szCs w:val="24"/>
                <w:highlight w:val="none"/>
                <w:lang w:val="en-US" w:eastAsia="zh-CN"/>
              </w:rPr>
              <w:t>，视为违约，甲方每发现1次（或1项），可责令乙方整改；乙方不及时整改或违约情节严重，采购人可对乙方提出书面警告。在1年合同服务期内甲方做出书面警告超过三次的，将终止合同并要求乙方承担因此而产生的损失后果。</w:t>
            </w:r>
          </w:p>
        </w:tc>
      </w:tr>
      <w:tr w14:paraId="70B1F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20A33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526" w:type="pct"/>
            <w:vAlign w:val="center"/>
          </w:tcPr>
          <w:p w14:paraId="3D6FC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若乙方团队管理不善，存在人员纪律意识、责任意识不足，以各种理由阻碍采购人执行业务活动的报相关部门依法处理。</w:t>
            </w:r>
          </w:p>
        </w:tc>
      </w:tr>
      <w:tr w14:paraId="79372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17F10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526" w:type="pct"/>
            <w:vAlign w:val="center"/>
          </w:tcPr>
          <w:p w14:paraId="04C61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如发现乙方存在无正当理由克扣员工工资福利现象，视为重大违约，采购人责乙方整改、如未按期整改则终止合同并要求乙方因此而产生的损失后果。</w:t>
            </w:r>
          </w:p>
        </w:tc>
      </w:tr>
      <w:tr w14:paraId="174A9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0CEBC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526" w:type="pct"/>
            <w:tcBorders>
              <w:top w:val="single" w:color="auto" w:sz="6" w:space="0"/>
              <w:left w:val="single" w:color="auto" w:sz="6" w:space="0"/>
              <w:bottom w:val="single" w:color="auto" w:sz="6" w:space="0"/>
              <w:right w:val="single" w:color="auto" w:sz="6" w:space="0"/>
            </w:tcBorders>
            <w:vAlign w:val="center"/>
          </w:tcPr>
          <w:p w14:paraId="62985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若因乙方责任，导致采购人或第三者人身及财产损失的，由乙方在责任范围内承担赔偿责任。乙方拒绝赔偿的，视为重大违约，终止合同并要求乙方承担因此而产生的损失后果。</w:t>
            </w:r>
          </w:p>
        </w:tc>
      </w:tr>
      <w:tr w14:paraId="28DCF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50803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526" w:type="pct"/>
            <w:tcBorders>
              <w:top w:val="single" w:color="auto" w:sz="6" w:space="0"/>
              <w:left w:val="single" w:color="auto" w:sz="6" w:space="0"/>
              <w:bottom w:val="single" w:color="auto" w:sz="6" w:space="0"/>
              <w:right w:val="single" w:color="auto" w:sz="6" w:space="0"/>
            </w:tcBorders>
            <w:vAlign w:val="center"/>
          </w:tcPr>
          <w:p w14:paraId="59BB2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若因乙方责任，导致观众向上级投诉，给采购人造成恶劣影响的；或经报纸广电网络等媒体向社会曝光，给采购人造成恶劣影响的，视为重大违约， 终止合同并要求乙方承担因此而产生的损失后果。</w:t>
            </w:r>
          </w:p>
        </w:tc>
      </w:tr>
      <w:tr w14:paraId="39F8B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65846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526" w:type="pct"/>
            <w:tcBorders>
              <w:top w:val="single" w:color="auto" w:sz="6" w:space="0"/>
              <w:left w:val="single" w:color="auto" w:sz="6" w:space="0"/>
              <w:bottom w:val="single" w:color="auto" w:sz="6" w:space="0"/>
              <w:right w:val="single" w:color="auto" w:sz="6" w:space="0"/>
            </w:tcBorders>
            <w:vAlign w:val="center"/>
          </w:tcPr>
          <w:p w14:paraId="7BF1F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上岗人数必须符合招投标文件</w:t>
            </w:r>
            <w:r>
              <w:rPr>
                <w:rFonts w:hint="eastAsia" w:ascii="宋体" w:hAnsi="宋体" w:eastAsia="宋体" w:cs="宋体"/>
                <w:color w:val="auto"/>
                <w:sz w:val="24"/>
                <w:szCs w:val="24"/>
                <w:highlight w:val="none"/>
                <w:lang w:val="en-US" w:eastAsia="zh-CN"/>
              </w:rPr>
              <w:t>和实际需求</w:t>
            </w:r>
            <w:r>
              <w:rPr>
                <w:rFonts w:hint="eastAsia" w:ascii="宋体" w:hAnsi="宋体" w:eastAsia="宋体" w:cs="宋体"/>
                <w:color w:val="auto"/>
                <w:sz w:val="24"/>
                <w:szCs w:val="24"/>
                <w:highlight w:val="none"/>
                <w:lang w:val="zh-CN" w:eastAsia="zh-CN"/>
              </w:rPr>
              <w:t>，如</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lang w:val="zh-CN" w:eastAsia="zh-CN"/>
              </w:rPr>
              <w:t>人员少于</w:t>
            </w:r>
            <w:r>
              <w:rPr>
                <w:rFonts w:hint="eastAsia" w:ascii="宋体" w:hAnsi="宋体" w:eastAsia="宋体" w:cs="宋体"/>
                <w:color w:val="auto"/>
                <w:sz w:val="24"/>
                <w:szCs w:val="24"/>
                <w:highlight w:val="none"/>
                <w:lang w:val="en-US" w:eastAsia="zh-CN"/>
              </w:rPr>
              <w:t>乙方其</w:t>
            </w:r>
            <w:r>
              <w:rPr>
                <w:rFonts w:hint="eastAsia" w:ascii="宋体" w:hAnsi="宋体" w:eastAsia="宋体" w:cs="宋体"/>
                <w:color w:val="auto"/>
                <w:sz w:val="24"/>
                <w:szCs w:val="24"/>
                <w:highlight w:val="none"/>
                <w:lang w:val="zh-CN" w:eastAsia="zh-CN"/>
              </w:rPr>
              <w:t>投标文件</w:t>
            </w:r>
            <w:r>
              <w:rPr>
                <w:rFonts w:hint="eastAsia" w:ascii="宋体" w:hAnsi="宋体" w:eastAsia="宋体" w:cs="宋体"/>
                <w:color w:val="auto"/>
                <w:sz w:val="24"/>
                <w:szCs w:val="24"/>
                <w:highlight w:val="none"/>
                <w:lang w:val="en-US" w:eastAsia="zh-CN"/>
              </w:rPr>
              <w:t>中响应</w:t>
            </w:r>
            <w:r>
              <w:rPr>
                <w:rFonts w:hint="eastAsia" w:ascii="宋体" w:hAnsi="宋体" w:eastAsia="宋体" w:cs="宋体"/>
                <w:color w:val="auto"/>
                <w:sz w:val="24"/>
                <w:szCs w:val="24"/>
                <w:highlight w:val="none"/>
                <w:lang w:val="zh-CN" w:eastAsia="zh-CN"/>
              </w:rPr>
              <w:t>人数，则由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eastAsia="zh-CN"/>
              </w:rPr>
              <w:t>按缺额人数从运行服务费中扣除缺少的人员费用。</w:t>
            </w:r>
          </w:p>
        </w:tc>
      </w:tr>
    </w:tbl>
    <w:p w14:paraId="1A2667DF">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89FBE94">
      <w:pPr>
        <w:spacing w:line="360" w:lineRule="auto"/>
        <w:jc w:val="center"/>
        <w:outlineLvl w:val="0"/>
        <w:rPr>
          <w:rFonts w:hint="eastAsia" w:ascii="宋体" w:hAnsi="宋体" w:eastAsia="宋体" w:cs="宋体"/>
          <w:b/>
          <w:color w:val="auto"/>
          <w:sz w:val="28"/>
          <w:highlight w:val="none"/>
        </w:rPr>
      </w:pPr>
      <w:bookmarkStart w:id="211" w:name="_Toc18147"/>
      <w:r>
        <w:rPr>
          <w:rFonts w:hint="eastAsia" w:asciiTheme="minorEastAsia" w:hAnsiTheme="minorEastAsia" w:eastAsiaTheme="minorEastAsia"/>
          <w:b/>
          <w:color w:val="auto"/>
          <w:sz w:val="28"/>
          <w:highlight w:val="none"/>
        </w:rPr>
        <w:t>第六章  投标文件格</w:t>
      </w:r>
      <w:r>
        <w:rPr>
          <w:rFonts w:hint="eastAsia" w:ascii="宋体" w:hAnsi="宋体" w:eastAsia="宋体" w:cs="宋体"/>
          <w:b/>
          <w:color w:val="auto"/>
          <w:sz w:val="28"/>
          <w:highlight w:val="none"/>
        </w:rPr>
        <w:t>式</w:t>
      </w:r>
      <w:bookmarkEnd w:id="211"/>
    </w:p>
    <w:p w14:paraId="0C3C63BB">
      <w:pPr>
        <w:jc w:val="center"/>
        <w:rPr>
          <w:rFonts w:hint="eastAsia" w:ascii="宋体" w:hAnsi="宋体" w:eastAsia="宋体" w:cs="宋体"/>
          <w:b/>
          <w:color w:val="auto"/>
          <w:sz w:val="28"/>
          <w:szCs w:val="28"/>
          <w:highlight w:val="none"/>
        </w:rPr>
      </w:pPr>
    </w:p>
    <w:p w14:paraId="60960EB8">
      <w:pPr>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一、资信证明格式文件</w:t>
      </w:r>
    </w:p>
    <w:p w14:paraId="0F1BB7A4">
      <w:pPr>
        <w:jc w:val="center"/>
        <w:rPr>
          <w:rFonts w:hint="eastAsia" w:ascii="宋体" w:hAnsi="宋体" w:eastAsia="宋体" w:cs="宋体"/>
          <w:color w:val="auto"/>
          <w:sz w:val="20"/>
          <w:highlight w:val="none"/>
        </w:rPr>
      </w:pPr>
    </w:p>
    <w:p w14:paraId="7891B489">
      <w:pPr>
        <w:rPr>
          <w:rFonts w:hint="eastAsia" w:ascii="宋体" w:hAnsi="宋体" w:eastAsia="宋体" w:cs="宋体"/>
          <w:color w:val="auto"/>
          <w:sz w:val="20"/>
          <w:highlight w:val="none"/>
        </w:rPr>
      </w:pPr>
    </w:p>
    <w:p w14:paraId="09C0FFC3">
      <w:pPr>
        <w:jc w:val="center"/>
        <w:rPr>
          <w:rFonts w:hint="eastAsia" w:ascii="宋体" w:hAnsi="宋体" w:eastAsia="宋体" w:cs="宋体"/>
          <w:b/>
          <w:color w:val="auto"/>
          <w:sz w:val="44"/>
          <w:szCs w:val="44"/>
          <w:highlight w:val="none"/>
        </w:rPr>
      </w:pPr>
      <w:bookmarkStart w:id="212" w:name="_Toc449028949"/>
      <w:bookmarkStart w:id="213" w:name="_Toc350698753"/>
      <w:r>
        <w:rPr>
          <w:rFonts w:hint="eastAsia" w:ascii="宋体" w:hAnsi="宋体" w:eastAsia="宋体" w:cs="宋体"/>
          <w:b/>
          <w:color w:val="auto"/>
          <w:sz w:val="44"/>
          <w:szCs w:val="44"/>
          <w:highlight w:val="none"/>
        </w:rPr>
        <w:t>资信证明文件</w:t>
      </w:r>
      <w:bookmarkEnd w:id="212"/>
      <w:bookmarkEnd w:id="213"/>
    </w:p>
    <w:p w14:paraId="6E6FB1A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1C9BEB4E">
      <w:pPr>
        <w:jc w:val="center"/>
        <w:rPr>
          <w:rFonts w:hint="eastAsia" w:ascii="宋体" w:hAnsi="宋体" w:eastAsia="宋体" w:cs="宋体"/>
          <w:color w:val="auto"/>
          <w:sz w:val="44"/>
          <w:szCs w:val="44"/>
          <w:highlight w:val="none"/>
        </w:rPr>
      </w:pPr>
    </w:p>
    <w:p w14:paraId="37ACF8F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0EC2E07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56720E58">
      <w:pPr>
        <w:rPr>
          <w:rFonts w:hint="eastAsia" w:ascii="宋体" w:hAnsi="宋体" w:eastAsia="宋体" w:cs="宋体"/>
          <w:color w:val="auto"/>
          <w:sz w:val="28"/>
          <w:szCs w:val="28"/>
          <w:highlight w:val="none"/>
        </w:rPr>
      </w:pPr>
    </w:p>
    <w:p w14:paraId="60D75977">
      <w:pPr>
        <w:rPr>
          <w:rFonts w:hint="eastAsia" w:ascii="宋体" w:hAnsi="宋体" w:eastAsia="宋体" w:cs="宋体"/>
          <w:color w:val="auto"/>
          <w:sz w:val="28"/>
          <w:szCs w:val="28"/>
          <w:highlight w:val="none"/>
        </w:rPr>
      </w:pPr>
    </w:p>
    <w:p w14:paraId="27E89F41">
      <w:pPr>
        <w:rPr>
          <w:rFonts w:hint="eastAsia" w:ascii="宋体" w:hAnsi="宋体" w:eastAsia="宋体" w:cs="宋体"/>
          <w:color w:val="auto"/>
          <w:sz w:val="28"/>
          <w:szCs w:val="28"/>
          <w:highlight w:val="none"/>
        </w:rPr>
      </w:pPr>
    </w:p>
    <w:p w14:paraId="233F9ABB">
      <w:pPr>
        <w:rPr>
          <w:rFonts w:hint="eastAsia" w:ascii="宋体" w:hAnsi="宋体" w:eastAsia="宋体" w:cs="宋体"/>
          <w:color w:val="auto"/>
          <w:sz w:val="28"/>
          <w:szCs w:val="28"/>
          <w:highlight w:val="none"/>
        </w:rPr>
      </w:pPr>
    </w:p>
    <w:p w14:paraId="35454C22">
      <w:pPr>
        <w:rPr>
          <w:rFonts w:hint="eastAsia" w:ascii="宋体" w:hAnsi="宋体" w:eastAsia="宋体" w:cs="宋体"/>
          <w:color w:val="auto"/>
          <w:sz w:val="28"/>
          <w:szCs w:val="28"/>
          <w:highlight w:val="none"/>
        </w:rPr>
      </w:pPr>
    </w:p>
    <w:p w14:paraId="4D2E3981">
      <w:pPr>
        <w:rPr>
          <w:rFonts w:hint="eastAsia" w:ascii="宋体" w:hAnsi="宋体" w:eastAsia="宋体" w:cs="宋体"/>
          <w:color w:val="auto"/>
          <w:sz w:val="28"/>
          <w:szCs w:val="28"/>
          <w:highlight w:val="none"/>
        </w:rPr>
      </w:pPr>
    </w:p>
    <w:p w14:paraId="73F32BF3">
      <w:pPr>
        <w:rPr>
          <w:rFonts w:hint="eastAsia" w:ascii="宋体" w:hAnsi="宋体" w:eastAsia="宋体" w:cs="宋体"/>
          <w:color w:val="auto"/>
          <w:sz w:val="28"/>
          <w:szCs w:val="28"/>
          <w:highlight w:val="none"/>
        </w:rPr>
      </w:pPr>
    </w:p>
    <w:p w14:paraId="35F8CCBA">
      <w:pPr>
        <w:rPr>
          <w:rFonts w:hint="eastAsia" w:ascii="宋体" w:hAnsi="宋体" w:eastAsia="宋体" w:cs="宋体"/>
          <w:color w:val="auto"/>
          <w:sz w:val="28"/>
          <w:szCs w:val="28"/>
          <w:highlight w:val="none"/>
        </w:rPr>
      </w:pPr>
    </w:p>
    <w:p w14:paraId="0E46FEF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0BB2E5C6">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418EDC6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EE721C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7813B3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46103C2D">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53E3F8C1">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4B1210D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54FFAC6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096592C4">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7D430076">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2DCC985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728F1C3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41AD8CDF">
      <w:pPr>
        <w:spacing w:line="5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4）中小企业声明函，残疾人福利性企业（格式见附件）；</w:t>
      </w:r>
    </w:p>
    <w:p w14:paraId="1DFEB576">
      <w:pPr>
        <w:spacing w:line="5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（5）省级以上监狱管理局、戒毒管理局（含新疆生产建设兵团）出具的属于监狱企业的证明（如是）；</w:t>
      </w:r>
    </w:p>
    <w:p w14:paraId="4A0B57B4">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）诚信投标承诺书（格式见附件）；</w:t>
      </w:r>
    </w:p>
    <w:p w14:paraId="0937B25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）招标文件中要求的资信评审和资信评分的支持资料；</w:t>
      </w:r>
    </w:p>
    <w:p w14:paraId="02CC602E">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）投标人认为需要提供的其他资信证明材料</w:t>
      </w:r>
      <w:r>
        <w:rPr>
          <w:rFonts w:hint="eastAsia" w:ascii="宋体" w:hAnsi="宋体" w:eastAsia="宋体" w:cs="宋体"/>
          <w:color w:val="auto"/>
          <w:szCs w:val="21"/>
          <w:highlight w:val="none"/>
          <w:lang w:eastAsia="zh-CN"/>
        </w:rPr>
        <w:t>。</w:t>
      </w:r>
    </w:p>
    <w:p w14:paraId="0C783EFF">
      <w:pPr>
        <w:spacing w:line="500" w:lineRule="exact"/>
        <w:jc w:val="left"/>
        <w:rPr>
          <w:rFonts w:ascii="宋体" w:hAnsi="宋体" w:eastAsia="宋体" w:cs="宋体"/>
          <w:color w:val="auto"/>
          <w:szCs w:val="21"/>
          <w:highlight w:val="none"/>
        </w:rPr>
      </w:pPr>
    </w:p>
    <w:p w14:paraId="6A5322A7">
      <w:pPr>
        <w:spacing w:line="360" w:lineRule="auto"/>
        <w:ind w:firstLine="420" w:firstLineChars="200"/>
        <w:rPr>
          <w:rFonts w:ascii="宋体" w:hAnsi="宋体" w:eastAsia="宋体" w:cs="宋体"/>
          <w:color w:val="auto"/>
          <w:szCs w:val="21"/>
          <w:highlight w:val="none"/>
        </w:rPr>
      </w:pPr>
    </w:p>
    <w:p w14:paraId="2A8E332C">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CC218C0">
      <w:pPr>
        <w:spacing w:line="360" w:lineRule="auto"/>
        <w:jc w:val="center"/>
        <w:outlineLvl w:val="1"/>
        <w:rPr>
          <w:rFonts w:asciiTheme="minorEastAsia" w:hAnsiTheme="minorEastAsia" w:eastAsiaTheme="minorEastAsia"/>
          <w:b/>
          <w:color w:val="auto"/>
          <w:sz w:val="24"/>
          <w:highlight w:val="none"/>
        </w:rPr>
      </w:pPr>
      <w:bookmarkStart w:id="214" w:name="_Toc31772"/>
      <w:r>
        <w:rPr>
          <w:rFonts w:hint="eastAsia" w:asciiTheme="minorEastAsia" w:hAnsiTheme="minorEastAsia" w:eastAsiaTheme="minorEastAsia"/>
          <w:b/>
          <w:color w:val="auto"/>
          <w:sz w:val="24"/>
          <w:highlight w:val="none"/>
        </w:rPr>
        <w:t>（1）投标人资格声明书</w:t>
      </w:r>
      <w:bookmarkEnd w:id="214"/>
      <w:r>
        <w:rPr>
          <w:rFonts w:hint="eastAsia" w:asciiTheme="minorEastAsia" w:hAnsiTheme="minorEastAsia" w:eastAsiaTheme="minorEastAsia"/>
          <w:b/>
          <w:color w:val="auto"/>
          <w:sz w:val="24"/>
          <w:highlight w:val="none"/>
        </w:rPr>
        <w:t xml:space="preserve"> </w:t>
      </w:r>
    </w:p>
    <w:p w14:paraId="0590997A">
      <w:pPr>
        <w:pStyle w:val="3"/>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E46CBB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69DE34B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357CA3A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5C6C6D0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1040BC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F8F3E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7A70798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583E7CAD">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888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2CD3AC">
            <w:pPr>
              <w:keepNext w:val="0"/>
              <w:keepLines w:val="0"/>
              <w:widowControl/>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361380AE">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0AE9FD32">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2E1D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E55E09">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20BA6B67">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841" w:type="dxa"/>
          </w:tcPr>
          <w:p w14:paraId="398BA4DC">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r>
      <w:tr w14:paraId="5910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989C92">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71B281D9">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841" w:type="dxa"/>
          </w:tcPr>
          <w:p w14:paraId="2DEF4B57">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r>
    </w:tbl>
    <w:p w14:paraId="2BCA2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E32876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31DD05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184D7">
      <w:pPr>
        <w:spacing w:line="360" w:lineRule="auto"/>
        <w:ind w:firstLine="420" w:firstLineChars="200"/>
        <w:rPr>
          <w:rFonts w:ascii="宋体" w:hAnsi="宋体" w:eastAsia="宋体" w:cs="宋体"/>
          <w:color w:val="auto"/>
          <w:szCs w:val="21"/>
          <w:highlight w:val="none"/>
        </w:rPr>
      </w:pPr>
    </w:p>
    <w:p w14:paraId="6DB4AD41">
      <w:pPr>
        <w:spacing w:line="360" w:lineRule="auto"/>
        <w:ind w:firstLine="420" w:firstLineChars="200"/>
        <w:rPr>
          <w:rFonts w:ascii="宋体" w:hAnsi="宋体" w:eastAsia="宋体" w:cs="宋体"/>
          <w:color w:val="auto"/>
          <w:szCs w:val="21"/>
          <w:highlight w:val="none"/>
        </w:rPr>
      </w:pPr>
    </w:p>
    <w:p w14:paraId="71FF9C60">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DDAFF28">
      <w:pPr>
        <w:spacing w:line="360" w:lineRule="auto"/>
        <w:jc w:val="center"/>
        <w:outlineLvl w:val="1"/>
        <w:rPr>
          <w:rFonts w:asciiTheme="minorEastAsia" w:hAnsiTheme="minorEastAsia" w:eastAsiaTheme="minorEastAsia"/>
          <w:b/>
          <w:bCs/>
          <w:color w:val="auto"/>
          <w:sz w:val="24"/>
          <w:highlight w:val="none"/>
        </w:rPr>
      </w:pPr>
      <w:bookmarkStart w:id="215" w:name="_Toc19138"/>
      <w:r>
        <w:rPr>
          <w:rFonts w:hint="eastAsia" w:ascii="宋体" w:hAnsi="宋体" w:eastAsia="宋体" w:cs="宋体"/>
          <w:b/>
          <w:bCs/>
          <w:color w:val="auto"/>
          <w:szCs w:val="21"/>
          <w:highlight w:val="none"/>
        </w:rPr>
        <w:t>（2）</w:t>
      </w:r>
      <w:r>
        <w:rPr>
          <w:rFonts w:hint="eastAsia" w:asciiTheme="minorEastAsia" w:hAnsiTheme="minorEastAsia" w:eastAsiaTheme="minorEastAsia"/>
          <w:b/>
          <w:bCs/>
          <w:color w:val="auto"/>
          <w:sz w:val="24"/>
          <w:highlight w:val="none"/>
        </w:rPr>
        <w:t>授权书</w:t>
      </w:r>
      <w:bookmarkEnd w:id="215"/>
    </w:p>
    <w:p w14:paraId="07436948">
      <w:pPr>
        <w:pStyle w:val="18"/>
        <w:snapToGrid w:val="0"/>
        <w:spacing w:line="360" w:lineRule="auto"/>
        <w:ind w:firstLine="480" w:firstLineChars="200"/>
        <w:jc w:val="left"/>
        <w:rPr>
          <w:rFonts w:hAnsi="宋体" w:eastAsia="宋体"/>
          <w:color w:val="auto"/>
          <w:sz w:val="24"/>
          <w:szCs w:val="28"/>
          <w:highlight w:val="none"/>
        </w:rPr>
      </w:pPr>
    </w:p>
    <w:p w14:paraId="6E5B4B9E">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3BB8E50">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11CDAD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387CEFE">
      <w:pPr>
        <w:spacing w:line="360" w:lineRule="auto"/>
        <w:ind w:firstLine="435"/>
        <w:rPr>
          <w:rFonts w:asciiTheme="minorEastAsia" w:hAnsiTheme="minorEastAsia" w:eastAsiaTheme="minorEastAsia"/>
          <w:color w:val="auto"/>
          <w:sz w:val="24"/>
          <w:highlight w:val="none"/>
        </w:rPr>
      </w:pPr>
    </w:p>
    <w:p w14:paraId="7C6FC093">
      <w:pPr>
        <w:spacing w:line="360" w:lineRule="auto"/>
        <w:ind w:firstLine="435"/>
        <w:rPr>
          <w:rFonts w:asciiTheme="minorEastAsia" w:hAnsiTheme="minorEastAsia" w:eastAsiaTheme="minorEastAsia"/>
          <w:color w:val="auto"/>
          <w:sz w:val="24"/>
          <w:highlight w:val="none"/>
        </w:rPr>
      </w:pPr>
    </w:p>
    <w:p w14:paraId="7FB1FC63">
      <w:pPr>
        <w:spacing w:line="360" w:lineRule="auto"/>
        <w:ind w:firstLine="435"/>
        <w:rPr>
          <w:rFonts w:asciiTheme="minorEastAsia" w:hAnsiTheme="minorEastAsia" w:eastAsiaTheme="minorEastAsia"/>
          <w:color w:val="auto"/>
          <w:sz w:val="24"/>
          <w:highlight w:val="none"/>
        </w:rPr>
      </w:pPr>
    </w:p>
    <w:p w14:paraId="6B97005F">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F42AA73">
      <w:pPr>
        <w:spacing w:line="360" w:lineRule="auto"/>
        <w:ind w:firstLine="435"/>
        <w:rPr>
          <w:rFonts w:hAnsi="宋体" w:eastAsia="宋体"/>
          <w:color w:val="auto"/>
          <w:sz w:val="24"/>
          <w:szCs w:val="28"/>
          <w:highlight w:val="none"/>
          <w:lang w:val="zh-CN"/>
        </w:rPr>
      </w:pPr>
    </w:p>
    <w:p w14:paraId="14A158E6">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1C85EBE">
      <w:pPr>
        <w:spacing w:line="360" w:lineRule="auto"/>
        <w:rPr>
          <w:rFonts w:ascii="宋体" w:hAnsi="宋体" w:eastAsia="宋体"/>
          <w:color w:val="auto"/>
          <w:sz w:val="24"/>
          <w:szCs w:val="28"/>
          <w:highlight w:val="none"/>
        </w:rPr>
      </w:pPr>
    </w:p>
    <w:p w14:paraId="1F39069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306482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4BF5F3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8BFE7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D42A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45EBAA6D">
      <w:pPr>
        <w:spacing w:line="360" w:lineRule="auto"/>
        <w:ind w:firstLine="420" w:firstLineChars="200"/>
        <w:rPr>
          <w:rFonts w:ascii="宋体" w:hAnsi="宋体" w:eastAsia="宋体" w:cs="宋体"/>
          <w:color w:val="auto"/>
          <w:szCs w:val="21"/>
          <w:highlight w:val="none"/>
        </w:rPr>
      </w:pPr>
    </w:p>
    <w:p w14:paraId="3D052E28">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A293264">
      <w:pPr>
        <w:spacing w:line="360" w:lineRule="auto"/>
        <w:jc w:val="center"/>
        <w:outlineLvl w:val="1"/>
        <w:rPr>
          <w:rFonts w:asciiTheme="minorEastAsia" w:hAnsiTheme="minorEastAsia" w:eastAsiaTheme="minorEastAsia"/>
          <w:b/>
          <w:color w:val="auto"/>
          <w:sz w:val="24"/>
          <w:highlight w:val="none"/>
        </w:rPr>
      </w:pPr>
      <w:bookmarkStart w:id="216" w:name="_Toc13454"/>
      <w:r>
        <w:rPr>
          <w:rFonts w:hint="eastAsia" w:asciiTheme="minorEastAsia" w:hAnsiTheme="minorEastAsia" w:eastAsiaTheme="minorEastAsia"/>
          <w:b/>
          <w:color w:val="auto"/>
          <w:sz w:val="24"/>
          <w:highlight w:val="none"/>
        </w:rPr>
        <w:t>（3）诚信投标承诺书</w:t>
      </w:r>
      <w:bookmarkEnd w:id="216"/>
    </w:p>
    <w:p w14:paraId="44E8F84E">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51240D5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5038427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B51EF2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7AF5C6C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25D9BB1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11ABF92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val="en-US" w:eastAsia="zh-CN"/>
        </w:rPr>
        <w:t>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5F51B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5AD48CB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3D62CB9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3AC42A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3C367CE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5CD94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w:t>
      </w:r>
      <w:r>
        <w:rPr>
          <w:rFonts w:hint="eastAsia" w:ascii="宋体" w:hAnsi="宋体" w:eastAsia="宋体" w:cs="宋体"/>
          <w:color w:val="auto"/>
          <w:szCs w:val="21"/>
          <w:highlight w:val="none"/>
          <w:lang w:val="en-US" w:eastAsia="zh-CN"/>
        </w:rPr>
        <w:t>中标无效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记入不良行为记录等有关处理，愿意承担法律责任，给招标人造成损失的，依法承担赔偿责任。</w:t>
      </w:r>
    </w:p>
    <w:p w14:paraId="34F1E4C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3339CB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09C5543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6358178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AACC666">
      <w:pPr>
        <w:widowControl/>
        <w:ind w:firstLine="3780" w:firstLineChars="18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445A0653">
      <w:pPr>
        <w:widowControl/>
        <w:ind w:firstLine="3780" w:firstLineChars="1800"/>
        <w:jc w:val="left"/>
        <w:rPr>
          <w:rFonts w:hint="eastAsia" w:ascii="宋体" w:hAnsi="宋体" w:eastAsia="宋体" w:cs="宋体"/>
          <w:color w:val="auto"/>
          <w:szCs w:val="21"/>
          <w:highlight w:val="none"/>
          <w:u w:val="single"/>
        </w:rPr>
      </w:pPr>
    </w:p>
    <w:p w14:paraId="551866FF">
      <w:pPr>
        <w:widowControl/>
        <w:ind w:firstLine="3780" w:firstLineChars="1800"/>
        <w:jc w:val="left"/>
        <w:rPr>
          <w:rFonts w:hint="eastAsia" w:ascii="宋体" w:hAnsi="宋体" w:eastAsia="宋体" w:cs="宋体"/>
          <w:color w:val="auto"/>
          <w:szCs w:val="21"/>
          <w:highlight w:val="none"/>
          <w:u w:val="single"/>
          <w:lang w:eastAsia="zh-CN"/>
        </w:rPr>
      </w:pPr>
    </w:p>
    <w:p w14:paraId="7B4657B7">
      <w:pPr>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br w:type="page"/>
      </w:r>
    </w:p>
    <w:p w14:paraId="5FC92253">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217" w:name="_Toc21472"/>
      <w:r>
        <w:rPr>
          <w:rFonts w:hint="eastAsia" w:ascii="宋体" w:hAnsi="宋体" w:eastAsia="宋体" w:cs="宋体"/>
          <w:b/>
          <w:bCs w:val="0"/>
          <w:color w:val="auto"/>
          <w:kern w:val="2"/>
          <w:sz w:val="24"/>
          <w:szCs w:val="24"/>
          <w:highlight w:val="none"/>
          <w:lang w:val="en-US" w:eastAsia="zh-CN" w:bidi="ar"/>
        </w:rPr>
        <w:t>（4）中小企业声明函</w:t>
      </w:r>
      <w:bookmarkEnd w:id="217"/>
    </w:p>
    <w:p w14:paraId="57F5FF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）采购活动，服务全部由符合政策要求的中小企业承接。相关企业（含联合体中的中小企业、签订分包意向协议的中小企业）的具体情况如下：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1A8DFCC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行业；承接企业为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67A7FFA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行业；承接企业为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24C65A0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6639DD8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03C5F0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0E3DED6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2E908417">
      <w:pPr>
        <w:keepNext w:val="0"/>
        <w:keepLines w:val="0"/>
        <w:widowControl w:val="0"/>
        <w:suppressLineNumbers w:val="0"/>
        <w:tabs>
          <w:tab w:val="left" w:pos="4620"/>
        </w:tabs>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0C45D833">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4B702C22">
      <w:pPr>
        <w:keepNext w:val="0"/>
        <w:keepLines w:val="0"/>
        <w:widowControl w:val="0"/>
        <w:suppressLineNumbers w:val="0"/>
        <w:tabs>
          <w:tab w:val="left" w:pos="4620"/>
        </w:tabs>
        <w:spacing w:before="0" w:beforeAutospacing="0" w:after="0" w:afterAutospacing="0" w:line="360" w:lineRule="auto"/>
        <w:ind w:left="0" w:right="0"/>
        <w:jc w:val="both"/>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6F231AD2">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5233FE56">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”，详见第三章采购需求前附表中明确的“标的名称”。</w:t>
      </w:r>
    </w:p>
    <w:p w14:paraId="7F158C0B">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”，详见第三章采购需求前附表中明确的“所属行业”。</w:t>
      </w:r>
    </w:p>
    <w:p w14:paraId="52F49139">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某标的名称</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u w:val="single"/>
          <w:lang w:val="en-US" w:eastAsia="zh-CN" w:bidi="ar"/>
        </w:rPr>
        <w:t>填写第三章采购需求前附表中明确的“标的名称”</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（填写第三章采购需求前附表中明确的“所属行业”，如软件和信息技术服务业）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万元，属于中</w:t>
      </w:r>
      <w:r>
        <w:rPr>
          <w:rFonts w:hint="eastAsia" w:ascii="宋体" w:hAnsi="宋体" w:eastAsia="宋体" w:cs="宋体"/>
          <w:b/>
          <w:bCs/>
          <w:color w:val="auto"/>
          <w:kern w:val="2"/>
          <w:sz w:val="21"/>
          <w:szCs w:val="21"/>
          <w:highlight w:val="none"/>
          <w:u w:val="single"/>
          <w:lang w:val="en-US" w:eastAsia="zh-CN" w:bidi="ar"/>
        </w:rPr>
        <w:t>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2242009F">
      <w:pPr>
        <w:pStyle w:val="25"/>
        <w:keepNext w:val="0"/>
        <w:keepLines w:val="0"/>
        <w:widowControl w:val="0"/>
        <w:suppressLineNumbers w:val="0"/>
        <w:spacing w:before="0" w:beforeAutospacing="1" w:after="120" w:afterAutospacing="0"/>
        <w:ind w:left="0" w:right="0"/>
        <w:jc w:val="both"/>
        <w:rPr>
          <w:rFonts w:hint="eastAsia" w:ascii="宋体" w:hAnsi="宋体" w:eastAsia="宋体" w:cs="@微软简标宋"/>
          <w:b/>
          <w:bCs/>
          <w:color w:val="auto"/>
          <w:kern w:val="2"/>
          <w:sz w:val="21"/>
          <w:szCs w:val="21"/>
          <w:highlight w:val="none"/>
        </w:rPr>
      </w:pPr>
      <w:r>
        <w:rPr>
          <w:rFonts w:hint="eastAsia" w:ascii="宋体" w:hAnsi="宋体" w:eastAsia="宋体" w:cs="@微软简标宋"/>
          <w:b/>
          <w:bCs/>
          <w:color w:val="auto"/>
          <w:kern w:val="2"/>
          <w:sz w:val="21"/>
          <w:szCs w:val="21"/>
          <w:highlight w:val="none"/>
          <w:lang w:val="en-US" w:eastAsia="zh-CN" w:bidi="ar"/>
        </w:rPr>
        <w:t xml:space="preserve"> </w:t>
      </w:r>
    </w:p>
    <w:p w14:paraId="4C168929">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3C944C09">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56C4DCD">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270EAE1D">
      <w:pPr>
        <w:keepNext w:val="0"/>
        <w:keepLines w:val="0"/>
        <w:widowControl w:val="0"/>
        <w:suppressLineNumbers w:val="0"/>
        <w:spacing w:before="0" w:beforeAutospacing="0" w:after="0" w:afterAutospacing="0"/>
        <w:ind w:left="0" w:right="0" w:firstLine="1928" w:firstLineChars="800"/>
        <w:jc w:val="both"/>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（5）残疾人福利性单位声明函</w:t>
      </w:r>
    </w:p>
    <w:p w14:paraId="5DC53D49">
      <w:pPr>
        <w:pStyle w:val="25"/>
        <w:keepNext w:val="0"/>
        <w:keepLines w:val="0"/>
        <w:widowControl w:val="0"/>
        <w:suppressLineNumbers w:val="0"/>
        <w:spacing w:before="0" w:beforeAutospacing="1" w:after="120" w:afterAutospacing="0"/>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（非残疾人福利性单位投标，请删去“残疾人福利性单位声明函”）</w:t>
      </w:r>
    </w:p>
    <w:p w14:paraId="09C854A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3F407F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1F8C6C0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E9FAC55">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C47CC91">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16808E9B">
      <w:pPr>
        <w:keepNext w:val="0"/>
        <w:keepLines w:val="0"/>
        <w:widowControl w:val="0"/>
        <w:suppressLineNumbers w:val="0"/>
        <w:spacing w:before="0" w:beforeAutospacing="0" w:after="0" w:afterAutospacing="0" w:line="360" w:lineRule="auto"/>
        <w:ind w:left="0" w:right="0" w:firstLine="4228" w:firstLineChars="1762"/>
        <w:jc w:val="both"/>
        <w:rPr>
          <w:color w:val="auto"/>
          <w:highlight w:val="non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E959479">
      <w:pPr>
        <w:widowControl/>
        <w:ind w:firstLine="3780" w:firstLineChars="1800"/>
        <w:jc w:val="left"/>
        <w:rPr>
          <w:rFonts w:hint="eastAsia" w:ascii="宋体" w:hAnsi="宋体" w:eastAsia="宋体" w:cs="宋体"/>
          <w:color w:val="auto"/>
          <w:szCs w:val="21"/>
          <w:highlight w:val="none"/>
          <w:u w:val="single"/>
          <w:lang w:eastAsia="zh-CN"/>
        </w:rPr>
      </w:pPr>
    </w:p>
    <w:p w14:paraId="69659283">
      <w:pPr>
        <w:widowControl/>
        <w:ind w:firstLine="3780" w:firstLineChars="1800"/>
        <w:jc w:val="left"/>
        <w:rPr>
          <w:rFonts w:hint="eastAsia" w:ascii="宋体" w:hAnsi="宋体" w:eastAsia="宋体" w:cs="宋体"/>
          <w:color w:val="auto"/>
          <w:szCs w:val="21"/>
          <w:highlight w:val="none"/>
          <w:u w:val="single"/>
          <w:lang w:eastAsia="zh-CN"/>
        </w:rPr>
      </w:pPr>
    </w:p>
    <w:p w14:paraId="563F4A0C">
      <w:pPr>
        <w:widowControl/>
        <w:jc w:val="left"/>
        <w:rPr>
          <w:rFonts w:hint="eastAsia" w:eastAsia="宋体" w:asciiTheme="minorEastAsia" w:hAnsiTheme="minorEastAsia"/>
          <w:b/>
          <w:color w:val="auto"/>
          <w:sz w:val="28"/>
          <w:highlight w:val="none"/>
          <w:lang w:eastAsia="zh-CN"/>
        </w:rPr>
      </w:pPr>
    </w:p>
    <w:p w14:paraId="7B72BBC1">
      <w:pPr>
        <w:rPr>
          <w:rFonts w:asciiTheme="minorEastAsia" w:hAnsiTheme="minorEastAsia" w:eastAsiaTheme="minorEastAsia"/>
          <w:b/>
          <w:color w:val="auto"/>
          <w:sz w:val="24"/>
          <w:highlight w:val="none"/>
        </w:rPr>
      </w:pPr>
      <w:bookmarkStart w:id="218" w:name="_Toc17986"/>
      <w:bookmarkStart w:id="219" w:name="_Toc28960"/>
    </w:p>
    <w:p w14:paraId="31FC06DF">
      <w:pPr>
        <w:pageBreakBefore/>
        <w:wordWrap w:val="0"/>
        <w:spacing w:before="100" w:beforeAutospacing="1" w:after="100" w:afterAutospacing="1"/>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3E183B3">
      <w:pPr>
        <w:jc w:val="center"/>
        <w:rPr>
          <w:rFonts w:hint="eastAsia" w:ascii="宋体" w:hAnsi="宋体" w:eastAsia="宋体" w:cs="宋体"/>
          <w:b/>
          <w:color w:val="auto"/>
          <w:sz w:val="44"/>
          <w:szCs w:val="44"/>
          <w:highlight w:val="none"/>
        </w:rPr>
      </w:pPr>
      <w:bookmarkStart w:id="220" w:name="_Toc449028953"/>
      <w:bookmarkStart w:id="221" w:name="_Toc387149626"/>
    </w:p>
    <w:p w14:paraId="184A929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220"/>
      <w:bookmarkEnd w:id="221"/>
    </w:p>
    <w:p w14:paraId="67776F9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6A651974">
      <w:pPr>
        <w:jc w:val="center"/>
        <w:rPr>
          <w:rFonts w:hint="eastAsia" w:ascii="宋体" w:hAnsi="宋体" w:eastAsia="宋体" w:cs="宋体"/>
          <w:color w:val="auto"/>
          <w:sz w:val="44"/>
          <w:szCs w:val="44"/>
          <w:highlight w:val="none"/>
        </w:rPr>
      </w:pPr>
    </w:p>
    <w:p w14:paraId="07227EF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30535CCA">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1142F10A">
      <w:pPr>
        <w:rPr>
          <w:rFonts w:hint="eastAsia" w:ascii="宋体" w:hAnsi="宋体" w:eastAsia="宋体" w:cs="宋体"/>
          <w:color w:val="auto"/>
          <w:sz w:val="28"/>
          <w:szCs w:val="28"/>
          <w:highlight w:val="none"/>
        </w:rPr>
      </w:pPr>
    </w:p>
    <w:p w14:paraId="7D6C73C0">
      <w:pPr>
        <w:rPr>
          <w:rFonts w:hint="eastAsia" w:ascii="宋体" w:hAnsi="宋体" w:eastAsia="宋体" w:cs="宋体"/>
          <w:color w:val="auto"/>
          <w:sz w:val="28"/>
          <w:szCs w:val="28"/>
          <w:highlight w:val="none"/>
        </w:rPr>
      </w:pPr>
    </w:p>
    <w:p w14:paraId="64A4AA31">
      <w:pPr>
        <w:tabs>
          <w:tab w:val="left" w:pos="25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14:paraId="1A920635">
      <w:pPr>
        <w:rPr>
          <w:rFonts w:hint="eastAsia" w:ascii="宋体" w:hAnsi="宋体" w:eastAsia="宋体" w:cs="宋体"/>
          <w:color w:val="auto"/>
          <w:sz w:val="28"/>
          <w:szCs w:val="28"/>
          <w:highlight w:val="none"/>
        </w:rPr>
      </w:pPr>
    </w:p>
    <w:p w14:paraId="579C3EC9">
      <w:pPr>
        <w:rPr>
          <w:rFonts w:hint="eastAsia" w:ascii="宋体" w:hAnsi="宋体" w:eastAsia="宋体" w:cs="宋体"/>
          <w:color w:val="auto"/>
          <w:sz w:val="28"/>
          <w:szCs w:val="28"/>
          <w:highlight w:val="none"/>
        </w:rPr>
      </w:pPr>
    </w:p>
    <w:p w14:paraId="58CE2418">
      <w:pPr>
        <w:rPr>
          <w:rFonts w:hint="eastAsia" w:ascii="宋体" w:hAnsi="宋体" w:eastAsia="宋体" w:cs="宋体"/>
          <w:color w:val="auto"/>
          <w:sz w:val="28"/>
          <w:szCs w:val="28"/>
          <w:highlight w:val="none"/>
        </w:rPr>
      </w:pPr>
    </w:p>
    <w:p w14:paraId="14C195D2">
      <w:pPr>
        <w:rPr>
          <w:rFonts w:hint="eastAsia" w:ascii="宋体" w:hAnsi="宋体" w:eastAsia="宋体" w:cs="宋体"/>
          <w:color w:val="auto"/>
          <w:sz w:val="28"/>
          <w:szCs w:val="28"/>
          <w:highlight w:val="none"/>
        </w:rPr>
      </w:pPr>
    </w:p>
    <w:p w14:paraId="1252CB5E">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272F778E">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BE216C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A52C8ED">
      <w:pPr>
        <w:rPr>
          <w:rFonts w:hint="eastAsia" w:ascii="宋体" w:hAnsi="宋体" w:eastAsia="宋体" w:cs="宋体"/>
          <w:b/>
          <w:color w:val="auto"/>
          <w:sz w:val="24"/>
          <w:highlight w:val="none"/>
        </w:rPr>
      </w:pPr>
    </w:p>
    <w:p w14:paraId="3137C622">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3BC92A6">
      <w:pPr>
        <w:pageBreakBefore/>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0B97E0CD">
      <w:pPr>
        <w:spacing w:line="400" w:lineRule="exact"/>
        <w:rPr>
          <w:rFonts w:ascii="宋体"/>
          <w:color w:val="auto"/>
          <w:szCs w:val="21"/>
          <w:highlight w:val="none"/>
        </w:rPr>
      </w:pPr>
    </w:p>
    <w:p w14:paraId="510481C8">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（1）投标响应表（格式见附件）；</w:t>
      </w:r>
    </w:p>
    <w:p w14:paraId="35589B51">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（2）诚信履约承诺函（格式见附件）；</w:t>
      </w:r>
    </w:p>
    <w:p w14:paraId="3BE660D5">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（3）招标文件中要求的技术标评审及技术标评分的支持资料；</w:t>
      </w:r>
    </w:p>
    <w:p w14:paraId="15736226">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（4）投标人认为需要提供的其他技术证明材料（如有）。</w:t>
      </w:r>
    </w:p>
    <w:p w14:paraId="6018F8D4">
      <w:pPr>
        <w:spacing w:line="500" w:lineRule="exact"/>
        <w:rPr>
          <w:rFonts w:ascii="宋体" w:hAnsi="宋体" w:eastAsia="宋体" w:cs="宋体"/>
          <w:b/>
          <w:color w:val="auto"/>
          <w:sz w:val="24"/>
          <w:szCs w:val="24"/>
          <w:highlight w:val="none"/>
        </w:rPr>
      </w:pPr>
    </w:p>
    <w:p w14:paraId="36D998B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bookmarkStart w:id="222" w:name="_Toc1533"/>
      <w:r>
        <w:rPr>
          <w:rFonts w:hint="eastAsia" w:asciiTheme="minorEastAsia" w:hAnsiTheme="minorEastAsia" w:eastAsiaTheme="minorEastAsia"/>
          <w:b/>
          <w:color w:val="auto"/>
          <w:sz w:val="24"/>
          <w:highlight w:val="none"/>
        </w:rPr>
        <w:t>（1）投标响应表</w:t>
      </w:r>
      <w:bookmarkEnd w:id="222"/>
    </w:p>
    <w:p w14:paraId="1C2C94C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32"/>
        <w:gridCol w:w="2649"/>
        <w:gridCol w:w="2730"/>
        <w:gridCol w:w="859"/>
      </w:tblGrid>
      <w:tr w14:paraId="7F61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F87F425">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793B78B">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A013E99">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512A8D2">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3A200F1A">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428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4A70F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124" w:type="pct"/>
            <w:vAlign w:val="center"/>
          </w:tcPr>
          <w:p w14:paraId="2E8D69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1465" w:type="pct"/>
            <w:vAlign w:val="center"/>
          </w:tcPr>
          <w:p w14:paraId="56C12EC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439B2BD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497F099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0FE4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663BE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124" w:type="pct"/>
            <w:vAlign w:val="center"/>
          </w:tcPr>
          <w:p w14:paraId="46A32D3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服务地点</w:t>
            </w:r>
          </w:p>
        </w:tc>
        <w:tc>
          <w:tcPr>
            <w:tcW w:w="1465" w:type="pct"/>
            <w:vAlign w:val="center"/>
          </w:tcPr>
          <w:p w14:paraId="41B3C06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2815D3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23C91C4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E07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41C5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124" w:type="pct"/>
            <w:vAlign w:val="center"/>
          </w:tcPr>
          <w:p w14:paraId="4A22584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服务期限</w:t>
            </w:r>
          </w:p>
        </w:tc>
        <w:tc>
          <w:tcPr>
            <w:tcW w:w="1465" w:type="pct"/>
            <w:vAlign w:val="center"/>
          </w:tcPr>
          <w:p w14:paraId="118F5E3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18A78FEE">
            <w:pPr>
              <w:pStyle w:val="5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475" w:type="pct"/>
            <w:vAlign w:val="center"/>
          </w:tcPr>
          <w:p w14:paraId="7AF05F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15CB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6FAF5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w:t>
            </w:r>
          </w:p>
        </w:tc>
        <w:tc>
          <w:tcPr>
            <w:tcW w:w="1124" w:type="pct"/>
            <w:vAlign w:val="center"/>
          </w:tcPr>
          <w:p w14:paraId="0536F7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rPr>
            </w:pPr>
            <w:r>
              <w:rPr>
                <w:rFonts w:hint="eastAsia" w:ascii="宋体" w:hAnsi="宋体" w:eastAsia="宋体" w:cs="宋体"/>
                <w:color w:val="auto"/>
                <w:sz w:val="24"/>
                <w:szCs w:val="20"/>
                <w:highlight w:val="none"/>
              </w:rPr>
              <w:t>“采购需求”所列的所有内容</w:t>
            </w:r>
          </w:p>
        </w:tc>
        <w:tc>
          <w:tcPr>
            <w:tcW w:w="1465" w:type="pct"/>
            <w:vAlign w:val="center"/>
          </w:tcPr>
          <w:p w14:paraId="25E5519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rPr>
            </w:pPr>
          </w:p>
        </w:tc>
        <w:tc>
          <w:tcPr>
            <w:tcW w:w="1510" w:type="pct"/>
            <w:vAlign w:val="center"/>
          </w:tcPr>
          <w:p w14:paraId="0AE48449">
            <w:pPr>
              <w:pStyle w:val="5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lang w:val="en-US"/>
              </w:rPr>
            </w:pPr>
          </w:p>
        </w:tc>
        <w:tc>
          <w:tcPr>
            <w:tcW w:w="475" w:type="pct"/>
            <w:vAlign w:val="center"/>
          </w:tcPr>
          <w:p w14:paraId="172609E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rPr>
            </w:pPr>
          </w:p>
        </w:tc>
      </w:tr>
      <w:tr w14:paraId="0070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388F32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1124" w:type="pct"/>
            <w:vAlign w:val="center"/>
          </w:tcPr>
          <w:p w14:paraId="1A0E1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38151A7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209B22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19ABD26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1AE25B76">
      <w:pPr>
        <w:spacing w:line="360" w:lineRule="auto"/>
        <w:ind w:firstLine="4800" w:firstLineChars="2000"/>
        <w:rPr>
          <w:rFonts w:hint="eastAsia" w:ascii="宋体" w:hAnsi="宋体" w:eastAsia="宋体"/>
          <w:color w:val="auto"/>
          <w:sz w:val="24"/>
          <w:highlight w:val="none"/>
        </w:rPr>
      </w:pPr>
    </w:p>
    <w:p w14:paraId="55C6EBB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E5934B0">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C02119F">
      <w:pPr>
        <w:ind w:firstLine="480" w:firstLineChars="200"/>
        <w:rPr>
          <w:rFonts w:ascii="宋体"/>
          <w:color w:val="auto"/>
          <w:sz w:val="24"/>
          <w:highlight w:val="none"/>
        </w:rPr>
      </w:pPr>
    </w:p>
    <w:p w14:paraId="1F0A7801">
      <w:pPr>
        <w:rPr>
          <w:rFonts w:asciiTheme="minorEastAsia" w:hAnsiTheme="minorEastAsia" w:eastAsiaTheme="minorEastAsia"/>
          <w:b/>
          <w:color w:val="auto"/>
          <w:sz w:val="24"/>
          <w:highlight w:val="none"/>
        </w:rPr>
      </w:pPr>
      <w:bookmarkStart w:id="223" w:name="_Toc23860"/>
      <w:bookmarkStart w:id="224" w:name="_Toc26536"/>
      <w:bookmarkStart w:id="225" w:name="_Hlk11701496"/>
      <w:r>
        <w:rPr>
          <w:rFonts w:hint="eastAsia" w:asciiTheme="minorEastAsia" w:hAnsiTheme="minorEastAsia" w:eastAsiaTheme="minorEastAsia"/>
          <w:b/>
          <w:color w:val="auto"/>
          <w:sz w:val="24"/>
          <w:highlight w:val="none"/>
        </w:rPr>
        <w:br w:type="page"/>
      </w:r>
    </w:p>
    <w:p w14:paraId="2D7C3542">
      <w:pPr>
        <w:spacing w:line="360" w:lineRule="auto"/>
        <w:jc w:val="center"/>
        <w:outlineLvl w:val="1"/>
        <w:rPr>
          <w:rFonts w:asciiTheme="minorEastAsia" w:hAnsiTheme="minorEastAsia" w:eastAsiaTheme="minorEastAsia"/>
          <w:b/>
          <w:color w:val="auto"/>
          <w:sz w:val="24"/>
          <w:highlight w:val="none"/>
        </w:rPr>
      </w:pPr>
      <w:bookmarkStart w:id="226" w:name="_Toc3287"/>
      <w:r>
        <w:rPr>
          <w:rFonts w:hint="eastAsia" w:asciiTheme="minorEastAsia" w:hAnsiTheme="minorEastAsia" w:eastAsiaTheme="minorEastAsia"/>
          <w:b/>
          <w:color w:val="auto"/>
          <w:sz w:val="24"/>
          <w:highlight w:val="none"/>
        </w:rPr>
        <w:t>(2)诚信履约承诺函</w:t>
      </w:r>
      <w:bookmarkEnd w:id="223"/>
      <w:bookmarkEnd w:id="224"/>
      <w:bookmarkEnd w:id="226"/>
    </w:p>
    <w:p w14:paraId="2ABF4A34">
      <w:pPr>
        <w:spacing w:line="360" w:lineRule="auto"/>
        <w:rPr>
          <w:rFonts w:asciiTheme="minorEastAsia" w:hAnsiTheme="minorEastAsia" w:eastAsiaTheme="minorEastAsia"/>
          <w:b/>
          <w:bCs/>
          <w:color w:val="auto"/>
          <w:sz w:val="24"/>
          <w:highlight w:val="none"/>
        </w:rPr>
      </w:pPr>
    </w:p>
    <w:p w14:paraId="1FFBCA0F">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490B20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75CF3D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65ABDD8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0A029B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9296B0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999A13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7C2E2A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9937C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4B5816C2">
      <w:pPr>
        <w:spacing w:line="360" w:lineRule="auto"/>
        <w:rPr>
          <w:rFonts w:asciiTheme="minorEastAsia" w:hAnsiTheme="minorEastAsia" w:eastAsiaTheme="minorEastAsia"/>
          <w:bCs/>
          <w:color w:val="auto"/>
          <w:sz w:val="24"/>
          <w:highlight w:val="none"/>
        </w:rPr>
      </w:pPr>
    </w:p>
    <w:p w14:paraId="7D737EBF">
      <w:pPr>
        <w:spacing w:line="360" w:lineRule="auto"/>
        <w:rPr>
          <w:rFonts w:asciiTheme="minorEastAsia" w:hAnsiTheme="minorEastAsia" w:eastAsiaTheme="minorEastAsia"/>
          <w:bCs/>
          <w:color w:val="auto"/>
          <w:sz w:val="24"/>
          <w:highlight w:val="none"/>
        </w:rPr>
      </w:pPr>
    </w:p>
    <w:p w14:paraId="13F96DA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50E7127">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F836D24">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225"/>
    </w:p>
    <w:p w14:paraId="4DA5BC4F">
      <w:pPr>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3C2CF2BE">
      <w:pPr>
        <w:jc w:val="center"/>
        <w:rPr>
          <w:rFonts w:hint="eastAsia" w:ascii="宋体" w:hAnsi="宋体" w:eastAsia="宋体" w:cs="宋体"/>
          <w:color w:val="auto"/>
          <w:sz w:val="20"/>
          <w:highlight w:val="none"/>
        </w:rPr>
      </w:pPr>
    </w:p>
    <w:p w14:paraId="073F2507">
      <w:pPr>
        <w:rPr>
          <w:rFonts w:hint="eastAsia" w:ascii="宋体" w:hAnsi="宋体" w:eastAsia="宋体" w:cs="宋体"/>
          <w:color w:val="auto"/>
          <w:sz w:val="20"/>
          <w:highlight w:val="none"/>
        </w:rPr>
      </w:pPr>
    </w:p>
    <w:p w14:paraId="6A1946F3">
      <w:pPr>
        <w:pStyle w:val="30"/>
        <w:rPr>
          <w:rFonts w:hint="eastAsia" w:ascii="宋体" w:hAnsi="宋体" w:eastAsia="宋体" w:cs="宋体"/>
          <w:color w:val="auto"/>
          <w:highlight w:val="none"/>
        </w:rPr>
      </w:pPr>
    </w:p>
    <w:p w14:paraId="750B7BEF">
      <w:pPr>
        <w:jc w:val="center"/>
        <w:rPr>
          <w:rFonts w:hint="eastAsia" w:ascii="宋体" w:hAnsi="宋体" w:eastAsia="宋体" w:cs="宋体"/>
          <w:b/>
          <w:color w:val="auto"/>
          <w:sz w:val="44"/>
          <w:szCs w:val="44"/>
          <w:highlight w:val="none"/>
        </w:rPr>
      </w:pPr>
      <w:bookmarkStart w:id="227" w:name="_Toc449028954"/>
      <w:r>
        <w:rPr>
          <w:rFonts w:hint="eastAsia" w:ascii="宋体" w:hAnsi="宋体" w:eastAsia="宋体" w:cs="宋体"/>
          <w:b/>
          <w:color w:val="auto"/>
          <w:sz w:val="44"/>
          <w:szCs w:val="44"/>
          <w:highlight w:val="none"/>
        </w:rPr>
        <w:t>商务标</w:t>
      </w:r>
      <w:bookmarkEnd w:id="227"/>
    </w:p>
    <w:p w14:paraId="6212432F">
      <w:pPr>
        <w:jc w:val="center"/>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383ABC9A">
      <w:pPr>
        <w:jc w:val="center"/>
        <w:rPr>
          <w:rFonts w:hint="eastAsia" w:ascii="宋体" w:hAnsi="宋体" w:eastAsia="宋体" w:cs="宋体"/>
          <w:color w:val="auto"/>
          <w:sz w:val="36"/>
          <w:szCs w:val="36"/>
          <w:highlight w:val="none"/>
        </w:rPr>
      </w:pPr>
    </w:p>
    <w:p w14:paraId="74E7FEE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7C23DAB6">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EC75724">
      <w:pPr>
        <w:rPr>
          <w:rFonts w:hint="eastAsia" w:ascii="宋体" w:hAnsi="宋体" w:eastAsia="宋体" w:cs="宋体"/>
          <w:color w:val="auto"/>
          <w:sz w:val="28"/>
          <w:szCs w:val="28"/>
          <w:highlight w:val="none"/>
        </w:rPr>
      </w:pPr>
    </w:p>
    <w:p w14:paraId="1BC4D8A0">
      <w:pPr>
        <w:rPr>
          <w:rFonts w:hint="eastAsia" w:ascii="宋体" w:hAnsi="宋体" w:eastAsia="宋体" w:cs="宋体"/>
          <w:color w:val="auto"/>
          <w:sz w:val="28"/>
          <w:szCs w:val="28"/>
          <w:highlight w:val="none"/>
        </w:rPr>
      </w:pPr>
    </w:p>
    <w:p w14:paraId="2A4EF782">
      <w:pPr>
        <w:rPr>
          <w:rFonts w:hint="eastAsia" w:ascii="宋体" w:hAnsi="宋体" w:eastAsia="宋体" w:cs="宋体"/>
          <w:color w:val="auto"/>
          <w:sz w:val="28"/>
          <w:szCs w:val="28"/>
          <w:highlight w:val="none"/>
        </w:rPr>
      </w:pPr>
    </w:p>
    <w:p w14:paraId="16319DAF">
      <w:pPr>
        <w:rPr>
          <w:rFonts w:hint="eastAsia" w:ascii="宋体" w:hAnsi="宋体" w:eastAsia="宋体" w:cs="宋体"/>
          <w:color w:val="auto"/>
          <w:sz w:val="28"/>
          <w:szCs w:val="28"/>
          <w:highlight w:val="none"/>
        </w:rPr>
      </w:pPr>
    </w:p>
    <w:p w14:paraId="6EA7EF75">
      <w:pPr>
        <w:rPr>
          <w:rFonts w:hint="eastAsia" w:ascii="宋体" w:hAnsi="宋体" w:eastAsia="宋体" w:cs="宋体"/>
          <w:color w:val="auto"/>
          <w:sz w:val="28"/>
          <w:szCs w:val="28"/>
          <w:highlight w:val="none"/>
        </w:rPr>
      </w:pPr>
    </w:p>
    <w:p w14:paraId="37FDFF7E">
      <w:pPr>
        <w:rPr>
          <w:rFonts w:hint="eastAsia" w:ascii="宋体" w:hAnsi="宋体" w:eastAsia="宋体" w:cs="宋体"/>
          <w:color w:val="auto"/>
          <w:sz w:val="28"/>
          <w:szCs w:val="28"/>
          <w:highlight w:val="none"/>
        </w:rPr>
      </w:pPr>
    </w:p>
    <w:p w14:paraId="65165223">
      <w:pPr>
        <w:rPr>
          <w:rFonts w:hint="eastAsia" w:ascii="宋体" w:hAnsi="宋体" w:eastAsia="宋体" w:cs="宋体"/>
          <w:color w:val="auto"/>
          <w:sz w:val="28"/>
          <w:szCs w:val="28"/>
          <w:highlight w:val="none"/>
        </w:rPr>
      </w:pPr>
    </w:p>
    <w:p w14:paraId="3BEA0941">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50ADF53">
      <w:pPr>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231E61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76F5F14">
      <w:pPr>
        <w:spacing w:line="720" w:lineRule="auto"/>
        <w:jc w:val="center"/>
        <w:rPr>
          <w:rFonts w:hint="eastAsia" w:ascii="宋体" w:hAnsi="宋体" w:eastAsia="宋体" w:cs="宋体"/>
          <w:b/>
          <w:color w:val="auto"/>
          <w:sz w:val="36"/>
          <w:szCs w:val="36"/>
          <w:highlight w:val="none"/>
        </w:rPr>
      </w:pPr>
    </w:p>
    <w:p w14:paraId="0B1CBB34">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4DE0F2B">
      <w:pPr>
        <w:spacing w:line="400" w:lineRule="exact"/>
        <w:ind w:firstLine="3379" w:firstLineChars="93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32E506E5">
      <w:pPr>
        <w:spacing w:line="400" w:lineRule="exact"/>
        <w:ind w:firstLine="4130" w:firstLineChars="935"/>
        <w:rPr>
          <w:rFonts w:hint="eastAsia" w:ascii="宋体" w:hAnsi="宋体" w:eastAsia="宋体" w:cs="宋体"/>
          <w:b/>
          <w:color w:val="auto"/>
          <w:sz w:val="44"/>
          <w:szCs w:val="44"/>
          <w:highlight w:val="none"/>
        </w:rPr>
      </w:pPr>
    </w:p>
    <w:p w14:paraId="0E0132BC">
      <w:pPr>
        <w:spacing w:line="440" w:lineRule="exact"/>
        <w:ind w:left="420"/>
        <w:jc w:val="left"/>
        <w:rPr>
          <w:rFonts w:ascii="宋体" w:hAnsi="宋体" w:eastAsia="宋体"/>
          <w:color w:val="auto"/>
          <w:szCs w:val="21"/>
          <w:highlight w:val="none"/>
        </w:rPr>
      </w:pPr>
      <w:bookmarkStart w:id="228" w:name="_Hlk111065821"/>
      <w:r>
        <w:rPr>
          <w:rFonts w:hint="eastAsia" w:ascii="宋体" w:hAnsi="宋体" w:eastAsia="宋体"/>
          <w:color w:val="auto"/>
          <w:szCs w:val="21"/>
          <w:highlight w:val="none"/>
        </w:rPr>
        <w:t>（1）开标一览表（格式见附件）；</w:t>
      </w:r>
    </w:p>
    <w:p w14:paraId="32DF3A78">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28"/>
    <w:p w14:paraId="2AEEA03E">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（3）投标分项报价表</w:t>
      </w:r>
      <w:r>
        <w:rPr>
          <w:rFonts w:hint="eastAsia" w:ascii="宋体" w:hAnsi="宋体" w:eastAsia="宋体" w:cs="宋体"/>
          <w:color w:val="auto"/>
          <w:szCs w:val="21"/>
          <w:highlight w:val="none"/>
        </w:rPr>
        <w:t>（格式见附件）；</w:t>
      </w:r>
    </w:p>
    <w:p w14:paraId="6AA4320D">
      <w:pPr>
        <w:tabs>
          <w:tab w:val="left" w:pos="14"/>
        </w:tabs>
        <w:spacing w:line="44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（4）投标人认为需要提供的其他材料。</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如有</w:t>
      </w:r>
      <w:r>
        <w:rPr>
          <w:rFonts w:hint="eastAsia" w:ascii="宋体" w:hAnsi="宋体" w:eastAsia="宋体"/>
          <w:color w:val="auto"/>
          <w:szCs w:val="21"/>
          <w:highlight w:val="none"/>
          <w:lang w:eastAsia="zh-CN"/>
        </w:rPr>
        <w:t>）</w:t>
      </w:r>
    </w:p>
    <w:p w14:paraId="445A261A">
      <w:pPr>
        <w:rPr>
          <w:rFonts w:ascii="宋体" w:hAnsi="宋体" w:eastAsia="宋体"/>
          <w:color w:val="auto"/>
          <w:szCs w:val="21"/>
          <w:highlight w:val="none"/>
        </w:rPr>
      </w:pPr>
      <w:r>
        <w:rPr>
          <w:rFonts w:hint="eastAsia" w:ascii="宋体" w:hAnsi="宋体" w:eastAsia="宋体"/>
          <w:color w:val="auto"/>
          <w:szCs w:val="21"/>
          <w:highlight w:val="none"/>
        </w:rPr>
        <w:br w:type="page"/>
      </w:r>
    </w:p>
    <w:p w14:paraId="0F13E673">
      <w:pPr>
        <w:spacing w:line="360" w:lineRule="auto"/>
        <w:jc w:val="center"/>
        <w:outlineLvl w:val="1"/>
        <w:rPr>
          <w:rFonts w:asciiTheme="minorEastAsia" w:hAnsiTheme="minorEastAsia" w:eastAsiaTheme="minorEastAsia"/>
          <w:b/>
          <w:color w:val="auto"/>
          <w:sz w:val="24"/>
          <w:highlight w:val="none"/>
        </w:rPr>
      </w:pPr>
      <w:bookmarkStart w:id="229" w:name="_Toc30819"/>
      <w:r>
        <w:rPr>
          <w:rFonts w:hint="eastAsia" w:asciiTheme="minorEastAsia" w:hAnsiTheme="minorEastAsia" w:eastAsiaTheme="minorEastAsia"/>
          <w:b/>
          <w:color w:val="auto"/>
          <w:sz w:val="24"/>
          <w:highlight w:val="none"/>
        </w:rPr>
        <w:t>（1）开标一览表</w:t>
      </w:r>
      <w:bookmarkEnd w:id="218"/>
      <w:bookmarkEnd w:id="219"/>
      <w:bookmarkEnd w:id="229"/>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6593"/>
      </w:tblGrid>
      <w:tr w14:paraId="1AD8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2148436E">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1F7475D">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02B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D65570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131787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060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2C64F0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D92C9B1">
            <w:pPr>
              <w:keepNext w:val="0"/>
              <w:keepLines w:val="0"/>
              <w:widowControl/>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141D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352" w:type="pct"/>
            <w:tcBorders>
              <w:top w:val="nil"/>
            </w:tcBorders>
            <w:vAlign w:val="center"/>
          </w:tcPr>
          <w:p w14:paraId="3F5880B6">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5859288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77C3613">
            <w:pPr>
              <w:keepNext w:val="0"/>
              <w:keepLines w:val="0"/>
              <w:suppressLineNumbers w:val="0"/>
              <w:spacing w:before="0" w:beforeAutospacing="0" w:after="0" w:afterAutospacing="0" w:line="360" w:lineRule="auto"/>
              <w:ind w:left="0" w:right="-670"/>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元/年</w:t>
            </w:r>
          </w:p>
        </w:tc>
      </w:tr>
      <w:tr w14:paraId="10C8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FF5048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02D4D040">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221E7E7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AA0B63D">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43AF9A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0D14E95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A825A9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708D11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6B19BAE">
      <w:pPr>
        <w:spacing w:line="360" w:lineRule="auto"/>
        <w:jc w:val="center"/>
        <w:outlineLvl w:val="1"/>
        <w:rPr>
          <w:rFonts w:asciiTheme="minorEastAsia" w:hAnsiTheme="minorEastAsia" w:eastAsiaTheme="minorEastAsia"/>
          <w:b/>
          <w:color w:val="auto"/>
          <w:sz w:val="24"/>
          <w:highlight w:val="none"/>
        </w:rPr>
      </w:pPr>
      <w:bookmarkStart w:id="230" w:name="_Toc28259"/>
      <w:bookmarkStart w:id="231" w:name="_Toc6441"/>
      <w:bookmarkStart w:id="232" w:name="_Toc6120"/>
      <w:r>
        <w:rPr>
          <w:rFonts w:hint="eastAsia" w:asciiTheme="minorEastAsia" w:hAnsiTheme="minorEastAsia" w:eastAsiaTheme="minorEastAsia"/>
          <w:b/>
          <w:color w:val="auto"/>
          <w:sz w:val="24"/>
          <w:highlight w:val="none"/>
        </w:rPr>
        <w:t>（2）投标函</w:t>
      </w:r>
      <w:bookmarkEnd w:id="230"/>
      <w:bookmarkEnd w:id="231"/>
      <w:bookmarkEnd w:id="232"/>
    </w:p>
    <w:p w14:paraId="6E4B3B8A">
      <w:pPr>
        <w:pStyle w:val="3"/>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B2079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7D8BC6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26835A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4D04D6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338E9F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w:t>
      </w:r>
      <w:r>
        <w:rPr>
          <w:rFonts w:hint="eastAsia" w:asciiTheme="minorEastAsia" w:hAnsiTheme="minorEastAsia" w:eastAsiaTheme="minorEastAsia"/>
          <w:color w:val="auto"/>
          <w:sz w:val="24"/>
          <w:highlight w:val="none"/>
          <w:lang w:eastAsia="zh-CN"/>
        </w:rPr>
        <w:t>运行</w:t>
      </w:r>
      <w:r>
        <w:rPr>
          <w:rFonts w:hint="eastAsia" w:asciiTheme="minorEastAsia" w:hAnsiTheme="minorEastAsia" w:eastAsiaTheme="minorEastAsia"/>
          <w:color w:val="auto"/>
          <w:sz w:val="24"/>
          <w:highlight w:val="none"/>
        </w:rPr>
        <w:t>正常。由于我方提供资料不实而造成的责任和后果由我方承担。我方同意按照贵方提出的要求，提供与投标有关的任何证据、数据或资料。</w:t>
      </w:r>
    </w:p>
    <w:p w14:paraId="31903412">
      <w:pPr>
        <w:spacing w:line="360" w:lineRule="auto"/>
        <w:ind w:firstLine="4800" w:firstLineChars="2000"/>
        <w:rPr>
          <w:rFonts w:ascii="宋体" w:hAnsi="宋体" w:eastAsia="宋体"/>
          <w:color w:val="auto"/>
          <w:sz w:val="24"/>
          <w:highlight w:val="none"/>
        </w:rPr>
      </w:pPr>
    </w:p>
    <w:p w14:paraId="413175C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9FBF8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24D2DAC">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19CCCC4">
      <w:pPr>
        <w:spacing w:line="360" w:lineRule="auto"/>
        <w:jc w:val="center"/>
        <w:outlineLvl w:val="1"/>
        <w:rPr>
          <w:rFonts w:asciiTheme="minorEastAsia" w:hAnsiTheme="minorEastAsia" w:eastAsiaTheme="minorEastAsia"/>
          <w:b/>
          <w:color w:val="auto"/>
          <w:sz w:val="24"/>
          <w:highlight w:val="none"/>
        </w:rPr>
      </w:pPr>
      <w:bookmarkStart w:id="233" w:name="_Toc31027"/>
      <w:bookmarkStart w:id="234" w:name="_Toc32226"/>
      <w:r>
        <w:rPr>
          <w:rFonts w:hint="eastAsia" w:asciiTheme="minorEastAsia" w:hAnsiTheme="minorEastAsia" w:eastAsiaTheme="minorEastAsia"/>
          <w:b/>
          <w:color w:val="auto"/>
          <w:sz w:val="24"/>
          <w:highlight w:val="none"/>
        </w:rPr>
        <w:t>（3）投标分项报价表</w:t>
      </w:r>
      <w:bookmarkEnd w:id="233"/>
      <w:bookmarkEnd w:id="234"/>
    </w:p>
    <w:p w14:paraId="1CA33C61">
      <w:pPr>
        <w:keepNext w:val="0"/>
        <w:keepLines w:val="0"/>
        <w:pageBreakBefore w:val="0"/>
        <w:kinsoku/>
        <w:wordWrap/>
        <w:overflowPunct/>
        <w:topLinePunct w:val="0"/>
        <w:autoSpaceDE/>
        <w:autoSpaceDN/>
        <w:bidi w:val="0"/>
        <w:spacing w:line="440" w:lineRule="exact"/>
        <w:ind w:firstLine="435"/>
        <w:jc w:val="center"/>
        <w:textAlignment w:val="auto"/>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（仅供参考，投标人可自行制作格式）</w:t>
      </w:r>
    </w:p>
    <w:tbl>
      <w:tblPr>
        <w:tblStyle w:val="31"/>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55"/>
        <w:gridCol w:w="780"/>
        <w:gridCol w:w="1305"/>
        <w:gridCol w:w="2025"/>
        <w:gridCol w:w="3190"/>
      </w:tblGrid>
      <w:tr w14:paraId="400E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91" w:type="dxa"/>
            <w:noWrap w:val="0"/>
            <w:vAlign w:val="center"/>
          </w:tcPr>
          <w:p w14:paraId="05C0E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355" w:type="dxa"/>
            <w:noWrap w:val="0"/>
            <w:vAlign w:val="center"/>
          </w:tcPr>
          <w:p w14:paraId="7DDBA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80" w:type="dxa"/>
            <w:noWrap w:val="0"/>
            <w:vAlign w:val="center"/>
          </w:tcPr>
          <w:p w14:paraId="4DEF2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305" w:type="dxa"/>
            <w:noWrap w:val="0"/>
            <w:vAlign w:val="center"/>
          </w:tcPr>
          <w:p w14:paraId="6F68D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p w14:paraId="6CF13E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（元/月）</w:t>
            </w:r>
          </w:p>
        </w:tc>
        <w:tc>
          <w:tcPr>
            <w:tcW w:w="2025" w:type="dxa"/>
            <w:noWrap w:val="0"/>
            <w:vAlign w:val="center"/>
          </w:tcPr>
          <w:p w14:paraId="5AA21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合价（12个月）</w:t>
            </w:r>
          </w:p>
          <w:p w14:paraId="4B60A5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w:t>
            </w:r>
          </w:p>
        </w:tc>
        <w:tc>
          <w:tcPr>
            <w:tcW w:w="3190" w:type="dxa"/>
            <w:noWrap w:val="0"/>
            <w:vAlign w:val="center"/>
          </w:tcPr>
          <w:p w14:paraId="570AB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C8B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1AA96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55" w:type="dxa"/>
            <w:noWrap w:val="0"/>
            <w:vAlign w:val="center"/>
          </w:tcPr>
          <w:p w14:paraId="7C6B4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780" w:type="dxa"/>
            <w:noWrap w:val="0"/>
            <w:vAlign w:val="center"/>
          </w:tcPr>
          <w:p w14:paraId="34EA7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026EE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037D3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15629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6FA1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59A2E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355" w:type="dxa"/>
            <w:noWrap w:val="0"/>
            <w:vAlign w:val="center"/>
          </w:tcPr>
          <w:p w14:paraId="14F81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5AD57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7F780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59BAB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7DE89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BC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67E1E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2355" w:type="dxa"/>
            <w:noWrap w:val="0"/>
            <w:vAlign w:val="center"/>
          </w:tcPr>
          <w:p w14:paraId="54DFF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75B67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1305" w:type="dxa"/>
            <w:noWrap w:val="0"/>
            <w:vAlign w:val="center"/>
          </w:tcPr>
          <w:p w14:paraId="48302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30F5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4D4B0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2FA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24FC3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355" w:type="dxa"/>
            <w:noWrap w:val="0"/>
            <w:vAlign w:val="center"/>
          </w:tcPr>
          <w:p w14:paraId="35EB3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115CD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1305" w:type="dxa"/>
            <w:noWrap w:val="0"/>
            <w:vAlign w:val="center"/>
          </w:tcPr>
          <w:p w14:paraId="26EB2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5435B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335AD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062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31" w:type="dxa"/>
            <w:gridSpan w:val="4"/>
            <w:noWrap w:val="0"/>
            <w:vAlign w:val="center"/>
          </w:tcPr>
          <w:p w14:paraId="4CB91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投标报价：合计（1</w:t>
            </w:r>
            <w:r>
              <w:rPr>
                <w:rFonts w:hint="eastAsia" w:ascii="宋体" w:hAnsi="宋体" w:eastAsia="宋体" w:cs="宋体"/>
                <w:color w:val="auto"/>
                <w:szCs w:val="21"/>
                <w:highlight w:val="none"/>
                <w:lang w:val="en-US" w:eastAsia="zh-CN"/>
              </w:rPr>
              <w:t>至...项</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w:t>
            </w:r>
          </w:p>
        </w:tc>
        <w:tc>
          <w:tcPr>
            <w:tcW w:w="5215" w:type="dxa"/>
            <w:gridSpan w:val="2"/>
            <w:noWrap w:val="0"/>
            <w:vAlign w:val="center"/>
          </w:tcPr>
          <w:p w14:paraId="44E48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bl>
    <w:p w14:paraId="5393C78B">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rPr>
      </w:pPr>
    </w:p>
    <w:p w14:paraId="2AAE9794">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2028E69">
      <w:pPr>
        <w:keepNext w:val="0"/>
        <w:keepLines w:val="0"/>
        <w:pageBreakBefore w:val="0"/>
        <w:tabs>
          <w:tab w:val="left" w:pos="630"/>
        </w:tabs>
        <w:kinsoku/>
        <w:wordWrap/>
        <w:overflowPunct/>
        <w:topLinePunct w:val="0"/>
        <w:autoSpaceDE/>
        <w:autoSpaceDN/>
        <w:bidi w:val="0"/>
        <w:spacing w:line="440" w:lineRule="exact"/>
        <w:ind w:firstLine="4800" w:firstLineChars="2000"/>
        <w:textAlignment w:val="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C34888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 w:val="24"/>
          <w:szCs w:val="28"/>
          <w:highlight w:val="none"/>
          <w:lang w:eastAsia="zh-CN"/>
        </w:rPr>
      </w:pPr>
    </w:p>
    <w:p w14:paraId="3D02C31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szCs w:val="28"/>
          <w:highlight w:val="none"/>
          <w:lang w:eastAsia="zh-CN"/>
        </w:rPr>
        <w:t>注：</w:t>
      </w:r>
      <w:r>
        <w:rPr>
          <w:rFonts w:hint="eastAsia" w:ascii="宋体" w:hAnsi="宋体" w:eastAsia="宋体" w:cs="宋体"/>
          <w:color w:val="auto"/>
          <w:sz w:val="24"/>
          <w:highlight w:val="none"/>
        </w:rPr>
        <w:t>所列服务为对应本项目需求的全部服务内容。如有漏项或缺项，投标人承担全部责任</w:t>
      </w:r>
      <w:r>
        <w:rPr>
          <w:rFonts w:hint="eastAsia" w:ascii="宋体" w:hAnsi="宋体" w:eastAsia="宋体" w:cs="宋体"/>
          <w:color w:val="auto"/>
          <w:sz w:val="24"/>
          <w:highlight w:val="none"/>
          <w:lang w:eastAsia="zh-CN"/>
        </w:rPr>
        <w:t>。</w:t>
      </w:r>
    </w:p>
    <w:p w14:paraId="5164CFEF">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28711C2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BFC0C25">
      <w:pPr>
        <w:spacing w:line="360" w:lineRule="auto"/>
        <w:jc w:val="center"/>
        <w:outlineLvl w:val="1"/>
        <w:rPr>
          <w:rFonts w:asciiTheme="minorEastAsia" w:hAnsiTheme="minorEastAsia" w:eastAsiaTheme="minorEastAsia"/>
          <w:b/>
          <w:color w:val="auto"/>
          <w:sz w:val="24"/>
          <w:highlight w:val="none"/>
        </w:rPr>
      </w:pPr>
      <w:bookmarkStart w:id="235" w:name="_Toc2683"/>
      <w:bookmarkStart w:id="236" w:name="_Toc6776"/>
      <w:r>
        <w:rPr>
          <w:rFonts w:hint="eastAsia" w:asciiTheme="minorEastAsia" w:hAnsiTheme="minorEastAsia" w:eastAsiaTheme="minorEastAsia"/>
          <w:b/>
          <w:color w:val="auto"/>
          <w:sz w:val="24"/>
          <w:highlight w:val="none"/>
        </w:rPr>
        <w:t>（4）其他相关证明材料</w:t>
      </w:r>
      <w:bookmarkEnd w:id="235"/>
      <w:bookmarkEnd w:id="236"/>
    </w:p>
    <w:p w14:paraId="417D2EB6">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5916E753">
      <w:pPr>
        <w:widowControl/>
        <w:jc w:val="left"/>
        <w:rPr>
          <w:rFonts w:asciiTheme="minorEastAsia" w:hAnsiTheme="minorEastAsia" w:eastAsiaTheme="minorEastAsia"/>
          <w:color w:val="auto"/>
          <w:sz w:val="24"/>
          <w:highlight w:val="none"/>
        </w:rPr>
      </w:pPr>
    </w:p>
    <w:p w14:paraId="36F39A74">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E2FA298">
      <w:pPr>
        <w:widowControl/>
        <w:jc w:val="left"/>
        <w:rPr>
          <w:rFonts w:asciiTheme="minorEastAsia" w:hAnsiTheme="minorEastAsia" w:eastAsiaTheme="minorEastAsia"/>
          <w:color w:val="auto"/>
          <w:sz w:val="24"/>
          <w:highlight w:val="none"/>
        </w:rPr>
      </w:pPr>
    </w:p>
    <w:p w14:paraId="321A0511">
      <w:pPr>
        <w:spacing w:line="360" w:lineRule="auto"/>
        <w:jc w:val="center"/>
        <w:outlineLvl w:val="0"/>
        <w:rPr>
          <w:rFonts w:ascii="宋体" w:hAnsi="宋体" w:eastAsia="宋体"/>
          <w:b/>
          <w:bCs/>
          <w:color w:val="auto"/>
          <w:sz w:val="28"/>
          <w:highlight w:val="none"/>
        </w:rPr>
      </w:pPr>
      <w:bookmarkStart w:id="237" w:name="_Toc13530"/>
      <w:bookmarkStart w:id="238" w:name="_Toc6435"/>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37"/>
      <w:bookmarkEnd w:id="238"/>
    </w:p>
    <w:p w14:paraId="20FA5BB9">
      <w:pPr>
        <w:spacing w:line="360" w:lineRule="auto"/>
        <w:jc w:val="center"/>
        <w:outlineLvl w:val="1"/>
        <w:rPr>
          <w:rFonts w:ascii="仿宋" w:hAnsi="仿宋" w:eastAsia="仿宋" w:cs="仿宋"/>
          <w:b/>
          <w:bCs/>
          <w:color w:val="auto"/>
          <w:sz w:val="32"/>
          <w:szCs w:val="44"/>
          <w:highlight w:val="none"/>
        </w:rPr>
      </w:pPr>
      <w:bookmarkStart w:id="239" w:name="_Toc6955"/>
      <w:bookmarkStart w:id="240" w:name="_Toc27159"/>
      <w:bookmarkStart w:id="241" w:name="_Toc24885"/>
      <w:r>
        <w:rPr>
          <w:rFonts w:hint="eastAsia" w:ascii="仿宋" w:hAnsi="仿宋" w:eastAsia="仿宋" w:cs="仿宋"/>
          <w:b/>
          <w:bCs/>
          <w:color w:val="auto"/>
          <w:sz w:val="32"/>
          <w:szCs w:val="44"/>
          <w:highlight w:val="none"/>
        </w:rPr>
        <w:t>询问函范本</w:t>
      </w:r>
      <w:bookmarkEnd w:id="239"/>
      <w:bookmarkEnd w:id="240"/>
      <w:bookmarkEnd w:id="241"/>
    </w:p>
    <w:p w14:paraId="36F10BCE">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45865E4">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2FECD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32E8B3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42" w:name="_Toc13899"/>
      <w:r>
        <w:rPr>
          <w:rFonts w:hint="eastAsia" w:cs="仿宋" w:asciiTheme="minorEastAsia" w:hAnsiTheme="minorEastAsia" w:eastAsiaTheme="minorEastAsia"/>
          <w:color w:val="auto"/>
          <w:sz w:val="24"/>
          <w:szCs w:val="24"/>
          <w:highlight w:val="none"/>
        </w:rPr>
        <w:t>一、(事项一)</w:t>
      </w:r>
      <w:bookmarkEnd w:id="242"/>
    </w:p>
    <w:p w14:paraId="6361B46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A1643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F9AEE2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33911D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43" w:name="_Toc3352"/>
      <w:r>
        <w:rPr>
          <w:rFonts w:hint="eastAsia" w:cs="仿宋" w:asciiTheme="minorEastAsia" w:hAnsiTheme="minorEastAsia" w:eastAsiaTheme="minorEastAsia"/>
          <w:color w:val="auto"/>
          <w:sz w:val="24"/>
          <w:szCs w:val="24"/>
          <w:highlight w:val="none"/>
        </w:rPr>
        <w:t>二、(事项二)</w:t>
      </w:r>
      <w:bookmarkEnd w:id="243"/>
    </w:p>
    <w:p w14:paraId="7F71951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78C1BC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1798A8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6978864">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1090D2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3D8A366">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CA62AD7">
      <w:pPr>
        <w:jc w:val="center"/>
        <w:outlineLvl w:val="1"/>
        <w:rPr>
          <w:rFonts w:ascii="仿宋" w:hAnsi="仿宋" w:eastAsia="仿宋" w:cs="仿宋"/>
          <w:b/>
          <w:bCs/>
          <w:color w:val="auto"/>
          <w:sz w:val="32"/>
          <w:szCs w:val="44"/>
          <w:highlight w:val="none"/>
        </w:rPr>
      </w:pPr>
      <w:bookmarkStart w:id="244" w:name="_Toc7637"/>
      <w:bookmarkStart w:id="245" w:name="_Toc857"/>
      <w:bookmarkStart w:id="246" w:name="_Toc1575"/>
      <w:r>
        <w:rPr>
          <w:rFonts w:hint="eastAsia" w:ascii="仿宋" w:hAnsi="仿宋" w:eastAsia="仿宋" w:cs="仿宋"/>
          <w:b/>
          <w:bCs/>
          <w:color w:val="auto"/>
          <w:sz w:val="32"/>
          <w:szCs w:val="44"/>
          <w:highlight w:val="none"/>
        </w:rPr>
        <w:t>质疑函范本</w:t>
      </w:r>
      <w:bookmarkEnd w:id="244"/>
      <w:bookmarkEnd w:id="245"/>
      <w:bookmarkEnd w:id="246"/>
    </w:p>
    <w:p w14:paraId="6ADED4D8">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247" w:name="_Toc21381"/>
      <w:r>
        <w:rPr>
          <w:rFonts w:hint="eastAsia" w:cs="仿宋" w:asciiTheme="minorEastAsia" w:hAnsiTheme="minorEastAsia" w:eastAsiaTheme="minorEastAsia"/>
          <w:b/>
          <w:bCs/>
          <w:color w:val="auto"/>
          <w:sz w:val="24"/>
          <w:szCs w:val="24"/>
          <w:highlight w:val="none"/>
        </w:rPr>
        <w:t>一、质疑供应商基本信息</w:t>
      </w:r>
      <w:bookmarkEnd w:id="247"/>
    </w:p>
    <w:p w14:paraId="50D4F3A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1490D4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12077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414EE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FB582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7D19A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660FAC">
      <w:pPr>
        <w:adjustRightInd w:val="0"/>
        <w:snapToGrid w:val="0"/>
        <w:spacing w:line="360" w:lineRule="auto"/>
        <w:rPr>
          <w:rFonts w:cs="仿宋" w:asciiTheme="minorEastAsia" w:hAnsiTheme="minorEastAsia" w:eastAsiaTheme="minorEastAsia"/>
          <w:b/>
          <w:bCs/>
          <w:color w:val="auto"/>
          <w:sz w:val="24"/>
          <w:szCs w:val="24"/>
          <w:highlight w:val="none"/>
        </w:rPr>
      </w:pPr>
      <w:bookmarkStart w:id="248" w:name="_Toc28415"/>
      <w:r>
        <w:rPr>
          <w:rFonts w:hint="eastAsia" w:cs="仿宋" w:asciiTheme="minorEastAsia" w:hAnsiTheme="minorEastAsia" w:eastAsiaTheme="minorEastAsia"/>
          <w:b/>
          <w:bCs/>
          <w:color w:val="auto"/>
          <w:sz w:val="24"/>
          <w:szCs w:val="24"/>
          <w:highlight w:val="none"/>
        </w:rPr>
        <w:t>二、质疑项目基本情况</w:t>
      </w:r>
      <w:bookmarkEnd w:id="248"/>
    </w:p>
    <w:p w14:paraId="208EC69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6191E59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77123D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A3977B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BAE164F">
      <w:pPr>
        <w:adjustRightInd w:val="0"/>
        <w:snapToGrid w:val="0"/>
        <w:spacing w:line="360" w:lineRule="auto"/>
        <w:rPr>
          <w:rFonts w:cs="仿宋" w:asciiTheme="minorEastAsia" w:hAnsiTheme="minorEastAsia" w:eastAsiaTheme="minorEastAsia"/>
          <w:b/>
          <w:bCs/>
          <w:color w:val="auto"/>
          <w:sz w:val="24"/>
          <w:szCs w:val="24"/>
          <w:highlight w:val="none"/>
        </w:rPr>
      </w:pPr>
      <w:bookmarkStart w:id="249" w:name="_Toc19014"/>
      <w:r>
        <w:rPr>
          <w:rFonts w:hint="eastAsia" w:cs="仿宋" w:asciiTheme="minorEastAsia" w:hAnsiTheme="minorEastAsia" w:eastAsiaTheme="minorEastAsia"/>
          <w:b/>
          <w:bCs/>
          <w:color w:val="auto"/>
          <w:sz w:val="24"/>
          <w:szCs w:val="24"/>
          <w:highlight w:val="none"/>
        </w:rPr>
        <w:t>三、质疑事项具体内容</w:t>
      </w:r>
      <w:bookmarkEnd w:id="249"/>
    </w:p>
    <w:p w14:paraId="4482F5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810D0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7EF476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A6B24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6CF6D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9C0DD3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BFD1E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018979">
      <w:pPr>
        <w:adjustRightInd w:val="0"/>
        <w:snapToGrid w:val="0"/>
        <w:spacing w:line="360" w:lineRule="auto"/>
        <w:rPr>
          <w:rFonts w:cs="仿宋" w:asciiTheme="minorEastAsia" w:hAnsiTheme="minorEastAsia" w:eastAsiaTheme="minorEastAsia"/>
          <w:b/>
          <w:bCs/>
          <w:color w:val="auto"/>
          <w:sz w:val="24"/>
          <w:szCs w:val="24"/>
          <w:highlight w:val="none"/>
        </w:rPr>
      </w:pPr>
      <w:bookmarkStart w:id="250" w:name="_Toc17919"/>
      <w:r>
        <w:rPr>
          <w:rFonts w:hint="eastAsia" w:cs="仿宋" w:asciiTheme="minorEastAsia" w:hAnsiTheme="minorEastAsia" w:eastAsiaTheme="minorEastAsia"/>
          <w:b/>
          <w:bCs/>
          <w:color w:val="auto"/>
          <w:sz w:val="24"/>
          <w:szCs w:val="24"/>
          <w:highlight w:val="none"/>
        </w:rPr>
        <w:t>四、与质疑事项相关的质疑请求</w:t>
      </w:r>
      <w:bookmarkEnd w:id="250"/>
    </w:p>
    <w:p w14:paraId="7A940A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88C406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9EF4E8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87A748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52F2D9">
      <w:pPr>
        <w:outlineLvl w:val="0"/>
        <w:rPr>
          <w:rFonts w:asciiTheme="minorEastAsia" w:hAnsiTheme="minorEastAsia" w:eastAsiaTheme="minorEastAsia"/>
          <w:b/>
          <w:color w:val="auto"/>
          <w:sz w:val="28"/>
          <w:szCs w:val="32"/>
          <w:highlight w:val="none"/>
        </w:rPr>
      </w:pPr>
      <w:bookmarkStart w:id="251" w:name="_Toc9754"/>
      <w:bookmarkStart w:id="252" w:name="_Toc17997"/>
      <w:bookmarkStart w:id="253" w:name="_Toc22239"/>
      <w:r>
        <w:rPr>
          <w:rFonts w:hint="eastAsia" w:asciiTheme="minorEastAsia" w:hAnsiTheme="minorEastAsia" w:eastAsiaTheme="minorEastAsia"/>
          <w:b/>
          <w:color w:val="auto"/>
          <w:sz w:val="28"/>
          <w:szCs w:val="32"/>
          <w:highlight w:val="none"/>
        </w:rPr>
        <w:t>质疑函制作说明：</w:t>
      </w:r>
      <w:bookmarkEnd w:id="251"/>
      <w:bookmarkEnd w:id="252"/>
      <w:bookmarkEnd w:id="253"/>
    </w:p>
    <w:p w14:paraId="3CFF75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9AE5D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F127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1F147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7B14C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6ADE8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8649F1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3D56C3C3">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4A4CD2A0">
      <w:pPr>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关于联合惩戒失信行为加强信用查询管理的通知</w:t>
      </w:r>
    </w:p>
    <w:p w14:paraId="6757D86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37E3777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6AF6B9A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2E0A9CC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254" w:name="OLE_LINK103"/>
      <w:bookmarkStart w:id="255" w:name="OLE_LINK91"/>
      <w:bookmarkStart w:id="256" w:name="OLE_LINK92"/>
      <w:bookmarkStart w:id="257" w:name="OLE_LINK93"/>
      <w:r>
        <w:rPr>
          <w:rFonts w:hint="eastAsia" w:ascii="宋体" w:hAnsi="宋体" w:eastAsia="宋体" w:cs="宋体"/>
          <w:color w:val="auto"/>
          <w:sz w:val="24"/>
          <w:szCs w:val="24"/>
          <w:highlight w:val="none"/>
        </w:rPr>
        <w:t>投标人、法定代表人及其项目经理(建造师)</w:t>
      </w:r>
      <w:bookmarkEnd w:id="254"/>
      <w:bookmarkEnd w:id="255"/>
      <w:bookmarkEnd w:id="256"/>
      <w:bookmarkEnd w:id="257"/>
      <w:r>
        <w:rPr>
          <w:rFonts w:hint="eastAsia" w:ascii="宋体" w:hAnsi="宋体" w:eastAsia="宋体" w:cs="宋体"/>
          <w:color w:val="auto"/>
          <w:sz w:val="24"/>
          <w:szCs w:val="24"/>
          <w:highlight w:val="none"/>
        </w:rPr>
        <w:t>以下失信行为：</w:t>
      </w:r>
    </w:p>
    <w:p w14:paraId="62D6F9D9">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58" w:name="OLE_LINK87"/>
      <w:bookmarkStart w:id="259" w:name="OLE_LINK3"/>
      <w:bookmarkStart w:id="260" w:name="OLE_LINK86"/>
      <w:bookmarkStart w:id="261" w:name="OLE_LINK94"/>
      <w:bookmarkStart w:id="262" w:name="OLE_LINK119"/>
      <w:r>
        <w:rPr>
          <w:rFonts w:hint="eastAsia" w:ascii="宋体" w:hAnsi="宋体" w:eastAsia="宋体" w:cs="宋体"/>
          <w:color w:val="auto"/>
          <w:sz w:val="24"/>
          <w:szCs w:val="24"/>
          <w:highlight w:val="none"/>
        </w:rPr>
        <w:t>①被列入“失信被执行人”的;</w:t>
      </w:r>
    </w:p>
    <w:p w14:paraId="7F64EA1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263" w:name="OLE_LINK116"/>
      <w:bookmarkStart w:id="264" w:name="OLE_LINK117"/>
      <w:bookmarkStart w:id="265" w:name="OLE_LINK115"/>
      <w:bookmarkStart w:id="266" w:name="OLE_LINK118"/>
      <w:r>
        <w:rPr>
          <w:rFonts w:hint="eastAsia" w:ascii="宋体" w:hAnsi="宋体" w:eastAsia="宋体" w:cs="宋体"/>
          <w:color w:val="auto"/>
          <w:sz w:val="24"/>
          <w:szCs w:val="24"/>
          <w:highlight w:val="none"/>
        </w:rPr>
        <w:t>“重大税收违法失信主体”</w:t>
      </w:r>
      <w:bookmarkEnd w:id="263"/>
      <w:bookmarkEnd w:id="264"/>
      <w:bookmarkEnd w:id="265"/>
      <w:bookmarkEnd w:id="266"/>
      <w:r>
        <w:rPr>
          <w:rFonts w:hint="eastAsia" w:ascii="宋体" w:hAnsi="宋体" w:eastAsia="宋体" w:cs="宋体"/>
          <w:color w:val="auto"/>
          <w:sz w:val="24"/>
          <w:szCs w:val="24"/>
          <w:highlight w:val="none"/>
        </w:rPr>
        <w:t>的；</w:t>
      </w:r>
    </w:p>
    <w:p w14:paraId="5D9C7F62">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67" w:name="OLE_LINK2"/>
      <w:bookmarkStart w:id="268" w:name="OLE_LINK1"/>
      <w:r>
        <w:rPr>
          <w:rFonts w:hint="eastAsia" w:ascii="宋体" w:hAnsi="宋体" w:eastAsia="宋体" w:cs="宋体"/>
          <w:color w:val="auto"/>
          <w:sz w:val="24"/>
          <w:szCs w:val="24"/>
          <w:highlight w:val="none"/>
        </w:rPr>
        <w:t>③被列入“拖欠</w:t>
      </w:r>
      <w:bookmarkStart w:id="269" w:name="OLE_LINK84"/>
      <w:bookmarkStart w:id="270" w:name="OLE_LINK85"/>
      <w:r>
        <w:rPr>
          <w:rFonts w:hint="eastAsia" w:ascii="宋体" w:hAnsi="宋体" w:eastAsia="宋体" w:cs="宋体"/>
          <w:color w:val="auto"/>
          <w:sz w:val="24"/>
          <w:szCs w:val="24"/>
          <w:highlight w:val="none"/>
        </w:rPr>
        <w:t>农民工工资失信联合惩戒对象</w:t>
      </w:r>
      <w:bookmarkEnd w:id="269"/>
      <w:bookmarkEnd w:id="270"/>
      <w:r>
        <w:rPr>
          <w:rFonts w:hint="eastAsia" w:ascii="宋体" w:hAnsi="宋体" w:eastAsia="宋体" w:cs="宋体"/>
          <w:color w:val="auto"/>
          <w:sz w:val="24"/>
          <w:szCs w:val="24"/>
          <w:highlight w:val="none"/>
        </w:rPr>
        <w:t>名单”的；</w:t>
      </w:r>
      <w:bookmarkEnd w:id="267"/>
      <w:bookmarkEnd w:id="268"/>
    </w:p>
    <w:p w14:paraId="31FA8D9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303E7C3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bookmarkEnd w:id="258"/>
    <w:bookmarkEnd w:id="259"/>
    <w:bookmarkEnd w:id="260"/>
    <w:bookmarkEnd w:id="261"/>
    <w:bookmarkEnd w:id="262"/>
    <w:p w14:paraId="0A18C71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71" w:name="OLE_LINK130"/>
      <w:r>
        <w:rPr>
          <w:rFonts w:hint="eastAsia" w:ascii="宋体" w:hAnsi="宋体" w:eastAsia="宋体" w:cs="宋体"/>
          <w:color w:val="auto"/>
          <w:sz w:val="24"/>
          <w:szCs w:val="24"/>
          <w:highlight w:val="none"/>
        </w:rPr>
        <w:t>国家企业信用信息公示系统网站</w:t>
      </w:r>
      <w:bookmarkEnd w:id="27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272" w:name="OLE_LINK89"/>
      <w:bookmarkStart w:id="273" w:name="OLE_LINK90"/>
      <w:r>
        <w:rPr>
          <w:rStyle w:val="41"/>
          <w:rFonts w:hint="eastAsia" w:ascii="宋体" w:hAnsi="宋体" w:eastAsia="宋体" w:cs="宋体"/>
          <w:color w:val="auto"/>
          <w:sz w:val="24"/>
          <w:szCs w:val="24"/>
          <w:highlight w:val="none"/>
        </w:rPr>
        <w:t>www.gsxt.gov.cn</w:t>
      </w:r>
      <w:bookmarkEnd w:id="272"/>
      <w:bookmarkEnd w:id="273"/>
      <w:r>
        <w:rPr>
          <w:rStyle w:val="41"/>
          <w:rFonts w:hint="eastAsia" w:ascii="宋体" w:hAnsi="宋体" w:eastAsia="宋体" w:cs="宋体"/>
          <w:color w:val="auto"/>
          <w:sz w:val="24"/>
          <w:szCs w:val="24"/>
          <w:highlight w:val="none"/>
        </w:rPr>
        <w:t>）</w:t>
      </w:r>
      <w:r>
        <w:rPr>
          <w:rStyle w:val="41"/>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6AA83C20">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74" w:name="OLE_LINK122"/>
      <w:bookmarkStart w:id="275" w:name="OLE_LINK121"/>
      <w:bookmarkStart w:id="276" w:name="OLE_LINK120"/>
      <w:r>
        <w:rPr>
          <w:rFonts w:hint="eastAsia" w:ascii="宋体" w:hAnsi="宋体" w:eastAsia="宋体" w:cs="宋体"/>
          <w:color w:val="auto"/>
          <w:sz w:val="24"/>
          <w:szCs w:val="24"/>
          <w:highlight w:val="none"/>
        </w:rPr>
        <w:t>①被列入“经营异常名录”或者“严重违法失信名单”的。</w:t>
      </w:r>
      <w:bookmarkEnd w:id="274"/>
      <w:bookmarkEnd w:id="275"/>
      <w:bookmarkEnd w:id="276"/>
    </w:p>
    <w:p w14:paraId="4C46FE0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2D2A6347">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77" w:name="OLE_LINK123"/>
      <w:bookmarkStart w:id="278" w:name="OLE_LINK124"/>
      <w:r>
        <w:rPr>
          <w:rFonts w:hint="eastAsia" w:ascii="宋体" w:hAnsi="宋体" w:eastAsia="宋体" w:cs="宋体"/>
          <w:color w:val="auto"/>
          <w:sz w:val="24"/>
          <w:szCs w:val="24"/>
          <w:highlight w:val="none"/>
        </w:rPr>
        <w:t>①前三年有行贿犯罪行为的单位和个人；</w:t>
      </w:r>
    </w:p>
    <w:p w14:paraId="71C89ECC">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29E346E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4C30ED10">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279" w:name="OLE_LINK107"/>
      <w:bookmarkStart w:id="280" w:name="OLE_LINK108"/>
      <w:r>
        <w:rPr>
          <w:rFonts w:hint="eastAsia" w:ascii="宋体" w:hAnsi="宋体" w:eastAsia="宋体" w:cs="宋体"/>
          <w:color w:val="auto"/>
          <w:sz w:val="24"/>
          <w:szCs w:val="24"/>
          <w:highlight w:val="none"/>
        </w:rPr>
        <w:t>县级及以上有关行政主管部门限制投标资格且在限制期限内的</w:t>
      </w:r>
      <w:bookmarkEnd w:id="279"/>
      <w:bookmarkEnd w:id="280"/>
      <w:r>
        <w:rPr>
          <w:rFonts w:hint="eastAsia" w:ascii="宋体" w:hAnsi="宋体" w:eastAsia="宋体" w:cs="宋体"/>
          <w:color w:val="auto"/>
          <w:sz w:val="24"/>
          <w:szCs w:val="24"/>
          <w:highlight w:val="none"/>
        </w:rPr>
        <w:t>；</w:t>
      </w:r>
    </w:p>
    <w:p w14:paraId="7939A1D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77"/>
    <w:bookmarkEnd w:id="278"/>
    <w:p w14:paraId="1625B699">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1096700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41"/>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36F20AD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585C95A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40116FA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 “严重失信主体名单”的；</w:t>
      </w:r>
    </w:p>
    <w:p w14:paraId="51AF6E4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④在“信用中国”网站上披露的仍在公示期的严重失信行为(具体行为类别及判定依据见附件2)的。</w:t>
      </w:r>
    </w:p>
    <w:p w14:paraId="3A143F7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0DD1FF8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81" w:name="OLE_LINK102"/>
      <w:bookmarkStart w:id="282" w:name="OLE_LINK100"/>
      <w:bookmarkStart w:id="283" w:name="OLE_LINK101"/>
      <w:r>
        <w:rPr>
          <w:rFonts w:hint="eastAsia" w:ascii="宋体" w:hAnsi="宋体" w:eastAsia="宋体" w:cs="宋体"/>
          <w:color w:val="auto"/>
          <w:sz w:val="24"/>
          <w:szCs w:val="24"/>
          <w:highlight w:val="none"/>
        </w:rPr>
        <w:t>被列入“经营异常名录”或者“严重违法失信名单”的</w:t>
      </w:r>
      <w:bookmarkEnd w:id="281"/>
      <w:bookmarkEnd w:id="282"/>
      <w:bookmarkEnd w:id="283"/>
      <w:r>
        <w:rPr>
          <w:rFonts w:hint="eastAsia" w:ascii="宋体" w:hAnsi="宋体" w:eastAsia="宋体" w:cs="宋体"/>
          <w:color w:val="auto"/>
          <w:sz w:val="24"/>
          <w:szCs w:val="24"/>
          <w:highlight w:val="none"/>
        </w:rPr>
        <w:t>。</w:t>
      </w:r>
    </w:p>
    <w:p w14:paraId="18920F3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284" w:name="OLE_LINK95"/>
      <w:bookmarkStart w:id="285" w:name="OLE_LINK96"/>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284"/>
      <w:bookmarkEnd w:id="285"/>
      <w:r>
        <w:rPr>
          <w:rFonts w:hint="eastAsia" w:ascii="宋体" w:hAnsi="宋体" w:eastAsia="宋体" w:cs="宋体"/>
          <w:color w:val="auto"/>
          <w:sz w:val="24"/>
          <w:szCs w:val="24"/>
          <w:highlight w:val="none"/>
        </w:rPr>
        <w:t>）查询以下失信行为：</w:t>
      </w:r>
    </w:p>
    <w:p w14:paraId="3229E97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86" w:name="OLE_LINK106"/>
      <w:bookmarkStart w:id="287" w:name="OLE_LINK105"/>
      <w:bookmarkStart w:id="288" w:name="OLE_LINK104"/>
      <w:r>
        <w:rPr>
          <w:rFonts w:hint="eastAsia" w:ascii="宋体" w:hAnsi="宋体" w:eastAsia="宋体" w:cs="宋体"/>
          <w:color w:val="auto"/>
          <w:sz w:val="24"/>
          <w:szCs w:val="24"/>
          <w:highlight w:val="none"/>
        </w:rPr>
        <w:t>被列入“政府采购严重违法失信行为信息记录”的</w:t>
      </w:r>
      <w:bookmarkEnd w:id="286"/>
      <w:bookmarkEnd w:id="287"/>
      <w:bookmarkEnd w:id="288"/>
      <w:r>
        <w:rPr>
          <w:rFonts w:hint="eastAsia" w:ascii="宋体" w:hAnsi="宋体" w:eastAsia="宋体" w:cs="宋体"/>
          <w:color w:val="auto"/>
          <w:sz w:val="24"/>
          <w:szCs w:val="24"/>
          <w:highlight w:val="none"/>
        </w:rPr>
        <w:t>。</w:t>
      </w:r>
    </w:p>
    <w:p w14:paraId="10D5860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4468622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1C3D5676">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6AA71CF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E9B6329">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5D185A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0D823FB8">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4CAB201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61839F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2A83DC1">
      <w:pPr>
        <w:wordWrap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C41E6D0">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20063E09">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color w:val="auto"/>
          <w:sz w:val="24"/>
          <w:szCs w:val="24"/>
          <w:highlight w:val="none"/>
          <w:lang w:bidi="ar"/>
        </w:rPr>
        <w:t xml:space="preserve"> </w:t>
      </w:r>
    </w:p>
    <w:p w14:paraId="7411057A">
      <w:pPr>
        <w:pStyle w:val="30"/>
        <w:ind w:firstLine="420"/>
        <w:rPr>
          <w:color w:val="auto"/>
          <w:highlight w:val="none"/>
        </w:rPr>
      </w:pPr>
      <w:r>
        <w:rPr>
          <w:rFonts w:hint="eastAsia"/>
          <w:color w:val="auto"/>
          <w:highlight w:val="none"/>
        </w:rPr>
        <w:t xml:space="preserve"> </w:t>
      </w:r>
    </w:p>
    <w:p w14:paraId="5FA0575F">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4A4835D1">
      <w:pPr>
        <w:adjustRightInd w:val="0"/>
        <w:snapToGrid w:val="0"/>
        <w:spacing w:line="560" w:lineRule="exact"/>
        <w:ind w:firstLine="645"/>
        <w:jc w:val="center"/>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“信用中国”查询的严重失信行为类别及判定依据</w:t>
      </w:r>
    </w:p>
    <w:p w14:paraId="20DB51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6FDBC4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6EF8B7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1AA3A3D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60A606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5E384FF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7EAA27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0A55CA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02E534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7EB5FA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5902A1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147286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0D5A34F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0B745B4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1AD6710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767543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782AF2D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2A4F50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4DF3F1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3A82FD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65E1C5B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7E5E45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51F241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7A9465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1FB6498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7B7F32A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340EE1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07AAAE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1C6867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436F007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89" w:name="OLE_LINK9"/>
      <w:bookmarkStart w:id="290" w:name="OLE_LINK10"/>
      <w:bookmarkStart w:id="291" w:name="OLE_LINK8"/>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289"/>
      <w:bookmarkEnd w:id="290"/>
      <w:bookmarkEnd w:id="291"/>
      <w:r>
        <w:rPr>
          <w:rFonts w:hint="eastAsia" w:ascii="宋体" w:hAnsi="宋体" w:eastAsia="宋体" w:cs="宋体"/>
          <w:b/>
          <w:color w:val="auto"/>
          <w:sz w:val="24"/>
          <w:szCs w:val="24"/>
          <w:highlight w:val="none"/>
        </w:rPr>
        <w:t>》、《</w:t>
      </w:r>
      <w:bookmarkStart w:id="292" w:name="OLE_LINK11"/>
      <w:bookmarkStart w:id="293" w:name="OLE_LINK12"/>
      <w:r>
        <w:rPr>
          <w:rFonts w:hint="eastAsia" w:ascii="宋体" w:hAnsi="宋体" w:eastAsia="宋体" w:cs="宋体"/>
          <w:b/>
          <w:color w:val="auto"/>
          <w:sz w:val="24"/>
          <w:szCs w:val="24"/>
          <w:highlight w:val="none"/>
        </w:rPr>
        <w:t>企业环境信用评价办法（试行）</w:t>
      </w:r>
      <w:bookmarkEnd w:id="292"/>
      <w:bookmarkEnd w:id="293"/>
      <w:r>
        <w:rPr>
          <w:rFonts w:hint="eastAsia" w:ascii="宋体" w:hAnsi="宋体" w:eastAsia="宋体" w:cs="宋体"/>
          <w:b/>
          <w:color w:val="auto"/>
          <w:sz w:val="24"/>
          <w:szCs w:val="24"/>
          <w:highlight w:val="none"/>
        </w:rPr>
        <w:t>》（环发〔2013〕150号）</w:t>
      </w:r>
    </w:p>
    <w:p w14:paraId="25A3D19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18BDAE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297DA2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075FD2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16422B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6162897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5BA0EA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394491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24898C0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58E83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57EDEE3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0468F9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0FD7D8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02CDD2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E9535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8237B3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7DC185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3CC5C09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1844C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388FE80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31A6F4B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4" w:name="OLE_LINK14"/>
      <w:bookmarkStart w:id="295" w:name="OLE_LINK13"/>
      <w:r>
        <w:rPr>
          <w:rFonts w:hint="eastAsia" w:ascii="宋体" w:hAnsi="宋体" w:eastAsia="宋体" w:cs="宋体"/>
          <w:b/>
          <w:color w:val="auto"/>
          <w:sz w:val="24"/>
          <w:szCs w:val="24"/>
          <w:highlight w:val="none"/>
        </w:rPr>
        <w:t>关于对公共资源交易领域严重失信主体开展联合惩戒的备忘录</w:t>
      </w:r>
      <w:bookmarkEnd w:id="294"/>
      <w:bookmarkEnd w:id="295"/>
      <w:r>
        <w:rPr>
          <w:rFonts w:hint="eastAsia" w:ascii="宋体" w:hAnsi="宋体" w:eastAsia="宋体" w:cs="宋体"/>
          <w:b/>
          <w:color w:val="auto"/>
          <w:sz w:val="24"/>
          <w:szCs w:val="24"/>
          <w:highlight w:val="none"/>
        </w:rPr>
        <w:t>》（发改法规〔2018〕457号）</w:t>
      </w:r>
    </w:p>
    <w:p w14:paraId="4E87477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75E623B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17FB6C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6761A81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6E7A50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w:t>
      </w:r>
      <w:r>
        <w:rPr>
          <w:rFonts w:hint="eastAsia" w:ascii="宋体" w:hAnsi="宋体" w:eastAsia="宋体" w:cs="宋体"/>
          <w:color w:val="auto"/>
          <w:sz w:val="24"/>
          <w:szCs w:val="24"/>
          <w:highlight w:val="none"/>
          <w:lang w:eastAsia="zh-CN"/>
        </w:rPr>
        <w:t>运行</w:t>
      </w:r>
      <w:r>
        <w:rPr>
          <w:rFonts w:hint="eastAsia" w:ascii="宋体" w:hAnsi="宋体" w:eastAsia="宋体" w:cs="宋体"/>
          <w:color w:val="auto"/>
          <w:sz w:val="24"/>
          <w:szCs w:val="24"/>
          <w:highlight w:val="none"/>
        </w:rPr>
        <w:t>的；</w:t>
      </w:r>
    </w:p>
    <w:p w14:paraId="7DAE80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34E862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420F4F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634779B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58E7D3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1394ECF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6" w:name="OLE_LINK15"/>
      <w:bookmarkStart w:id="297" w:name="OLE_LINK16"/>
      <w:r>
        <w:rPr>
          <w:rFonts w:hint="eastAsia" w:ascii="宋体" w:hAnsi="宋体" w:eastAsia="宋体" w:cs="宋体"/>
          <w:b/>
          <w:color w:val="auto"/>
          <w:sz w:val="24"/>
          <w:szCs w:val="24"/>
          <w:highlight w:val="none"/>
        </w:rPr>
        <w:t>关于对社会保险领域严重失信企业及其有关人员实施联合惩戒的合作备忘录</w:t>
      </w:r>
      <w:bookmarkEnd w:id="296"/>
      <w:bookmarkEnd w:id="297"/>
      <w:r>
        <w:rPr>
          <w:rFonts w:hint="eastAsia" w:ascii="宋体" w:hAnsi="宋体" w:eastAsia="宋体" w:cs="宋体"/>
          <w:b/>
          <w:color w:val="auto"/>
          <w:sz w:val="24"/>
          <w:szCs w:val="24"/>
          <w:highlight w:val="none"/>
        </w:rPr>
        <w:t>》（发改财金〔2018〕1704号）</w:t>
      </w:r>
    </w:p>
    <w:p w14:paraId="422BCA0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7512F4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6E9625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533FD7E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00C6F0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33BA187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16192062">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98" w:name="OLE_LINK18"/>
      <w:bookmarkStart w:id="299" w:name="OLE_LINK17"/>
      <w:r>
        <w:rPr>
          <w:rFonts w:hint="eastAsia" w:ascii="宋体" w:hAnsi="宋体" w:eastAsia="宋体" w:cs="宋体"/>
          <w:b/>
          <w:color w:val="auto"/>
          <w:sz w:val="24"/>
          <w:szCs w:val="24"/>
          <w:highlight w:val="none"/>
        </w:rPr>
        <w:t>建筑市场信用管理暂行办法</w:t>
      </w:r>
      <w:bookmarkEnd w:id="298"/>
      <w:bookmarkEnd w:id="299"/>
      <w:r>
        <w:rPr>
          <w:rFonts w:hint="eastAsia" w:ascii="宋体" w:hAnsi="宋体" w:eastAsia="宋体" w:cs="宋体"/>
          <w:b/>
          <w:color w:val="auto"/>
          <w:sz w:val="24"/>
          <w:szCs w:val="24"/>
          <w:highlight w:val="none"/>
        </w:rPr>
        <w:t>》（建市〔2017〕241号）</w:t>
      </w:r>
    </w:p>
    <w:p w14:paraId="7CC3C97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300" w:name="OLE_LINK20"/>
      <w:bookmarkStart w:id="301" w:name="OLE_LINK19"/>
      <w:r>
        <w:rPr>
          <w:rFonts w:hint="eastAsia" w:ascii="宋体" w:hAnsi="宋体" w:eastAsia="宋体" w:cs="宋体"/>
          <w:b/>
          <w:color w:val="auto"/>
          <w:sz w:val="24"/>
          <w:szCs w:val="24"/>
          <w:highlight w:val="none"/>
        </w:rPr>
        <w:t>政府采购严重失信行为</w:t>
      </w:r>
      <w:bookmarkEnd w:id="300"/>
      <w:bookmarkEnd w:id="301"/>
    </w:p>
    <w:p w14:paraId="26CEBE4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117DC37D">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309C6B85">
      <w:pPr>
        <w:spacing w:line="360" w:lineRule="auto"/>
        <w:ind w:firstLine="435"/>
        <w:rPr>
          <w:rFonts w:hint="eastAsia" w:ascii="仿宋_GB2312" w:hAnsi="宋体" w:eastAsia="仿宋_GB2312" w:cs="Times New Roman"/>
          <w:b/>
          <w:color w:val="auto"/>
          <w:sz w:val="32"/>
          <w:szCs w:val="32"/>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sectPr>
      <w:headerReference r:id="rId6" w:type="default"/>
      <w:footerReference r:id="rId7" w:type="default"/>
      <w:pgSz w:w="11906" w:h="16838"/>
      <w:pgMar w:top="1440" w:right="1286"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D680">
    <w:pPr>
      <w:pStyle w:val="20"/>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25828">
    <w:pPr>
      <w:pStyle w:val="20"/>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F27E">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9D49E">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29D49E">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FA94">
    <w:pPr>
      <w:pStyle w:val="21"/>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B5EA">
    <w:pPr>
      <w:pStyle w:val="21"/>
      <w:jc w:val="left"/>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1D4FE"/>
    <w:multiLevelType w:val="singleLevel"/>
    <w:tmpl w:val="AF01D4FE"/>
    <w:lvl w:ilvl="0" w:tentative="0">
      <w:start w:val="4"/>
      <w:numFmt w:val="decimal"/>
      <w:lvlText w:val="%1."/>
      <w:lvlJc w:val="left"/>
      <w:pPr>
        <w:tabs>
          <w:tab w:val="left" w:pos="312"/>
        </w:tabs>
      </w:pPr>
    </w:lvl>
  </w:abstractNum>
  <w:abstractNum w:abstractNumId="1">
    <w:nsid w:val="E0E41B8D"/>
    <w:multiLevelType w:val="singleLevel"/>
    <w:tmpl w:val="E0E41B8D"/>
    <w:lvl w:ilvl="0" w:tentative="0">
      <w:start w:val="5"/>
      <w:numFmt w:val="chineseCounting"/>
      <w:suff w:val="nothing"/>
      <w:lvlText w:val="（%1）"/>
      <w:lvlJc w:val="left"/>
      <w:rPr>
        <w:rFonts w:hint="eastAsia"/>
      </w:rPr>
    </w:lvl>
  </w:abstractNum>
  <w:abstractNum w:abstractNumId="2">
    <w:nsid w:val="2323379E"/>
    <w:multiLevelType w:val="multilevel"/>
    <w:tmpl w:val="2323379E"/>
    <w:lvl w:ilvl="0" w:tentative="0">
      <w:start w:val="1"/>
      <w:numFmt w:val="chineseCountingThousand"/>
      <w:pStyle w:val="27"/>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Y2YxMTcxYWY0NzdhNzczZWE3YWVlZTNkZmNiZjQ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3F70"/>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3E5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4959"/>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1B2"/>
    <w:rsid w:val="003D6C7C"/>
    <w:rsid w:val="003D6EFB"/>
    <w:rsid w:val="003D7E52"/>
    <w:rsid w:val="003E25C6"/>
    <w:rsid w:val="003E6BEB"/>
    <w:rsid w:val="003F145B"/>
    <w:rsid w:val="003F2122"/>
    <w:rsid w:val="003F326A"/>
    <w:rsid w:val="004011AA"/>
    <w:rsid w:val="0040202C"/>
    <w:rsid w:val="00406508"/>
    <w:rsid w:val="0041456E"/>
    <w:rsid w:val="004149CA"/>
    <w:rsid w:val="00414F7E"/>
    <w:rsid w:val="004164F8"/>
    <w:rsid w:val="00417FD0"/>
    <w:rsid w:val="00420B7F"/>
    <w:rsid w:val="004234BA"/>
    <w:rsid w:val="0042488B"/>
    <w:rsid w:val="00435CE8"/>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DF5"/>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313"/>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3E26"/>
    <w:rsid w:val="00734E5D"/>
    <w:rsid w:val="00735AF1"/>
    <w:rsid w:val="00736013"/>
    <w:rsid w:val="00737661"/>
    <w:rsid w:val="00755D75"/>
    <w:rsid w:val="00756245"/>
    <w:rsid w:val="0076130F"/>
    <w:rsid w:val="00761662"/>
    <w:rsid w:val="00764043"/>
    <w:rsid w:val="00766F94"/>
    <w:rsid w:val="007757CF"/>
    <w:rsid w:val="00776977"/>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AFF"/>
    <w:rsid w:val="00847B0F"/>
    <w:rsid w:val="00852994"/>
    <w:rsid w:val="00873D89"/>
    <w:rsid w:val="00876659"/>
    <w:rsid w:val="00876677"/>
    <w:rsid w:val="0087734C"/>
    <w:rsid w:val="00882141"/>
    <w:rsid w:val="00887E3B"/>
    <w:rsid w:val="008922A8"/>
    <w:rsid w:val="008953F8"/>
    <w:rsid w:val="00895728"/>
    <w:rsid w:val="00895BD5"/>
    <w:rsid w:val="0089742B"/>
    <w:rsid w:val="008A16C4"/>
    <w:rsid w:val="008A4883"/>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5815"/>
    <w:rsid w:val="00917405"/>
    <w:rsid w:val="00920035"/>
    <w:rsid w:val="00920F7C"/>
    <w:rsid w:val="00934CAE"/>
    <w:rsid w:val="0094257D"/>
    <w:rsid w:val="00942F60"/>
    <w:rsid w:val="0095211B"/>
    <w:rsid w:val="0095467C"/>
    <w:rsid w:val="00954A61"/>
    <w:rsid w:val="00955C6F"/>
    <w:rsid w:val="00966C7B"/>
    <w:rsid w:val="009701DC"/>
    <w:rsid w:val="009715D8"/>
    <w:rsid w:val="00977B14"/>
    <w:rsid w:val="00980D0D"/>
    <w:rsid w:val="00985C4B"/>
    <w:rsid w:val="00995BF9"/>
    <w:rsid w:val="00997C3C"/>
    <w:rsid w:val="009A0CAF"/>
    <w:rsid w:val="009A1474"/>
    <w:rsid w:val="009A2207"/>
    <w:rsid w:val="009A5147"/>
    <w:rsid w:val="009A74C4"/>
    <w:rsid w:val="009B02D2"/>
    <w:rsid w:val="009B4966"/>
    <w:rsid w:val="009B6C42"/>
    <w:rsid w:val="009C4EA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87C1F"/>
    <w:rsid w:val="00A9176A"/>
    <w:rsid w:val="00A91CA2"/>
    <w:rsid w:val="00A92FB8"/>
    <w:rsid w:val="00A948F1"/>
    <w:rsid w:val="00AA1D7D"/>
    <w:rsid w:val="00AA7525"/>
    <w:rsid w:val="00AB0EA9"/>
    <w:rsid w:val="00AB139D"/>
    <w:rsid w:val="00AB2C46"/>
    <w:rsid w:val="00AB3904"/>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0A04"/>
    <w:rsid w:val="00B1406E"/>
    <w:rsid w:val="00B22838"/>
    <w:rsid w:val="00B27D52"/>
    <w:rsid w:val="00B32BC1"/>
    <w:rsid w:val="00B33E95"/>
    <w:rsid w:val="00B34EE1"/>
    <w:rsid w:val="00B35B5E"/>
    <w:rsid w:val="00B361F2"/>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1E6B"/>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6920"/>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0994"/>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6633"/>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4260"/>
    <w:rsid w:val="00E772DB"/>
    <w:rsid w:val="00E84814"/>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C7B2B"/>
    <w:rsid w:val="00ED15FA"/>
    <w:rsid w:val="00ED1E00"/>
    <w:rsid w:val="00ED3BD8"/>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F3B4F"/>
    <w:rsid w:val="01102F32"/>
    <w:rsid w:val="011D4A64"/>
    <w:rsid w:val="012F5F9F"/>
    <w:rsid w:val="013C58A6"/>
    <w:rsid w:val="014C4DA3"/>
    <w:rsid w:val="01715074"/>
    <w:rsid w:val="018502B5"/>
    <w:rsid w:val="01932740"/>
    <w:rsid w:val="01B5564B"/>
    <w:rsid w:val="01DF5B93"/>
    <w:rsid w:val="01E50D53"/>
    <w:rsid w:val="02021905"/>
    <w:rsid w:val="02074C5B"/>
    <w:rsid w:val="0214602E"/>
    <w:rsid w:val="02355837"/>
    <w:rsid w:val="0248052C"/>
    <w:rsid w:val="02634A54"/>
    <w:rsid w:val="026E4052"/>
    <w:rsid w:val="026E6F9B"/>
    <w:rsid w:val="02816CCE"/>
    <w:rsid w:val="029F0F02"/>
    <w:rsid w:val="02B26E88"/>
    <w:rsid w:val="02B726F0"/>
    <w:rsid w:val="02B73990"/>
    <w:rsid w:val="02E463C3"/>
    <w:rsid w:val="02FF3972"/>
    <w:rsid w:val="02FF5E45"/>
    <w:rsid w:val="030B2A3C"/>
    <w:rsid w:val="03100052"/>
    <w:rsid w:val="03125B78"/>
    <w:rsid w:val="032558AB"/>
    <w:rsid w:val="032579EB"/>
    <w:rsid w:val="032B1647"/>
    <w:rsid w:val="03367AB9"/>
    <w:rsid w:val="0337738D"/>
    <w:rsid w:val="03486B27"/>
    <w:rsid w:val="035166A0"/>
    <w:rsid w:val="03522419"/>
    <w:rsid w:val="035E0DBD"/>
    <w:rsid w:val="035F033E"/>
    <w:rsid w:val="038A570F"/>
    <w:rsid w:val="03CF3A69"/>
    <w:rsid w:val="03E05C76"/>
    <w:rsid w:val="03E77005"/>
    <w:rsid w:val="04096F7B"/>
    <w:rsid w:val="040A094E"/>
    <w:rsid w:val="040A2CF3"/>
    <w:rsid w:val="040A684F"/>
    <w:rsid w:val="041476CE"/>
    <w:rsid w:val="04192E67"/>
    <w:rsid w:val="04447FB3"/>
    <w:rsid w:val="0449381C"/>
    <w:rsid w:val="04506958"/>
    <w:rsid w:val="04642123"/>
    <w:rsid w:val="04662AF8"/>
    <w:rsid w:val="04706FFA"/>
    <w:rsid w:val="04830DD3"/>
    <w:rsid w:val="04977050"/>
    <w:rsid w:val="04A96068"/>
    <w:rsid w:val="04B40AA7"/>
    <w:rsid w:val="04D071EB"/>
    <w:rsid w:val="04DB510E"/>
    <w:rsid w:val="04E36C96"/>
    <w:rsid w:val="05045994"/>
    <w:rsid w:val="05087233"/>
    <w:rsid w:val="050F1CF0"/>
    <w:rsid w:val="05241B93"/>
    <w:rsid w:val="052A244B"/>
    <w:rsid w:val="05360CCD"/>
    <w:rsid w:val="054162A1"/>
    <w:rsid w:val="05490FE9"/>
    <w:rsid w:val="05571F68"/>
    <w:rsid w:val="056800F4"/>
    <w:rsid w:val="056F201D"/>
    <w:rsid w:val="057228FE"/>
    <w:rsid w:val="05792ED8"/>
    <w:rsid w:val="05B664D4"/>
    <w:rsid w:val="05C06CFC"/>
    <w:rsid w:val="05E27A84"/>
    <w:rsid w:val="05F32383"/>
    <w:rsid w:val="06304C93"/>
    <w:rsid w:val="063A78C0"/>
    <w:rsid w:val="065714D5"/>
    <w:rsid w:val="06604E4C"/>
    <w:rsid w:val="06620BC5"/>
    <w:rsid w:val="068A2439"/>
    <w:rsid w:val="069915C7"/>
    <w:rsid w:val="06AC6EC4"/>
    <w:rsid w:val="06C54CB0"/>
    <w:rsid w:val="06EC048E"/>
    <w:rsid w:val="06FE67EB"/>
    <w:rsid w:val="07076C01"/>
    <w:rsid w:val="071C12AC"/>
    <w:rsid w:val="072B0FB7"/>
    <w:rsid w:val="074E07B0"/>
    <w:rsid w:val="074E231E"/>
    <w:rsid w:val="076E3C75"/>
    <w:rsid w:val="078968DF"/>
    <w:rsid w:val="078D7EC3"/>
    <w:rsid w:val="07972AF0"/>
    <w:rsid w:val="07A934B3"/>
    <w:rsid w:val="07B54D24"/>
    <w:rsid w:val="07CA4C73"/>
    <w:rsid w:val="07CB3B73"/>
    <w:rsid w:val="07EA1E82"/>
    <w:rsid w:val="07EA2AB5"/>
    <w:rsid w:val="07EC6998"/>
    <w:rsid w:val="08002443"/>
    <w:rsid w:val="08017F69"/>
    <w:rsid w:val="080A3F49"/>
    <w:rsid w:val="08183C31"/>
    <w:rsid w:val="082D6FB0"/>
    <w:rsid w:val="0834033F"/>
    <w:rsid w:val="08365E65"/>
    <w:rsid w:val="0848170D"/>
    <w:rsid w:val="08481AF0"/>
    <w:rsid w:val="084A7B62"/>
    <w:rsid w:val="086329D2"/>
    <w:rsid w:val="08752E31"/>
    <w:rsid w:val="089C002C"/>
    <w:rsid w:val="089F1C5C"/>
    <w:rsid w:val="08B15E54"/>
    <w:rsid w:val="08B337F4"/>
    <w:rsid w:val="08BD20E2"/>
    <w:rsid w:val="08C55F20"/>
    <w:rsid w:val="08DF64FD"/>
    <w:rsid w:val="09053386"/>
    <w:rsid w:val="09102B5A"/>
    <w:rsid w:val="09104908"/>
    <w:rsid w:val="091F64A7"/>
    <w:rsid w:val="094E71DE"/>
    <w:rsid w:val="09500798"/>
    <w:rsid w:val="09551211"/>
    <w:rsid w:val="09656CA2"/>
    <w:rsid w:val="0980799C"/>
    <w:rsid w:val="098552F6"/>
    <w:rsid w:val="098826F0"/>
    <w:rsid w:val="098A6B88"/>
    <w:rsid w:val="099D3A04"/>
    <w:rsid w:val="09BC3961"/>
    <w:rsid w:val="09BD2026"/>
    <w:rsid w:val="09E3201C"/>
    <w:rsid w:val="0A026946"/>
    <w:rsid w:val="0A030034"/>
    <w:rsid w:val="0A0F6376"/>
    <w:rsid w:val="0A161087"/>
    <w:rsid w:val="0A1B2CDB"/>
    <w:rsid w:val="0A353CEA"/>
    <w:rsid w:val="0A3F5921"/>
    <w:rsid w:val="0A430D0D"/>
    <w:rsid w:val="0A4763AE"/>
    <w:rsid w:val="0A6A18DB"/>
    <w:rsid w:val="0A6C649F"/>
    <w:rsid w:val="0A71587A"/>
    <w:rsid w:val="0AD57BB7"/>
    <w:rsid w:val="0AEF3828"/>
    <w:rsid w:val="0B083213"/>
    <w:rsid w:val="0B0E131B"/>
    <w:rsid w:val="0B1539A9"/>
    <w:rsid w:val="0B1A49D7"/>
    <w:rsid w:val="0B1F7084"/>
    <w:rsid w:val="0B224DC6"/>
    <w:rsid w:val="0B6F49AF"/>
    <w:rsid w:val="0B96019A"/>
    <w:rsid w:val="0B9C1F49"/>
    <w:rsid w:val="0BBB665B"/>
    <w:rsid w:val="0BC02ADB"/>
    <w:rsid w:val="0BC87582"/>
    <w:rsid w:val="0BCD0A44"/>
    <w:rsid w:val="0BFF2A12"/>
    <w:rsid w:val="0C1B4058"/>
    <w:rsid w:val="0C1D0E18"/>
    <w:rsid w:val="0C2110D0"/>
    <w:rsid w:val="0C272694"/>
    <w:rsid w:val="0C4B07B3"/>
    <w:rsid w:val="0C9F66CF"/>
    <w:rsid w:val="0CB7664E"/>
    <w:rsid w:val="0CD143AE"/>
    <w:rsid w:val="0D15073F"/>
    <w:rsid w:val="0D444B80"/>
    <w:rsid w:val="0D611BD6"/>
    <w:rsid w:val="0D6F4BBB"/>
    <w:rsid w:val="0D814026"/>
    <w:rsid w:val="0D857E41"/>
    <w:rsid w:val="0D9C2C0E"/>
    <w:rsid w:val="0DA4444E"/>
    <w:rsid w:val="0DD95C10"/>
    <w:rsid w:val="0DFC36AD"/>
    <w:rsid w:val="0E033B6C"/>
    <w:rsid w:val="0E060087"/>
    <w:rsid w:val="0E0F4284"/>
    <w:rsid w:val="0E1053AA"/>
    <w:rsid w:val="0E56100F"/>
    <w:rsid w:val="0E6361CE"/>
    <w:rsid w:val="0E644B12"/>
    <w:rsid w:val="0E680D42"/>
    <w:rsid w:val="0E770F85"/>
    <w:rsid w:val="0E816EC5"/>
    <w:rsid w:val="0E9A4882"/>
    <w:rsid w:val="0EAA425E"/>
    <w:rsid w:val="0EBB519A"/>
    <w:rsid w:val="0EDA56AA"/>
    <w:rsid w:val="0EEA6FC1"/>
    <w:rsid w:val="0F2904D1"/>
    <w:rsid w:val="0F2A424A"/>
    <w:rsid w:val="0F5E3AD6"/>
    <w:rsid w:val="0F670FFA"/>
    <w:rsid w:val="0F753717"/>
    <w:rsid w:val="0F76123D"/>
    <w:rsid w:val="0F954485"/>
    <w:rsid w:val="0F9C2276"/>
    <w:rsid w:val="0FBF344F"/>
    <w:rsid w:val="0FD22917"/>
    <w:rsid w:val="0FEB1C2B"/>
    <w:rsid w:val="10150EEE"/>
    <w:rsid w:val="10182B28"/>
    <w:rsid w:val="101D790A"/>
    <w:rsid w:val="102B64CB"/>
    <w:rsid w:val="10432B4B"/>
    <w:rsid w:val="10505F32"/>
    <w:rsid w:val="105A27E6"/>
    <w:rsid w:val="106602BF"/>
    <w:rsid w:val="10727C56"/>
    <w:rsid w:val="107C2883"/>
    <w:rsid w:val="10826665"/>
    <w:rsid w:val="10A81616"/>
    <w:rsid w:val="10E741A0"/>
    <w:rsid w:val="10EA1EE2"/>
    <w:rsid w:val="10F03EEC"/>
    <w:rsid w:val="10F16DCD"/>
    <w:rsid w:val="10F91159"/>
    <w:rsid w:val="11056D1C"/>
    <w:rsid w:val="11324226"/>
    <w:rsid w:val="11430C47"/>
    <w:rsid w:val="114C66F9"/>
    <w:rsid w:val="116E764C"/>
    <w:rsid w:val="119B0711"/>
    <w:rsid w:val="11A402E3"/>
    <w:rsid w:val="11D30BC8"/>
    <w:rsid w:val="11E960B5"/>
    <w:rsid w:val="11F31F18"/>
    <w:rsid w:val="120B0362"/>
    <w:rsid w:val="12197477"/>
    <w:rsid w:val="12211934"/>
    <w:rsid w:val="122D2087"/>
    <w:rsid w:val="123E4294"/>
    <w:rsid w:val="12465CFA"/>
    <w:rsid w:val="12491A36"/>
    <w:rsid w:val="12543AB7"/>
    <w:rsid w:val="12665599"/>
    <w:rsid w:val="12893054"/>
    <w:rsid w:val="128D6FC9"/>
    <w:rsid w:val="129154D7"/>
    <w:rsid w:val="129C1FAB"/>
    <w:rsid w:val="12B74046"/>
    <w:rsid w:val="12B85451"/>
    <w:rsid w:val="12D544CC"/>
    <w:rsid w:val="12E0359D"/>
    <w:rsid w:val="12E12E71"/>
    <w:rsid w:val="12E666D9"/>
    <w:rsid w:val="13070B2A"/>
    <w:rsid w:val="13176844"/>
    <w:rsid w:val="133128D5"/>
    <w:rsid w:val="133752AE"/>
    <w:rsid w:val="1339201A"/>
    <w:rsid w:val="13562BE5"/>
    <w:rsid w:val="13587E2C"/>
    <w:rsid w:val="13675A6C"/>
    <w:rsid w:val="136A013D"/>
    <w:rsid w:val="13750189"/>
    <w:rsid w:val="137A6E8E"/>
    <w:rsid w:val="138562A3"/>
    <w:rsid w:val="13AA2202"/>
    <w:rsid w:val="13AC347F"/>
    <w:rsid w:val="13B27223"/>
    <w:rsid w:val="13B50586"/>
    <w:rsid w:val="13DF5603"/>
    <w:rsid w:val="140B464A"/>
    <w:rsid w:val="140D6614"/>
    <w:rsid w:val="141D437D"/>
    <w:rsid w:val="145E3CF0"/>
    <w:rsid w:val="1466407E"/>
    <w:rsid w:val="146855F8"/>
    <w:rsid w:val="14805C1B"/>
    <w:rsid w:val="14834E28"/>
    <w:rsid w:val="148E7D65"/>
    <w:rsid w:val="14957497"/>
    <w:rsid w:val="14DB04C0"/>
    <w:rsid w:val="14EC447B"/>
    <w:rsid w:val="14ED3D4F"/>
    <w:rsid w:val="14FB2910"/>
    <w:rsid w:val="15051099"/>
    <w:rsid w:val="151D4243"/>
    <w:rsid w:val="15231BF9"/>
    <w:rsid w:val="15340AF3"/>
    <w:rsid w:val="1539446C"/>
    <w:rsid w:val="154047C7"/>
    <w:rsid w:val="15424EBD"/>
    <w:rsid w:val="15724254"/>
    <w:rsid w:val="1579299E"/>
    <w:rsid w:val="158A3C94"/>
    <w:rsid w:val="158A3D24"/>
    <w:rsid w:val="159266A5"/>
    <w:rsid w:val="15950B80"/>
    <w:rsid w:val="15AC4BCD"/>
    <w:rsid w:val="15DA1B6E"/>
    <w:rsid w:val="15F96E46"/>
    <w:rsid w:val="16104199"/>
    <w:rsid w:val="161672D6"/>
    <w:rsid w:val="16184DFC"/>
    <w:rsid w:val="1619387E"/>
    <w:rsid w:val="162D1ED0"/>
    <w:rsid w:val="163D40A6"/>
    <w:rsid w:val="164D3D9D"/>
    <w:rsid w:val="167E55A7"/>
    <w:rsid w:val="167E73DC"/>
    <w:rsid w:val="16CB4564"/>
    <w:rsid w:val="16D36F75"/>
    <w:rsid w:val="16DC407B"/>
    <w:rsid w:val="174B2975"/>
    <w:rsid w:val="174B2FAF"/>
    <w:rsid w:val="176127D3"/>
    <w:rsid w:val="17622036"/>
    <w:rsid w:val="1776002C"/>
    <w:rsid w:val="178A3AD7"/>
    <w:rsid w:val="17982698"/>
    <w:rsid w:val="179F5278"/>
    <w:rsid w:val="17AE3C6A"/>
    <w:rsid w:val="17B737AF"/>
    <w:rsid w:val="17B80644"/>
    <w:rsid w:val="17BF778E"/>
    <w:rsid w:val="17D336D0"/>
    <w:rsid w:val="17E46C81"/>
    <w:rsid w:val="17FC3D52"/>
    <w:rsid w:val="17FF44C5"/>
    <w:rsid w:val="18003D99"/>
    <w:rsid w:val="18095344"/>
    <w:rsid w:val="180970F2"/>
    <w:rsid w:val="18355904"/>
    <w:rsid w:val="186E33F9"/>
    <w:rsid w:val="18820D6D"/>
    <w:rsid w:val="18983BDA"/>
    <w:rsid w:val="18C24EA7"/>
    <w:rsid w:val="1912647A"/>
    <w:rsid w:val="19157D18"/>
    <w:rsid w:val="191C4C03"/>
    <w:rsid w:val="191C4EEE"/>
    <w:rsid w:val="19237EB1"/>
    <w:rsid w:val="19467ED2"/>
    <w:rsid w:val="194A5C14"/>
    <w:rsid w:val="196640D0"/>
    <w:rsid w:val="199944A6"/>
    <w:rsid w:val="19A90B8D"/>
    <w:rsid w:val="19B906A4"/>
    <w:rsid w:val="19BD10D5"/>
    <w:rsid w:val="19C77265"/>
    <w:rsid w:val="19C948DB"/>
    <w:rsid w:val="19CB1851"/>
    <w:rsid w:val="19D61256"/>
    <w:rsid w:val="1A0A5C1B"/>
    <w:rsid w:val="1A1264ED"/>
    <w:rsid w:val="1A147FD0"/>
    <w:rsid w:val="1A152E4E"/>
    <w:rsid w:val="1A274049"/>
    <w:rsid w:val="1A2C2418"/>
    <w:rsid w:val="1A3B68AA"/>
    <w:rsid w:val="1A3E1C1E"/>
    <w:rsid w:val="1A496EF9"/>
    <w:rsid w:val="1A642D06"/>
    <w:rsid w:val="1AB5530F"/>
    <w:rsid w:val="1ABD3333"/>
    <w:rsid w:val="1ACD710D"/>
    <w:rsid w:val="1AE6196C"/>
    <w:rsid w:val="1AED4B38"/>
    <w:rsid w:val="1AFA0F74"/>
    <w:rsid w:val="1B1F3BFD"/>
    <w:rsid w:val="1B356450"/>
    <w:rsid w:val="1B4072CF"/>
    <w:rsid w:val="1B416BA3"/>
    <w:rsid w:val="1B522B5E"/>
    <w:rsid w:val="1B5763C6"/>
    <w:rsid w:val="1BA710FC"/>
    <w:rsid w:val="1BAF6202"/>
    <w:rsid w:val="1BC17CE4"/>
    <w:rsid w:val="1BC429EE"/>
    <w:rsid w:val="1BF101B4"/>
    <w:rsid w:val="1BF12377"/>
    <w:rsid w:val="1BF6798D"/>
    <w:rsid w:val="1C067E96"/>
    <w:rsid w:val="1C0F0A4F"/>
    <w:rsid w:val="1C141836"/>
    <w:rsid w:val="1C273FEB"/>
    <w:rsid w:val="1C297D63"/>
    <w:rsid w:val="1CAA0778"/>
    <w:rsid w:val="1CB95CA3"/>
    <w:rsid w:val="1CD75A11"/>
    <w:rsid w:val="1CD864A4"/>
    <w:rsid w:val="1CEB5018"/>
    <w:rsid w:val="1CEE4B08"/>
    <w:rsid w:val="1D1F18B6"/>
    <w:rsid w:val="1D210A3A"/>
    <w:rsid w:val="1D3577F5"/>
    <w:rsid w:val="1D3764AF"/>
    <w:rsid w:val="1D385D84"/>
    <w:rsid w:val="1D525097"/>
    <w:rsid w:val="1D6D1ED1"/>
    <w:rsid w:val="1D743260"/>
    <w:rsid w:val="1D8334A3"/>
    <w:rsid w:val="1D927B8A"/>
    <w:rsid w:val="1DA33B45"/>
    <w:rsid w:val="1DBB6AE0"/>
    <w:rsid w:val="1DC046F7"/>
    <w:rsid w:val="1DC51D0D"/>
    <w:rsid w:val="1DD12460"/>
    <w:rsid w:val="1DE4439A"/>
    <w:rsid w:val="1E085F02"/>
    <w:rsid w:val="1E0F4D36"/>
    <w:rsid w:val="1E16676E"/>
    <w:rsid w:val="1E230902"/>
    <w:rsid w:val="1E5170FD"/>
    <w:rsid w:val="1E6B6A14"/>
    <w:rsid w:val="1E6C2189"/>
    <w:rsid w:val="1E8F1157"/>
    <w:rsid w:val="1E9B2A6E"/>
    <w:rsid w:val="1EA41923"/>
    <w:rsid w:val="1EC41FC5"/>
    <w:rsid w:val="1ED0096A"/>
    <w:rsid w:val="1EE6018D"/>
    <w:rsid w:val="1F1B770B"/>
    <w:rsid w:val="1F2A6360"/>
    <w:rsid w:val="1F332CA6"/>
    <w:rsid w:val="1F680BA2"/>
    <w:rsid w:val="1F721A21"/>
    <w:rsid w:val="1F737547"/>
    <w:rsid w:val="1F980D5B"/>
    <w:rsid w:val="1FA15E62"/>
    <w:rsid w:val="1FD47FE6"/>
    <w:rsid w:val="1FDC333E"/>
    <w:rsid w:val="1FF229A2"/>
    <w:rsid w:val="1FF708C8"/>
    <w:rsid w:val="20052895"/>
    <w:rsid w:val="20550D9A"/>
    <w:rsid w:val="2059673D"/>
    <w:rsid w:val="20653333"/>
    <w:rsid w:val="206F41B2"/>
    <w:rsid w:val="2088473D"/>
    <w:rsid w:val="209B4FA7"/>
    <w:rsid w:val="20AB4455"/>
    <w:rsid w:val="20AC0F62"/>
    <w:rsid w:val="20BB11A5"/>
    <w:rsid w:val="20CE0ED9"/>
    <w:rsid w:val="20FB77F4"/>
    <w:rsid w:val="21006C44"/>
    <w:rsid w:val="210107EB"/>
    <w:rsid w:val="21091F11"/>
    <w:rsid w:val="210952AE"/>
    <w:rsid w:val="21207D7A"/>
    <w:rsid w:val="213827F6"/>
    <w:rsid w:val="214D44F3"/>
    <w:rsid w:val="215018EE"/>
    <w:rsid w:val="21702AE9"/>
    <w:rsid w:val="21714B53"/>
    <w:rsid w:val="21772DE2"/>
    <w:rsid w:val="217B0422"/>
    <w:rsid w:val="218E2416"/>
    <w:rsid w:val="21A8172A"/>
    <w:rsid w:val="21D93EE2"/>
    <w:rsid w:val="21DE15EF"/>
    <w:rsid w:val="21DF2C72"/>
    <w:rsid w:val="21F14776"/>
    <w:rsid w:val="221F59DD"/>
    <w:rsid w:val="22251665"/>
    <w:rsid w:val="22274924"/>
    <w:rsid w:val="222A213F"/>
    <w:rsid w:val="224976EE"/>
    <w:rsid w:val="224C47AB"/>
    <w:rsid w:val="225A0C09"/>
    <w:rsid w:val="226915FE"/>
    <w:rsid w:val="22853819"/>
    <w:rsid w:val="229A370E"/>
    <w:rsid w:val="229D1011"/>
    <w:rsid w:val="22B67E76"/>
    <w:rsid w:val="22E14C32"/>
    <w:rsid w:val="23333275"/>
    <w:rsid w:val="23487E64"/>
    <w:rsid w:val="235A4CA6"/>
    <w:rsid w:val="23656B64"/>
    <w:rsid w:val="23671171"/>
    <w:rsid w:val="23981BEB"/>
    <w:rsid w:val="239A1546"/>
    <w:rsid w:val="239A7798"/>
    <w:rsid w:val="23B60A53"/>
    <w:rsid w:val="23BA3996"/>
    <w:rsid w:val="23ED1676"/>
    <w:rsid w:val="23F52C20"/>
    <w:rsid w:val="23F91D2C"/>
    <w:rsid w:val="23FE1AD5"/>
    <w:rsid w:val="24170DE9"/>
    <w:rsid w:val="241B1419"/>
    <w:rsid w:val="241C01AD"/>
    <w:rsid w:val="24284DA4"/>
    <w:rsid w:val="246A16BA"/>
    <w:rsid w:val="24AF1021"/>
    <w:rsid w:val="24B97929"/>
    <w:rsid w:val="24EC5DD1"/>
    <w:rsid w:val="24EF4017"/>
    <w:rsid w:val="24F17367"/>
    <w:rsid w:val="2500362B"/>
    <w:rsid w:val="250255F5"/>
    <w:rsid w:val="250655AA"/>
    <w:rsid w:val="2510510F"/>
    <w:rsid w:val="25113A8A"/>
    <w:rsid w:val="25131B32"/>
    <w:rsid w:val="2520252D"/>
    <w:rsid w:val="25284930"/>
    <w:rsid w:val="252A1332"/>
    <w:rsid w:val="252C08C4"/>
    <w:rsid w:val="252E1BAE"/>
    <w:rsid w:val="253432D4"/>
    <w:rsid w:val="253B5F7F"/>
    <w:rsid w:val="257A518B"/>
    <w:rsid w:val="257C53A7"/>
    <w:rsid w:val="258C5B68"/>
    <w:rsid w:val="259A75DB"/>
    <w:rsid w:val="25D302BF"/>
    <w:rsid w:val="25DC4098"/>
    <w:rsid w:val="25DC7BF4"/>
    <w:rsid w:val="25E02B77"/>
    <w:rsid w:val="25F211C5"/>
    <w:rsid w:val="25F3072A"/>
    <w:rsid w:val="25FC0296"/>
    <w:rsid w:val="260929B3"/>
    <w:rsid w:val="26163BC1"/>
    <w:rsid w:val="26192BF6"/>
    <w:rsid w:val="26270D94"/>
    <w:rsid w:val="26633E71"/>
    <w:rsid w:val="26681488"/>
    <w:rsid w:val="267F67D1"/>
    <w:rsid w:val="26A46896"/>
    <w:rsid w:val="26A760EA"/>
    <w:rsid w:val="26BE379D"/>
    <w:rsid w:val="26E4179F"/>
    <w:rsid w:val="26E74AA2"/>
    <w:rsid w:val="26F62F37"/>
    <w:rsid w:val="26F8591E"/>
    <w:rsid w:val="27076EF2"/>
    <w:rsid w:val="27202A8B"/>
    <w:rsid w:val="27321A96"/>
    <w:rsid w:val="273A7AA7"/>
    <w:rsid w:val="27513F47"/>
    <w:rsid w:val="27595274"/>
    <w:rsid w:val="276741D1"/>
    <w:rsid w:val="276F6846"/>
    <w:rsid w:val="27734537"/>
    <w:rsid w:val="27772E4C"/>
    <w:rsid w:val="277F117F"/>
    <w:rsid w:val="27895B59"/>
    <w:rsid w:val="27922080"/>
    <w:rsid w:val="27A26C1B"/>
    <w:rsid w:val="27BC7018"/>
    <w:rsid w:val="27D35FBF"/>
    <w:rsid w:val="27D86AE1"/>
    <w:rsid w:val="27DA63B5"/>
    <w:rsid w:val="27E95599"/>
    <w:rsid w:val="27ED4B35"/>
    <w:rsid w:val="27F51441"/>
    <w:rsid w:val="280C5191"/>
    <w:rsid w:val="282011E6"/>
    <w:rsid w:val="284D54B9"/>
    <w:rsid w:val="28553C8E"/>
    <w:rsid w:val="285F40CA"/>
    <w:rsid w:val="28643ED1"/>
    <w:rsid w:val="286640ED"/>
    <w:rsid w:val="28773C04"/>
    <w:rsid w:val="289C3BD0"/>
    <w:rsid w:val="289C43E6"/>
    <w:rsid w:val="289E73E3"/>
    <w:rsid w:val="28B539A5"/>
    <w:rsid w:val="28C01ECB"/>
    <w:rsid w:val="28DE1ED5"/>
    <w:rsid w:val="28EC3ECC"/>
    <w:rsid w:val="290F6532"/>
    <w:rsid w:val="29117FC5"/>
    <w:rsid w:val="291E43B0"/>
    <w:rsid w:val="292957C6"/>
    <w:rsid w:val="2935002E"/>
    <w:rsid w:val="293D309F"/>
    <w:rsid w:val="294127E3"/>
    <w:rsid w:val="2955005F"/>
    <w:rsid w:val="296419B8"/>
    <w:rsid w:val="298505A2"/>
    <w:rsid w:val="29883BEF"/>
    <w:rsid w:val="299407E6"/>
    <w:rsid w:val="29BF71E3"/>
    <w:rsid w:val="29CA4207"/>
    <w:rsid w:val="29F51284"/>
    <w:rsid w:val="2A110088"/>
    <w:rsid w:val="2A127B63"/>
    <w:rsid w:val="2A1473E4"/>
    <w:rsid w:val="2A1C0F07"/>
    <w:rsid w:val="2A3C5105"/>
    <w:rsid w:val="2A467FFA"/>
    <w:rsid w:val="2A4B17EC"/>
    <w:rsid w:val="2A50295E"/>
    <w:rsid w:val="2A6922B9"/>
    <w:rsid w:val="2A832B7B"/>
    <w:rsid w:val="2A946CEF"/>
    <w:rsid w:val="2AA41B43"/>
    <w:rsid w:val="2AAA4765"/>
    <w:rsid w:val="2AAD7DB1"/>
    <w:rsid w:val="2AC21606"/>
    <w:rsid w:val="2AC661D7"/>
    <w:rsid w:val="2AD67C6B"/>
    <w:rsid w:val="2AEF03B2"/>
    <w:rsid w:val="2AF63C5E"/>
    <w:rsid w:val="2AF7727E"/>
    <w:rsid w:val="2B157DC4"/>
    <w:rsid w:val="2B2D0EF2"/>
    <w:rsid w:val="2B7D3C27"/>
    <w:rsid w:val="2B7E7608"/>
    <w:rsid w:val="2B7F04E9"/>
    <w:rsid w:val="2B807316"/>
    <w:rsid w:val="2B840654"/>
    <w:rsid w:val="2BC058C2"/>
    <w:rsid w:val="2BC25ADE"/>
    <w:rsid w:val="2BDE633E"/>
    <w:rsid w:val="2C0B2688"/>
    <w:rsid w:val="2C25375B"/>
    <w:rsid w:val="2C305555"/>
    <w:rsid w:val="2C465FBF"/>
    <w:rsid w:val="2C4D23AE"/>
    <w:rsid w:val="2C680433"/>
    <w:rsid w:val="2C840FE5"/>
    <w:rsid w:val="2C902915"/>
    <w:rsid w:val="2C9A21B9"/>
    <w:rsid w:val="2CA451E4"/>
    <w:rsid w:val="2CB573F1"/>
    <w:rsid w:val="2CE20523"/>
    <w:rsid w:val="2CE657FC"/>
    <w:rsid w:val="2D04536F"/>
    <w:rsid w:val="2D0637A8"/>
    <w:rsid w:val="2D142369"/>
    <w:rsid w:val="2D430559"/>
    <w:rsid w:val="2D496D68"/>
    <w:rsid w:val="2D6E1073"/>
    <w:rsid w:val="2D7050C6"/>
    <w:rsid w:val="2D83129D"/>
    <w:rsid w:val="2D8A262B"/>
    <w:rsid w:val="2D9024DA"/>
    <w:rsid w:val="2D93624A"/>
    <w:rsid w:val="2D9C7B4C"/>
    <w:rsid w:val="2DA631BF"/>
    <w:rsid w:val="2DB17BB8"/>
    <w:rsid w:val="2DE12E03"/>
    <w:rsid w:val="2DF301D1"/>
    <w:rsid w:val="2DF52CAD"/>
    <w:rsid w:val="2DF950BB"/>
    <w:rsid w:val="2DFE26D1"/>
    <w:rsid w:val="2E2B796A"/>
    <w:rsid w:val="2E62292E"/>
    <w:rsid w:val="2E6672CB"/>
    <w:rsid w:val="2E786928"/>
    <w:rsid w:val="2E7A48DE"/>
    <w:rsid w:val="2E7D7A9A"/>
    <w:rsid w:val="2E8B665B"/>
    <w:rsid w:val="2E9372BE"/>
    <w:rsid w:val="2EA20B6C"/>
    <w:rsid w:val="2EB245ED"/>
    <w:rsid w:val="2ED753FC"/>
    <w:rsid w:val="2EDC3ED8"/>
    <w:rsid w:val="2F1E03A7"/>
    <w:rsid w:val="2F210D6D"/>
    <w:rsid w:val="2F2D046C"/>
    <w:rsid w:val="2F2D3580"/>
    <w:rsid w:val="2F364819"/>
    <w:rsid w:val="2F427853"/>
    <w:rsid w:val="2F511653"/>
    <w:rsid w:val="2F633CB9"/>
    <w:rsid w:val="2F6351B4"/>
    <w:rsid w:val="2F7E0750"/>
    <w:rsid w:val="2FBE0D5C"/>
    <w:rsid w:val="2FCF199E"/>
    <w:rsid w:val="2FDEB184"/>
    <w:rsid w:val="2FF43D8C"/>
    <w:rsid w:val="301D445D"/>
    <w:rsid w:val="302B26C5"/>
    <w:rsid w:val="30483E83"/>
    <w:rsid w:val="304E16EE"/>
    <w:rsid w:val="309B06AC"/>
    <w:rsid w:val="30A63C99"/>
    <w:rsid w:val="30A752A2"/>
    <w:rsid w:val="30AA0E97"/>
    <w:rsid w:val="30B05F05"/>
    <w:rsid w:val="30D065A7"/>
    <w:rsid w:val="30DB3CBC"/>
    <w:rsid w:val="30F003F4"/>
    <w:rsid w:val="311346E6"/>
    <w:rsid w:val="311566B0"/>
    <w:rsid w:val="312C5C7A"/>
    <w:rsid w:val="313905F0"/>
    <w:rsid w:val="313A1394"/>
    <w:rsid w:val="31440D43"/>
    <w:rsid w:val="314B61E0"/>
    <w:rsid w:val="31581414"/>
    <w:rsid w:val="315D7196"/>
    <w:rsid w:val="3176095A"/>
    <w:rsid w:val="318B03C9"/>
    <w:rsid w:val="3192385D"/>
    <w:rsid w:val="31A1652F"/>
    <w:rsid w:val="31C83722"/>
    <w:rsid w:val="31CF2E66"/>
    <w:rsid w:val="31E542D4"/>
    <w:rsid w:val="31F704FB"/>
    <w:rsid w:val="32270449"/>
    <w:rsid w:val="3240775C"/>
    <w:rsid w:val="326C4EA1"/>
    <w:rsid w:val="326F1DF0"/>
    <w:rsid w:val="32701D7C"/>
    <w:rsid w:val="327F45EE"/>
    <w:rsid w:val="328A7B8D"/>
    <w:rsid w:val="32B53CA7"/>
    <w:rsid w:val="32C61435"/>
    <w:rsid w:val="32D87995"/>
    <w:rsid w:val="32F2679F"/>
    <w:rsid w:val="33016EEC"/>
    <w:rsid w:val="33062754"/>
    <w:rsid w:val="33152997"/>
    <w:rsid w:val="331A61FF"/>
    <w:rsid w:val="331C7D8A"/>
    <w:rsid w:val="33244988"/>
    <w:rsid w:val="3342442A"/>
    <w:rsid w:val="33461C55"/>
    <w:rsid w:val="33482D6D"/>
    <w:rsid w:val="334E4CD8"/>
    <w:rsid w:val="33530283"/>
    <w:rsid w:val="33550FE6"/>
    <w:rsid w:val="33623451"/>
    <w:rsid w:val="337551E4"/>
    <w:rsid w:val="33AC5A16"/>
    <w:rsid w:val="33B638B9"/>
    <w:rsid w:val="33B73A4E"/>
    <w:rsid w:val="33BB353F"/>
    <w:rsid w:val="33F00D0E"/>
    <w:rsid w:val="33F46A50"/>
    <w:rsid w:val="33FA681C"/>
    <w:rsid w:val="33FE78CF"/>
    <w:rsid w:val="342F5CDB"/>
    <w:rsid w:val="343C0775"/>
    <w:rsid w:val="34AA76A9"/>
    <w:rsid w:val="34AF7D1F"/>
    <w:rsid w:val="34BE0057"/>
    <w:rsid w:val="34C44C99"/>
    <w:rsid w:val="34DC02AC"/>
    <w:rsid w:val="35411821"/>
    <w:rsid w:val="35633E8E"/>
    <w:rsid w:val="35634259"/>
    <w:rsid w:val="35677650"/>
    <w:rsid w:val="356C50EC"/>
    <w:rsid w:val="357A2F85"/>
    <w:rsid w:val="357D65D2"/>
    <w:rsid w:val="358F4C83"/>
    <w:rsid w:val="35B244CD"/>
    <w:rsid w:val="35C32AD5"/>
    <w:rsid w:val="35F04FF6"/>
    <w:rsid w:val="35FA0434"/>
    <w:rsid w:val="361108CD"/>
    <w:rsid w:val="361A099F"/>
    <w:rsid w:val="361A2DEE"/>
    <w:rsid w:val="36687858"/>
    <w:rsid w:val="36A53C9E"/>
    <w:rsid w:val="36AA789A"/>
    <w:rsid w:val="36D36DF1"/>
    <w:rsid w:val="36E52680"/>
    <w:rsid w:val="36EC7EB3"/>
    <w:rsid w:val="3700166C"/>
    <w:rsid w:val="37076A9B"/>
    <w:rsid w:val="371D1CBE"/>
    <w:rsid w:val="3727617F"/>
    <w:rsid w:val="372C4753"/>
    <w:rsid w:val="37384EA6"/>
    <w:rsid w:val="375969FE"/>
    <w:rsid w:val="37597BDF"/>
    <w:rsid w:val="375F2433"/>
    <w:rsid w:val="376E6B1A"/>
    <w:rsid w:val="37735EDE"/>
    <w:rsid w:val="3784633D"/>
    <w:rsid w:val="37926F3A"/>
    <w:rsid w:val="37A4078E"/>
    <w:rsid w:val="37AF373D"/>
    <w:rsid w:val="37B7226F"/>
    <w:rsid w:val="37CA2739"/>
    <w:rsid w:val="37D04BCE"/>
    <w:rsid w:val="37F7266B"/>
    <w:rsid w:val="381551E7"/>
    <w:rsid w:val="38213B8C"/>
    <w:rsid w:val="3837515E"/>
    <w:rsid w:val="38402882"/>
    <w:rsid w:val="384D672F"/>
    <w:rsid w:val="385273BC"/>
    <w:rsid w:val="38651CCB"/>
    <w:rsid w:val="38694EE9"/>
    <w:rsid w:val="387C7014"/>
    <w:rsid w:val="388A7983"/>
    <w:rsid w:val="388E2449"/>
    <w:rsid w:val="38A04AB1"/>
    <w:rsid w:val="38C20ECB"/>
    <w:rsid w:val="38C60702"/>
    <w:rsid w:val="38C70290"/>
    <w:rsid w:val="38CD4F7A"/>
    <w:rsid w:val="38DE2FBA"/>
    <w:rsid w:val="39072D82"/>
    <w:rsid w:val="391159AF"/>
    <w:rsid w:val="39333B77"/>
    <w:rsid w:val="393873DF"/>
    <w:rsid w:val="39657AA9"/>
    <w:rsid w:val="39665CFB"/>
    <w:rsid w:val="39AC56D7"/>
    <w:rsid w:val="39E66E3B"/>
    <w:rsid w:val="39F23A32"/>
    <w:rsid w:val="39F72DF7"/>
    <w:rsid w:val="3A006968"/>
    <w:rsid w:val="3A127963"/>
    <w:rsid w:val="3A2D05C6"/>
    <w:rsid w:val="3A3C2EFF"/>
    <w:rsid w:val="3A3E4582"/>
    <w:rsid w:val="3A3E4831"/>
    <w:rsid w:val="3A537871"/>
    <w:rsid w:val="3A554B9C"/>
    <w:rsid w:val="3A820212"/>
    <w:rsid w:val="3A8B4F41"/>
    <w:rsid w:val="3A9230C7"/>
    <w:rsid w:val="3AA0348E"/>
    <w:rsid w:val="3AD2116E"/>
    <w:rsid w:val="3ADF0492"/>
    <w:rsid w:val="3AED7D56"/>
    <w:rsid w:val="3AEF7F72"/>
    <w:rsid w:val="3B111C96"/>
    <w:rsid w:val="3B133C60"/>
    <w:rsid w:val="3B2714BA"/>
    <w:rsid w:val="3B365CC9"/>
    <w:rsid w:val="3B3E6803"/>
    <w:rsid w:val="3B583D69"/>
    <w:rsid w:val="3B7731EE"/>
    <w:rsid w:val="3B9551F8"/>
    <w:rsid w:val="3B9A7B88"/>
    <w:rsid w:val="3B9C1EA7"/>
    <w:rsid w:val="3BA64AD4"/>
    <w:rsid w:val="3BAC19BF"/>
    <w:rsid w:val="3BC114FF"/>
    <w:rsid w:val="3BC1546A"/>
    <w:rsid w:val="3BC3291F"/>
    <w:rsid w:val="3BCB0097"/>
    <w:rsid w:val="3C2660C6"/>
    <w:rsid w:val="3C2679C3"/>
    <w:rsid w:val="3C2B6D87"/>
    <w:rsid w:val="3C2D2A7E"/>
    <w:rsid w:val="3C4B11D8"/>
    <w:rsid w:val="3C544530"/>
    <w:rsid w:val="3C6221B7"/>
    <w:rsid w:val="3C644CAB"/>
    <w:rsid w:val="3C925059"/>
    <w:rsid w:val="3C957FAE"/>
    <w:rsid w:val="3CB20103"/>
    <w:rsid w:val="3CDD44B0"/>
    <w:rsid w:val="3D033860"/>
    <w:rsid w:val="3D14773A"/>
    <w:rsid w:val="3D2A34E3"/>
    <w:rsid w:val="3D2C7AC8"/>
    <w:rsid w:val="3D4445A5"/>
    <w:rsid w:val="3D4A5478"/>
    <w:rsid w:val="3D532A3A"/>
    <w:rsid w:val="3D6469F5"/>
    <w:rsid w:val="3D855D12"/>
    <w:rsid w:val="3D8B42FF"/>
    <w:rsid w:val="3D8C02DD"/>
    <w:rsid w:val="3D8C7CFA"/>
    <w:rsid w:val="3D9A41C5"/>
    <w:rsid w:val="3DA07301"/>
    <w:rsid w:val="3DAE7C70"/>
    <w:rsid w:val="3DC20089"/>
    <w:rsid w:val="3DCF52DF"/>
    <w:rsid w:val="3DE1714C"/>
    <w:rsid w:val="3DE9373D"/>
    <w:rsid w:val="3DF31B27"/>
    <w:rsid w:val="3DF36A6E"/>
    <w:rsid w:val="3DFB7C69"/>
    <w:rsid w:val="3DFC7110"/>
    <w:rsid w:val="3E302100"/>
    <w:rsid w:val="3E5D7C51"/>
    <w:rsid w:val="3E6D534C"/>
    <w:rsid w:val="3E860BED"/>
    <w:rsid w:val="3EA00335"/>
    <w:rsid w:val="3EE80F60"/>
    <w:rsid w:val="3EE85404"/>
    <w:rsid w:val="3F00274D"/>
    <w:rsid w:val="3F1138E1"/>
    <w:rsid w:val="3F140B26"/>
    <w:rsid w:val="3F1E0E25"/>
    <w:rsid w:val="3F453CC5"/>
    <w:rsid w:val="3F4C14EF"/>
    <w:rsid w:val="3F516B05"/>
    <w:rsid w:val="3F792F1E"/>
    <w:rsid w:val="3F7D5B4C"/>
    <w:rsid w:val="3F87243F"/>
    <w:rsid w:val="3F953563"/>
    <w:rsid w:val="3F9A2D14"/>
    <w:rsid w:val="3FAE21A9"/>
    <w:rsid w:val="3FB8011C"/>
    <w:rsid w:val="3FC7326B"/>
    <w:rsid w:val="3FDF6807"/>
    <w:rsid w:val="3FE77469"/>
    <w:rsid w:val="3FED0AD9"/>
    <w:rsid w:val="3FEF631E"/>
    <w:rsid w:val="40013E1D"/>
    <w:rsid w:val="403F2E01"/>
    <w:rsid w:val="40512B35"/>
    <w:rsid w:val="405D772B"/>
    <w:rsid w:val="406960D0"/>
    <w:rsid w:val="4079782F"/>
    <w:rsid w:val="407E7DCE"/>
    <w:rsid w:val="40824826"/>
    <w:rsid w:val="408B0085"/>
    <w:rsid w:val="408F1FDB"/>
    <w:rsid w:val="409A44DC"/>
    <w:rsid w:val="409F15FF"/>
    <w:rsid w:val="40AB0497"/>
    <w:rsid w:val="40CD48B1"/>
    <w:rsid w:val="40D21EC7"/>
    <w:rsid w:val="40DA4E83"/>
    <w:rsid w:val="40E63923"/>
    <w:rsid w:val="410A340F"/>
    <w:rsid w:val="4114603C"/>
    <w:rsid w:val="414B72EC"/>
    <w:rsid w:val="41625231"/>
    <w:rsid w:val="41742F7F"/>
    <w:rsid w:val="41782A6F"/>
    <w:rsid w:val="41885B91"/>
    <w:rsid w:val="418E2292"/>
    <w:rsid w:val="41962EF5"/>
    <w:rsid w:val="41974966"/>
    <w:rsid w:val="419C6C39"/>
    <w:rsid w:val="41B36CDD"/>
    <w:rsid w:val="41C563B6"/>
    <w:rsid w:val="41CE69E6"/>
    <w:rsid w:val="41D659E7"/>
    <w:rsid w:val="41F0527A"/>
    <w:rsid w:val="41FA16D6"/>
    <w:rsid w:val="420600B1"/>
    <w:rsid w:val="42254279"/>
    <w:rsid w:val="42341853"/>
    <w:rsid w:val="4235270E"/>
    <w:rsid w:val="424741EF"/>
    <w:rsid w:val="424830B0"/>
    <w:rsid w:val="42530DE6"/>
    <w:rsid w:val="42786A9F"/>
    <w:rsid w:val="427B20EB"/>
    <w:rsid w:val="4283791D"/>
    <w:rsid w:val="428B4A24"/>
    <w:rsid w:val="428C28BD"/>
    <w:rsid w:val="429F5DD9"/>
    <w:rsid w:val="42B15B0D"/>
    <w:rsid w:val="42B443F4"/>
    <w:rsid w:val="42B83327"/>
    <w:rsid w:val="42B850ED"/>
    <w:rsid w:val="42BC2FBE"/>
    <w:rsid w:val="42BD2703"/>
    <w:rsid w:val="42CA5F33"/>
    <w:rsid w:val="42CF2B62"/>
    <w:rsid w:val="42D716E6"/>
    <w:rsid w:val="42E51972"/>
    <w:rsid w:val="42F43FD4"/>
    <w:rsid w:val="42FC5A4F"/>
    <w:rsid w:val="42FE0D52"/>
    <w:rsid w:val="4326474D"/>
    <w:rsid w:val="4339116D"/>
    <w:rsid w:val="4348021F"/>
    <w:rsid w:val="435C3CCA"/>
    <w:rsid w:val="437454B8"/>
    <w:rsid w:val="43780DD9"/>
    <w:rsid w:val="4378EF13"/>
    <w:rsid w:val="4392593E"/>
    <w:rsid w:val="439B7F19"/>
    <w:rsid w:val="43A91E5B"/>
    <w:rsid w:val="43C31F9B"/>
    <w:rsid w:val="43CE2E1A"/>
    <w:rsid w:val="43D83C99"/>
    <w:rsid w:val="43FB7987"/>
    <w:rsid w:val="44093E52"/>
    <w:rsid w:val="441B1DD7"/>
    <w:rsid w:val="44A616A1"/>
    <w:rsid w:val="44BC3308"/>
    <w:rsid w:val="44BD4C3D"/>
    <w:rsid w:val="44C24001"/>
    <w:rsid w:val="44C668B8"/>
    <w:rsid w:val="44F0338C"/>
    <w:rsid w:val="44FC546E"/>
    <w:rsid w:val="44FF0DB1"/>
    <w:rsid w:val="4535161A"/>
    <w:rsid w:val="453F38A4"/>
    <w:rsid w:val="45451D61"/>
    <w:rsid w:val="4545710C"/>
    <w:rsid w:val="457C68A6"/>
    <w:rsid w:val="45824D6D"/>
    <w:rsid w:val="458952EB"/>
    <w:rsid w:val="45A656D1"/>
    <w:rsid w:val="45A843DC"/>
    <w:rsid w:val="45A858ED"/>
    <w:rsid w:val="45AD6A5F"/>
    <w:rsid w:val="45AF27D7"/>
    <w:rsid w:val="45BA48DB"/>
    <w:rsid w:val="45F5776D"/>
    <w:rsid w:val="4618562A"/>
    <w:rsid w:val="462C02CC"/>
    <w:rsid w:val="462C62CE"/>
    <w:rsid w:val="46342CDD"/>
    <w:rsid w:val="463A3650"/>
    <w:rsid w:val="46607F75"/>
    <w:rsid w:val="46780E1B"/>
    <w:rsid w:val="467852BF"/>
    <w:rsid w:val="467D28D5"/>
    <w:rsid w:val="467D4684"/>
    <w:rsid w:val="46996EF4"/>
    <w:rsid w:val="469F0116"/>
    <w:rsid w:val="46A05B8A"/>
    <w:rsid w:val="46B65723"/>
    <w:rsid w:val="47086643"/>
    <w:rsid w:val="47095F17"/>
    <w:rsid w:val="471A0124"/>
    <w:rsid w:val="4723113E"/>
    <w:rsid w:val="47321912"/>
    <w:rsid w:val="47443414"/>
    <w:rsid w:val="474A3CBE"/>
    <w:rsid w:val="475259B7"/>
    <w:rsid w:val="47541888"/>
    <w:rsid w:val="47573126"/>
    <w:rsid w:val="47653A95"/>
    <w:rsid w:val="476C7652"/>
    <w:rsid w:val="47887784"/>
    <w:rsid w:val="478C7274"/>
    <w:rsid w:val="479B1265"/>
    <w:rsid w:val="47CD163B"/>
    <w:rsid w:val="47EA3F9B"/>
    <w:rsid w:val="47FA1247"/>
    <w:rsid w:val="480037BE"/>
    <w:rsid w:val="480C5CBF"/>
    <w:rsid w:val="482E20D9"/>
    <w:rsid w:val="48390A7E"/>
    <w:rsid w:val="483A5ADB"/>
    <w:rsid w:val="48425B85"/>
    <w:rsid w:val="485633DE"/>
    <w:rsid w:val="48592ECE"/>
    <w:rsid w:val="48653621"/>
    <w:rsid w:val="486668C5"/>
    <w:rsid w:val="48831CF9"/>
    <w:rsid w:val="48914416"/>
    <w:rsid w:val="48AF3E79"/>
    <w:rsid w:val="48BD345D"/>
    <w:rsid w:val="48C26CC5"/>
    <w:rsid w:val="48FF50DD"/>
    <w:rsid w:val="4929464F"/>
    <w:rsid w:val="49415E3C"/>
    <w:rsid w:val="4944592C"/>
    <w:rsid w:val="494E0559"/>
    <w:rsid w:val="495C2C76"/>
    <w:rsid w:val="497118A9"/>
    <w:rsid w:val="49730B19"/>
    <w:rsid w:val="49910EF2"/>
    <w:rsid w:val="499D0E59"/>
    <w:rsid w:val="49A165B8"/>
    <w:rsid w:val="49B1408D"/>
    <w:rsid w:val="49E113CD"/>
    <w:rsid w:val="49EA0282"/>
    <w:rsid w:val="49ED1586"/>
    <w:rsid w:val="49EF4039"/>
    <w:rsid w:val="4A064990"/>
    <w:rsid w:val="4A2117CA"/>
    <w:rsid w:val="4A2B43F6"/>
    <w:rsid w:val="4A630034"/>
    <w:rsid w:val="4A783AE0"/>
    <w:rsid w:val="4A7D4FD2"/>
    <w:rsid w:val="4A8534A3"/>
    <w:rsid w:val="4A895CED"/>
    <w:rsid w:val="4A902F86"/>
    <w:rsid w:val="4A913C9A"/>
    <w:rsid w:val="4A9A1CA8"/>
    <w:rsid w:val="4AA04873"/>
    <w:rsid w:val="4AA35115"/>
    <w:rsid w:val="4AC22FAD"/>
    <w:rsid w:val="4AE22D2F"/>
    <w:rsid w:val="4B1F70AC"/>
    <w:rsid w:val="4B240F94"/>
    <w:rsid w:val="4B35552D"/>
    <w:rsid w:val="4B386AE5"/>
    <w:rsid w:val="4B386DCB"/>
    <w:rsid w:val="4B5160DF"/>
    <w:rsid w:val="4B6C4CC7"/>
    <w:rsid w:val="4B7C13AE"/>
    <w:rsid w:val="4B8169C4"/>
    <w:rsid w:val="4B865D88"/>
    <w:rsid w:val="4BA75287"/>
    <w:rsid w:val="4BCE772F"/>
    <w:rsid w:val="4BEA7E5D"/>
    <w:rsid w:val="4BED70D6"/>
    <w:rsid w:val="4C0513A3"/>
    <w:rsid w:val="4C1E4213"/>
    <w:rsid w:val="4C2865F6"/>
    <w:rsid w:val="4C2B6930"/>
    <w:rsid w:val="4C3C565C"/>
    <w:rsid w:val="4C734A4E"/>
    <w:rsid w:val="4C9067E0"/>
    <w:rsid w:val="4CBE1552"/>
    <w:rsid w:val="4CC254E6"/>
    <w:rsid w:val="4CCC79C7"/>
    <w:rsid w:val="4CD34FFD"/>
    <w:rsid w:val="4CD46FC7"/>
    <w:rsid w:val="4CE62060"/>
    <w:rsid w:val="4CF11927"/>
    <w:rsid w:val="4CF13D3C"/>
    <w:rsid w:val="4D096E63"/>
    <w:rsid w:val="4D113D78"/>
    <w:rsid w:val="4D1F0243"/>
    <w:rsid w:val="4D462800"/>
    <w:rsid w:val="4D502AF2"/>
    <w:rsid w:val="4D50664E"/>
    <w:rsid w:val="4D602609"/>
    <w:rsid w:val="4D7555C7"/>
    <w:rsid w:val="4DA30E74"/>
    <w:rsid w:val="4DA364FA"/>
    <w:rsid w:val="4DAD1CF2"/>
    <w:rsid w:val="4DB017E2"/>
    <w:rsid w:val="4DB92CEA"/>
    <w:rsid w:val="4E151645"/>
    <w:rsid w:val="4E314717"/>
    <w:rsid w:val="4E4D04CA"/>
    <w:rsid w:val="4E6C5709"/>
    <w:rsid w:val="4E7C428F"/>
    <w:rsid w:val="4E8A3DE2"/>
    <w:rsid w:val="4E99647F"/>
    <w:rsid w:val="4EA2624A"/>
    <w:rsid w:val="4EAA4484"/>
    <w:rsid w:val="4EAE6DA0"/>
    <w:rsid w:val="4EB90223"/>
    <w:rsid w:val="4ECA741E"/>
    <w:rsid w:val="4EDB63EB"/>
    <w:rsid w:val="4EF42274"/>
    <w:rsid w:val="4F4E12B3"/>
    <w:rsid w:val="4F500D19"/>
    <w:rsid w:val="4FC155E1"/>
    <w:rsid w:val="4FD037EF"/>
    <w:rsid w:val="4FF04118"/>
    <w:rsid w:val="5016514B"/>
    <w:rsid w:val="501F21A0"/>
    <w:rsid w:val="502857C7"/>
    <w:rsid w:val="50414974"/>
    <w:rsid w:val="50476D3D"/>
    <w:rsid w:val="5066262C"/>
    <w:rsid w:val="506B7C43"/>
    <w:rsid w:val="50715259"/>
    <w:rsid w:val="50BE5FC4"/>
    <w:rsid w:val="50D41344"/>
    <w:rsid w:val="50D47596"/>
    <w:rsid w:val="50D91050"/>
    <w:rsid w:val="50E13A61"/>
    <w:rsid w:val="50F17913"/>
    <w:rsid w:val="511F5B2C"/>
    <w:rsid w:val="512D76C0"/>
    <w:rsid w:val="51361FFF"/>
    <w:rsid w:val="51570ED4"/>
    <w:rsid w:val="51752B27"/>
    <w:rsid w:val="51907961"/>
    <w:rsid w:val="51AC406F"/>
    <w:rsid w:val="51B82A14"/>
    <w:rsid w:val="51C770FB"/>
    <w:rsid w:val="51CB1C78"/>
    <w:rsid w:val="51FC4FF6"/>
    <w:rsid w:val="51FD6A51"/>
    <w:rsid w:val="52100AA2"/>
    <w:rsid w:val="52271947"/>
    <w:rsid w:val="523E560F"/>
    <w:rsid w:val="52432C25"/>
    <w:rsid w:val="52662470"/>
    <w:rsid w:val="526B680A"/>
    <w:rsid w:val="52756B57"/>
    <w:rsid w:val="527903F5"/>
    <w:rsid w:val="52846D9A"/>
    <w:rsid w:val="528F19C6"/>
    <w:rsid w:val="529F5982"/>
    <w:rsid w:val="52B4142D"/>
    <w:rsid w:val="52BA1ECF"/>
    <w:rsid w:val="52CF44B9"/>
    <w:rsid w:val="52DA3991"/>
    <w:rsid w:val="52DC5058"/>
    <w:rsid w:val="52F42171"/>
    <w:rsid w:val="52F932E4"/>
    <w:rsid w:val="53150D15"/>
    <w:rsid w:val="533B7889"/>
    <w:rsid w:val="53407165"/>
    <w:rsid w:val="53456529"/>
    <w:rsid w:val="5352083E"/>
    <w:rsid w:val="535249BA"/>
    <w:rsid w:val="536E1371"/>
    <w:rsid w:val="537868FE"/>
    <w:rsid w:val="539073C2"/>
    <w:rsid w:val="539A4AC7"/>
    <w:rsid w:val="539F20DD"/>
    <w:rsid w:val="53AB6CD4"/>
    <w:rsid w:val="53AE0BF6"/>
    <w:rsid w:val="53BB4A3D"/>
    <w:rsid w:val="53D25B99"/>
    <w:rsid w:val="53D855EF"/>
    <w:rsid w:val="5415414D"/>
    <w:rsid w:val="541A5D30"/>
    <w:rsid w:val="54330A77"/>
    <w:rsid w:val="543F566E"/>
    <w:rsid w:val="546649A9"/>
    <w:rsid w:val="54921C42"/>
    <w:rsid w:val="549E4CB1"/>
    <w:rsid w:val="54A6749B"/>
    <w:rsid w:val="54B6421E"/>
    <w:rsid w:val="54D933CD"/>
    <w:rsid w:val="551408A9"/>
    <w:rsid w:val="55142657"/>
    <w:rsid w:val="552D196B"/>
    <w:rsid w:val="553E2BC7"/>
    <w:rsid w:val="553E632F"/>
    <w:rsid w:val="556829A3"/>
    <w:rsid w:val="556C5A2B"/>
    <w:rsid w:val="556E1C47"/>
    <w:rsid w:val="5579070C"/>
    <w:rsid w:val="55C0633B"/>
    <w:rsid w:val="55CF657E"/>
    <w:rsid w:val="55E0078B"/>
    <w:rsid w:val="55F068CD"/>
    <w:rsid w:val="55F304BE"/>
    <w:rsid w:val="56026953"/>
    <w:rsid w:val="560C46F5"/>
    <w:rsid w:val="56486A5C"/>
    <w:rsid w:val="566C3136"/>
    <w:rsid w:val="56724F1A"/>
    <w:rsid w:val="56831367"/>
    <w:rsid w:val="56856B95"/>
    <w:rsid w:val="568D04F2"/>
    <w:rsid w:val="56B75990"/>
    <w:rsid w:val="56C0507C"/>
    <w:rsid w:val="56D20841"/>
    <w:rsid w:val="56D402F0"/>
    <w:rsid w:val="56D7393C"/>
    <w:rsid w:val="56DA167E"/>
    <w:rsid w:val="56DB78D0"/>
    <w:rsid w:val="56E04EE6"/>
    <w:rsid w:val="57032983"/>
    <w:rsid w:val="571B16F3"/>
    <w:rsid w:val="572D5C52"/>
    <w:rsid w:val="5737262D"/>
    <w:rsid w:val="57415259"/>
    <w:rsid w:val="57454D4A"/>
    <w:rsid w:val="57541431"/>
    <w:rsid w:val="575612E0"/>
    <w:rsid w:val="577B4C0F"/>
    <w:rsid w:val="57825F9E"/>
    <w:rsid w:val="57A777B2"/>
    <w:rsid w:val="57B10186"/>
    <w:rsid w:val="57B27F05"/>
    <w:rsid w:val="57BB41F2"/>
    <w:rsid w:val="57DD4F82"/>
    <w:rsid w:val="57E25535"/>
    <w:rsid w:val="57EA3B43"/>
    <w:rsid w:val="5829466B"/>
    <w:rsid w:val="585137AF"/>
    <w:rsid w:val="585E0A21"/>
    <w:rsid w:val="586B4C84"/>
    <w:rsid w:val="588D6DD7"/>
    <w:rsid w:val="589715D5"/>
    <w:rsid w:val="58AB4D2E"/>
    <w:rsid w:val="58F24A5D"/>
    <w:rsid w:val="59242EC5"/>
    <w:rsid w:val="592D325B"/>
    <w:rsid w:val="59540CE2"/>
    <w:rsid w:val="59611BE3"/>
    <w:rsid w:val="59682F71"/>
    <w:rsid w:val="596D09B6"/>
    <w:rsid w:val="5974646C"/>
    <w:rsid w:val="597E2795"/>
    <w:rsid w:val="598504C7"/>
    <w:rsid w:val="598F6750"/>
    <w:rsid w:val="599E4BE5"/>
    <w:rsid w:val="59A57D21"/>
    <w:rsid w:val="59A87812"/>
    <w:rsid w:val="59A92DE6"/>
    <w:rsid w:val="59BD0655"/>
    <w:rsid w:val="59D1597E"/>
    <w:rsid w:val="59F40CA9"/>
    <w:rsid w:val="5A3B68D8"/>
    <w:rsid w:val="5A4E03B9"/>
    <w:rsid w:val="5A526582"/>
    <w:rsid w:val="5A5F5C77"/>
    <w:rsid w:val="5A634415"/>
    <w:rsid w:val="5A966592"/>
    <w:rsid w:val="5ADD34EB"/>
    <w:rsid w:val="5AEE74A6"/>
    <w:rsid w:val="5B0867BA"/>
    <w:rsid w:val="5B2D7FCE"/>
    <w:rsid w:val="5B32186D"/>
    <w:rsid w:val="5B3A6FD8"/>
    <w:rsid w:val="5B3D5E39"/>
    <w:rsid w:val="5B557525"/>
    <w:rsid w:val="5B5C6B06"/>
    <w:rsid w:val="5B615ECA"/>
    <w:rsid w:val="5B647768"/>
    <w:rsid w:val="5B7B3430"/>
    <w:rsid w:val="5B834092"/>
    <w:rsid w:val="5B8D3163"/>
    <w:rsid w:val="5BBA0BCF"/>
    <w:rsid w:val="5BBE39CD"/>
    <w:rsid w:val="5BC11A60"/>
    <w:rsid w:val="5BCC3570"/>
    <w:rsid w:val="5BD90156"/>
    <w:rsid w:val="5C022C25"/>
    <w:rsid w:val="5C074CC3"/>
    <w:rsid w:val="5C5123E2"/>
    <w:rsid w:val="5C553C81"/>
    <w:rsid w:val="5C645C72"/>
    <w:rsid w:val="5C6C0FCA"/>
    <w:rsid w:val="5C6D3D3E"/>
    <w:rsid w:val="5C797243"/>
    <w:rsid w:val="5C7A4D54"/>
    <w:rsid w:val="5C8221EB"/>
    <w:rsid w:val="5C8F7131"/>
    <w:rsid w:val="5CA644DC"/>
    <w:rsid w:val="5CBD35D4"/>
    <w:rsid w:val="5CD23B73"/>
    <w:rsid w:val="5CDF354A"/>
    <w:rsid w:val="5CE45005"/>
    <w:rsid w:val="5CED210B"/>
    <w:rsid w:val="5D052FE7"/>
    <w:rsid w:val="5D053A28"/>
    <w:rsid w:val="5D296EBB"/>
    <w:rsid w:val="5D49348E"/>
    <w:rsid w:val="5D603E95"/>
    <w:rsid w:val="5D6972B8"/>
    <w:rsid w:val="5D791F1C"/>
    <w:rsid w:val="5D8365CC"/>
    <w:rsid w:val="5D9E3405"/>
    <w:rsid w:val="5D9F2CDA"/>
    <w:rsid w:val="5DA87DE0"/>
    <w:rsid w:val="5DB723C2"/>
    <w:rsid w:val="5DEB76C3"/>
    <w:rsid w:val="5DF43025"/>
    <w:rsid w:val="5E1767ED"/>
    <w:rsid w:val="5E1C0561"/>
    <w:rsid w:val="5E341674"/>
    <w:rsid w:val="5E3873B6"/>
    <w:rsid w:val="5E4615E0"/>
    <w:rsid w:val="5E5147B7"/>
    <w:rsid w:val="5E6A3A96"/>
    <w:rsid w:val="5E6E2DD8"/>
    <w:rsid w:val="5E7303EE"/>
    <w:rsid w:val="5E895E64"/>
    <w:rsid w:val="5E8C3D9C"/>
    <w:rsid w:val="5E8E347A"/>
    <w:rsid w:val="5EA66A16"/>
    <w:rsid w:val="5EAC1B52"/>
    <w:rsid w:val="5EAD1CBA"/>
    <w:rsid w:val="5ECE1AC8"/>
    <w:rsid w:val="5ED03A93"/>
    <w:rsid w:val="5EE72B8A"/>
    <w:rsid w:val="5EF13A09"/>
    <w:rsid w:val="5F074FDA"/>
    <w:rsid w:val="5F0D295A"/>
    <w:rsid w:val="5F127819"/>
    <w:rsid w:val="5F166FCB"/>
    <w:rsid w:val="5F17346F"/>
    <w:rsid w:val="5F610B8F"/>
    <w:rsid w:val="5F621CF8"/>
    <w:rsid w:val="5F63752A"/>
    <w:rsid w:val="5F692D49"/>
    <w:rsid w:val="5F6B37BB"/>
    <w:rsid w:val="5F781A34"/>
    <w:rsid w:val="5F8E3006"/>
    <w:rsid w:val="5F991D3B"/>
    <w:rsid w:val="5FA12D39"/>
    <w:rsid w:val="5FA36AB1"/>
    <w:rsid w:val="5FC058B5"/>
    <w:rsid w:val="5FDE33CF"/>
    <w:rsid w:val="5FEE26C6"/>
    <w:rsid w:val="5FF105C4"/>
    <w:rsid w:val="5FF67529"/>
    <w:rsid w:val="600F2399"/>
    <w:rsid w:val="601E082E"/>
    <w:rsid w:val="602E07CE"/>
    <w:rsid w:val="604A33D1"/>
    <w:rsid w:val="604B09DF"/>
    <w:rsid w:val="60536729"/>
    <w:rsid w:val="605424A1"/>
    <w:rsid w:val="606764C3"/>
    <w:rsid w:val="60770692"/>
    <w:rsid w:val="608F34D9"/>
    <w:rsid w:val="60BD3BA3"/>
    <w:rsid w:val="60DB227B"/>
    <w:rsid w:val="60E530F9"/>
    <w:rsid w:val="60F1503F"/>
    <w:rsid w:val="61025188"/>
    <w:rsid w:val="61057D5F"/>
    <w:rsid w:val="61173D6D"/>
    <w:rsid w:val="611834CF"/>
    <w:rsid w:val="612A5FE5"/>
    <w:rsid w:val="61412E9D"/>
    <w:rsid w:val="61490B3E"/>
    <w:rsid w:val="614D4977"/>
    <w:rsid w:val="61572249"/>
    <w:rsid w:val="61736957"/>
    <w:rsid w:val="618B1EF3"/>
    <w:rsid w:val="61951BCF"/>
    <w:rsid w:val="61A62889"/>
    <w:rsid w:val="61B8631B"/>
    <w:rsid w:val="61BC3876"/>
    <w:rsid w:val="61BE4076"/>
    <w:rsid w:val="61DA69D6"/>
    <w:rsid w:val="61F950AE"/>
    <w:rsid w:val="62031A89"/>
    <w:rsid w:val="62165C60"/>
    <w:rsid w:val="622163B3"/>
    <w:rsid w:val="62854B94"/>
    <w:rsid w:val="62B114E5"/>
    <w:rsid w:val="62B74D35"/>
    <w:rsid w:val="62C51434"/>
    <w:rsid w:val="62D96C8E"/>
    <w:rsid w:val="62E53458"/>
    <w:rsid w:val="62EC076F"/>
    <w:rsid w:val="62EF64B1"/>
    <w:rsid w:val="63021D41"/>
    <w:rsid w:val="6311467A"/>
    <w:rsid w:val="631B1054"/>
    <w:rsid w:val="63316ACA"/>
    <w:rsid w:val="63475C67"/>
    <w:rsid w:val="63700648"/>
    <w:rsid w:val="638C3D00"/>
    <w:rsid w:val="639A2E85"/>
    <w:rsid w:val="63A70B3A"/>
    <w:rsid w:val="63C60FC0"/>
    <w:rsid w:val="63E1404C"/>
    <w:rsid w:val="63F672D6"/>
    <w:rsid w:val="63FE3A57"/>
    <w:rsid w:val="64203A5A"/>
    <w:rsid w:val="642841DC"/>
    <w:rsid w:val="642F3009"/>
    <w:rsid w:val="64466360"/>
    <w:rsid w:val="64757015"/>
    <w:rsid w:val="64852C29"/>
    <w:rsid w:val="649C61C5"/>
    <w:rsid w:val="649D4417"/>
    <w:rsid w:val="649E673D"/>
    <w:rsid w:val="64A81CF1"/>
    <w:rsid w:val="64AF414A"/>
    <w:rsid w:val="64BA3D7A"/>
    <w:rsid w:val="64C23E7D"/>
    <w:rsid w:val="64CE2822"/>
    <w:rsid w:val="64DB531F"/>
    <w:rsid w:val="64E831B8"/>
    <w:rsid w:val="64F179BC"/>
    <w:rsid w:val="64F47DAF"/>
    <w:rsid w:val="651D59E0"/>
    <w:rsid w:val="65222748"/>
    <w:rsid w:val="65222B6E"/>
    <w:rsid w:val="65393A14"/>
    <w:rsid w:val="656767D3"/>
    <w:rsid w:val="657B1EA6"/>
    <w:rsid w:val="65AA3045"/>
    <w:rsid w:val="65B0017A"/>
    <w:rsid w:val="65B732B6"/>
    <w:rsid w:val="65BF468B"/>
    <w:rsid w:val="65C94C55"/>
    <w:rsid w:val="65DD0843"/>
    <w:rsid w:val="65DD458E"/>
    <w:rsid w:val="65DF3A3E"/>
    <w:rsid w:val="65F067C8"/>
    <w:rsid w:val="65F555EF"/>
    <w:rsid w:val="65FA13F5"/>
    <w:rsid w:val="66527997"/>
    <w:rsid w:val="665704D3"/>
    <w:rsid w:val="66703465"/>
    <w:rsid w:val="66837F7B"/>
    <w:rsid w:val="668533B4"/>
    <w:rsid w:val="66886A01"/>
    <w:rsid w:val="668D04BB"/>
    <w:rsid w:val="66A51361"/>
    <w:rsid w:val="66B21CD0"/>
    <w:rsid w:val="66B62D4C"/>
    <w:rsid w:val="66B772E6"/>
    <w:rsid w:val="66C20165"/>
    <w:rsid w:val="66CF63DE"/>
    <w:rsid w:val="66DD6AFD"/>
    <w:rsid w:val="66E005EB"/>
    <w:rsid w:val="67010561"/>
    <w:rsid w:val="672C1A82"/>
    <w:rsid w:val="673148E2"/>
    <w:rsid w:val="67377745"/>
    <w:rsid w:val="67401089"/>
    <w:rsid w:val="6751773B"/>
    <w:rsid w:val="675445CD"/>
    <w:rsid w:val="675608AD"/>
    <w:rsid w:val="676A25AA"/>
    <w:rsid w:val="676B07FC"/>
    <w:rsid w:val="676D1753"/>
    <w:rsid w:val="67753429"/>
    <w:rsid w:val="679F074B"/>
    <w:rsid w:val="67BA52E0"/>
    <w:rsid w:val="67BD092C"/>
    <w:rsid w:val="67C065A4"/>
    <w:rsid w:val="67C21D51"/>
    <w:rsid w:val="67C33DB9"/>
    <w:rsid w:val="67D359C9"/>
    <w:rsid w:val="680C5410"/>
    <w:rsid w:val="684352D5"/>
    <w:rsid w:val="68523217"/>
    <w:rsid w:val="68550B65"/>
    <w:rsid w:val="689169E2"/>
    <w:rsid w:val="68922AAC"/>
    <w:rsid w:val="68A015B4"/>
    <w:rsid w:val="68C77CB4"/>
    <w:rsid w:val="68D9049F"/>
    <w:rsid w:val="68E02B24"/>
    <w:rsid w:val="68EC17BF"/>
    <w:rsid w:val="68FE36DD"/>
    <w:rsid w:val="6902510A"/>
    <w:rsid w:val="69164798"/>
    <w:rsid w:val="694E60FC"/>
    <w:rsid w:val="69594684"/>
    <w:rsid w:val="697B3329"/>
    <w:rsid w:val="69AE2A5F"/>
    <w:rsid w:val="69BF6BDD"/>
    <w:rsid w:val="69EF4042"/>
    <w:rsid w:val="69F61ED3"/>
    <w:rsid w:val="6A130CD7"/>
    <w:rsid w:val="6A1F767C"/>
    <w:rsid w:val="6A4D56EB"/>
    <w:rsid w:val="6A4E61B3"/>
    <w:rsid w:val="6A576E16"/>
    <w:rsid w:val="6A5C6604"/>
    <w:rsid w:val="6A5F3F1C"/>
    <w:rsid w:val="6A876FCF"/>
    <w:rsid w:val="6A9739A1"/>
    <w:rsid w:val="6ACF34E9"/>
    <w:rsid w:val="6AD13942"/>
    <w:rsid w:val="6AD541DF"/>
    <w:rsid w:val="6AEA5EDC"/>
    <w:rsid w:val="6AEC1C54"/>
    <w:rsid w:val="6AF66A39"/>
    <w:rsid w:val="6B225676"/>
    <w:rsid w:val="6B3929BF"/>
    <w:rsid w:val="6B3B79B5"/>
    <w:rsid w:val="6B596BBE"/>
    <w:rsid w:val="6B625A72"/>
    <w:rsid w:val="6B6F018F"/>
    <w:rsid w:val="6B79100E"/>
    <w:rsid w:val="6B9320D0"/>
    <w:rsid w:val="6BC524A5"/>
    <w:rsid w:val="6BD050D2"/>
    <w:rsid w:val="6BE7241B"/>
    <w:rsid w:val="6BF15DF0"/>
    <w:rsid w:val="6C023BEC"/>
    <w:rsid w:val="6C042FCD"/>
    <w:rsid w:val="6C101972"/>
    <w:rsid w:val="6C12443D"/>
    <w:rsid w:val="6C145E5A"/>
    <w:rsid w:val="6C1D408F"/>
    <w:rsid w:val="6C301F40"/>
    <w:rsid w:val="6C342BE3"/>
    <w:rsid w:val="6C410A63"/>
    <w:rsid w:val="6C507FC1"/>
    <w:rsid w:val="6C580C23"/>
    <w:rsid w:val="6C5C4BB7"/>
    <w:rsid w:val="6C5F0204"/>
    <w:rsid w:val="6C645430"/>
    <w:rsid w:val="6C675CE6"/>
    <w:rsid w:val="6C6A001C"/>
    <w:rsid w:val="6C88775B"/>
    <w:rsid w:val="6C9C1458"/>
    <w:rsid w:val="6CA1081C"/>
    <w:rsid w:val="6CAD5CE9"/>
    <w:rsid w:val="6CCF5389"/>
    <w:rsid w:val="6CEF35AF"/>
    <w:rsid w:val="6CFD6537"/>
    <w:rsid w:val="6D2A4FB7"/>
    <w:rsid w:val="6D4F4321"/>
    <w:rsid w:val="6D527D69"/>
    <w:rsid w:val="6D5D3806"/>
    <w:rsid w:val="6D616FB1"/>
    <w:rsid w:val="6D716441"/>
    <w:rsid w:val="6DC36570"/>
    <w:rsid w:val="6DE34AE4"/>
    <w:rsid w:val="6DFA4688"/>
    <w:rsid w:val="6DFF7360"/>
    <w:rsid w:val="6E064026"/>
    <w:rsid w:val="6E0F1884"/>
    <w:rsid w:val="6E1C54AA"/>
    <w:rsid w:val="6E4B4EE4"/>
    <w:rsid w:val="6E5378F4"/>
    <w:rsid w:val="6E7A5F73"/>
    <w:rsid w:val="6E810905"/>
    <w:rsid w:val="6E86730D"/>
    <w:rsid w:val="6E932428"/>
    <w:rsid w:val="6E9F3F44"/>
    <w:rsid w:val="6EA85E09"/>
    <w:rsid w:val="6EB760D5"/>
    <w:rsid w:val="6EC26971"/>
    <w:rsid w:val="6EEB1F42"/>
    <w:rsid w:val="6EF01996"/>
    <w:rsid w:val="6F152DFC"/>
    <w:rsid w:val="6F2E3798"/>
    <w:rsid w:val="6F45239A"/>
    <w:rsid w:val="6F614293"/>
    <w:rsid w:val="6F7B35A7"/>
    <w:rsid w:val="6F7C2E7B"/>
    <w:rsid w:val="6F865AA7"/>
    <w:rsid w:val="6FA473CD"/>
    <w:rsid w:val="6FD1766A"/>
    <w:rsid w:val="6FD44A65"/>
    <w:rsid w:val="6FD74228"/>
    <w:rsid w:val="6FDB2297"/>
    <w:rsid w:val="6FE55CA5"/>
    <w:rsid w:val="6FE560DA"/>
    <w:rsid w:val="6FF72778"/>
    <w:rsid w:val="6FFE1AE2"/>
    <w:rsid w:val="700C06A3"/>
    <w:rsid w:val="7015527E"/>
    <w:rsid w:val="705A140E"/>
    <w:rsid w:val="70765B1C"/>
    <w:rsid w:val="70AC59E2"/>
    <w:rsid w:val="70D36434"/>
    <w:rsid w:val="70DA254F"/>
    <w:rsid w:val="70E17439"/>
    <w:rsid w:val="70E433CD"/>
    <w:rsid w:val="70ED1C4A"/>
    <w:rsid w:val="70F63D72"/>
    <w:rsid w:val="70FA7F8E"/>
    <w:rsid w:val="70FE5EDF"/>
    <w:rsid w:val="70FF3D63"/>
    <w:rsid w:val="71010BEA"/>
    <w:rsid w:val="711D41EA"/>
    <w:rsid w:val="712D6B22"/>
    <w:rsid w:val="712E4649"/>
    <w:rsid w:val="71431EA2"/>
    <w:rsid w:val="71436346"/>
    <w:rsid w:val="71633091"/>
    <w:rsid w:val="717C53B4"/>
    <w:rsid w:val="718D136F"/>
    <w:rsid w:val="71A52B5D"/>
    <w:rsid w:val="71B0505E"/>
    <w:rsid w:val="71B67097"/>
    <w:rsid w:val="71BC0EEE"/>
    <w:rsid w:val="71D763F6"/>
    <w:rsid w:val="71D902E1"/>
    <w:rsid w:val="722E0369"/>
    <w:rsid w:val="72326C7D"/>
    <w:rsid w:val="723E669B"/>
    <w:rsid w:val="726829F1"/>
    <w:rsid w:val="727E0B3C"/>
    <w:rsid w:val="727E6F0A"/>
    <w:rsid w:val="72A76461"/>
    <w:rsid w:val="72B945BC"/>
    <w:rsid w:val="72DA4A88"/>
    <w:rsid w:val="73081CA5"/>
    <w:rsid w:val="73131D48"/>
    <w:rsid w:val="731555FF"/>
    <w:rsid w:val="734B1A98"/>
    <w:rsid w:val="737E1B01"/>
    <w:rsid w:val="738006B8"/>
    <w:rsid w:val="73A26DE2"/>
    <w:rsid w:val="73B0235A"/>
    <w:rsid w:val="73B61051"/>
    <w:rsid w:val="73D806B8"/>
    <w:rsid w:val="740A5909"/>
    <w:rsid w:val="741915E0"/>
    <w:rsid w:val="7439758C"/>
    <w:rsid w:val="744523D5"/>
    <w:rsid w:val="744E655D"/>
    <w:rsid w:val="74545B7C"/>
    <w:rsid w:val="7487762D"/>
    <w:rsid w:val="748A6FEC"/>
    <w:rsid w:val="7496678D"/>
    <w:rsid w:val="74AE71F4"/>
    <w:rsid w:val="74AF784E"/>
    <w:rsid w:val="74BE7708"/>
    <w:rsid w:val="74BE7A92"/>
    <w:rsid w:val="74E25967"/>
    <w:rsid w:val="74EE4141"/>
    <w:rsid w:val="75271ADB"/>
    <w:rsid w:val="752D7B49"/>
    <w:rsid w:val="75385498"/>
    <w:rsid w:val="75395FF8"/>
    <w:rsid w:val="753C37D8"/>
    <w:rsid w:val="753F0BD2"/>
    <w:rsid w:val="755A5A0C"/>
    <w:rsid w:val="75AB6268"/>
    <w:rsid w:val="75CE618B"/>
    <w:rsid w:val="75E31EA6"/>
    <w:rsid w:val="75F96FD3"/>
    <w:rsid w:val="76396C1E"/>
    <w:rsid w:val="7645235B"/>
    <w:rsid w:val="764D731F"/>
    <w:rsid w:val="76593F16"/>
    <w:rsid w:val="7662726E"/>
    <w:rsid w:val="76735D63"/>
    <w:rsid w:val="7684269F"/>
    <w:rsid w:val="769962BD"/>
    <w:rsid w:val="76BC207F"/>
    <w:rsid w:val="76E47C83"/>
    <w:rsid w:val="76EB4904"/>
    <w:rsid w:val="77072E6C"/>
    <w:rsid w:val="77123B8B"/>
    <w:rsid w:val="77185B7F"/>
    <w:rsid w:val="772611CE"/>
    <w:rsid w:val="77287309"/>
    <w:rsid w:val="773109EF"/>
    <w:rsid w:val="776B2153"/>
    <w:rsid w:val="777378F5"/>
    <w:rsid w:val="777A2D3C"/>
    <w:rsid w:val="779A47E6"/>
    <w:rsid w:val="779E42D6"/>
    <w:rsid w:val="77A411C1"/>
    <w:rsid w:val="77BE03D4"/>
    <w:rsid w:val="77C67389"/>
    <w:rsid w:val="77C875A5"/>
    <w:rsid w:val="77CE623E"/>
    <w:rsid w:val="77D23F80"/>
    <w:rsid w:val="77E45A61"/>
    <w:rsid w:val="77EE267B"/>
    <w:rsid w:val="77F269E2"/>
    <w:rsid w:val="77F51A1C"/>
    <w:rsid w:val="77F75794"/>
    <w:rsid w:val="781E53EB"/>
    <w:rsid w:val="78204AE1"/>
    <w:rsid w:val="78481843"/>
    <w:rsid w:val="78537BEA"/>
    <w:rsid w:val="78542BE7"/>
    <w:rsid w:val="786D5A56"/>
    <w:rsid w:val="78731D64"/>
    <w:rsid w:val="78762B5D"/>
    <w:rsid w:val="7880578A"/>
    <w:rsid w:val="78827754"/>
    <w:rsid w:val="788405F8"/>
    <w:rsid w:val="78BD69DE"/>
    <w:rsid w:val="78C20890"/>
    <w:rsid w:val="78CD5ADC"/>
    <w:rsid w:val="78DF4BA6"/>
    <w:rsid w:val="78E5566F"/>
    <w:rsid w:val="78E661B6"/>
    <w:rsid w:val="78E71CAD"/>
    <w:rsid w:val="79074B81"/>
    <w:rsid w:val="7927654D"/>
    <w:rsid w:val="79372EBE"/>
    <w:rsid w:val="793F3897"/>
    <w:rsid w:val="79404F19"/>
    <w:rsid w:val="794C278F"/>
    <w:rsid w:val="794F0939"/>
    <w:rsid w:val="79565D8C"/>
    <w:rsid w:val="79654980"/>
    <w:rsid w:val="79A25BD4"/>
    <w:rsid w:val="79A84CD5"/>
    <w:rsid w:val="79A85401"/>
    <w:rsid w:val="79AF0FCA"/>
    <w:rsid w:val="79C97604"/>
    <w:rsid w:val="79E61F64"/>
    <w:rsid w:val="79E85CDC"/>
    <w:rsid w:val="79EF2560"/>
    <w:rsid w:val="79FA5A10"/>
    <w:rsid w:val="7A0F3269"/>
    <w:rsid w:val="7A1F0FD2"/>
    <w:rsid w:val="7A232671"/>
    <w:rsid w:val="7A4F18B8"/>
    <w:rsid w:val="7A704896"/>
    <w:rsid w:val="7A92650D"/>
    <w:rsid w:val="7AA601DA"/>
    <w:rsid w:val="7ACB02C6"/>
    <w:rsid w:val="7ACD7ECD"/>
    <w:rsid w:val="7ADB139D"/>
    <w:rsid w:val="7AF9279C"/>
    <w:rsid w:val="7AFA3A80"/>
    <w:rsid w:val="7B256ABC"/>
    <w:rsid w:val="7B454A69"/>
    <w:rsid w:val="7B51340D"/>
    <w:rsid w:val="7B5B1068"/>
    <w:rsid w:val="7B876E2F"/>
    <w:rsid w:val="7B914152"/>
    <w:rsid w:val="7B9D57BC"/>
    <w:rsid w:val="7BA172B6"/>
    <w:rsid w:val="7BA31FD8"/>
    <w:rsid w:val="7BC9569A"/>
    <w:rsid w:val="7BCC0CE6"/>
    <w:rsid w:val="7BD1454E"/>
    <w:rsid w:val="7BE349AD"/>
    <w:rsid w:val="7C1032C9"/>
    <w:rsid w:val="7C1D1542"/>
    <w:rsid w:val="7C305719"/>
    <w:rsid w:val="7C4729E4"/>
    <w:rsid w:val="7C991FAB"/>
    <w:rsid w:val="7CA103C5"/>
    <w:rsid w:val="7CA57EB5"/>
    <w:rsid w:val="7CB21D19"/>
    <w:rsid w:val="7CB41EA6"/>
    <w:rsid w:val="7CBE0F77"/>
    <w:rsid w:val="7CC51958"/>
    <w:rsid w:val="7CDF3DB1"/>
    <w:rsid w:val="7CE56503"/>
    <w:rsid w:val="7CEC40B6"/>
    <w:rsid w:val="7CF84488"/>
    <w:rsid w:val="7D0A7D18"/>
    <w:rsid w:val="7D0F532E"/>
    <w:rsid w:val="7D1943FF"/>
    <w:rsid w:val="7D1F702E"/>
    <w:rsid w:val="7D2708CA"/>
    <w:rsid w:val="7D28759A"/>
    <w:rsid w:val="7D2C4132"/>
    <w:rsid w:val="7D2F59D0"/>
    <w:rsid w:val="7D344D95"/>
    <w:rsid w:val="7D3B4375"/>
    <w:rsid w:val="7D3E79C1"/>
    <w:rsid w:val="7D4637E2"/>
    <w:rsid w:val="7D5611AF"/>
    <w:rsid w:val="7D871368"/>
    <w:rsid w:val="7D9B1948"/>
    <w:rsid w:val="7DB634F7"/>
    <w:rsid w:val="7DBD06C3"/>
    <w:rsid w:val="7E0B3D48"/>
    <w:rsid w:val="7E12157A"/>
    <w:rsid w:val="7E2766A8"/>
    <w:rsid w:val="7E2936C3"/>
    <w:rsid w:val="7E2E365C"/>
    <w:rsid w:val="7E352599"/>
    <w:rsid w:val="7E377DAE"/>
    <w:rsid w:val="7E3D4BB2"/>
    <w:rsid w:val="7E526F23"/>
    <w:rsid w:val="7E5C45A3"/>
    <w:rsid w:val="7E61605D"/>
    <w:rsid w:val="7E6411B9"/>
    <w:rsid w:val="7E685463"/>
    <w:rsid w:val="7E6B47E6"/>
    <w:rsid w:val="7EA853CE"/>
    <w:rsid w:val="7ECA3C03"/>
    <w:rsid w:val="7ECB1729"/>
    <w:rsid w:val="7EED169F"/>
    <w:rsid w:val="7EF03473"/>
    <w:rsid w:val="7EF90044"/>
    <w:rsid w:val="7F0C37F3"/>
    <w:rsid w:val="7F111831"/>
    <w:rsid w:val="7F1660D5"/>
    <w:rsid w:val="7F282E65"/>
    <w:rsid w:val="7F390D88"/>
    <w:rsid w:val="7F552A10"/>
    <w:rsid w:val="7F7E8F98"/>
    <w:rsid w:val="7F8A5140"/>
    <w:rsid w:val="7F8C19FC"/>
    <w:rsid w:val="7F8F2756"/>
    <w:rsid w:val="7F9528CA"/>
    <w:rsid w:val="7FA04963"/>
    <w:rsid w:val="7FAC155A"/>
    <w:rsid w:val="7FEC212C"/>
    <w:rsid w:val="7FEE3921"/>
    <w:rsid w:val="7FF732E9"/>
    <w:rsid w:val="7FFD45BD"/>
    <w:rsid w:val="95EF57B1"/>
    <w:rsid w:val="AFEE3667"/>
    <w:rsid w:val="B9BB36DC"/>
    <w:rsid w:val="BF68F871"/>
    <w:rsid w:val="BFF75D0F"/>
    <w:rsid w:val="D77C7624"/>
    <w:rsid w:val="DFBFDC12"/>
    <w:rsid w:val="DFD6A647"/>
    <w:rsid w:val="ECFC3713"/>
    <w:rsid w:val="EE7DC556"/>
    <w:rsid w:val="EFE60870"/>
    <w:rsid w:val="FBFFD9E8"/>
    <w:rsid w:val="FEDF750A"/>
    <w:rsid w:val="FFEF27D9"/>
    <w:rsid w:val="FFFF9E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68"/>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73"/>
    <w:qFormat/>
    <w:uiPriority w:val="0"/>
    <w:pPr>
      <w:keepNext/>
      <w:keepLines/>
      <w:spacing w:before="280" w:after="290" w:line="376" w:lineRule="auto"/>
      <w:outlineLvl w:val="3"/>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Date"/>
    <w:basedOn w:val="1"/>
    <w:next w:val="1"/>
    <w:link w:val="62"/>
    <w:qFormat/>
    <w:uiPriority w:val="0"/>
    <w:rPr>
      <w:rFonts w:ascii="Arial" w:hAnsi="Arial" w:eastAsia="宋体" w:cs="Arial"/>
      <w:b/>
      <w:sz w:val="28"/>
    </w:rPr>
  </w:style>
  <w:style w:type="paragraph" w:customStyle="1" w:styleId="6">
    <w:name w:val="Í¼±íÕýÎÄ"/>
    <w:basedOn w:val="1"/>
    <w:next w:val="7"/>
    <w:qFormat/>
    <w:uiPriority w:val="0"/>
    <w:pPr>
      <w:ind w:firstLine="420" w:firstLineChars="200"/>
    </w:pPr>
    <w:rPr>
      <w:rFonts w:eastAsia="仿宋"/>
      <w:sz w:val="2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toc 7"/>
    <w:basedOn w:val="1"/>
    <w:next w:val="1"/>
    <w:unhideWhenUsed/>
    <w:qFormat/>
    <w:uiPriority w:val="39"/>
    <w:pPr>
      <w:ind w:left="1260"/>
      <w:jc w:val="left"/>
    </w:pPr>
    <w:rPr>
      <w:rFonts w:ascii="Calibri" w:hAnsi="Calibri" w:cs="Calibri"/>
      <w:sz w:val="18"/>
      <w:szCs w:val="18"/>
    </w:rPr>
  </w:style>
  <w:style w:type="paragraph" w:styleId="11">
    <w:name w:val="table of authorities"/>
    <w:basedOn w:val="1"/>
    <w:next w:val="1"/>
    <w:unhideWhenUsed/>
    <w:qFormat/>
    <w:uiPriority w:val="99"/>
    <w:pPr>
      <w:ind w:left="420" w:leftChars="200"/>
    </w:pPr>
  </w:style>
  <w:style w:type="paragraph" w:styleId="12">
    <w:name w:val="Document Map"/>
    <w:basedOn w:val="1"/>
    <w:next w:val="1"/>
    <w:qFormat/>
    <w:uiPriority w:val="0"/>
    <w:pPr>
      <w:shd w:val="clear" w:color="auto" w:fill="000080"/>
      <w:spacing w:line="360" w:lineRule="auto"/>
      <w:ind w:firstLine="562" w:firstLineChars="200"/>
    </w:pPr>
    <w:rPr>
      <w:sz w:val="28"/>
    </w:rPr>
  </w:style>
  <w:style w:type="paragraph" w:styleId="13">
    <w:name w:val="annotation text"/>
    <w:basedOn w:val="1"/>
    <w:link w:val="65"/>
    <w:qFormat/>
    <w:uiPriority w:val="0"/>
    <w:pPr>
      <w:jc w:val="left"/>
    </w:pPr>
    <w:rPr>
      <w:rFonts w:ascii="Arial" w:hAnsi="Arial" w:eastAsia="黑体" w:cs="Arial"/>
    </w:rPr>
  </w:style>
  <w:style w:type="paragraph" w:styleId="14">
    <w:name w:val="Body Text Indent"/>
    <w:basedOn w:val="1"/>
    <w:next w:val="15"/>
    <w:unhideWhenUsed/>
    <w:qFormat/>
    <w:uiPriority w:val="0"/>
    <w:pPr>
      <w:spacing w:after="120"/>
      <w:ind w:left="420" w:leftChars="200"/>
    </w:pPr>
    <w:rPr>
      <w:rFonts w:asciiTheme="minorHAnsi" w:hAnsiTheme="minorHAnsi"/>
      <w:szCs w:val="22"/>
    </w:rPr>
  </w:style>
  <w:style w:type="paragraph" w:styleId="15">
    <w:name w:val="envelope return"/>
    <w:basedOn w:val="1"/>
    <w:next w:val="10"/>
    <w:qFormat/>
    <w:uiPriority w:val="0"/>
    <w:pPr>
      <w:snapToGrid w:val="0"/>
    </w:pPr>
    <w:rPr>
      <w:rFonts w:ascii="Arial" w:hAnsi="Arial"/>
    </w:rPr>
  </w:style>
  <w:style w:type="paragraph" w:styleId="16">
    <w:name w:val="index 4"/>
    <w:basedOn w:val="1"/>
    <w:next w:val="1"/>
    <w:qFormat/>
    <w:uiPriority w:val="0"/>
    <w:pPr>
      <w:ind w:left="600" w:leftChars="600"/>
    </w:pPr>
    <w:rPr>
      <w:rFonts w:ascii="Times New Roman" w:hAnsi="Times New Roman" w:eastAsia="宋体" w:cs="Times New Roman"/>
    </w:r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link w:val="55"/>
    <w:qFormat/>
    <w:uiPriority w:val="99"/>
    <w:rPr>
      <w:rFonts w:ascii="宋体" w:hAnsi="Courier New" w:eastAsiaTheme="minorEastAsia" w:cstheme="minorBidi"/>
      <w:szCs w:val="22"/>
    </w:rPr>
  </w:style>
  <w:style w:type="paragraph" w:styleId="19">
    <w:name w:val="Balloon Text"/>
    <w:basedOn w:val="1"/>
    <w:link w:val="49"/>
    <w:semiHidden/>
    <w:unhideWhenUsed/>
    <w:qFormat/>
    <w:uiPriority w:val="99"/>
    <w:rPr>
      <w:sz w:val="18"/>
      <w:szCs w:val="18"/>
    </w:rPr>
  </w:style>
  <w:style w:type="paragraph" w:styleId="20">
    <w:name w:val="footer"/>
    <w:basedOn w:val="1"/>
    <w:link w:val="54"/>
    <w:unhideWhenUsed/>
    <w:qFormat/>
    <w:uiPriority w:val="99"/>
    <w:pPr>
      <w:tabs>
        <w:tab w:val="center" w:pos="4153"/>
        <w:tab w:val="right" w:pos="8306"/>
      </w:tabs>
      <w:snapToGrid w:val="0"/>
      <w:jc w:val="left"/>
    </w:pPr>
    <w:rPr>
      <w:sz w:val="18"/>
      <w:szCs w:val="18"/>
    </w:rPr>
  </w:style>
  <w:style w:type="paragraph" w:styleId="21">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Body Text 2"/>
    <w:basedOn w:val="1"/>
    <w:unhideWhenUsed/>
    <w:qFormat/>
    <w:uiPriority w:val="99"/>
    <w:pPr>
      <w:spacing w:after="120" w:line="480" w:lineRule="auto"/>
    </w:pPr>
  </w:style>
  <w:style w:type="paragraph" w:styleId="25">
    <w:name w:val="Normal (Web)"/>
    <w:basedOn w:val="1"/>
    <w:qFormat/>
    <w:uiPriority w:val="0"/>
    <w:pPr>
      <w:spacing w:before="100" w:beforeAutospacing="1" w:after="100" w:afterAutospacing="1"/>
      <w:jc w:val="left"/>
    </w:pPr>
    <w:rPr>
      <w:rFonts w:cs="Times New Roman"/>
      <w:kern w:val="0"/>
      <w:sz w:val="24"/>
    </w:rPr>
  </w:style>
  <w:style w:type="paragraph" w:styleId="26">
    <w:name w:val="index 1"/>
    <w:basedOn w:val="1"/>
    <w:next w:val="1"/>
    <w:qFormat/>
    <w:uiPriority w:val="0"/>
    <w:pPr>
      <w:jc w:val="center"/>
    </w:pPr>
    <w:rPr>
      <w:rFonts w:ascii="Arial" w:hAnsi="Arial" w:eastAsia="Arial" w:cs="Arial"/>
      <w:b/>
      <w:bCs/>
      <w:sz w:val="28"/>
    </w:rPr>
  </w:style>
  <w:style w:type="paragraph" w:styleId="27">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8">
    <w:name w:val="annotation subject"/>
    <w:basedOn w:val="13"/>
    <w:next w:val="13"/>
    <w:link w:val="76"/>
    <w:semiHidden/>
    <w:unhideWhenUsed/>
    <w:qFormat/>
    <w:uiPriority w:val="99"/>
    <w:rPr>
      <w:rFonts w:ascii="@仿宋_GB2312" w:hAnsi="@仿宋_GB2312" w:eastAsia="@仿宋_GB2312" w:cs="@仿宋_GB2312"/>
      <w:b/>
      <w:bCs/>
    </w:rPr>
  </w:style>
  <w:style w:type="paragraph" w:styleId="29">
    <w:name w:val="Body Text First Indent"/>
    <w:basedOn w:val="2"/>
    <w:next w:val="30"/>
    <w:unhideWhenUsed/>
    <w:qFormat/>
    <w:uiPriority w:val="99"/>
    <w:pPr>
      <w:ind w:firstLine="420" w:firstLineChars="100"/>
    </w:pPr>
  </w:style>
  <w:style w:type="paragraph" w:styleId="30">
    <w:name w:val="Body Text First Indent 2"/>
    <w:basedOn w:val="14"/>
    <w:next w:val="1"/>
    <w:qFormat/>
    <w:uiPriority w:val="0"/>
    <w:pPr>
      <w:spacing w:line="360" w:lineRule="auto"/>
      <w:ind w:firstLine="200"/>
    </w:pPr>
  </w:style>
  <w:style w:type="table" w:styleId="32">
    <w:name w:val="Table Grid"/>
    <w:basedOn w:val="3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rPr>
  </w:style>
  <w:style w:type="character" w:styleId="35">
    <w:name w:val="FollowedHyperlink"/>
    <w:basedOn w:val="33"/>
    <w:semiHidden/>
    <w:unhideWhenUsed/>
    <w:qFormat/>
    <w:uiPriority w:val="99"/>
    <w:rPr>
      <w:color w:val="5C5C5C"/>
      <w:u w:val="none"/>
    </w:rPr>
  </w:style>
  <w:style w:type="character" w:styleId="36">
    <w:name w:val="Emphasis"/>
    <w:basedOn w:val="33"/>
    <w:qFormat/>
    <w:uiPriority w:val="20"/>
    <w:rPr>
      <w:b/>
      <w:bCs/>
    </w:rPr>
  </w:style>
  <w:style w:type="character" w:styleId="37">
    <w:name w:val="HTML Definition"/>
    <w:basedOn w:val="33"/>
    <w:semiHidden/>
    <w:unhideWhenUsed/>
    <w:qFormat/>
    <w:uiPriority w:val="99"/>
  </w:style>
  <w:style w:type="character" w:styleId="38">
    <w:name w:val="HTML Typewriter"/>
    <w:basedOn w:val="33"/>
    <w:semiHidden/>
    <w:unhideWhenUsed/>
    <w:qFormat/>
    <w:uiPriority w:val="99"/>
    <w:rPr>
      <w:rFonts w:hint="default" w:ascii="monospace" w:hAnsi="monospace" w:eastAsia="monospace" w:cs="monospace"/>
      <w:sz w:val="20"/>
    </w:rPr>
  </w:style>
  <w:style w:type="character" w:styleId="39">
    <w:name w:val="HTML Acronym"/>
    <w:basedOn w:val="33"/>
    <w:semiHidden/>
    <w:unhideWhenUsed/>
    <w:qFormat/>
    <w:uiPriority w:val="99"/>
  </w:style>
  <w:style w:type="character" w:styleId="40">
    <w:name w:val="HTML Variable"/>
    <w:basedOn w:val="33"/>
    <w:semiHidden/>
    <w:unhideWhenUsed/>
    <w:qFormat/>
    <w:uiPriority w:val="99"/>
  </w:style>
  <w:style w:type="character" w:styleId="41">
    <w:name w:val="Hyperlink"/>
    <w:basedOn w:val="33"/>
    <w:unhideWhenUsed/>
    <w:qFormat/>
    <w:uiPriority w:val="99"/>
    <w:rPr>
      <w:color w:val="0000FF" w:themeColor="hyperlink"/>
      <w:u w:val="single"/>
      <w14:textFill>
        <w14:solidFill>
          <w14:schemeClr w14:val="hlink"/>
        </w14:solidFill>
      </w14:textFill>
    </w:rPr>
  </w:style>
  <w:style w:type="character" w:styleId="42">
    <w:name w:val="HTML Code"/>
    <w:basedOn w:val="33"/>
    <w:semiHidden/>
    <w:unhideWhenUsed/>
    <w:qFormat/>
    <w:uiPriority w:val="99"/>
    <w:rPr>
      <w:rFonts w:hint="default" w:ascii="monospace" w:hAnsi="monospace" w:eastAsia="monospace" w:cs="monospace"/>
      <w:sz w:val="20"/>
    </w:rPr>
  </w:style>
  <w:style w:type="character" w:styleId="43">
    <w:name w:val="annotation reference"/>
    <w:basedOn w:val="33"/>
    <w:semiHidden/>
    <w:unhideWhenUsed/>
    <w:qFormat/>
    <w:uiPriority w:val="99"/>
    <w:rPr>
      <w:sz w:val="21"/>
      <w:szCs w:val="21"/>
    </w:rPr>
  </w:style>
  <w:style w:type="character" w:styleId="44">
    <w:name w:val="HTML Cite"/>
    <w:basedOn w:val="33"/>
    <w:semiHidden/>
    <w:unhideWhenUsed/>
    <w:qFormat/>
    <w:uiPriority w:val="99"/>
  </w:style>
  <w:style w:type="character" w:styleId="45">
    <w:name w:val="HTML Keyboard"/>
    <w:basedOn w:val="33"/>
    <w:semiHidden/>
    <w:unhideWhenUsed/>
    <w:qFormat/>
    <w:uiPriority w:val="99"/>
    <w:rPr>
      <w:rFonts w:hint="default" w:ascii="monospace" w:hAnsi="monospace" w:eastAsia="monospace" w:cs="monospace"/>
      <w:sz w:val="20"/>
    </w:rPr>
  </w:style>
  <w:style w:type="character" w:styleId="46">
    <w:name w:val="HTML Sample"/>
    <w:basedOn w:val="33"/>
    <w:semiHidden/>
    <w:unhideWhenUsed/>
    <w:qFormat/>
    <w:uiPriority w:val="99"/>
    <w:rPr>
      <w:rFonts w:ascii="monospace" w:hAnsi="monospace" w:eastAsia="monospace" w:cs="monospace"/>
    </w:rPr>
  </w:style>
  <w:style w:type="paragraph" w:customStyle="1" w:styleId="47">
    <w:name w:val="正文 New"/>
    <w:qFormat/>
    <w:uiPriority w:val="0"/>
    <w:pPr>
      <w:widowControl w:val="0"/>
      <w:spacing w:line="440" w:lineRule="exact"/>
      <w:ind w:left="357" w:hanging="357"/>
      <w:jc w:val="both"/>
    </w:pPr>
    <w:rPr>
      <w:rFonts w:ascii="Times New Roman" w:hAnsi="Times New Roman" w:eastAsia="宋体" w:cs="Times New Roman"/>
      <w:color w:val="000000"/>
      <w:kern w:val="1"/>
      <w:sz w:val="21"/>
      <w:szCs w:val="22"/>
      <w:lang w:val="en-US" w:eastAsia="zh-CN" w:bidi="ar-SA"/>
    </w:rPr>
  </w:style>
  <w:style w:type="paragraph" w:customStyle="1" w:styleId="48">
    <w:name w:val="表格文字"/>
    <w:basedOn w:val="14"/>
    <w:next w:val="2"/>
    <w:qFormat/>
    <w:uiPriority w:val="0"/>
    <w:pPr>
      <w:ind w:firstLine="200"/>
    </w:pPr>
    <w:rPr>
      <w:rFonts w:ascii="Arial" w:hAnsi="Arial"/>
      <w:spacing w:val="-5"/>
      <w:kern w:val="0"/>
      <w:szCs w:val="20"/>
    </w:rPr>
  </w:style>
  <w:style w:type="character" w:customStyle="1" w:styleId="49">
    <w:name w:val="批注框文本 Char"/>
    <w:basedOn w:val="33"/>
    <w:link w:val="19"/>
    <w:semiHidden/>
    <w:qFormat/>
    <w:uiPriority w:val="99"/>
    <w:rPr>
      <w:rFonts w:ascii="@仿宋_GB2312" w:hAnsi="@仿宋_GB2312" w:eastAsia="@仿宋_GB2312" w:cs="@仿宋_GB2312"/>
      <w:sz w:val="18"/>
      <w:szCs w:val="18"/>
    </w:rPr>
  </w:style>
  <w:style w:type="paragraph" w:customStyle="1" w:styleId="50">
    <w:name w:val="正文（缩进）"/>
    <w:basedOn w:val="1"/>
    <w:qFormat/>
    <w:uiPriority w:val="0"/>
    <w:pPr>
      <w:widowControl/>
      <w:spacing w:before="156" w:after="156"/>
      <w:ind w:firstLine="480" w:firstLineChars="200"/>
      <w:jc w:val="left"/>
    </w:pPr>
    <w:rPr>
      <w:kern w:val="0"/>
      <w:sz w:val="24"/>
      <w:szCs w:val="24"/>
    </w:rPr>
  </w:style>
  <w:style w:type="paragraph" w:customStyle="1" w:styleId="51">
    <w:name w:val="xl31"/>
    <w:basedOn w:val="1"/>
    <w:qFormat/>
    <w:uiPriority w:val="0"/>
    <w:pPr>
      <w:widowControl/>
      <w:spacing w:before="100" w:beforeAutospacing="1" w:after="100" w:afterAutospacing="1"/>
      <w:jc w:val="center"/>
    </w:pPr>
    <w:rPr>
      <w:b/>
      <w:bCs/>
      <w:kern w:val="0"/>
      <w:sz w:val="28"/>
      <w:szCs w:val="28"/>
    </w:rPr>
  </w:style>
  <w:style w:type="paragraph" w:customStyle="1" w:styleId="52">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3">
    <w:name w:val="页眉 Char"/>
    <w:basedOn w:val="33"/>
    <w:link w:val="21"/>
    <w:qFormat/>
    <w:uiPriority w:val="99"/>
    <w:rPr>
      <w:rFonts w:ascii="@仿宋_GB2312" w:hAnsi="@仿宋_GB2312" w:eastAsia="@仿宋_GB2312" w:cs="@仿宋_GB2312"/>
      <w:sz w:val="18"/>
      <w:szCs w:val="18"/>
    </w:rPr>
  </w:style>
  <w:style w:type="character" w:customStyle="1" w:styleId="54">
    <w:name w:val="页脚 Char"/>
    <w:basedOn w:val="33"/>
    <w:link w:val="20"/>
    <w:qFormat/>
    <w:uiPriority w:val="99"/>
    <w:rPr>
      <w:rFonts w:ascii="@仿宋_GB2312" w:hAnsi="@仿宋_GB2312" w:eastAsia="@仿宋_GB2312" w:cs="@仿宋_GB2312"/>
      <w:sz w:val="18"/>
      <w:szCs w:val="18"/>
    </w:rPr>
  </w:style>
  <w:style w:type="character" w:customStyle="1" w:styleId="55">
    <w:name w:val="纯文本 Char"/>
    <w:link w:val="18"/>
    <w:qFormat/>
    <w:uiPriority w:val="0"/>
    <w:rPr>
      <w:rFonts w:ascii="宋体" w:hAnsi="Courier New"/>
    </w:rPr>
  </w:style>
  <w:style w:type="character" w:customStyle="1" w:styleId="56">
    <w:name w:val="纯文本 字符1"/>
    <w:basedOn w:val="33"/>
    <w:semiHidden/>
    <w:qFormat/>
    <w:uiPriority w:val="99"/>
    <w:rPr>
      <w:rFonts w:hAnsi="Courier New" w:cs="Courier New" w:asciiTheme="minorEastAsia"/>
      <w:szCs w:val="20"/>
    </w:rPr>
  </w:style>
  <w:style w:type="character" w:customStyle="1" w:styleId="57">
    <w:name w:val="未处理的提及1"/>
    <w:basedOn w:val="33"/>
    <w:semiHidden/>
    <w:unhideWhenUsed/>
    <w:qFormat/>
    <w:uiPriority w:val="99"/>
    <w:rPr>
      <w:color w:val="605E5C"/>
      <w:shd w:val="clear" w:color="auto" w:fill="E1DFDD"/>
    </w:rPr>
  </w:style>
  <w:style w:type="paragraph" w:styleId="58">
    <w:name w:val="List Paragraph"/>
    <w:basedOn w:val="1"/>
    <w:qFormat/>
    <w:uiPriority w:val="34"/>
    <w:pPr>
      <w:ind w:firstLine="420" w:firstLineChars="200"/>
    </w:pPr>
  </w:style>
  <w:style w:type="paragraph" w:customStyle="1" w:styleId="59">
    <w:name w:val="Char Char Char Char Char Char Char1 Char"/>
    <w:basedOn w:val="1"/>
    <w:qFormat/>
    <w:uiPriority w:val="0"/>
    <w:rPr>
      <w:rFonts w:ascii="Arial" w:hAnsi="Arial" w:eastAsia="宋体" w:cs="Arial"/>
      <w:sz w:val="24"/>
    </w:rPr>
  </w:style>
  <w:style w:type="table" w:customStyle="1" w:styleId="60">
    <w:name w:val="网格表 1 浅色1"/>
    <w:basedOn w:val="3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1">
    <w:name w:val="日期 字符"/>
    <w:basedOn w:val="33"/>
    <w:semiHidden/>
    <w:qFormat/>
    <w:uiPriority w:val="99"/>
    <w:rPr>
      <w:rFonts w:ascii="@仿宋_GB2312" w:hAnsi="@仿宋_GB2312" w:eastAsia="@仿宋_GB2312" w:cs="@仿宋_GB2312"/>
      <w:szCs w:val="20"/>
    </w:rPr>
  </w:style>
  <w:style w:type="character" w:customStyle="1" w:styleId="62">
    <w:name w:val="日期 Char"/>
    <w:link w:val="3"/>
    <w:qFormat/>
    <w:uiPriority w:val="0"/>
    <w:rPr>
      <w:rFonts w:ascii="Arial" w:hAnsi="Arial" w:eastAsia="宋体" w:cs="Arial"/>
      <w:b/>
      <w:sz w:val="28"/>
      <w:szCs w:val="20"/>
    </w:rPr>
  </w:style>
  <w:style w:type="character" w:customStyle="1" w:styleId="63">
    <w:name w:val="纯文本 Char1"/>
    <w:qFormat/>
    <w:locked/>
    <w:uiPriority w:val="99"/>
    <w:rPr>
      <w:rFonts w:ascii="Arial" w:hAnsi="Arial" w:eastAsia="Arial"/>
      <w:kern w:val="2"/>
      <w:sz w:val="21"/>
      <w:lang w:val="en-US" w:eastAsia="zh-CN" w:bidi="ar-SA"/>
    </w:rPr>
  </w:style>
  <w:style w:type="character" w:customStyle="1" w:styleId="64">
    <w:name w:val="批注文字 Char"/>
    <w:basedOn w:val="33"/>
    <w:semiHidden/>
    <w:qFormat/>
    <w:uiPriority w:val="99"/>
    <w:rPr>
      <w:rFonts w:ascii="@仿宋_GB2312" w:hAnsi="@仿宋_GB2312" w:eastAsia="@仿宋_GB2312" w:cs="@仿宋_GB2312"/>
      <w:szCs w:val="20"/>
    </w:rPr>
  </w:style>
  <w:style w:type="character" w:customStyle="1" w:styleId="65">
    <w:name w:val="批注文字 Char1"/>
    <w:link w:val="13"/>
    <w:qFormat/>
    <w:uiPriority w:val="0"/>
    <w:rPr>
      <w:rFonts w:ascii="Arial" w:hAnsi="Arial" w:eastAsia="黑体" w:cs="Arial"/>
      <w:szCs w:val="20"/>
    </w:rPr>
  </w:style>
  <w:style w:type="character" w:customStyle="1" w:styleId="66">
    <w:name w:val="标题 1 Char"/>
    <w:basedOn w:val="33"/>
    <w:link w:val="4"/>
    <w:qFormat/>
    <w:uiPriority w:val="9"/>
    <w:rPr>
      <w:rFonts w:ascii="@仿宋_GB2312" w:hAnsi="@仿宋_GB2312" w:eastAsia="@仿宋_GB2312" w:cs="@仿宋_GB2312"/>
      <w:b/>
      <w:bCs/>
      <w:kern w:val="44"/>
      <w:sz w:val="44"/>
      <w:szCs w:val="44"/>
    </w:rPr>
  </w:style>
  <w:style w:type="paragraph" w:customStyle="1" w:styleId="67">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标题 3 Char"/>
    <w:basedOn w:val="33"/>
    <w:link w:val="8"/>
    <w:semiHidden/>
    <w:qFormat/>
    <w:uiPriority w:val="9"/>
    <w:rPr>
      <w:rFonts w:ascii="@仿宋_GB2312" w:hAnsi="@仿宋_GB2312" w:eastAsia="@仿宋_GB2312" w:cs="@仿宋_GB2312"/>
      <w:b/>
      <w:bCs/>
      <w:sz w:val="32"/>
      <w:szCs w:val="32"/>
    </w:rPr>
  </w:style>
  <w:style w:type="character" w:customStyle="1" w:styleId="69">
    <w:name w:val="fontstyle01"/>
    <w:basedOn w:val="33"/>
    <w:qFormat/>
    <w:uiPriority w:val="0"/>
    <w:rPr>
      <w:rFonts w:hint="eastAsia" w:ascii="宋体" w:hAnsi="宋体" w:eastAsia="宋体"/>
      <w:color w:val="000000"/>
      <w:sz w:val="22"/>
      <w:szCs w:val="22"/>
    </w:rPr>
  </w:style>
  <w:style w:type="character" w:customStyle="1" w:styleId="70">
    <w:name w:val="fontstyle21"/>
    <w:basedOn w:val="33"/>
    <w:qFormat/>
    <w:uiPriority w:val="0"/>
    <w:rPr>
      <w:rFonts w:hint="default" w:ascii="TimesNewRomanPSMT" w:hAnsi="TimesNewRomanPSMT"/>
      <w:color w:val="000000"/>
      <w:sz w:val="22"/>
      <w:szCs w:val="22"/>
    </w:rPr>
  </w:style>
  <w:style w:type="character" w:customStyle="1" w:styleId="7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2">
    <w:name w:val="标题 4 字符"/>
    <w:basedOn w:val="33"/>
    <w:semiHidden/>
    <w:qFormat/>
    <w:uiPriority w:val="9"/>
    <w:rPr>
      <w:rFonts w:asciiTheme="majorHAnsi" w:hAnsiTheme="majorHAnsi" w:eastAsiaTheme="majorEastAsia" w:cstheme="majorBidi"/>
      <w:b/>
      <w:bCs/>
      <w:sz w:val="28"/>
      <w:szCs w:val="28"/>
    </w:rPr>
  </w:style>
  <w:style w:type="character" w:customStyle="1" w:styleId="73">
    <w:name w:val="标题 4 Char1"/>
    <w:link w:val="9"/>
    <w:qFormat/>
    <w:uiPriority w:val="0"/>
    <w:rPr>
      <w:rFonts w:ascii="@仿宋_GB2312" w:hAnsi="@仿宋_GB2312" w:eastAsia="@仿宋_GB2312" w:cs="@仿宋_GB2312"/>
      <w:b/>
      <w:bCs/>
      <w:sz w:val="28"/>
      <w:szCs w:val="28"/>
    </w:rPr>
  </w:style>
  <w:style w:type="character" w:customStyle="1" w:styleId="74">
    <w:name w:val="标题 4 Char"/>
    <w:qFormat/>
    <w:uiPriority w:val="0"/>
    <w:rPr>
      <w:rFonts w:ascii="Arial" w:hAnsi="Arial" w:eastAsia="Arial"/>
      <w:b/>
      <w:bCs/>
      <w:kern w:val="2"/>
      <w:sz w:val="28"/>
      <w:szCs w:val="28"/>
      <w:lang w:val="en-US" w:eastAsia="zh-CN" w:bidi="ar-SA"/>
    </w:rPr>
  </w:style>
  <w:style w:type="table" w:customStyle="1" w:styleId="75">
    <w:name w:val="网格型1"/>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主题 Char"/>
    <w:basedOn w:val="65"/>
    <w:link w:val="28"/>
    <w:semiHidden/>
    <w:qFormat/>
    <w:uiPriority w:val="99"/>
    <w:rPr>
      <w:rFonts w:ascii="@仿宋_GB2312" w:hAnsi="@仿宋_GB2312" w:eastAsia="@仿宋_GB2312" w:cs="@仿宋_GB2312"/>
      <w:b/>
      <w:bCs/>
      <w:szCs w:val="20"/>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Table Text"/>
    <w:basedOn w:val="1"/>
    <w:semiHidden/>
    <w:qFormat/>
    <w:uiPriority w:val="0"/>
    <w:rPr>
      <w:rFonts w:ascii="Arial" w:hAnsi="Arial" w:eastAsia="Arial" w:cs="Arial"/>
      <w:szCs w:val="21"/>
      <w:lang w:eastAsia="en-US"/>
    </w:rPr>
  </w:style>
  <w:style w:type="paragraph" w:customStyle="1" w:styleId="79">
    <w:name w:val="正文样式"/>
    <w:basedOn w:val="30"/>
    <w:qFormat/>
    <w:uiPriority w:val="0"/>
    <w:pPr>
      <w:autoSpaceDE w:val="0"/>
      <w:autoSpaceDN w:val="0"/>
      <w:adjustRightInd w:val="0"/>
      <w:spacing w:after="0"/>
      <w:ind w:left="0" w:leftChars="0"/>
      <w:jc w:val="left"/>
    </w:pPr>
    <w:rPr>
      <w:rFonts w:cs="宋体"/>
      <w:color w:val="000000"/>
      <w:lang w:val="zh-CN"/>
    </w:rPr>
  </w:style>
  <w:style w:type="character" w:customStyle="1" w:styleId="80">
    <w:name w:val="hover"/>
    <w:basedOn w:val="33"/>
    <w:qFormat/>
    <w:uiPriority w:val="0"/>
  </w:style>
  <w:style w:type="character" w:customStyle="1" w:styleId="81">
    <w:name w:val="hover1"/>
    <w:basedOn w:val="33"/>
    <w:qFormat/>
    <w:uiPriority w:val="0"/>
    <w:rPr>
      <w:color w:val="2590EB"/>
    </w:rPr>
  </w:style>
  <w:style w:type="character" w:customStyle="1" w:styleId="82">
    <w:name w:val="hover2"/>
    <w:basedOn w:val="33"/>
    <w:qFormat/>
    <w:uiPriority w:val="0"/>
    <w:rPr>
      <w:color w:val="2590EB"/>
    </w:rPr>
  </w:style>
  <w:style w:type="character" w:customStyle="1" w:styleId="83">
    <w:name w:val="hover3"/>
    <w:basedOn w:val="33"/>
    <w:qFormat/>
    <w:uiPriority w:val="0"/>
    <w:rPr>
      <w:color w:val="2590EB"/>
      <w:shd w:val="clear" w:fill="E9F4FD"/>
    </w:rPr>
  </w:style>
  <w:style w:type="character" w:customStyle="1" w:styleId="84">
    <w:name w:val="hover4"/>
    <w:basedOn w:val="33"/>
    <w:qFormat/>
    <w:uiPriority w:val="0"/>
    <w:rPr>
      <w:color w:val="2590EB"/>
      <w:shd w:val="clear" w:fill="E9F4FD"/>
    </w:rPr>
  </w:style>
  <w:style w:type="paragraph" w:styleId="85">
    <w:name w:val="No Spacing"/>
    <w:qFormat/>
    <w:uiPriority w:val="1"/>
    <w:pPr>
      <w:widowControl w:val="0"/>
      <w:spacing w:line="360" w:lineRule="auto"/>
      <w:jc w:val="both"/>
    </w:pPr>
    <w:rPr>
      <w:rFonts w:ascii="宋体" w:hAnsi="宋体" w:eastAsia="宋体" w:cstheme="minorBidi"/>
      <w:kern w:val="2"/>
      <w:sz w:val="24"/>
      <w:szCs w:val="24"/>
      <w:lang w:val="en-US" w:eastAsia="zh-CN" w:bidi="ar-SA"/>
    </w:rPr>
  </w:style>
  <w:style w:type="paragraph" w:customStyle="1" w:styleId="86">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7">
    <w:name w:val="纯文本1"/>
    <w:basedOn w:val="1"/>
    <w:qFormat/>
    <w:uiPriority w:val="0"/>
    <w:rPr>
      <w:rFonts w:ascii="Arial" w:hAnsi="Arial" w:eastAsia="Arial" w:cstheme="minorBidi"/>
      <w:szCs w:val="22"/>
    </w:rPr>
  </w:style>
  <w:style w:type="character" w:customStyle="1" w:styleId="88">
    <w:name w:val="mini-outputtext1"/>
    <w:basedOn w:val="33"/>
    <w:qFormat/>
    <w:uiPriority w:val="0"/>
  </w:style>
  <w:style w:type="paragraph" w:customStyle="1" w:styleId="89">
    <w:name w:val="Normal_4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akoosky</Company>
  <Pages>111</Pages>
  <Words>2219</Words>
  <Characters>2588</Characters>
  <Lines>1</Lines>
  <Paragraphs>1</Paragraphs>
  <TotalTime>49</TotalTime>
  <ScaleCrop>false</ScaleCrop>
  <LinksUpToDate>false</LinksUpToDate>
  <CharactersWithSpaces>2671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2019-05-08T06:32:00Z</dcterms:created>
  <dc:creator>Anakin</dc:creator>
  <cp:lastModifiedBy>傻傻一辈子</cp:lastModifiedBy>
  <cp:lastPrinted>2025-10-27T16:34:00Z</cp:lastPrinted>
  <dcterms:modified xsi:type="dcterms:W3CDTF">2025-12-18T09:56:36Z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EAD7ADCBBA8F43619316AFC050F40175_13</vt:lpwstr>
  </property>
  <property fmtid="{D5CDD505-2E9C-101B-9397-08002B2CF9AE}" pid="4" name="KSOTemplateDocerSaveRecord">
    <vt:lpwstr>eyJoZGlkIjoiMTljMDcwYWJmYjExZWQzNTVmZDAzZTYwM2JlMzJmZDYiLCJ1c2VySWQiOiIzODU2Mzk2OTQifQ==</vt:lpwstr>
  </property>
</Properties>
</file>