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793AFC">
      <w:pPr>
        <w:tabs>
          <w:tab w:val="left" w:pos="315"/>
          <w:tab w:val="left" w:pos="8820"/>
        </w:tabs>
        <w:spacing w:before="312" w:beforeLines="100" w:after="156" w:afterLines="50" w:line="500" w:lineRule="exact"/>
        <w:ind w:right="267" w:rightChars="127"/>
        <w:jc w:val="center"/>
        <w:rPr>
          <w:rFonts w:hint="default" w:ascii="宋体" w:hAnsi="宋体" w:eastAsia="宋体"/>
          <w:b/>
          <w:bCs/>
          <w:color w:val="auto"/>
          <w:sz w:val="52"/>
          <w:szCs w:val="52"/>
          <w:highlight w:val="none"/>
          <w:lang w:val="en-US" w:eastAsia="zh-CN"/>
        </w:rPr>
      </w:pPr>
    </w:p>
    <w:p w14:paraId="3E937FAF">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6FF68032">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4BF90E09">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服务类</w:t>
      </w:r>
      <w:r>
        <w:rPr>
          <w:rFonts w:hint="eastAsia" w:ascii="宋体" w:hAnsi="宋体" w:eastAsia="宋体"/>
          <w:b/>
          <w:bCs/>
          <w:color w:val="auto"/>
          <w:sz w:val="52"/>
          <w:szCs w:val="52"/>
          <w:highlight w:val="none"/>
          <w:lang w:eastAsia="zh-CN"/>
        </w:rPr>
        <w:t>）</w:t>
      </w:r>
    </w:p>
    <w:p w14:paraId="5969AB3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21EDACE9">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C28EB53">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8CFEF9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9ACDC71">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5E4F8CC3">
      <w:pPr>
        <w:pStyle w:val="43"/>
        <w:rPr>
          <w:color w:val="auto"/>
          <w:highlight w:val="none"/>
        </w:rPr>
      </w:pPr>
    </w:p>
    <w:p w14:paraId="5F92F91C">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cs="宋体"/>
          <w:b/>
          <w:color w:val="auto"/>
          <w:spacing w:val="20"/>
          <w:kern w:val="0"/>
          <w:sz w:val="32"/>
          <w:szCs w:val="32"/>
          <w:highlight w:val="none"/>
          <w:u w:val="single"/>
          <w:lang w:val="en-US" w:eastAsia="zh-CN"/>
        </w:rPr>
        <w:t>滁州市城市生命线安全工程建设项目（一期）运维服务项目</w:t>
      </w:r>
      <w:r>
        <w:rPr>
          <w:rFonts w:hint="eastAsia" w:ascii="宋体" w:hAnsi="宋体" w:eastAsia="宋体"/>
          <w:b/>
          <w:color w:val="auto"/>
          <w:spacing w:val="20"/>
          <w:kern w:val="0"/>
          <w:sz w:val="32"/>
          <w:szCs w:val="32"/>
          <w:highlight w:val="none"/>
          <w:u w:val="single"/>
          <w:lang w:val="en-US" w:eastAsia="zh-CN"/>
        </w:rPr>
        <w:t xml:space="preserve"> </w:t>
      </w:r>
    </w:p>
    <w:p w14:paraId="034B9917">
      <w:pPr>
        <w:tabs>
          <w:tab w:val="left" w:pos="2410"/>
        </w:tabs>
        <w:autoSpaceDE w:val="0"/>
        <w:autoSpaceDN w:val="0"/>
        <w:adjustRightInd w:val="0"/>
        <w:snapToGrid w:val="0"/>
        <w:spacing w:line="360" w:lineRule="auto"/>
        <w:ind w:firstLine="723" w:firstLineChars="200"/>
        <w:rPr>
          <w:rFonts w:hint="default" w:ascii="宋体" w:hAnsi="宋体" w:eastAsia="宋体" w:cs="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项目编号：</w:t>
      </w:r>
      <w:r>
        <w:rPr>
          <w:rFonts w:hint="eastAsia" w:ascii="宋体" w:hAnsi="宋体" w:eastAsia="宋体" w:cs="宋体"/>
          <w:b/>
          <w:color w:val="auto"/>
          <w:spacing w:val="20"/>
          <w:kern w:val="0"/>
          <w:sz w:val="32"/>
          <w:szCs w:val="32"/>
          <w:highlight w:val="none"/>
          <w:u w:val="single"/>
          <w:lang w:val="en-US" w:eastAsia="zh-CN"/>
        </w:rPr>
        <w:t>czsjcg202607-053</w:t>
      </w:r>
    </w:p>
    <w:p w14:paraId="62C48B53">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 购 人：</w:t>
      </w:r>
      <w:r>
        <w:rPr>
          <w:rFonts w:hint="eastAsia" w:ascii="宋体" w:hAnsi="宋体" w:eastAsia="宋体" w:cs="宋体"/>
          <w:b/>
          <w:color w:val="auto"/>
          <w:spacing w:val="20"/>
          <w:kern w:val="0"/>
          <w:sz w:val="32"/>
          <w:szCs w:val="32"/>
          <w:highlight w:val="none"/>
          <w:u w:val="single"/>
          <w:lang w:val="en-US" w:eastAsia="zh-CN"/>
        </w:rPr>
        <w:t>滁州市城市建设档案馆（滁州市住房和城乡建设信息中心、滁州市城市生命线工程安全运行监测中心）</w:t>
      </w:r>
    </w:p>
    <w:p w14:paraId="4A45399D">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cs="宋体"/>
          <w:b/>
          <w:color w:val="auto"/>
          <w:spacing w:val="20"/>
          <w:kern w:val="0"/>
          <w:sz w:val="32"/>
          <w:szCs w:val="32"/>
          <w:highlight w:val="none"/>
          <w:u w:val="single"/>
          <w:lang w:eastAsia="zh-CN"/>
        </w:rPr>
        <w:t>滁州市政府采购中心</w:t>
      </w:r>
      <w:r>
        <w:rPr>
          <w:rFonts w:hint="eastAsia" w:ascii="宋体" w:hAnsi="宋体" w:eastAsia="宋体"/>
          <w:b/>
          <w:color w:val="auto"/>
          <w:spacing w:val="20"/>
          <w:kern w:val="0"/>
          <w:sz w:val="32"/>
          <w:szCs w:val="32"/>
          <w:highlight w:val="none"/>
          <w:u w:val="single"/>
          <w:lang w:val="en-US" w:eastAsia="zh-CN"/>
        </w:rPr>
        <w:t xml:space="preserve"> </w:t>
      </w:r>
    </w:p>
    <w:p w14:paraId="1FAFBC53">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7</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月</w:t>
      </w:r>
      <w:r>
        <w:rPr>
          <w:rFonts w:ascii="宋体" w:hAnsi="宋体" w:eastAsia="宋体"/>
          <w:b/>
          <w:color w:val="auto"/>
          <w:sz w:val="36"/>
          <w:highlight w:val="none"/>
        </w:rPr>
        <w:br w:type="page"/>
      </w:r>
    </w:p>
    <w:p w14:paraId="7EAE4B4D">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5ED829E8">
      <w:pPr>
        <w:pStyle w:val="20"/>
        <w:tabs>
          <w:tab w:val="right" w:leader="dot" w:pos="8306"/>
        </w:tabs>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_Toc32331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 xml:space="preserve">第一章 </w:t>
      </w:r>
      <w:r>
        <w:rPr>
          <w:rFonts w:asciiTheme="minorEastAsia" w:hAnsiTheme="minorEastAsia" w:eastAsiaTheme="minorEastAsia"/>
          <w:color w:val="auto"/>
          <w:highlight w:val="none"/>
        </w:rPr>
        <w:t xml:space="preserve"> 投标邀请</w:t>
      </w:r>
      <w:r>
        <w:rPr>
          <w:color w:val="auto"/>
          <w:highlight w:val="none"/>
        </w:rPr>
        <w:tab/>
      </w:r>
      <w:r>
        <w:rPr>
          <w:color w:val="auto"/>
          <w:highlight w:val="none"/>
        </w:rPr>
        <w:fldChar w:fldCharType="begin"/>
      </w:r>
      <w:r>
        <w:rPr>
          <w:color w:val="auto"/>
          <w:highlight w:val="none"/>
        </w:rPr>
        <w:instrText xml:space="preserve"> PAGEREF _Toc32331 \h </w:instrText>
      </w:r>
      <w:r>
        <w:rPr>
          <w:color w:val="auto"/>
          <w:highlight w:val="none"/>
        </w:rPr>
        <w:fldChar w:fldCharType="separate"/>
      </w:r>
      <w:r>
        <w:rPr>
          <w:color w:val="auto"/>
          <w:highlight w:val="none"/>
        </w:rPr>
        <w:t>3</w:t>
      </w:r>
      <w:r>
        <w:rPr>
          <w:color w:val="auto"/>
          <w:highlight w:val="none"/>
        </w:rPr>
        <w:fldChar w:fldCharType="end"/>
      </w:r>
      <w:r>
        <w:rPr>
          <w:rFonts w:asciiTheme="minorEastAsia" w:hAnsiTheme="minorEastAsia" w:eastAsiaTheme="minorEastAsia"/>
          <w:color w:val="auto"/>
          <w:szCs w:val="24"/>
          <w:highlight w:val="none"/>
        </w:rPr>
        <w:fldChar w:fldCharType="end"/>
      </w:r>
    </w:p>
    <w:p w14:paraId="48955D73">
      <w:pPr>
        <w:pStyle w:val="20"/>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_Toc8888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第二章</w:t>
      </w:r>
      <w:r>
        <w:rPr>
          <w:rFonts w:asciiTheme="minorEastAsia" w:hAnsiTheme="minorEastAsia" w:eastAsiaTheme="minorEastAsia"/>
          <w:color w:val="auto"/>
          <w:highlight w:val="none"/>
        </w:rPr>
        <w:t xml:space="preserve"> </w:t>
      </w:r>
      <w:r>
        <w:rPr>
          <w:rFonts w:hint="eastAsia" w:asciiTheme="minorEastAsia" w:hAnsiTheme="minorEastAsia" w:eastAsiaTheme="minorEastAsia"/>
          <w:color w:val="auto"/>
          <w:highlight w:val="none"/>
        </w:rPr>
        <w:t xml:space="preserve"> </w:t>
      </w:r>
      <w:r>
        <w:rPr>
          <w:rFonts w:asciiTheme="minorEastAsia" w:hAnsiTheme="minorEastAsia" w:eastAsiaTheme="minorEastAsia"/>
          <w:color w:val="auto"/>
          <w:highlight w:val="none"/>
        </w:rPr>
        <w:t>投标人须知</w:t>
      </w:r>
      <w:r>
        <w:rPr>
          <w:color w:val="auto"/>
          <w:highlight w:val="none"/>
        </w:rPr>
        <w:tab/>
      </w:r>
      <w:r>
        <w:rPr>
          <w:color w:val="auto"/>
          <w:highlight w:val="none"/>
        </w:rPr>
        <w:fldChar w:fldCharType="begin"/>
      </w:r>
      <w:r>
        <w:rPr>
          <w:color w:val="auto"/>
          <w:highlight w:val="none"/>
        </w:rPr>
        <w:instrText xml:space="preserve"> PAGEREF _Toc8888 \h </w:instrText>
      </w:r>
      <w:r>
        <w:rPr>
          <w:color w:val="auto"/>
          <w:highlight w:val="none"/>
        </w:rPr>
        <w:fldChar w:fldCharType="separate"/>
      </w:r>
      <w:r>
        <w:rPr>
          <w:color w:val="auto"/>
          <w:highlight w:val="none"/>
        </w:rPr>
        <w:t>9</w:t>
      </w:r>
      <w:r>
        <w:rPr>
          <w:color w:val="auto"/>
          <w:highlight w:val="none"/>
        </w:rPr>
        <w:fldChar w:fldCharType="end"/>
      </w:r>
      <w:r>
        <w:rPr>
          <w:rFonts w:asciiTheme="minorEastAsia" w:hAnsiTheme="minorEastAsia" w:eastAsiaTheme="minorEastAsia"/>
          <w:color w:val="auto"/>
          <w:szCs w:val="24"/>
          <w:highlight w:val="none"/>
        </w:rPr>
        <w:fldChar w:fldCharType="end"/>
      </w:r>
    </w:p>
    <w:p w14:paraId="17B04AD7">
      <w:pPr>
        <w:pStyle w:val="20"/>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_Toc22605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lang w:eastAsia="zh-CN"/>
        </w:rPr>
        <w:t xml:space="preserve">第三章 </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采购需求</w:t>
      </w:r>
      <w:r>
        <w:rPr>
          <w:color w:val="auto"/>
          <w:highlight w:val="none"/>
        </w:rPr>
        <w:tab/>
      </w:r>
      <w:r>
        <w:rPr>
          <w:color w:val="auto"/>
          <w:highlight w:val="none"/>
        </w:rPr>
        <w:fldChar w:fldCharType="begin"/>
      </w:r>
      <w:r>
        <w:rPr>
          <w:color w:val="auto"/>
          <w:highlight w:val="none"/>
        </w:rPr>
        <w:instrText xml:space="preserve"> PAGEREF _Toc22605 \h </w:instrText>
      </w:r>
      <w:r>
        <w:rPr>
          <w:color w:val="auto"/>
          <w:highlight w:val="none"/>
        </w:rPr>
        <w:fldChar w:fldCharType="separate"/>
      </w:r>
      <w:r>
        <w:rPr>
          <w:color w:val="auto"/>
          <w:highlight w:val="none"/>
        </w:rPr>
        <w:t>29</w:t>
      </w:r>
      <w:r>
        <w:rPr>
          <w:color w:val="auto"/>
          <w:highlight w:val="none"/>
        </w:rPr>
        <w:fldChar w:fldCharType="end"/>
      </w:r>
      <w:r>
        <w:rPr>
          <w:rFonts w:asciiTheme="minorEastAsia" w:hAnsiTheme="minorEastAsia" w:eastAsiaTheme="minorEastAsia"/>
          <w:color w:val="auto"/>
          <w:szCs w:val="24"/>
          <w:highlight w:val="none"/>
        </w:rPr>
        <w:fldChar w:fldCharType="end"/>
      </w:r>
    </w:p>
    <w:p w14:paraId="4DFBCC95">
      <w:pPr>
        <w:pStyle w:val="20"/>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_Toc30824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第四章  评标方法和标准（综合评分法）</w:t>
      </w:r>
      <w:r>
        <w:rPr>
          <w:color w:val="auto"/>
          <w:highlight w:val="none"/>
        </w:rPr>
        <w:tab/>
      </w:r>
      <w:r>
        <w:rPr>
          <w:color w:val="auto"/>
          <w:highlight w:val="none"/>
        </w:rPr>
        <w:fldChar w:fldCharType="begin"/>
      </w:r>
      <w:r>
        <w:rPr>
          <w:color w:val="auto"/>
          <w:highlight w:val="none"/>
        </w:rPr>
        <w:instrText xml:space="preserve"> PAGEREF _Toc30824 \h </w:instrText>
      </w:r>
      <w:r>
        <w:rPr>
          <w:color w:val="auto"/>
          <w:highlight w:val="none"/>
        </w:rPr>
        <w:fldChar w:fldCharType="separate"/>
      </w:r>
      <w:r>
        <w:rPr>
          <w:color w:val="auto"/>
          <w:highlight w:val="none"/>
        </w:rPr>
        <w:t>38</w:t>
      </w:r>
      <w:r>
        <w:rPr>
          <w:color w:val="auto"/>
          <w:highlight w:val="none"/>
        </w:rPr>
        <w:fldChar w:fldCharType="end"/>
      </w:r>
      <w:r>
        <w:rPr>
          <w:rFonts w:asciiTheme="minorEastAsia" w:hAnsiTheme="minorEastAsia" w:eastAsiaTheme="minorEastAsia"/>
          <w:color w:val="auto"/>
          <w:szCs w:val="24"/>
          <w:highlight w:val="none"/>
        </w:rPr>
        <w:fldChar w:fldCharType="end"/>
      </w:r>
    </w:p>
    <w:p w14:paraId="05E1657B">
      <w:pPr>
        <w:pStyle w:val="20"/>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_Toc20405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 xml:space="preserve">第五章  </w:t>
      </w:r>
      <w:r>
        <w:rPr>
          <w:rFonts w:asciiTheme="minorEastAsia" w:hAnsiTheme="minorEastAsia" w:eastAsiaTheme="minorEastAsia"/>
          <w:color w:val="auto"/>
          <w:highlight w:val="none"/>
        </w:rPr>
        <w:t>政府采购合同</w:t>
      </w:r>
      <w:r>
        <w:rPr>
          <w:color w:val="auto"/>
          <w:highlight w:val="none"/>
        </w:rPr>
        <w:tab/>
      </w:r>
      <w:r>
        <w:rPr>
          <w:color w:val="auto"/>
          <w:highlight w:val="none"/>
        </w:rPr>
        <w:fldChar w:fldCharType="begin"/>
      </w:r>
      <w:r>
        <w:rPr>
          <w:color w:val="auto"/>
          <w:highlight w:val="none"/>
        </w:rPr>
        <w:instrText xml:space="preserve"> PAGEREF _Toc20405 \h </w:instrText>
      </w:r>
      <w:r>
        <w:rPr>
          <w:color w:val="auto"/>
          <w:highlight w:val="none"/>
        </w:rPr>
        <w:fldChar w:fldCharType="separate"/>
      </w:r>
      <w:r>
        <w:rPr>
          <w:color w:val="auto"/>
          <w:highlight w:val="none"/>
        </w:rPr>
        <w:t>52</w:t>
      </w:r>
      <w:r>
        <w:rPr>
          <w:color w:val="auto"/>
          <w:highlight w:val="none"/>
        </w:rPr>
        <w:fldChar w:fldCharType="end"/>
      </w:r>
      <w:r>
        <w:rPr>
          <w:rFonts w:asciiTheme="minorEastAsia" w:hAnsiTheme="minorEastAsia" w:eastAsiaTheme="minorEastAsia"/>
          <w:color w:val="auto"/>
          <w:szCs w:val="24"/>
          <w:highlight w:val="none"/>
        </w:rPr>
        <w:fldChar w:fldCharType="end"/>
      </w:r>
    </w:p>
    <w:p w14:paraId="6081B811">
      <w:pPr>
        <w:pStyle w:val="20"/>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_Toc13555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_Toc13555 \h </w:instrText>
      </w:r>
      <w:r>
        <w:rPr>
          <w:color w:val="auto"/>
          <w:highlight w:val="none"/>
        </w:rPr>
        <w:fldChar w:fldCharType="separate"/>
      </w:r>
      <w:r>
        <w:rPr>
          <w:color w:val="auto"/>
          <w:highlight w:val="none"/>
        </w:rPr>
        <w:t>64</w:t>
      </w:r>
      <w:r>
        <w:rPr>
          <w:color w:val="auto"/>
          <w:highlight w:val="none"/>
        </w:rPr>
        <w:fldChar w:fldCharType="end"/>
      </w:r>
      <w:r>
        <w:rPr>
          <w:rFonts w:asciiTheme="minorEastAsia" w:hAnsiTheme="minorEastAsia" w:eastAsiaTheme="minorEastAsia"/>
          <w:color w:val="auto"/>
          <w:szCs w:val="24"/>
          <w:highlight w:val="none"/>
        </w:rPr>
        <w:fldChar w:fldCharType="end"/>
      </w:r>
    </w:p>
    <w:p w14:paraId="5DFB1993">
      <w:pPr>
        <w:pStyle w:val="20"/>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_Toc20819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宋体" w:hAnsi="宋体" w:eastAsia="宋体"/>
          <w:bCs/>
          <w:color w:val="auto"/>
          <w:highlight w:val="none"/>
        </w:rPr>
        <w:t xml:space="preserve">  政府采购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_Toc20819 \h </w:instrText>
      </w:r>
      <w:r>
        <w:rPr>
          <w:color w:val="auto"/>
          <w:highlight w:val="none"/>
        </w:rPr>
        <w:fldChar w:fldCharType="separate"/>
      </w:r>
      <w:r>
        <w:rPr>
          <w:color w:val="auto"/>
          <w:highlight w:val="none"/>
        </w:rPr>
        <w:t>80</w:t>
      </w:r>
      <w:r>
        <w:rPr>
          <w:color w:val="auto"/>
          <w:highlight w:val="none"/>
        </w:rPr>
        <w:fldChar w:fldCharType="end"/>
      </w:r>
      <w:r>
        <w:rPr>
          <w:rFonts w:asciiTheme="minorEastAsia" w:hAnsiTheme="minorEastAsia" w:eastAsiaTheme="minorEastAsia"/>
          <w:color w:val="auto"/>
          <w:szCs w:val="24"/>
          <w:highlight w:val="none"/>
        </w:rPr>
        <w:fldChar w:fldCharType="end"/>
      </w:r>
    </w:p>
    <w:p w14:paraId="58ADA382">
      <w:pPr>
        <w:spacing w:line="360" w:lineRule="auto"/>
        <w:rPr>
          <w:rFonts w:asciiTheme="minorEastAsia" w:hAnsiTheme="minorEastAsia" w:eastAsiaTheme="minorEastAsia"/>
          <w:b/>
          <w:color w:val="auto"/>
          <w:sz w:val="32"/>
          <w:highlight w:val="none"/>
        </w:rPr>
      </w:pPr>
      <w:r>
        <w:rPr>
          <w:rFonts w:asciiTheme="minorEastAsia" w:hAnsiTheme="minorEastAsia" w:eastAsiaTheme="minorEastAsia"/>
          <w:color w:val="auto"/>
          <w:szCs w:val="24"/>
          <w:highlight w:val="none"/>
        </w:rPr>
        <w:fldChar w:fldCharType="end"/>
      </w:r>
    </w:p>
    <w:p w14:paraId="549253DA">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6" w:h="16838"/>
          <w:pgMar w:top="1440" w:right="1486" w:bottom="1440" w:left="1800" w:header="851" w:footer="992" w:gutter="0"/>
          <w:cols w:space="425" w:num="1"/>
          <w:docGrid w:type="lines" w:linePitch="312" w:charSpace="0"/>
        </w:sectPr>
      </w:pPr>
    </w:p>
    <w:p w14:paraId="0D06E3E5">
      <w:pPr>
        <w:spacing w:line="360" w:lineRule="auto"/>
        <w:jc w:val="center"/>
        <w:outlineLvl w:val="0"/>
        <w:rPr>
          <w:rFonts w:asciiTheme="minorEastAsia" w:hAnsiTheme="minorEastAsia" w:eastAsiaTheme="minorEastAsia"/>
          <w:b/>
          <w:color w:val="auto"/>
          <w:sz w:val="28"/>
          <w:highlight w:val="none"/>
        </w:rPr>
      </w:pPr>
      <w:bookmarkStart w:id="1" w:name="_Toc32331"/>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5BC9E0BF">
      <w:pPr>
        <w:keepNext/>
        <w:keepLines/>
        <w:pageBreakBefore w:val="0"/>
        <w:widowControl w:val="0"/>
        <w:kinsoku/>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bookmarkStart w:id="2" w:name="_Hlk24379207"/>
      <w:bookmarkStart w:id="3" w:name="_Toc1215"/>
      <w:r>
        <w:rPr>
          <w:rFonts w:hint="eastAsia" w:ascii="宋体" w:hAnsi="宋体" w:eastAsia="宋体" w:cs="宋体"/>
          <w:color w:val="auto"/>
          <w:sz w:val="28"/>
          <w:szCs w:val="28"/>
          <w:highlight w:val="none"/>
        </w:rPr>
        <w:t>项目概况</w:t>
      </w:r>
    </w:p>
    <w:p w14:paraId="69006607">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lang w:val="en-US" w:eastAsia="zh-CN"/>
        </w:rPr>
        <w:t>滁州市城市生命线安全工程建设项目（一期）运维服务项目</w:t>
      </w:r>
      <w:r>
        <w:rPr>
          <w:rFonts w:hint="eastAsia" w:ascii="宋体" w:hAnsi="宋体" w:eastAsia="宋体" w:cs="宋体"/>
          <w:color w:val="auto"/>
          <w:sz w:val="28"/>
          <w:szCs w:val="28"/>
          <w:highlight w:val="none"/>
        </w:rPr>
        <w:t>的潜在投标人应在</w:t>
      </w:r>
      <w:r>
        <w:rPr>
          <w:rFonts w:hint="eastAsia" w:ascii="宋体" w:hAnsi="宋体" w:eastAsia="宋体" w:cs="宋体"/>
          <w:color w:val="auto"/>
          <w:sz w:val="28"/>
          <w:szCs w:val="28"/>
          <w:highlight w:val="none"/>
          <w:u w:val="single"/>
        </w:rPr>
        <w:t>滁州市公共资源交易中心网（http：//ggzy.chuzhou.gov.cn/）</w:t>
      </w:r>
      <w:r>
        <w:rPr>
          <w:rFonts w:hint="eastAsia" w:ascii="宋体" w:hAnsi="宋体" w:eastAsia="宋体" w:cs="宋体"/>
          <w:color w:val="auto"/>
          <w:sz w:val="28"/>
          <w:szCs w:val="28"/>
          <w:highlight w:val="none"/>
        </w:rPr>
        <w:t>获取招标文件，并于</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8月20日08点30分</w:t>
      </w:r>
      <w:r>
        <w:rPr>
          <w:rFonts w:hint="eastAsia" w:ascii="宋体" w:hAnsi="宋体" w:eastAsia="宋体" w:cs="宋体"/>
          <w:color w:val="auto"/>
          <w:sz w:val="28"/>
          <w:szCs w:val="28"/>
          <w:highlight w:val="none"/>
        </w:rPr>
        <w:t>（北京时间）前递交投标文件。</w:t>
      </w:r>
    </w:p>
    <w:bookmarkEnd w:id="2"/>
    <w:p w14:paraId="1FDA081F">
      <w:pPr>
        <w:keepNext/>
        <w:keepLines/>
        <w:pageBreakBefore w:val="0"/>
        <w:widowControl w:val="0"/>
        <w:kinsoku/>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一、项目基本情况</w:t>
      </w:r>
    </w:p>
    <w:p w14:paraId="075451EC">
      <w:pPr>
        <w:pageBreakBefore w:val="0"/>
        <w:widowControl w:val="0"/>
        <w:kinsoku/>
        <w:overflowPunct/>
        <w:topLinePunct w:val="0"/>
        <w:autoSpaceDE/>
        <w:autoSpaceDN/>
        <w:bidi w:val="0"/>
        <w:adjustRightInd/>
        <w:snapToGrid/>
        <w:spacing w:line="360" w:lineRule="auto"/>
        <w:ind w:right="-420" w:rightChars="-200" w:firstLine="560" w:firstLineChars="200"/>
        <w:jc w:val="left"/>
        <w:textAlignment w:val="auto"/>
        <w:rPr>
          <w:rFonts w:hint="eastAsia" w:ascii="宋体" w:hAnsi="宋体" w:eastAsia="宋体" w:cs="宋体"/>
          <w:color w:val="auto"/>
          <w:sz w:val="28"/>
          <w:szCs w:val="28"/>
          <w:highlight w:val="none"/>
          <w:lang w:val="en-US" w:eastAsia="zh-CN"/>
        </w:rPr>
      </w:pPr>
      <w:bookmarkStart w:id="4" w:name="_Toc35393791"/>
      <w:bookmarkEnd w:id="4"/>
      <w:bookmarkStart w:id="5" w:name="_Toc28359003"/>
      <w:bookmarkEnd w:id="5"/>
      <w:bookmarkStart w:id="6" w:name="_Toc35393622"/>
      <w:bookmarkEnd w:id="6"/>
      <w:bookmarkStart w:id="7" w:name="_Toc58430306"/>
      <w:bookmarkEnd w:id="7"/>
      <w:bookmarkStart w:id="8" w:name="_Toc28359080"/>
      <w:r>
        <w:rPr>
          <w:rFonts w:hint="eastAsia" w:ascii="宋体" w:hAnsi="宋体" w:eastAsia="宋体" w:cs="宋体"/>
          <w:color w:val="auto"/>
          <w:sz w:val="28"/>
          <w:szCs w:val="28"/>
          <w:highlight w:val="none"/>
          <w:lang w:eastAsia="zh-CN"/>
        </w:rPr>
        <w:t>项目编号：czsjcg202607-053</w:t>
      </w:r>
      <w:r>
        <w:rPr>
          <w:rFonts w:hint="eastAsia" w:ascii="宋体" w:hAnsi="宋体" w:eastAsia="宋体" w:cs="宋体"/>
          <w:color w:val="auto"/>
          <w:sz w:val="28"/>
          <w:szCs w:val="28"/>
          <w:highlight w:val="none"/>
          <w:lang w:val="en-US" w:eastAsia="zh-CN"/>
        </w:rPr>
        <w:t xml:space="preserve"> </w:t>
      </w:r>
    </w:p>
    <w:p w14:paraId="0C6D9291">
      <w:pPr>
        <w:pageBreakBefore w:val="0"/>
        <w:widowControl w:val="0"/>
        <w:kinsoku/>
        <w:overflowPunct/>
        <w:topLinePunct w:val="0"/>
        <w:autoSpaceDE/>
        <w:autoSpaceDN/>
        <w:bidi w:val="0"/>
        <w:adjustRightInd/>
        <w:snapToGrid/>
        <w:spacing w:line="360" w:lineRule="auto"/>
        <w:ind w:right="-420" w:rightChars="-200"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项目名称：</w:t>
      </w:r>
      <w:r>
        <w:rPr>
          <w:rFonts w:hint="eastAsia" w:ascii="宋体" w:hAnsi="宋体" w:eastAsia="宋体" w:cs="宋体"/>
          <w:color w:val="auto"/>
          <w:sz w:val="28"/>
          <w:szCs w:val="28"/>
          <w:highlight w:val="none"/>
          <w:lang w:eastAsia="zh-CN"/>
        </w:rPr>
        <w:t>滁州市城市生命线安全工程建设项目（一期）运维服务项目</w:t>
      </w:r>
    </w:p>
    <w:p w14:paraId="429480F0">
      <w:pPr>
        <w:pageBreakBefore w:val="0"/>
        <w:widowControl w:val="0"/>
        <w:kinsoku/>
        <w:overflowPunct/>
        <w:topLinePunct w:val="0"/>
        <w:autoSpaceDE/>
        <w:autoSpaceDN/>
        <w:bidi w:val="0"/>
        <w:adjustRightInd/>
        <w:snapToGrid/>
        <w:spacing w:line="360" w:lineRule="auto"/>
        <w:ind w:right="-420" w:rightChars="-200"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预算金额：514万元/年</w:t>
      </w:r>
    </w:p>
    <w:p w14:paraId="18455D57">
      <w:pPr>
        <w:pageBreakBefore w:val="0"/>
        <w:widowControl w:val="0"/>
        <w:kinsoku/>
        <w:overflowPunct/>
        <w:topLinePunct w:val="0"/>
        <w:autoSpaceDE/>
        <w:autoSpaceDN/>
        <w:bidi w:val="0"/>
        <w:adjustRightInd/>
        <w:snapToGrid/>
        <w:spacing w:line="360" w:lineRule="auto"/>
        <w:ind w:right="-420" w:rightChars="-200" w:firstLine="560" w:firstLineChars="200"/>
        <w:jc w:val="left"/>
        <w:textAlignment w:val="auto"/>
        <w:rPr>
          <w:color w:val="auto"/>
          <w:highlight w:val="none"/>
        </w:rPr>
      </w:pPr>
      <w:r>
        <w:rPr>
          <w:rFonts w:hint="eastAsia" w:ascii="宋体" w:hAnsi="宋体" w:eastAsia="宋体" w:cs="宋体"/>
          <w:color w:val="auto"/>
          <w:sz w:val="28"/>
          <w:szCs w:val="28"/>
          <w:highlight w:val="none"/>
          <w:lang w:val="en-US" w:eastAsia="zh-CN"/>
        </w:rPr>
        <w:t>最高限价：总价最高限价为514万元/年，投标报价不得高于总价最高限价，否则按无效投标处理。</w:t>
      </w:r>
    </w:p>
    <w:p w14:paraId="2A25F36C">
      <w:pPr>
        <w:pageBreakBefore w:val="0"/>
        <w:widowControl w:val="0"/>
        <w:kinsoku/>
        <w:overflowPunct/>
        <w:topLinePunct w:val="0"/>
        <w:autoSpaceDE/>
        <w:autoSpaceDN/>
        <w:bidi w:val="0"/>
        <w:adjustRightInd/>
        <w:snapToGrid/>
        <w:spacing w:line="360" w:lineRule="auto"/>
        <w:ind w:right="-420" w:rightChars="-200"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购需求：对滁州市城市生命线安全工程建设项目（一期）进行日常运维服务，主要服务内容包含但不限于：应用软件运维，包含基础支撑系统、城市生命线综合运行管理平台、生命线运维管理系统、桥梁安全监测应用系统、供水管网安全监测应用系统、燃气管网智能风险防控与应急辅助决策系统、排水管网安全监测应用系统等。硬件设备维护，包含9484台可燃气体智能监测仪、1764个传感器接入模块、71套综合接入网关、18个桥梁前端预处理主机、100套供水前端接入网关、413套智慧消火栓监测设备等。配套服务，包含网络租赁服务等。</w:t>
      </w:r>
    </w:p>
    <w:p w14:paraId="6CF8211F">
      <w:pPr>
        <w:spacing w:line="360" w:lineRule="auto"/>
        <w:ind w:firstLine="435"/>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合同履行期限:三年(合同一年一签，中标人当年运维服务满足合同约定及考核要求，可以续签下一年合同。若中标人当年运维服务不满足合同约定及考核要求，招标人有权终止续签合同。根据政策调整、工作需要、预算下达等情况，招标人有权调整续签合同金额，或终止续签合同）。</w:t>
      </w:r>
    </w:p>
    <w:p w14:paraId="63F1EEB8">
      <w:pPr>
        <w:pageBreakBefore w:val="0"/>
        <w:widowControl w:val="0"/>
        <w:kinsoku/>
        <w:overflowPunct/>
        <w:topLinePunct w:val="0"/>
        <w:autoSpaceDE/>
        <w:autoSpaceDN/>
        <w:bidi w:val="0"/>
        <w:adjustRightInd/>
        <w:snapToGrid/>
        <w:spacing w:line="360" w:lineRule="auto"/>
        <w:ind w:firstLine="560" w:firstLineChars="200"/>
        <w:jc w:val="left"/>
        <w:textAlignment w:val="auto"/>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本项目不接受联合体投标。</w:t>
      </w:r>
    </w:p>
    <w:bookmarkEnd w:id="8"/>
    <w:p w14:paraId="65B0FE0C">
      <w:pPr>
        <w:keepNext/>
        <w:keepLines/>
        <w:pageBreakBefore w:val="0"/>
        <w:widowControl w:val="0"/>
        <w:kinsoku/>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二、申请人的资格要求</w:t>
      </w:r>
    </w:p>
    <w:p w14:paraId="1AF29560">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bookmarkStart w:id="9" w:name="_Toc35393792"/>
      <w:bookmarkEnd w:id="9"/>
      <w:bookmarkStart w:id="10" w:name="_Toc35393623"/>
      <w:bookmarkEnd w:id="10"/>
      <w:bookmarkStart w:id="11" w:name="_Toc58430307"/>
      <w:r>
        <w:rPr>
          <w:rFonts w:hint="eastAsia" w:ascii="宋体" w:hAnsi="宋体" w:eastAsia="宋体" w:cs="宋体"/>
          <w:color w:val="auto"/>
          <w:sz w:val="28"/>
          <w:szCs w:val="28"/>
          <w:highlight w:val="none"/>
          <w:lang w:val="en-US" w:eastAsia="zh-CN"/>
        </w:rPr>
        <w:t>1.满足《中华人民共和国政府采购法》第二十二条规定；</w:t>
      </w:r>
    </w:p>
    <w:p w14:paraId="4484635A">
      <w:pPr>
        <w:pStyle w:val="22"/>
        <w:keepNext w:val="0"/>
        <w:keepLines w:val="0"/>
        <w:widowControl/>
        <w:suppressLineNumbers w:val="0"/>
        <w:spacing w:before="0" w:beforeAutospacing="0" w:after="0" w:afterAutospacing="0" w:line="450" w:lineRule="atLeast"/>
        <w:ind w:left="0" w:right="0" w:firstLine="560"/>
        <w:jc w:val="both"/>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sz w:val="28"/>
          <w:szCs w:val="28"/>
          <w:highlight w:val="none"/>
          <w:lang w:val="en-US" w:eastAsia="zh-CN"/>
        </w:rPr>
        <w:t>2.落实政府采</w:t>
      </w:r>
      <w:r>
        <w:rPr>
          <w:rFonts w:hint="eastAsia" w:ascii="宋体" w:hAnsi="宋体" w:eastAsia="宋体" w:cs="宋体"/>
          <w:color w:val="auto"/>
          <w:kern w:val="2"/>
          <w:sz w:val="28"/>
          <w:szCs w:val="28"/>
          <w:highlight w:val="none"/>
          <w:lang w:val="en-US" w:eastAsia="zh-CN" w:bidi="ar-SA"/>
        </w:rPr>
        <w:t>购政策需满足的资格要求：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gt;交易须知&gt;在线异议、质疑和投诉操作手册；</w:t>
      </w:r>
    </w:p>
    <w:p w14:paraId="1B5B0967">
      <w:pPr>
        <w:keepNext w:val="0"/>
        <w:keepLines w:val="0"/>
        <w:widowControl/>
        <w:suppressLineNumbers w:val="0"/>
        <w:ind w:firstLine="560" w:firstLineChars="200"/>
        <w:jc w:val="left"/>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3.本项目的特定资格要求：无。</w:t>
      </w:r>
    </w:p>
    <w:p w14:paraId="7DD8A5B1">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4.信誉要求：投标人不得存在以下情形：</w:t>
      </w:r>
    </w:p>
    <w:p w14:paraId="5BC3C7C8">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①被列入“信用中国”网站“失信被执行人”的；</w:t>
      </w:r>
    </w:p>
    <w:p w14:paraId="35A0D785">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②被列入“信用中国”网站“重大税收违法失信主体”的；</w:t>
      </w:r>
    </w:p>
    <w:p w14:paraId="502C17FD">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③被列入“信用中国”网站“严重失信主体名单”的；</w:t>
      </w:r>
    </w:p>
    <w:p w14:paraId="180CBB11">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④在</w:t>
      </w:r>
      <w:bookmarkStart w:id="12" w:name="OLE_LINK128"/>
      <w:bookmarkStart w:id="13" w:name="OLE_LINK129"/>
      <w:bookmarkStart w:id="14" w:name="OLE_LINK127"/>
      <w:r>
        <w:rPr>
          <w:rFonts w:hint="eastAsia" w:ascii="宋体" w:hAnsi="宋体" w:eastAsia="宋体" w:cs="宋体"/>
          <w:color w:val="auto"/>
          <w:sz w:val="28"/>
          <w:szCs w:val="28"/>
          <w:highlight w:val="none"/>
          <w:lang w:val="en-US" w:eastAsia="zh-CN"/>
        </w:rPr>
        <w:t>“信用中国”网站</w:t>
      </w:r>
      <w:bookmarkEnd w:id="12"/>
      <w:bookmarkEnd w:id="13"/>
      <w:bookmarkEnd w:id="14"/>
      <w:r>
        <w:rPr>
          <w:rFonts w:hint="eastAsia" w:ascii="宋体" w:hAnsi="宋体" w:eastAsia="宋体" w:cs="宋体"/>
          <w:color w:val="auto"/>
          <w:sz w:val="28"/>
          <w:szCs w:val="28"/>
          <w:highlight w:val="none"/>
          <w:lang w:val="en-US" w:eastAsia="zh-CN"/>
        </w:rPr>
        <w:t>上披露的仍在公示期的严重失信行为(具体行为类别及判定依据见“信用中国”查询的严重失信行为类别及判定依据)的。</w:t>
      </w:r>
    </w:p>
    <w:p w14:paraId="61570810">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⑤被列入国家企业信用信息公示系统网站“经营异常名录”或者“严重违法失信名单”的。</w:t>
      </w:r>
    </w:p>
    <w:p w14:paraId="5EA59C7C">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bookmarkStart w:id="15" w:name="OLE_LINK114"/>
      <w:bookmarkStart w:id="16" w:name="OLE_LINK113"/>
      <w:r>
        <w:rPr>
          <w:rFonts w:hint="eastAsia" w:ascii="宋体" w:hAnsi="宋体" w:eastAsia="宋体" w:cs="宋体"/>
          <w:color w:val="auto"/>
          <w:sz w:val="28"/>
          <w:szCs w:val="28"/>
          <w:highlight w:val="none"/>
          <w:lang w:val="en-US" w:eastAsia="zh-CN"/>
        </w:rPr>
        <w:t>⑥</w:t>
      </w:r>
      <w:bookmarkEnd w:id="15"/>
      <w:bookmarkEnd w:id="16"/>
      <w:r>
        <w:rPr>
          <w:rFonts w:hint="eastAsia" w:ascii="宋体" w:hAnsi="宋体" w:eastAsia="宋体" w:cs="宋体"/>
          <w:color w:val="auto"/>
          <w:sz w:val="28"/>
          <w:szCs w:val="28"/>
          <w:highlight w:val="none"/>
          <w:lang w:val="en-US" w:eastAsia="zh-CN"/>
        </w:rPr>
        <w:t>被列入中国政府采购网站“政府采购严重违法失信行为信息记录”的。</w:t>
      </w:r>
    </w:p>
    <w:p w14:paraId="5B38E811">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⑦前三年有行贿犯罪行为的单位和个人。</w:t>
      </w:r>
    </w:p>
    <w:p w14:paraId="652F4CD2">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5.投标人所属分公司、办事处等分支机构存在第4款信誉要求①-⑦项情形之一的，接受投标人参加本项目。</w:t>
      </w:r>
    </w:p>
    <w:p w14:paraId="3EE2180D">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备注：第4、5条按照“关于联合惩戒失信行为加强信用查询管理的通知”查询或承诺。</w:t>
      </w:r>
    </w:p>
    <w:bookmarkEnd w:id="11"/>
    <w:p w14:paraId="14472F30">
      <w:pPr>
        <w:keepNext/>
        <w:keepLines/>
        <w:pageBreakBefore w:val="0"/>
        <w:widowControl w:val="0"/>
        <w:kinsoku/>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三、获取招标文件</w:t>
      </w:r>
    </w:p>
    <w:p w14:paraId="5D3E8A39">
      <w:pPr>
        <w:pageBreakBefore w:val="0"/>
        <w:widowControl w:val="0"/>
        <w:kinsoku/>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u w:val="single"/>
        </w:rPr>
      </w:pPr>
      <w:bookmarkStart w:id="17" w:name="_Toc28359082"/>
      <w:bookmarkEnd w:id="17"/>
      <w:bookmarkStart w:id="18" w:name="_Toc35393624"/>
      <w:bookmarkEnd w:id="18"/>
      <w:bookmarkStart w:id="19" w:name="_Toc28359005"/>
      <w:bookmarkEnd w:id="19"/>
      <w:bookmarkStart w:id="20" w:name="_Toc35393793"/>
      <w:bookmarkEnd w:id="20"/>
      <w:bookmarkStart w:id="21" w:name="_Toc58430308"/>
      <w:r>
        <w:rPr>
          <w:rFonts w:hint="eastAsia" w:ascii="宋体" w:hAnsi="宋体" w:eastAsia="宋体" w:cs="宋体"/>
          <w:color w:val="auto"/>
          <w:sz w:val="28"/>
          <w:szCs w:val="28"/>
          <w:highlight w:val="none"/>
        </w:rPr>
        <w:t>时间：</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7</w:t>
      </w:r>
      <w:r>
        <w:rPr>
          <w:rFonts w:hint="eastAsia" w:ascii="宋体" w:hAnsi="宋体" w:eastAsia="宋体" w:cs="宋体"/>
          <w:color w:val="auto"/>
          <w:sz w:val="28"/>
          <w:szCs w:val="28"/>
          <w:highlight w:val="none"/>
          <w:u w:val="single"/>
        </w:rPr>
        <w:t>月</w:t>
      </w:r>
      <w:r>
        <w:rPr>
          <w:rFonts w:hint="eastAsia" w:ascii="宋体" w:hAnsi="宋体" w:eastAsia="宋体" w:cs="宋体"/>
          <w:color w:val="auto"/>
          <w:sz w:val="28"/>
          <w:szCs w:val="28"/>
          <w:highlight w:val="none"/>
          <w:u w:val="single"/>
          <w:lang w:val="en-US" w:eastAsia="zh-CN"/>
        </w:rPr>
        <w:t>30</w:t>
      </w:r>
      <w:r>
        <w:rPr>
          <w:rFonts w:hint="eastAsia" w:ascii="宋体" w:hAnsi="宋体" w:eastAsia="宋体" w:cs="宋体"/>
          <w:color w:val="auto"/>
          <w:sz w:val="28"/>
          <w:szCs w:val="28"/>
          <w:highlight w:val="none"/>
          <w:u w:val="single"/>
        </w:rPr>
        <w:t>日</w:t>
      </w:r>
      <w:r>
        <w:rPr>
          <w:rFonts w:hint="eastAsia" w:ascii="宋体" w:hAnsi="宋体" w:eastAsia="宋体" w:cs="宋体"/>
          <w:color w:val="auto"/>
          <w:sz w:val="28"/>
          <w:szCs w:val="28"/>
          <w:highlight w:val="none"/>
        </w:rPr>
        <w:t>至</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8月20日</w:t>
      </w:r>
    </w:p>
    <w:p w14:paraId="32BFB6DA">
      <w:pPr>
        <w:pageBreakBefore w:val="0"/>
        <w:widowControl w:val="0"/>
        <w:kinsoku/>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地点：滁州市公共资源交易中心网</w:t>
      </w:r>
    </w:p>
    <w:p w14:paraId="2B7FC178">
      <w:pPr>
        <w:pageBreakBefore w:val="0"/>
        <w:widowControl w:val="0"/>
        <w:kinsoku/>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方式：网上下载</w:t>
      </w:r>
    </w:p>
    <w:p w14:paraId="4812E283">
      <w:pPr>
        <w:pageBreakBefore w:val="0"/>
        <w:widowControl w:val="0"/>
        <w:kinsoku/>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售价：0元</w:t>
      </w:r>
    </w:p>
    <w:bookmarkEnd w:id="21"/>
    <w:p w14:paraId="59733EC1">
      <w:pPr>
        <w:keepNext/>
        <w:keepLines/>
        <w:pageBreakBefore w:val="0"/>
        <w:widowControl w:val="0"/>
        <w:kinsoku/>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四、提交投标文件截止时间、开标时间和地点</w:t>
      </w:r>
    </w:p>
    <w:p w14:paraId="40C5F009">
      <w:pPr>
        <w:pageBreakBefore w:val="0"/>
        <w:widowControl w:val="0"/>
        <w:kinsoku/>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8月20日8</w:t>
      </w:r>
      <w:r>
        <w:rPr>
          <w:rFonts w:hint="eastAsia" w:ascii="宋体" w:hAnsi="宋体" w:eastAsia="宋体" w:cs="宋体"/>
          <w:color w:val="auto"/>
          <w:sz w:val="28"/>
          <w:szCs w:val="28"/>
          <w:highlight w:val="none"/>
          <w:u w:val="single"/>
        </w:rPr>
        <w:t>点</w:t>
      </w:r>
      <w:r>
        <w:rPr>
          <w:rFonts w:hint="eastAsia" w:ascii="宋体" w:hAnsi="宋体" w:eastAsia="宋体" w:cs="宋体"/>
          <w:color w:val="auto"/>
          <w:sz w:val="28"/>
          <w:szCs w:val="28"/>
          <w:highlight w:val="none"/>
          <w:u w:val="single"/>
          <w:lang w:val="en-US" w:eastAsia="zh-CN"/>
        </w:rPr>
        <w:t>30</w:t>
      </w:r>
      <w:r>
        <w:rPr>
          <w:rFonts w:hint="eastAsia" w:ascii="宋体" w:hAnsi="宋体" w:eastAsia="宋体" w:cs="宋体"/>
          <w:color w:val="auto"/>
          <w:sz w:val="28"/>
          <w:szCs w:val="28"/>
          <w:highlight w:val="none"/>
          <w:u w:val="single"/>
        </w:rPr>
        <w:t>分</w:t>
      </w:r>
      <w:r>
        <w:rPr>
          <w:rFonts w:hint="eastAsia" w:ascii="宋体" w:hAnsi="宋体" w:eastAsia="宋体" w:cs="宋体"/>
          <w:color w:val="auto"/>
          <w:sz w:val="28"/>
          <w:szCs w:val="28"/>
          <w:highlight w:val="none"/>
        </w:rPr>
        <w:t>（北京时间）</w:t>
      </w:r>
    </w:p>
    <w:p w14:paraId="7FAB2632">
      <w:pPr>
        <w:pageBreakBefore w:val="0"/>
        <w:widowControl w:val="0"/>
        <w:kinsoku/>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8"/>
          <w:szCs w:val="28"/>
          <w:highlight w:val="none"/>
        </w:rPr>
        <w:t>地点：</w:t>
      </w:r>
      <w:r>
        <w:rPr>
          <w:rFonts w:hint="eastAsia" w:ascii="宋体" w:hAnsi="宋体" w:eastAsia="宋体" w:cs="宋体"/>
          <w:color w:val="auto"/>
          <w:sz w:val="28"/>
          <w:szCs w:val="28"/>
          <w:highlight w:val="none"/>
          <w:lang w:val="en-US" w:eastAsia="zh-CN"/>
        </w:rPr>
        <w:t>滁州市公共资源交易平台电子交易系统</w:t>
      </w:r>
    </w:p>
    <w:p w14:paraId="5023B301">
      <w:pPr>
        <w:keepNext/>
        <w:keepLines/>
        <w:pageBreakBefore w:val="0"/>
        <w:widowControl w:val="0"/>
        <w:kinsoku/>
        <w:overflowPunct/>
        <w:topLinePunct w:val="0"/>
        <w:autoSpaceDE/>
        <w:autoSpaceDN/>
        <w:bidi w:val="0"/>
        <w:adjustRightInd/>
        <w:snapToGrid/>
        <w:spacing w:before="260" w:after="260" w:line="360" w:lineRule="auto"/>
        <w:jc w:val="left"/>
        <w:textAlignment w:val="auto"/>
        <w:rPr>
          <w:rFonts w:hint="eastAsia" w:ascii="宋体" w:hAnsi="宋体" w:eastAsia="宋体" w:cs="宋体"/>
          <w:color w:val="auto"/>
          <w:sz w:val="28"/>
          <w:szCs w:val="28"/>
          <w:highlight w:val="none"/>
        </w:rPr>
      </w:pPr>
      <w:bookmarkStart w:id="22" w:name="_Toc58430309"/>
      <w:bookmarkEnd w:id="22"/>
      <w:bookmarkStart w:id="23" w:name="_Toc35393625"/>
      <w:bookmarkEnd w:id="23"/>
      <w:bookmarkStart w:id="24" w:name="_Toc35393794"/>
      <w:bookmarkEnd w:id="24"/>
      <w:bookmarkStart w:id="25" w:name="_Toc28359007"/>
      <w:bookmarkEnd w:id="25"/>
      <w:r>
        <w:rPr>
          <w:rFonts w:hint="eastAsia" w:ascii="宋体" w:hAnsi="宋体" w:eastAsia="宋体" w:cs="宋体"/>
          <w:color w:val="auto"/>
          <w:sz w:val="28"/>
          <w:szCs w:val="28"/>
          <w:highlight w:val="none"/>
        </w:rPr>
        <w:t>五、公告期限</w:t>
      </w:r>
    </w:p>
    <w:p w14:paraId="1DA5AE72">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bookmarkStart w:id="26" w:name="_Toc58430310"/>
      <w:bookmarkEnd w:id="26"/>
      <w:r>
        <w:rPr>
          <w:rFonts w:hint="eastAsia" w:ascii="宋体" w:hAnsi="宋体" w:eastAsia="宋体" w:cs="宋体"/>
          <w:color w:val="auto"/>
          <w:sz w:val="28"/>
          <w:szCs w:val="28"/>
          <w:highlight w:val="none"/>
        </w:rPr>
        <w:t>自本公告发布之日起5个工作日。</w:t>
      </w:r>
    </w:p>
    <w:p w14:paraId="68DC7A0B">
      <w:pPr>
        <w:keepNext/>
        <w:keepLines/>
        <w:pageBreakBefore w:val="0"/>
        <w:widowControl w:val="0"/>
        <w:kinsoku/>
        <w:overflowPunct/>
        <w:topLinePunct w:val="0"/>
        <w:autoSpaceDE/>
        <w:autoSpaceDN/>
        <w:bidi w:val="0"/>
        <w:adjustRightInd/>
        <w:snapToGrid/>
        <w:spacing w:before="260" w:after="260" w:line="360" w:lineRule="auto"/>
        <w:jc w:val="left"/>
        <w:textAlignment w:val="auto"/>
        <w:rPr>
          <w:rFonts w:hint="eastAsia" w:ascii="宋体" w:hAnsi="宋体" w:eastAsia="宋体" w:cs="宋体"/>
          <w:color w:val="auto"/>
          <w:sz w:val="28"/>
          <w:szCs w:val="28"/>
          <w:highlight w:val="none"/>
          <w:lang w:val="en-US" w:eastAsia="zh-CN"/>
        </w:rPr>
      </w:pPr>
      <w:bookmarkStart w:id="27" w:name="_Toc31539"/>
      <w:bookmarkStart w:id="28" w:name="_Toc35393795"/>
      <w:bookmarkStart w:id="29" w:name="_Toc35393626"/>
      <w:r>
        <w:rPr>
          <w:rFonts w:hint="eastAsia" w:ascii="宋体" w:hAnsi="宋体" w:eastAsia="宋体" w:cs="宋体"/>
          <w:color w:val="auto"/>
          <w:sz w:val="28"/>
          <w:szCs w:val="28"/>
          <w:highlight w:val="none"/>
        </w:rPr>
        <w:t>六、</w:t>
      </w:r>
      <w:bookmarkEnd w:id="27"/>
      <w:r>
        <w:rPr>
          <w:rFonts w:hint="eastAsia" w:ascii="宋体" w:hAnsi="宋体" w:eastAsia="宋体" w:cs="宋体"/>
          <w:color w:val="auto"/>
          <w:sz w:val="28"/>
          <w:szCs w:val="28"/>
          <w:highlight w:val="none"/>
          <w:lang w:val="en-US" w:eastAsia="zh-CN"/>
        </w:rPr>
        <w:t>投标保证金金额及缴纳账户</w:t>
      </w:r>
    </w:p>
    <w:p w14:paraId="2A2DD38D">
      <w:pPr>
        <w:pageBreakBefore w:val="0"/>
        <w:widowControl w:val="0"/>
        <w:kinsoku/>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是否要求投标人提交投标保证金：不要求。</w:t>
      </w:r>
    </w:p>
    <w:p w14:paraId="076B0E15">
      <w:pPr>
        <w:keepNext/>
        <w:keepLines/>
        <w:pageBreakBefore w:val="0"/>
        <w:widowControl w:val="0"/>
        <w:kinsoku/>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七</w:t>
      </w:r>
      <w:r>
        <w:rPr>
          <w:rFonts w:hint="eastAsia" w:ascii="宋体" w:hAnsi="宋体" w:eastAsia="宋体" w:cs="宋体"/>
          <w:color w:val="auto"/>
          <w:sz w:val="28"/>
          <w:szCs w:val="28"/>
          <w:highlight w:val="none"/>
        </w:rPr>
        <w:t>、其他补充事宜</w:t>
      </w:r>
      <w:bookmarkEnd w:id="28"/>
      <w:bookmarkEnd w:id="29"/>
    </w:p>
    <w:p w14:paraId="42343BF3">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2.CA数字证书有关问题：安徽CA客服400-880-4959、0550-3019013（工作日），CFCA客服025-66085508、0550-3801669（工作日）；3.市场主体招标环节和投标环节系统使用问题：0512-58188516（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17266CC4">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2.请投标人登录滁州市公共资源交易中心网站查看参加本项目的程序。（具体操作步骤和程序请参见服务指南&gt;交易须知&gt;投标人填写投标信息、下载文件及网上提问操作手册）。</w:t>
      </w:r>
    </w:p>
    <w:p w14:paraId="1660CFDB">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本项目采用不见面开标（远程解密)方式，开标时投标人无须至开标现场进行解密，开标采取远程解密方式解密投标文件，解密方式为：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w:t>
      </w:r>
    </w:p>
    <w:p w14:paraId="645DA882">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8"/>
          <w:szCs w:val="28"/>
          <w:highlight w:val="none"/>
        </w:rPr>
        <w:t>4.投标人接到远程解密指令后，须在规定时间内解密。因投标人自身原因导致投标文件在规定时间内未能解密、解密失败或解密超时，投标文件无效；因采购代理机构原因或网上平台发生故障，导致无法按时完成投标文件解密的，经采购代理机构申请后可延迟解密时间。</w:t>
      </w:r>
    </w:p>
    <w:bookmarkEnd w:id="3"/>
    <w:p w14:paraId="0698B0A2">
      <w:pPr>
        <w:keepNext/>
        <w:keepLines/>
        <w:pageBreakBefore w:val="0"/>
        <w:widowControl w:val="0"/>
        <w:kinsoku/>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bookmarkStart w:id="30" w:name="_Toc3854"/>
      <w:bookmarkStart w:id="31" w:name="_Toc7265"/>
      <w:r>
        <w:rPr>
          <w:rFonts w:hint="eastAsia" w:ascii="宋体" w:hAnsi="宋体" w:eastAsia="宋体" w:cs="宋体"/>
          <w:color w:val="auto"/>
          <w:sz w:val="28"/>
          <w:szCs w:val="28"/>
          <w:highlight w:val="none"/>
          <w:lang w:val="en-US" w:eastAsia="zh-CN"/>
        </w:rPr>
        <w:t>八</w:t>
      </w:r>
      <w:r>
        <w:rPr>
          <w:rFonts w:hint="eastAsia" w:ascii="宋体" w:hAnsi="宋体" w:eastAsia="宋体" w:cs="宋体"/>
          <w:color w:val="auto"/>
          <w:sz w:val="28"/>
          <w:szCs w:val="28"/>
          <w:highlight w:val="none"/>
        </w:rPr>
        <w:t>、</w:t>
      </w:r>
      <w:bookmarkEnd w:id="30"/>
      <w:bookmarkEnd w:id="31"/>
      <w:r>
        <w:rPr>
          <w:rFonts w:hint="eastAsia" w:ascii="宋体" w:hAnsi="宋体" w:eastAsia="宋体" w:cs="宋体"/>
          <w:color w:val="auto"/>
          <w:sz w:val="28"/>
          <w:szCs w:val="28"/>
          <w:highlight w:val="none"/>
        </w:rPr>
        <w:t>对本次招标提出询问，请按以下方式联系</w:t>
      </w:r>
    </w:p>
    <w:p w14:paraId="31826A31">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1.采购人信息</w:t>
      </w:r>
    </w:p>
    <w:p w14:paraId="4553EBC1">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lang w:val="en-US" w:eastAsia="zh-CN"/>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lang w:val="en-US" w:eastAsia="zh-CN"/>
        </w:rPr>
        <w:t>滁州市城市建设档案馆（滁州市住房和城乡建设信息中心、滁州市城市生命线工程安全运行监测中心）</w:t>
      </w:r>
    </w:p>
    <w:p w14:paraId="268CCC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560" w:firstLineChars="200"/>
        <w:jc w:val="left"/>
        <w:rPr>
          <w:rFonts w:hint="eastAsia" w:ascii="宋体" w:hAnsi="宋体" w:eastAsia="宋体" w:cs="宋体"/>
          <w:color w:val="auto"/>
          <w:sz w:val="28"/>
          <w:szCs w:val="28"/>
          <w:highlight w:val="none"/>
          <w:u w:val="single"/>
          <w:lang w:val="en-US" w:eastAsia="zh-CN"/>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lang w:val="en-US" w:eastAsia="zh-CN"/>
        </w:rPr>
        <w:t>安徽省滁州市龙蟠大道34号</w:t>
      </w:r>
    </w:p>
    <w:p w14:paraId="118EB05C">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lang w:val="en-US"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u w:val="single"/>
          <w:lang w:val="en-US" w:eastAsia="zh-CN"/>
        </w:rPr>
        <w:t>崔进</w:t>
      </w:r>
    </w:p>
    <w:p w14:paraId="118845DC">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lang w:val="en-US" w:eastAsia="zh-CN"/>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lang w:val="en-US" w:eastAsia="zh-CN"/>
        </w:rPr>
        <w:t>17309605027</w:t>
      </w:r>
    </w:p>
    <w:p w14:paraId="2D596BDB">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2.采购代理机构信息</w:t>
      </w:r>
    </w:p>
    <w:p w14:paraId="717718FE">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lang w:eastAsia="zh-CN"/>
        </w:rPr>
        <w:t>滁州市政府采购中心</w:t>
      </w:r>
      <w:r>
        <w:rPr>
          <w:rFonts w:hint="eastAsia" w:ascii="宋体" w:hAnsi="宋体" w:eastAsia="宋体" w:cs="宋体"/>
          <w:color w:val="auto"/>
          <w:sz w:val="28"/>
          <w:szCs w:val="28"/>
          <w:highlight w:val="none"/>
        </w:rPr>
        <w:t>　</w:t>
      </w:r>
    </w:p>
    <w:p w14:paraId="3CAC36FA">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rPr>
        <w:t>滁州市龙蟠大道109号房产大厦</w:t>
      </w:r>
      <w:r>
        <w:rPr>
          <w:rFonts w:hint="eastAsia" w:ascii="宋体" w:hAnsi="宋体" w:eastAsia="宋体" w:cs="宋体"/>
          <w:color w:val="auto"/>
          <w:sz w:val="28"/>
          <w:szCs w:val="28"/>
          <w:highlight w:val="none"/>
          <w:u w:val="single"/>
          <w:lang w:val="en-US" w:eastAsia="zh-CN"/>
        </w:rPr>
        <w:t>2楼</w:t>
      </w:r>
    </w:p>
    <w:p w14:paraId="3821C4AA">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u w:val="single"/>
          <w:lang w:val="en-US" w:eastAsia="zh-CN"/>
        </w:rPr>
        <w:t>王芳</w:t>
      </w:r>
    </w:p>
    <w:p w14:paraId="0F661868">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lang w:eastAsia="zh-CN"/>
        </w:rPr>
        <w:t>0550-35195</w:t>
      </w:r>
      <w:r>
        <w:rPr>
          <w:rFonts w:hint="eastAsia" w:ascii="宋体" w:hAnsi="宋体" w:eastAsia="宋体" w:cs="宋体"/>
          <w:color w:val="auto"/>
          <w:sz w:val="28"/>
          <w:szCs w:val="28"/>
          <w:highlight w:val="none"/>
          <w:u w:val="single"/>
          <w:lang w:val="en-US" w:eastAsia="zh-CN"/>
        </w:rPr>
        <w:t>19、18955055067</w:t>
      </w:r>
    </w:p>
    <w:p w14:paraId="5B1F84AA">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3.政府采购监督管理部门信息</w:t>
      </w:r>
    </w:p>
    <w:p w14:paraId="2056A964">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lang w:val="en-US" w:eastAsia="zh-CN"/>
        </w:rPr>
        <w:t>滁州市公共资源交易监督管理局</w:t>
      </w:r>
    </w:p>
    <w:p w14:paraId="5B89BEE9">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lang w:eastAsia="zh-CN"/>
        </w:rPr>
        <w:t>滁州市龙蟠大道109号房产大厦</w:t>
      </w:r>
      <w:r>
        <w:rPr>
          <w:rFonts w:hint="eastAsia" w:ascii="宋体" w:hAnsi="宋体" w:eastAsia="宋体" w:cs="宋体"/>
          <w:color w:val="auto"/>
          <w:sz w:val="28"/>
          <w:szCs w:val="28"/>
          <w:highlight w:val="none"/>
          <w:u w:val="single"/>
          <w:lang w:val="en-US" w:eastAsia="zh-CN"/>
        </w:rPr>
        <w:t>3</w:t>
      </w:r>
      <w:r>
        <w:rPr>
          <w:rFonts w:hint="eastAsia" w:ascii="宋体" w:hAnsi="宋体" w:eastAsia="宋体" w:cs="宋体"/>
          <w:color w:val="auto"/>
          <w:sz w:val="28"/>
          <w:szCs w:val="28"/>
          <w:highlight w:val="none"/>
          <w:u w:val="single"/>
          <w:lang w:eastAsia="zh-CN"/>
        </w:rPr>
        <w:t>楼</w:t>
      </w:r>
    </w:p>
    <w:p w14:paraId="089C16A7">
      <w:pPr>
        <w:pageBreakBefore w:val="0"/>
        <w:widowControl w:val="0"/>
        <w:kinsoku/>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rPr>
        <w:t>0550-3801656</w:t>
      </w:r>
    </w:p>
    <w:p w14:paraId="7EE6B2DC">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180770D3">
      <w:pPr>
        <w:spacing w:line="360" w:lineRule="auto"/>
        <w:jc w:val="center"/>
        <w:outlineLvl w:val="0"/>
        <w:rPr>
          <w:rFonts w:asciiTheme="minorEastAsia" w:hAnsiTheme="minorEastAsia" w:eastAsiaTheme="minorEastAsia"/>
          <w:b/>
          <w:color w:val="auto"/>
          <w:sz w:val="28"/>
          <w:highlight w:val="none"/>
        </w:rPr>
      </w:pPr>
      <w:bookmarkStart w:id="32" w:name="_Toc8888"/>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32"/>
    </w:p>
    <w:p w14:paraId="1A5CBCE2">
      <w:pPr>
        <w:spacing w:line="360" w:lineRule="auto"/>
        <w:jc w:val="center"/>
        <w:outlineLvl w:val="1"/>
        <w:rPr>
          <w:rFonts w:asciiTheme="minorEastAsia" w:hAnsiTheme="minorEastAsia" w:eastAsiaTheme="minorEastAsia"/>
          <w:b/>
          <w:color w:val="auto"/>
          <w:sz w:val="24"/>
          <w:highlight w:val="none"/>
        </w:rPr>
      </w:pPr>
      <w:bookmarkStart w:id="33" w:name="_Toc13589"/>
      <w:bookmarkStart w:id="34" w:name="_Toc7178"/>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33"/>
      <w:bookmarkEnd w:id="34"/>
    </w:p>
    <w:p w14:paraId="65C70D64">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7"/>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36F6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12D98D9">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6BF1A4AF">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6306C604">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4E02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B04FD73">
            <w:pPr>
              <w:pStyle w:val="47"/>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7FD066ED">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3244" w:type="pct"/>
            <w:vAlign w:val="center"/>
          </w:tcPr>
          <w:p w14:paraId="0EA4D77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0017189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0EDA576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1381115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7AE6FEF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147A4B75">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24E3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8D7E980">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247FAD98">
            <w:pPr>
              <w:pStyle w:val="46"/>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2B68BA39">
            <w:pPr>
              <w:pStyle w:val="46"/>
              <w:widowControl w:val="0"/>
              <w:spacing w:before="0" w:beforeAutospacing="0" w:after="0" w:afterAutospacing="0"/>
              <w:jc w:val="both"/>
              <w:rPr>
                <w:rFonts w:ascii="宋体" w:hAnsi="宋体" w:eastAsia="宋体"/>
                <w:b w:val="0"/>
                <w:color w:val="auto"/>
                <w:sz w:val="24"/>
                <w:highlight w:val="none"/>
              </w:rPr>
            </w:pP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年</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8</w:t>
            </w:r>
            <w:r>
              <w:rPr>
                <w:rFonts w:ascii="宋体" w:hAnsi="宋体" w:eastAsia="宋体"/>
                <w:b w:val="0"/>
                <w:color w:val="auto"/>
                <w:sz w:val="24"/>
                <w:highlight w:val="none"/>
              </w:rPr>
              <w:t>月</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 xml:space="preserve">6 </w:t>
            </w:r>
            <w:r>
              <w:rPr>
                <w:rFonts w:ascii="宋体" w:hAnsi="宋体" w:eastAsia="宋体"/>
                <w:b w:val="0"/>
                <w:color w:val="auto"/>
                <w:sz w:val="24"/>
                <w:highlight w:val="none"/>
              </w:rPr>
              <w:t>日</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时</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30</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rPr>
              <w:t>分</w:t>
            </w:r>
          </w:p>
        </w:tc>
      </w:tr>
      <w:tr w14:paraId="6CC0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E74F79D">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1F30F044">
            <w:pPr>
              <w:pStyle w:val="46"/>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1953056C">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     □分为</w:t>
            </w:r>
            <w:r>
              <w:rPr>
                <w:rFonts w:hint="eastAsia" w:ascii="宋体" w:hAnsi="宋体" w:eastAsia="宋体"/>
                <w:b w:val="0"/>
                <w:color w:val="auto"/>
                <w:sz w:val="24"/>
                <w:highlight w:val="none"/>
                <w:lang w:val="en-US" w:eastAsia="zh-CN"/>
              </w:rPr>
              <w:t>/</w:t>
            </w:r>
            <w:bookmarkStart w:id="317" w:name="_GoBack"/>
            <w:bookmarkEnd w:id="317"/>
            <w:r>
              <w:rPr>
                <w:rFonts w:ascii="宋体" w:hAnsi="宋体" w:eastAsia="宋体"/>
                <w:b w:val="0"/>
                <w:color w:val="auto"/>
                <w:sz w:val="24"/>
                <w:highlight w:val="none"/>
              </w:rPr>
              <w:t>个包</w:t>
            </w:r>
          </w:p>
          <w:p w14:paraId="4C34D5F3">
            <w:pPr>
              <w:pStyle w:val="46"/>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hint="eastAsia" w:ascii="宋体" w:hAnsi="宋体" w:eastAsia="宋体"/>
                <w:b w:val="0"/>
                <w:bCs w:val="0"/>
                <w:color w:val="auto"/>
                <w:sz w:val="24"/>
                <w:szCs w:val="18"/>
                <w:highlight w:val="none"/>
                <w:u w:val="single"/>
                <w:lang w:val="en-US" w:eastAsia="zh-CN"/>
              </w:rPr>
              <w:t>/</w:t>
            </w:r>
            <w:r>
              <w:rPr>
                <w:rFonts w:ascii="宋体" w:hAnsi="宋体" w:eastAsia="宋体"/>
                <w:b w:val="0"/>
                <w:bCs w:val="0"/>
                <w:color w:val="auto"/>
                <w:sz w:val="24"/>
                <w:szCs w:val="18"/>
                <w:highlight w:val="none"/>
                <w:u w:val="single"/>
              </w:rPr>
              <w:t xml:space="preserve">  </w:t>
            </w:r>
          </w:p>
        </w:tc>
      </w:tr>
      <w:tr w14:paraId="1663A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81" w:type="pct"/>
            <w:vAlign w:val="center"/>
          </w:tcPr>
          <w:p w14:paraId="7FEAB9FA">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5BE82A5F">
            <w:pPr>
              <w:pStyle w:val="46"/>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465396D2">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714E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1B6250B">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28569000">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39CB9793">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 xml:space="preserve">90 </w:t>
            </w:r>
            <w:r>
              <w:rPr>
                <w:rFonts w:hint="eastAsia" w:ascii="宋体" w:hAnsi="宋体" w:eastAsia="宋体"/>
                <w:b w:val="0"/>
                <w:color w:val="auto"/>
                <w:sz w:val="24"/>
                <w:highlight w:val="none"/>
              </w:rPr>
              <w:t>日历日</w:t>
            </w:r>
          </w:p>
        </w:tc>
      </w:tr>
      <w:tr w14:paraId="085B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1" w:type="pct"/>
            <w:vAlign w:val="center"/>
          </w:tcPr>
          <w:p w14:paraId="04FBD00B">
            <w:pPr>
              <w:pStyle w:val="47"/>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5579464C">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4" w:type="pct"/>
            <w:vAlign w:val="center"/>
          </w:tcPr>
          <w:p w14:paraId="5DFA7C38">
            <w:pPr>
              <w:pStyle w:val="46"/>
              <w:widowControl w:val="0"/>
              <w:spacing w:before="0" w:beforeAutospacing="0" w:after="0" w:afterAutospacing="0" w:line="360" w:lineRule="auto"/>
              <w:jc w:val="both"/>
              <w:rPr>
                <w:rFonts w:hint="eastAsia"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 xml:space="preserve">  60  </w:t>
            </w:r>
            <w:r>
              <w:rPr>
                <w:rFonts w:hint="eastAsia" w:ascii="宋体" w:hAnsi="宋体" w:eastAsia="宋体"/>
                <w:b w:val="0"/>
                <w:color w:val="auto"/>
                <w:sz w:val="24"/>
                <w:highlight w:val="none"/>
                <w:u w:val="none"/>
              </w:rPr>
              <w:t>分钟内</w:t>
            </w:r>
            <w:r>
              <w:rPr>
                <w:rFonts w:hint="eastAsia" w:ascii="宋体" w:hAnsi="宋体" w:eastAsia="宋体" w:cs="宋体"/>
                <w:b w:val="0"/>
                <w:color w:val="auto"/>
                <w:sz w:val="24"/>
                <w:szCs w:val="24"/>
                <w:highlight w:val="none"/>
              </w:rPr>
              <w:t>（以本项目网上招投标系统解密倒计时为准）</w:t>
            </w:r>
          </w:p>
        </w:tc>
      </w:tr>
      <w:tr w14:paraId="18F3B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1A4C22E">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75BE4193">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16D7E660">
            <w:pPr>
              <w:pStyle w:val="46"/>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57352B4E">
            <w:pPr>
              <w:pStyle w:val="46"/>
              <w:widowControl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3844C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C5A3674">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47808C02">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20DF0127">
            <w:pPr>
              <w:pStyle w:val="46"/>
              <w:widowControl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color w:val="auto"/>
                <w:sz w:val="24"/>
                <w:highlight w:val="none"/>
                <w:u w:val="none"/>
              </w:rPr>
              <w:t>最低评标价法</w:t>
            </w:r>
          </w:p>
          <w:p w14:paraId="7F68349C">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color w:val="auto"/>
                <w:sz w:val="24"/>
                <w:highlight w:val="none"/>
                <w:u w:val="none"/>
              </w:rPr>
              <w:t>综合评分法</w:t>
            </w:r>
          </w:p>
        </w:tc>
      </w:tr>
      <w:tr w14:paraId="4DE00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6C9FC6F">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1174" w:type="pct"/>
            <w:vAlign w:val="center"/>
          </w:tcPr>
          <w:p w14:paraId="07DE19FC">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5C2F37BA">
            <w:pPr>
              <w:pStyle w:val="46"/>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val="0"/>
                <w:iCs/>
                <w:color w:val="auto"/>
                <w:sz w:val="24"/>
                <w:highlight w:val="none"/>
              </w:rPr>
              <w:t>（非专门面向中小企业采购项目适用）</w:t>
            </w:r>
          </w:p>
        </w:tc>
        <w:tc>
          <w:tcPr>
            <w:tcW w:w="3244" w:type="pct"/>
            <w:vAlign w:val="center"/>
          </w:tcPr>
          <w:p w14:paraId="300AB52E">
            <w:pPr>
              <w:keepNext w:val="0"/>
              <w:keepLines w:val="0"/>
              <w:widowControl/>
              <w:suppressLineNumbers w:val="0"/>
              <w:jc w:val="left"/>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对小型和微型企业的价格给予 10%的扣除后参与评审；其评审价=最终响应报价*（90%）</w:t>
            </w:r>
            <w:r>
              <w:rPr>
                <w:rFonts w:hint="eastAsia" w:ascii="宋体" w:hAnsi="宋体" w:eastAsia="宋体"/>
                <w:b w:val="0"/>
                <w:color w:val="auto"/>
                <w:sz w:val="24"/>
                <w:highlight w:val="none"/>
                <w:u w:val="none"/>
                <w:lang w:val="en-US" w:eastAsia="zh-CN"/>
              </w:rPr>
              <w:t>。</w:t>
            </w:r>
          </w:p>
          <w:p w14:paraId="64A5A28E">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499BC15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790E5865">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p>
          <w:p w14:paraId="4877441F">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p>
        </w:tc>
      </w:tr>
      <w:tr w14:paraId="58DE8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280A95E">
            <w:pPr>
              <w:pStyle w:val="47"/>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1174" w:type="pct"/>
            <w:vAlign w:val="center"/>
          </w:tcPr>
          <w:p w14:paraId="37EB33F4">
            <w:pPr>
              <w:spacing w:line="360" w:lineRule="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i w:val="0"/>
                <w:iCs w:val="0"/>
                <w:color w:val="auto"/>
                <w:sz w:val="24"/>
                <w:highlight w:val="none"/>
                <w:lang w:val="en-US" w:eastAsia="zh-CN"/>
              </w:rPr>
              <w:t>（</w:t>
            </w:r>
            <w:r>
              <w:rPr>
                <w:rFonts w:hint="eastAsia" w:ascii="宋体" w:hAnsi="宋体" w:eastAsia="宋体" w:cs="Times New Roman"/>
                <w:b w:val="0"/>
                <w:bCs w:val="0"/>
                <w:i w:val="0"/>
                <w:iCs w:val="0"/>
                <w:color w:val="auto"/>
                <w:sz w:val="24"/>
                <w:highlight w:val="none"/>
                <w:lang w:val="en-US" w:eastAsia="zh-CN"/>
              </w:rPr>
              <w:t>适用于</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rPr>
              <w:t>服务项目中涉及的既有本国产品又有非本国产品参与竞争</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lang w:val="en-US" w:eastAsia="zh-CN"/>
              </w:rPr>
              <w:t>的</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rPr>
              <w:t>货物</w:t>
            </w:r>
            <w:r>
              <w:rPr>
                <w:rFonts w:hint="eastAsia" w:ascii="宋体" w:hAnsi="宋体" w:eastAsia="宋体" w:cs="Times New Roman"/>
                <w:b w:val="0"/>
                <w:bCs w:val="0"/>
                <w:i w:val="0"/>
                <w:iCs w:val="0"/>
                <w:color w:val="auto"/>
                <w:sz w:val="24"/>
                <w:highlight w:val="none"/>
                <w:lang w:val="en-US" w:eastAsia="zh-CN"/>
              </w:rPr>
              <w:t>）</w:t>
            </w:r>
          </w:p>
        </w:tc>
        <w:tc>
          <w:tcPr>
            <w:tcW w:w="3244" w:type="pct"/>
            <w:vAlign w:val="center"/>
          </w:tcPr>
          <w:p w14:paraId="7252BFCD">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6C02D56D">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38BA7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9A6D3E3">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452C30EC">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2F835BBA">
            <w:pPr>
              <w:pStyle w:val="46"/>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cs="宋体"/>
                <w:b w:val="0"/>
                <w:color w:val="auto"/>
                <w:sz w:val="24"/>
                <w:szCs w:val="24"/>
                <w:highlight w:val="none"/>
              </w:rPr>
              <w:t>评标委员会推荐3名中标候选人</w:t>
            </w:r>
          </w:p>
        </w:tc>
      </w:tr>
      <w:tr w14:paraId="1EB4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31AA2E1">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2E9F1A2F">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065EFAEF">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采购人委托评标委员会确定</w:t>
            </w:r>
          </w:p>
          <w:p w14:paraId="71B8B88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4AA4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C9EF7E5">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1353E31A">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4" w:type="pct"/>
            <w:vAlign w:val="center"/>
          </w:tcPr>
          <w:p w14:paraId="7A4775B1">
            <w:pPr>
              <w:pStyle w:val="46"/>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val="0"/>
                <w:iCs w:val="0"/>
                <w:color w:val="auto"/>
                <w:sz w:val="24"/>
                <w:highlight w:val="none"/>
                <w:u w:val="none"/>
              </w:rPr>
              <w:t>（如有）</w:t>
            </w:r>
          </w:p>
          <w:p w14:paraId="2207A3EB">
            <w:pPr>
              <w:pStyle w:val="46"/>
              <w:widowControl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val="0"/>
                <w:iCs w:val="0"/>
                <w:color w:val="auto"/>
                <w:sz w:val="24"/>
                <w:highlight w:val="none"/>
                <w:u w:val="none"/>
              </w:rPr>
              <w:t>（如有）</w:t>
            </w:r>
          </w:p>
          <w:p w14:paraId="20ED29C8">
            <w:pPr>
              <w:pStyle w:val="46"/>
              <w:widowControl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r>
              <w:rPr>
                <w:rFonts w:hint="eastAsia" w:ascii="宋体" w:hAnsi="宋体" w:eastAsia="宋体"/>
                <w:b w:val="0"/>
                <w:color w:val="auto"/>
                <w:sz w:val="24"/>
                <w:highlight w:val="none"/>
                <w:u w:val="none"/>
                <w:lang w:eastAsia="zh-CN"/>
              </w:rPr>
              <w:t>；</w:t>
            </w:r>
          </w:p>
          <w:p w14:paraId="115BAA46">
            <w:pPr>
              <w:pStyle w:val="46"/>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val="0"/>
                <w:iCs w:val="0"/>
                <w:color w:val="auto"/>
                <w:sz w:val="24"/>
                <w:szCs w:val="20"/>
                <w:highlight w:val="none"/>
                <w:u w:val="none"/>
                <w:lang w:eastAsia="zh-CN"/>
              </w:rPr>
              <w:t>（</w:t>
            </w:r>
            <w:r>
              <w:rPr>
                <w:rFonts w:hint="eastAsia" w:ascii="宋体" w:hAnsi="宋体" w:eastAsia="宋体" w:cs="@仿宋_GB2312"/>
                <w:b w:val="0"/>
                <w:bCs w:val="0"/>
                <w:i w:val="0"/>
                <w:iCs w:val="0"/>
                <w:color w:val="auto"/>
                <w:sz w:val="24"/>
                <w:szCs w:val="20"/>
                <w:highlight w:val="none"/>
                <w:u w:val="none"/>
                <w:lang w:val="en-US" w:eastAsia="zh-CN"/>
              </w:rPr>
              <w:t>如有</w:t>
            </w:r>
            <w:r>
              <w:rPr>
                <w:rFonts w:hint="eastAsia" w:ascii="宋体" w:hAnsi="宋体" w:eastAsia="宋体" w:cs="@仿宋_GB2312"/>
                <w:b w:val="0"/>
                <w:bCs w:val="0"/>
                <w:i w:val="0"/>
                <w:iCs w:val="0"/>
                <w:color w:val="auto"/>
                <w:sz w:val="24"/>
                <w:szCs w:val="20"/>
                <w:highlight w:val="none"/>
                <w:u w:val="none"/>
                <w:lang w:eastAsia="zh-CN"/>
              </w:rPr>
              <w:t>）</w:t>
            </w:r>
          </w:p>
        </w:tc>
      </w:tr>
      <w:tr w14:paraId="1A8B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80D2629">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7EE28B20">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4DF45210">
            <w:pPr>
              <w:pStyle w:val="46"/>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31DA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D41A838">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39D7F59E">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2C622C5A">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652F2F7A">
            <w:pPr>
              <w:pStyle w:val="46"/>
              <w:widowControl w:val="0"/>
              <w:spacing w:before="0" w:beforeAutospacing="0" w:after="0" w:afterAutospacing="0" w:line="360" w:lineRule="auto"/>
              <w:jc w:val="both"/>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261C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581" w:type="pct"/>
            <w:vAlign w:val="center"/>
          </w:tcPr>
          <w:p w14:paraId="5ED28D1D">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74" w:type="pct"/>
            <w:vAlign w:val="center"/>
          </w:tcPr>
          <w:p w14:paraId="03938041">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26AFCF76">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687D1139">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3CB462C3">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cs="宋体"/>
                <w:bCs/>
                <w:color w:val="auto"/>
                <w:kern w:val="0"/>
                <w:sz w:val="24"/>
                <w:szCs w:val="28"/>
                <w:highlight w:val="none"/>
                <w:u w:val="single"/>
              </w:rPr>
              <w:t>/</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29AF4944">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cs="宋体"/>
                <w:bCs/>
                <w:color w:val="auto"/>
                <w:kern w:val="0"/>
                <w:sz w:val="24"/>
                <w:szCs w:val="28"/>
                <w:highlight w:val="none"/>
                <w:u w:val="single"/>
              </w:rPr>
              <w:t>/</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4C8A522E">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62F64C6B">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59A07522">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w:t>
            </w:r>
            <w:r>
              <w:rPr>
                <w:rFonts w:hint="eastAsia" w:ascii="宋体" w:hAnsi="宋体" w:eastAsia="宋体" w:cs="宋体"/>
                <w:bCs/>
                <w:color w:val="auto"/>
                <w:kern w:val="0"/>
                <w:sz w:val="24"/>
                <w:szCs w:val="28"/>
                <w:highlight w:val="none"/>
                <w:u w:val="single"/>
              </w:rPr>
              <w:t>/</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 xml:space="preserve">              </w:t>
            </w:r>
          </w:p>
          <w:p w14:paraId="52415826">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w:t>
            </w:r>
            <w:r>
              <w:rPr>
                <w:rFonts w:hint="eastAsia" w:ascii="宋体" w:hAnsi="宋体" w:eastAsia="宋体" w:cs="宋体"/>
                <w:bCs/>
                <w:color w:val="auto"/>
                <w:kern w:val="0"/>
                <w:sz w:val="24"/>
                <w:szCs w:val="28"/>
                <w:highlight w:val="none"/>
                <w:u w:val="single"/>
              </w:rPr>
              <w:t>/</w:t>
            </w:r>
            <w:r>
              <w:rPr>
                <w:rFonts w:hint="eastAsia" w:ascii="宋体" w:hAnsi="宋体" w:eastAsia="宋体"/>
                <w:bCs/>
                <w:color w:val="auto"/>
                <w:kern w:val="0"/>
                <w:sz w:val="24"/>
                <w:szCs w:val="28"/>
                <w:highlight w:val="none"/>
                <w:u w:val="single"/>
              </w:rPr>
              <w:t xml:space="preserve">        </w:t>
            </w:r>
          </w:p>
          <w:p w14:paraId="25B28D88">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w:t>
            </w:r>
            <w:r>
              <w:rPr>
                <w:rFonts w:hint="eastAsia" w:ascii="宋体" w:hAnsi="宋体" w:eastAsia="宋体" w:cs="宋体"/>
                <w:bCs/>
                <w:color w:val="auto"/>
                <w:kern w:val="0"/>
                <w:sz w:val="24"/>
                <w:szCs w:val="28"/>
                <w:highlight w:val="none"/>
                <w:u w:val="single"/>
              </w:rPr>
              <w:t>/</w:t>
            </w:r>
            <w:r>
              <w:rPr>
                <w:rFonts w:hint="eastAsia" w:ascii="宋体" w:hAnsi="宋体" w:eastAsia="宋体"/>
                <w:bCs/>
                <w:color w:val="auto"/>
                <w:kern w:val="0"/>
                <w:sz w:val="24"/>
                <w:szCs w:val="28"/>
                <w:highlight w:val="none"/>
                <w:u w:val="single"/>
              </w:rPr>
              <w:t xml:space="preserve">       </w:t>
            </w:r>
          </w:p>
          <w:p w14:paraId="33B3BCEA">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65A4DFD1">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49F05DDB">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4CFE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4E22DCB6">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19C38593">
            <w:pPr>
              <w:pStyle w:val="46"/>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4" w:type="pct"/>
          </w:tcPr>
          <w:p w14:paraId="0EE56271">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（1）采购人与中标人应当自发出中标通知书之日起7个工作日内签订合同，采购合同签订之日起2个工作日内完成政府采购合同公开。</w:t>
            </w:r>
          </w:p>
          <w:p w14:paraId="54100CC6">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宋体" w:hAnsi="宋体" w:eastAsia="宋体"/>
                <w:b/>
                <w:bCs/>
                <w:color w:val="auto"/>
                <w:kern w:val="0"/>
                <w:sz w:val="24"/>
                <w:szCs w:val="24"/>
                <w:highlight w:val="none"/>
                <w:lang w:val="en-US"/>
              </w:rPr>
            </w:pPr>
            <w:r>
              <w:rPr>
                <w:rFonts w:ascii="宋体" w:hAnsi="宋体" w:eastAsia="宋体" w:cs="宋体"/>
                <w:color w:val="auto"/>
                <w:sz w:val="24"/>
                <w:szCs w:val="24"/>
                <w:highlight w:val="none"/>
              </w:rPr>
              <w:t>（2）采购人与中标人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tc>
      </w:tr>
      <w:tr w14:paraId="64F6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1540821">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74" w:type="pct"/>
            <w:vAlign w:val="center"/>
          </w:tcPr>
          <w:p w14:paraId="042A9572">
            <w:pPr>
              <w:pStyle w:val="46"/>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244" w:type="pct"/>
            <w:shd w:val="clear" w:color="auto" w:fill="auto"/>
            <w:vAlign w:val="center"/>
          </w:tcPr>
          <w:p w14:paraId="25DF8838">
            <w:pPr>
              <w:spacing w:before="39" w:line="360" w:lineRule="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rPr>
              <w:t>（1）</w:t>
            </w:r>
            <w:r>
              <w:rPr>
                <w:rFonts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中标人</w:t>
            </w:r>
          </w:p>
          <w:p w14:paraId="5346611F">
            <w:pPr>
              <w:spacing w:before="24"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银行转账</w:t>
            </w:r>
          </w:p>
          <w:p w14:paraId="292D9C88">
            <w:pPr>
              <w:pStyle w:val="46"/>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bCs w:val="0"/>
                <w:color w:val="auto"/>
                <w:sz w:val="24"/>
                <w:highlight w:val="none"/>
              </w:rPr>
              <w:t>（3）</w:t>
            </w:r>
            <w:r>
              <w:rPr>
                <w:rFonts w:ascii="宋体" w:hAnsi="宋体" w:eastAsia="宋体"/>
                <w:b w:val="0"/>
                <w:color w:val="auto"/>
                <w:sz w:val="24"/>
                <w:highlight w:val="none"/>
              </w:rPr>
              <w:t>收费标准：</w:t>
            </w:r>
            <w:r>
              <w:rPr>
                <w:rFonts w:hint="eastAsia" w:ascii="宋体" w:hAnsi="宋体" w:eastAsia="宋体" w:cs="宋体"/>
                <w:b w:val="0"/>
                <w:bCs w:val="0"/>
                <w:color w:val="auto"/>
                <w:kern w:val="2"/>
                <w:sz w:val="24"/>
                <w:szCs w:val="24"/>
                <w:highlight w:val="none"/>
                <w:u w:val="single"/>
              </w:rPr>
              <w:t>按照《滁州市公共资源交易代理机构及从业人员管理办法》(滁公管〔2025〕1 号)执行</w:t>
            </w:r>
          </w:p>
        </w:tc>
      </w:tr>
      <w:tr w14:paraId="59C1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A4A140E">
            <w:pPr>
              <w:pStyle w:val="47"/>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74" w:type="pct"/>
            <w:vAlign w:val="center"/>
          </w:tcPr>
          <w:p w14:paraId="619F073C">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58BB4B53">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Cs/>
                <w:color w:val="auto"/>
                <w:kern w:val="0"/>
                <w:sz w:val="24"/>
                <w:szCs w:val="28"/>
                <w:highlight w:val="none"/>
                <w:u w:val="single"/>
              </w:rPr>
              <w:t xml:space="preserve"> </w:t>
            </w:r>
            <w:r>
              <w:rPr>
                <w:rFonts w:hint="eastAsia" w:ascii="宋体" w:hAnsi="宋体" w:eastAsia="宋体" w:cs="宋体"/>
                <w:color w:val="auto"/>
                <w:sz w:val="24"/>
                <w:highlight w:val="none"/>
                <w:u w:val="single"/>
              </w:rPr>
              <w:t>投标人可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r>
              <w:rPr>
                <w:rFonts w:hint="eastAsia" w:ascii="宋体" w:hAnsi="宋体" w:eastAsia="宋体"/>
                <w:bCs/>
                <w:color w:val="auto"/>
                <w:kern w:val="0"/>
                <w:sz w:val="24"/>
                <w:szCs w:val="28"/>
                <w:highlight w:val="none"/>
                <w:u w:val="single"/>
              </w:rPr>
              <w:t xml:space="preserve"> </w:t>
            </w:r>
          </w:p>
          <w:p w14:paraId="2DD3198A">
            <w:pPr>
              <w:pStyle w:val="46"/>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cs="宋体"/>
                <w:color w:val="auto"/>
                <w:sz w:val="24"/>
                <w:highlight w:val="none"/>
                <w:u w:val="single"/>
                <w:lang w:eastAsia="zh-CN"/>
              </w:rPr>
              <w:t>滁州市城市建设档案馆（滁州市住房和城乡建设信息中心、滁州市城市生命线工程安全运行监测中心）、滁州市政府采购中心</w:t>
            </w:r>
            <w:r>
              <w:rPr>
                <w:rFonts w:hint="eastAsia" w:ascii="宋体" w:hAnsi="宋体" w:eastAsia="宋体" w:cs="宋体"/>
                <w:color w:val="auto"/>
                <w:sz w:val="24"/>
                <w:highlight w:val="none"/>
                <w:u w:val="single"/>
              </w:rPr>
              <w:t>；</w:t>
            </w:r>
          </w:p>
          <w:p w14:paraId="5C79B1CE">
            <w:pPr>
              <w:pStyle w:val="46"/>
              <w:widowControl w:val="0"/>
              <w:spacing w:before="0" w:beforeAutospacing="0" w:after="0" w:afterAutospacing="0" w:line="500" w:lineRule="exact"/>
              <w:jc w:val="both"/>
              <w:rPr>
                <w:rFonts w:hint="eastAsia" w:ascii="宋体" w:hAnsi="宋体" w:eastAsia="宋体" w:cs="宋体"/>
                <w:color w:val="auto"/>
                <w:sz w:val="24"/>
                <w:highlight w:val="none"/>
                <w:u w:val="single"/>
              </w:rPr>
            </w:pPr>
            <w:r>
              <w:rPr>
                <w:rFonts w:hint="eastAsia" w:ascii="宋体" w:hAnsi="宋体" w:eastAsia="宋体" w:cs="宋体"/>
                <w:b w:val="0"/>
                <w:color w:val="auto"/>
                <w:sz w:val="24"/>
                <w:highlight w:val="none"/>
              </w:rPr>
              <w:t>联系电话：</w:t>
            </w:r>
            <w:r>
              <w:rPr>
                <w:rFonts w:hint="eastAsia" w:ascii="宋体" w:hAnsi="宋体" w:eastAsia="宋体" w:cs="宋体"/>
                <w:b/>
                <w:bCs w:val="0"/>
                <w:color w:val="auto"/>
                <w:sz w:val="24"/>
                <w:highlight w:val="none"/>
                <w:u w:val="single"/>
                <w:lang w:eastAsia="zh-CN"/>
              </w:rPr>
              <w:t>17309605027</w:t>
            </w:r>
            <w:r>
              <w:rPr>
                <w:rFonts w:hint="eastAsia" w:ascii="宋体" w:hAnsi="宋体" w:eastAsia="宋体" w:cs="宋体"/>
                <w:b/>
                <w:bCs w:val="0"/>
                <w:color w:val="auto"/>
                <w:sz w:val="24"/>
                <w:highlight w:val="none"/>
                <w:u w:val="single"/>
              </w:rPr>
              <w:t>、</w:t>
            </w:r>
            <w:r>
              <w:rPr>
                <w:rFonts w:hint="eastAsia" w:ascii="宋体" w:hAnsi="宋体" w:eastAsia="宋体" w:cs="宋体"/>
                <w:color w:val="auto"/>
                <w:sz w:val="24"/>
                <w:highlight w:val="none"/>
                <w:u w:val="single"/>
                <w:lang w:eastAsia="zh-CN"/>
              </w:rPr>
              <w:t>0550-3519519</w:t>
            </w:r>
            <w:r>
              <w:rPr>
                <w:rFonts w:hint="eastAsia" w:ascii="宋体" w:hAnsi="宋体" w:eastAsia="宋体" w:cs="宋体"/>
                <w:color w:val="auto"/>
                <w:sz w:val="24"/>
                <w:highlight w:val="none"/>
                <w:u w:val="single"/>
              </w:rPr>
              <w:t>；</w:t>
            </w:r>
          </w:p>
          <w:p w14:paraId="393EB899">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宋体"/>
                <w:b w:val="0"/>
                <w:color w:val="auto"/>
                <w:sz w:val="24"/>
                <w:highlight w:val="none"/>
              </w:rPr>
              <w:t>通讯地址：</w:t>
            </w:r>
            <w:r>
              <w:rPr>
                <w:rFonts w:hint="eastAsia" w:ascii="宋体" w:hAnsi="宋体" w:eastAsia="宋体" w:cs="宋体"/>
                <w:color w:val="auto"/>
                <w:sz w:val="24"/>
                <w:highlight w:val="none"/>
                <w:u w:val="single"/>
                <w:lang w:eastAsia="zh-CN"/>
              </w:rPr>
              <w:t>安徽省滁州市龙蟠大道34号、滁州</w:t>
            </w:r>
            <w:r>
              <w:rPr>
                <w:rFonts w:hint="eastAsia" w:ascii="宋体" w:hAnsi="宋体" w:eastAsia="宋体" w:cs="宋体"/>
                <w:color w:val="auto"/>
                <w:sz w:val="24"/>
                <w:highlight w:val="none"/>
                <w:u w:val="single"/>
              </w:rPr>
              <w:t>市龙蟠大道109号房产大厦</w:t>
            </w:r>
            <w:r>
              <w:rPr>
                <w:rFonts w:hint="eastAsia" w:ascii="宋体" w:hAnsi="宋体" w:eastAsia="宋体" w:cs="宋体"/>
                <w:color w:val="auto"/>
                <w:sz w:val="24"/>
                <w:highlight w:val="none"/>
                <w:u w:val="single"/>
                <w:lang w:val="en-US" w:eastAsia="zh-CN"/>
              </w:rPr>
              <w:t>2</w:t>
            </w:r>
            <w:r>
              <w:rPr>
                <w:rFonts w:hint="eastAsia" w:ascii="宋体" w:hAnsi="宋体" w:eastAsia="宋体" w:cs="宋体"/>
                <w:color w:val="auto"/>
                <w:sz w:val="24"/>
                <w:highlight w:val="none"/>
                <w:u w:val="single"/>
              </w:rPr>
              <w:t>楼。</w:t>
            </w:r>
          </w:p>
        </w:tc>
      </w:tr>
      <w:tr w14:paraId="4D639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97E118A">
            <w:pPr>
              <w:pStyle w:val="47"/>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4E54E710">
            <w:pPr>
              <w:pStyle w:val="46"/>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4" w:type="pct"/>
            <w:vAlign w:val="center"/>
          </w:tcPr>
          <w:p w14:paraId="22902C2A">
            <w:pPr>
              <w:pStyle w:val="46"/>
              <w:widowControl w:val="0"/>
              <w:numPr>
                <w:ilvl w:val="0"/>
                <w:numId w:val="0"/>
              </w:numPr>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61361C25">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427E2B43">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1D9CB0CF">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30957C84">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4A02DA8A">
            <w:pPr>
              <w:pStyle w:val="46"/>
              <w:widowControl w:val="0"/>
              <w:numPr>
                <w:ilvl w:val="0"/>
                <w:numId w:val="0"/>
              </w:numPr>
              <w:spacing w:before="0" w:beforeAutospacing="0" w:after="0" w:afterAutospacing="0" w:line="360" w:lineRule="auto"/>
              <w:jc w:val="both"/>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18B7711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7857515D">
            <w:pPr>
              <w:pStyle w:val="46"/>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p w14:paraId="1A54B1E9">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4.部分可提供线下政采贷的金融机构：</w:t>
            </w:r>
          </w:p>
          <w:p w14:paraId="1B19EF4E">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市本级</w:t>
            </w:r>
          </w:p>
          <w:p w14:paraId="2E4B77F4">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金融机构名称：兴业银行滁州分行</w:t>
            </w:r>
          </w:p>
          <w:p w14:paraId="4F90305D">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安徽省滁州市琅琊区丰乐大道1090号</w:t>
            </w:r>
          </w:p>
          <w:p w14:paraId="319F6429">
            <w:pPr>
              <w:pStyle w:val="46"/>
              <w:widowControl w:val="0"/>
              <w:spacing w:before="0" w:beforeAutospacing="0" w:after="0" w:afterAutospacing="0" w:line="500" w:lineRule="exact"/>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俞冉：18256950224</w:t>
            </w:r>
          </w:p>
          <w:p w14:paraId="78546F85">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5.特别提示：</w:t>
            </w:r>
          </w:p>
          <w:p w14:paraId="73E92BC9">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（1）投标人应填写投标信息并下载招标文件，否则无法上传投标文件。</w:t>
            </w:r>
          </w:p>
          <w:p w14:paraId="400C7EA9">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注：投标人如为联合体的，牵头人必须完善投标人信息，并在上传投标文件环节添加联合体投标信息。</w:t>
            </w:r>
          </w:p>
          <w:p w14:paraId="26B00D43">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本项目采用电子招标投标，请投标人在滁州市公共资源交易中心网&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4009980000。</w:t>
            </w:r>
          </w:p>
          <w:p w14:paraId="73F18CC7">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（3）如果过程中出现招标文件更改，应以最后发布的招标答疑澄清文件中的模板制作本项目最新投标文件。</w:t>
            </w:r>
          </w:p>
          <w:p w14:paraId="6B489126">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lang w:eastAsia="zh-CN"/>
              </w:rPr>
            </w:pPr>
            <w:r>
              <w:rPr>
                <w:rFonts w:hint="eastAsia" w:ascii="宋体" w:hAnsi="宋体" w:eastAsia="宋体" w:cs="宋体"/>
                <w:b w:val="0"/>
                <w:color w:val="auto"/>
                <w:kern w:val="2"/>
                <w:sz w:val="24"/>
                <w:szCs w:val="24"/>
                <w:highlight w:val="none"/>
              </w:rPr>
              <w:t>（4）投标人应当用本单位CA数字证书制作投标文件，制作成功后进行投标文件上传。</w:t>
            </w:r>
          </w:p>
          <w:p w14:paraId="60AA47F9">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投标人须用CA数字证书盖章和加密投标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11F27086">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（6）请投标人注意加密投标文件CA数字证书的有效期，不在有效期的CA数字证书无法解密投标文件。</w:t>
            </w:r>
          </w:p>
          <w:p w14:paraId="7D30FCDF">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（7）投标人投标MAC地址或投标人联系人或联系电话相同的，由评标委员会否决其投标，并报告监管部门作不良行为处理和进一步调查。</w:t>
            </w:r>
          </w:p>
          <w:p w14:paraId="63CC1994">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（8）投标人单方面出现其他投标人材料的，由评标委员会否决其投标。</w:t>
            </w:r>
          </w:p>
          <w:p w14:paraId="366EB24C">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9）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02F4F15B">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10）电子加密投标文件上传到系统后，需要投标企业和招标代理公司到开标截止时间后共同解锁，不存在商务报价等投标信息通过系统泄密的风险；投标截止时间前，已上传的投标文件也可以撤回修改。集中到开标截止时间前上传电子加密投标文件，可能出现由于投标企业制作电子投标文件不熟练、网络拥堵等不可预知的情况而且无法及时解决，丧失投标机会，请各投标企业提前制作、上传电子加密投标文件，否则由于无法及时上传电子加密投标文件而废标或无效投标的情况，责任自负！</w:t>
            </w:r>
          </w:p>
          <w:p w14:paraId="74AB0E90">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6.评标过程中的澄清、说明或补正：</w:t>
            </w:r>
          </w:p>
          <w:p w14:paraId="74EF3605">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51DBAE5F">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p w14:paraId="47CB0635">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7.同义词语：</w:t>
            </w:r>
          </w:p>
          <w:p w14:paraId="29FC5997">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招标文件第六章投标文件格式、附件1“关于联合惩戒失信行为加强信用查询管理的通知”等章节中“招标人”、“供应商”，等同于“采购人”、“投标人”。</w:t>
            </w:r>
          </w:p>
          <w:p w14:paraId="5150D960">
            <w:pPr>
              <w:pStyle w:val="46"/>
              <w:widowControl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8.</w:t>
            </w:r>
            <w:r>
              <w:rPr>
                <w:rFonts w:hint="eastAsia" w:ascii="宋体" w:hAnsi="宋体" w:eastAsia="宋体" w:cs="宋体"/>
                <w:b w:val="0"/>
                <w:color w:val="auto"/>
                <w:kern w:val="2"/>
                <w:sz w:val="24"/>
                <w:szCs w:val="24"/>
                <w:highlight w:val="none"/>
              </w:rPr>
              <w:t>落实政府采购支持节能产品、环境标志产品政策。</w:t>
            </w:r>
          </w:p>
          <w:p w14:paraId="469034B9">
            <w:pPr>
              <w:pStyle w:val="46"/>
              <w:widowControl w:val="0"/>
              <w:spacing w:before="0" w:beforeAutospacing="0" w:after="0" w:afterAutospacing="0" w:line="500" w:lineRule="exact"/>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rPr>
              <w:t>9.</w:t>
            </w:r>
            <w:r>
              <w:rPr>
                <w:rFonts w:hint="eastAsia" w:ascii="宋体" w:hAnsi="宋体" w:eastAsia="宋体" w:cs="宋体"/>
                <w:b w:val="0"/>
                <w:color w:val="auto"/>
                <w:kern w:val="2"/>
                <w:sz w:val="24"/>
                <w:szCs w:val="24"/>
                <w:highlight w:val="none"/>
              </w:rPr>
              <w:t>系统中提供的表格与采购文件中不一致时，以采购文件中提供的表格格式为准。</w:t>
            </w:r>
          </w:p>
        </w:tc>
      </w:tr>
    </w:tbl>
    <w:p w14:paraId="034DD074">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35" w:name="_Toc24882"/>
      <w:bookmarkStart w:id="36" w:name="_Toc9427"/>
      <w:r>
        <w:rPr>
          <w:rFonts w:hint="eastAsia" w:asciiTheme="minorEastAsia" w:hAnsiTheme="minorEastAsia" w:eastAsiaTheme="minorEastAsia"/>
          <w:b/>
          <w:color w:val="auto"/>
          <w:sz w:val="24"/>
          <w:highlight w:val="none"/>
        </w:rPr>
        <w:t>二、</w:t>
      </w:r>
      <w:r>
        <w:rPr>
          <w:rFonts w:asciiTheme="minorEastAsia" w:hAnsiTheme="minorEastAsia" w:eastAsiaTheme="minorEastAsia"/>
          <w:b/>
          <w:color w:val="auto"/>
          <w:sz w:val="24"/>
          <w:highlight w:val="none"/>
        </w:rPr>
        <w:t>投标人须知</w:t>
      </w:r>
      <w:r>
        <w:rPr>
          <w:rFonts w:hint="eastAsia" w:asciiTheme="minorEastAsia" w:hAnsiTheme="minorEastAsia" w:eastAsiaTheme="minorEastAsia"/>
          <w:b/>
          <w:color w:val="auto"/>
          <w:sz w:val="24"/>
          <w:highlight w:val="none"/>
        </w:rPr>
        <w:t>正文</w:t>
      </w:r>
      <w:bookmarkEnd w:id="35"/>
      <w:bookmarkEnd w:id="36"/>
    </w:p>
    <w:p w14:paraId="364FA3F4">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29C2E5A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0243312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005ACBC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0A4BB3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6D02A95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20BF3A4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6C818BC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7786E23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77C5CF8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0A40F6D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28CF80A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5994033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22F3BE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6374E9A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6323ECF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2D52950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08A0672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01DD716D">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15273A5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0F3EBE69">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26065AC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6758FCCD">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0228984A">
      <w:pPr>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w:t>
      </w:r>
      <w:r>
        <w:rPr>
          <w:rFonts w:hint="eastAsia" w:ascii="宋体" w:hAnsi="宋体" w:eastAsia="宋体"/>
          <w:color w:val="auto"/>
          <w:sz w:val="24"/>
          <w:szCs w:val="22"/>
          <w:highlight w:val="none"/>
        </w:rPr>
        <w:t>华人民共和国政府采购法实施条例》</w:t>
      </w:r>
      <w:r>
        <w:rPr>
          <w:rFonts w:hint="eastAsia" w:ascii="宋体" w:hAnsi="宋体" w:eastAsia="宋体"/>
          <w:color w:val="auto"/>
          <w:sz w:val="24"/>
          <w:szCs w:val="22"/>
          <w:highlight w:val="none"/>
          <w:lang w:val="en-US" w:eastAsia="zh-CN"/>
        </w:rPr>
        <w:t>及</w:t>
      </w:r>
      <w:r>
        <w:rPr>
          <w:rFonts w:hint="eastAsia" w:ascii="宋体" w:hAnsi="宋体" w:eastAsia="宋体"/>
          <w:color w:val="auto"/>
          <w:sz w:val="24"/>
          <w:szCs w:val="22"/>
          <w:highlight w:val="none"/>
        </w:rPr>
        <w:t>本项目本级和上级财政部门、政府采购监督管理部门的政府采购有关规定的约束，其权利受到上述法律法规的保护。</w:t>
      </w:r>
    </w:p>
    <w:p w14:paraId="4E0FA2AD">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hint="eastAsia" w:asciiTheme="minorEastAsia" w:hAnsiTheme="minorEastAsia" w:eastAsiaTheme="minorEastAsia"/>
          <w:b/>
          <w:color w:val="auto"/>
          <w:sz w:val="24"/>
          <w:highlight w:val="none"/>
        </w:rPr>
        <w:t>.招标文件构成</w:t>
      </w:r>
    </w:p>
    <w:p w14:paraId="33992A1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5BFF7970">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21DAA309">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48CD830A">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16716E2C">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7DD23CFE">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440C5DB5">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7E061A25">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782665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40A0AA9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投标人应认真阅读招标文件所有的事项、格式、条款和技术规范等。</w:t>
      </w:r>
    </w:p>
    <w:p w14:paraId="28A00F2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招标文件的澄清与修改</w:t>
      </w:r>
    </w:p>
    <w:p w14:paraId="0ED1FE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7CB36B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1D4E73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4BFF78F9">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3C81ECB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投标范围及投标文件中标准和计量单位的使用</w:t>
      </w:r>
    </w:p>
    <w:p w14:paraId="53749BC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7BC62A6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51731B5B">
      <w:pPr>
        <w:spacing w:line="360" w:lineRule="auto"/>
        <w:ind w:firstLine="435"/>
        <w:rPr>
          <w:rFonts w:asciiTheme="minorEastAsia" w:hAnsiTheme="minorEastAsia" w:eastAsiaTheme="minorEastAsia"/>
          <w:color w:val="auto"/>
          <w:sz w:val="24"/>
          <w:highlight w:val="none"/>
        </w:rPr>
      </w:pPr>
      <w:bookmarkStart w:id="37"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服务</w:t>
      </w:r>
      <w:r>
        <w:rPr>
          <w:rFonts w:hint="eastAsia" w:asciiTheme="minorEastAsia" w:hAnsiTheme="minorEastAsia" w:eastAsiaTheme="minorEastAsia"/>
          <w:color w:val="auto"/>
          <w:sz w:val="24"/>
          <w:highlight w:val="none"/>
          <w:lang w:val="en-US" w:eastAsia="zh-CN"/>
        </w:rPr>
        <w:t>及</w:t>
      </w:r>
      <w:r>
        <w:rPr>
          <w:rFonts w:hint="eastAsia" w:asciiTheme="minorEastAsia" w:hAnsiTheme="minorEastAsia" w:eastAsiaTheme="minorEastAsia"/>
          <w:color w:val="auto"/>
          <w:sz w:val="24"/>
          <w:highlight w:val="none"/>
        </w:rPr>
        <w:t>工程</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i w:val="0"/>
          <w:iCs w:val="0"/>
          <w:color w:val="auto"/>
          <w:sz w:val="24"/>
          <w:highlight w:val="none"/>
          <w:u w:val="none"/>
          <w:lang w:val="en-US" w:eastAsia="zh-CN"/>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均应符合国家强制性标准。</w:t>
      </w:r>
    </w:p>
    <w:bookmarkEnd w:id="37"/>
    <w:p w14:paraId="5810BC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134FA1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535F132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64F76CE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33F69436">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38" w:name="_Hlk11703583"/>
      <w:r>
        <w:rPr>
          <w:rFonts w:hint="eastAsia" w:asciiTheme="minorEastAsia" w:hAnsiTheme="minorEastAsia" w:eastAsiaTheme="minorEastAsia"/>
          <w:color w:val="auto"/>
          <w:sz w:val="24"/>
          <w:highlight w:val="none"/>
          <w:lang w:val="en-US" w:eastAsia="zh-CN"/>
        </w:rPr>
        <w:t>等。</w:t>
      </w:r>
    </w:p>
    <w:bookmarkEnd w:id="38"/>
    <w:p w14:paraId="4350257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7B1E568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5092A99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2.1投标人的报价应当包括满足本次招标全部采购需求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622C605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3D3E15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163269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08AE79F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7B1092B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402AFC5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07EDA1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18EDD0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4A4E3B7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695EFD9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558CC7C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95AFB9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70FA26F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8F5007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65BD58F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310E18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087529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083DAC01">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66B9DA1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0964A7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6226E548">
      <w:pPr>
        <w:spacing w:line="360" w:lineRule="auto"/>
        <w:ind w:firstLine="435"/>
        <w:rPr>
          <w:rFonts w:hint="eastAsia" w:ascii="宋体" w:hAnsi="宋体" w:eastAsia="宋体" w:cs="宋体"/>
          <w:color w:val="auto"/>
          <w:sz w:val="24"/>
          <w:szCs w:val="24"/>
          <w:highlight w:val="none"/>
        </w:rPr>
      </w:pPr>
      <w:bookmarkStart w:id="39"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2732551D">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45ABDA1F">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39"/>
    <w:p w14:paraId="3D9C9804">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763E394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76DD4B0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0CD8FD2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投标文件的澄清</w:t>
      </w:r>
    </w:p>
    <w:p w14:paraId="7E36309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5D04959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877F1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投标人的澄清、说明或补正将作为投标文件的一部分。</w:t>
      </w:r>
    </w:p>
    <w:p w14:paraId="3B3CA90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.3评标委员会对投标人提交的澄清、说明或补正有疑问的，可以要求投标人进一步澄清、说明或补正，直至满足评标委员会的要求。</w:t>
      </w:r>
    </w:p>
    <w:p w14:paraId="0833DFF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投标文件报价出现前后不一致的，按照下列规定修正：</w:t>
      </w:r>
    </w:p>
    <w:p w14:paraId="06B0B582">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530AF3C8">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7C5DD6DD">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355ACE5C">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71515D40">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59EB9457">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0C30266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7BC841C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29DB68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17B95E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0F067A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7350FE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4F4472D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F242B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11C4BED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4F00E301">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594381E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0694171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4A996CB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1E703054">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4F3CEE0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7EC013B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w:t>
      </w:r>
      <w:r>
        <w:rPr>
          <w:rFonts w:hint="eastAsia" w:ascii="宋体" w:hAnsi="宋体" w:eastAsia="宋体"/>
          <w:color w:val="auto"/>
          <w:sz w:val="24"/>
          <w:highlight w:val="none"/>
          <w:lang w:val="en-US" w:eastAsia="zh-CN"/>
        </w:rPr>
        <w:t>和</w:t>
      </w:r>
      <w:r>
        <w:rPr>
          <w:rFonts w:ascii="宋体" w:hAnsi="宋体" w:eastAsia="宋体"/>
          <w:color w:val="auto"/>
          <w:sz w:val="24"/>
          <w:highlight w:val="none"/>
        </w:rPr>
        <w:t>《财政部 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0985440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6DDAD7C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7DB002A5">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74702138">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24B6F708">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B86B1D3">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color w:val="auto"/>
          <w:highlight w:val="none"/>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21410A9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57ABE3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5CA14AA4">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41D5D19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0E207A3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411C691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56DC64D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1E386E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1A4AA0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674ADD0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5EA2E08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65F3ECB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051AE09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742D84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20.1</w:t>
      </w:r>
      <w:r>
        <w:rPr>
          <w:rFonts w:asciiTheme="minorEastAsia" w:hAnsiTheme="minorEastAsia" w:eastAsiaTheme="minorEastAsia"/>
          <w:color w:val="auto"/>
          <w:sz w:val="24"/>
          <w:highlight w:val="none"/>
        </w:rPr>
        <w:t>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5B8542C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出现两家或两家以上相同者，采取评标委员会随机抽取的方式确定中标候选顺序。</w:t>
      </w:r>
    </w:p>
    <w:p w14:paraId="4E09E7DB">
      <w:pPr>
        <w:spacing w:line="360" w:lineRule="auto"/>
        <w:ind w:firstLine="435"/>
        <w:rPr>
          <w:rFonts w:hint="default" w:eastAsiaTheme="minorEastAsia"/>
          <w:color w:val="auto"/>
          <w:highlight w:val="none"/>
          <w:lang w:val="en-US" w:eastAsia="zh-CN"/>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w:t>
      </w:r>
      <w:r>
        <w:rPr>
          <w:rFonts w:hint="eastAsia" w:asciiTheme="minorEastAsia" w:hAnsiTheme="minorEastAsia" w:eastAsiaTheme="minorEastAsia"/>
          <w:color w:val="auto"/>
          <w:sz w:val="24"/>
          <w:highlight w:val="none"/>
        </w:rPr>
        <w:t>按投标报价由低到高顺序排列。</w:t>
      </w:r>
      <w:r>
        <w:rPr>
          <w:rFonts w:asciiTheme="minorEastAsia" w:hAnsiTheme="minorEastAsia" w:eastAsiaTheme="minorEastAsia"/>
          <w:color w:val="auto"/>
          <w:sz w:val="24"/>
          <w:highlight w:val="none"/>
        </w:rPr>
        <w:t>得分与投标报价均相同的</w:t>
      </w:r>
      <w:r>
        <w:rPr>
          <w:rFonts w:hint="eastAsia" w:asciiTheme="minorEastAsia" w:hAnsiTheme="minorEastAsia" w:eastAsiaTheme="minorEastAsia"/>
          <w:color w:val="auto"/>
          <w:sz w:val="24"/>
          <w:highlight w:val="none"/>
        </w:rPr>
        <w:t>，则采取评标委员会随机抽取的方式确定中标候选顺序。</w:t>
      </w:r>
    </w:p>
    <w:p w14:paraId="6345C6F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41E5029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0302300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77A245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7286C1A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6C2531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69F1CAF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3118528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67E55ED0">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w:t>
      </w:r>
      <w:r>
        <w:rPr>
          <w:rFonts w:hint="eastAsia" w:ascii="宋体" w:hAnsi="宋体" w:eastAsia="宋体" w:cs="宋体"/>
          <w:color w:val="auto"/>
          <w:sz w:val="24"/>
          <w:szCs w:val="24"/>
          <w:highlight w:val="none"/>
        </w:rPr>
        <w:t>和滁州市公共资源交易中心网</w:t>
      </w:r>
      <w:r>
        <w:rPr>
          <w:rFonts w:hint="eastAsia" w:ascii="宋体" w:hAnsi="宋体" w:eastAsia="宋体"/>
          <w:color w:val="auto"/>
          <w:sz w:val="24"/>
          <w:szCs w:val="18"/>
          <w:highlight w:val="none"/>
        </w:rPr>
        <w:t>上发布中标结果公告。</w:t>
      </w:r>
    </w:p>
    <w:p w14:paraId="2B9176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19531C1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6CD82BC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54C75A6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01C99785">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7C0D7D5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5AFFEA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2FDD490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04746D3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4ED41A9C">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00C1EFE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55669BE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0C86BB9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28BB8B4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0E24451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468C9CDF">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40C2587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70217CD4">
      <w:pPr>
        <w:spacing w:line="360" w:lineRule="auto"/>
        <w:ind w:firstLine="437"/>
        <w:outlineLvl w:val="2"/>
        <w:rPr>
          <w:rFonts w:asciiTheme="minorEastAsia" w:hAnsiTheme="minorEastAsia" w:eastAsiaTheme="minorEastAsia"/>
          <w:b/>
          <w:color w:val="auto"/>
          <w:sz w:val="24"/>
          <w:highlight w:val="none"/>
        </w:rPr>
      </w:pPr>
      <w:bookmarkStart w:id="40" w:name="_Toc518923100"/>
      <w:bookmarkStart w:id="41" w:name="_Toc2583661"/>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40"/>
      <w:bookmarkEnd w:id="41"/>
    </w:p>
    <w:p w14:paraId="14872AD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00256F6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42029F36">
      <w:pPr>
        <w:spacing w:line="360" w:lineRule="auto"/>
        <w:ind w:firstLine="437"/>
        <w:outlineLvl w:val="2"/>
        <w:rPr>
          <w:rFonts w:asciiTheme="minorEastAsia" w:hAnsiTheme="minorEastAsia" w:eastAsiaTheme="minorEastAsia"/>
          <w:b/>
          <w:color w:val="auto"/>
          <w:sz w:val="24"/>
          <w:highlight w:val="none"/>
        </w:rPr>
      </w:pPr>
      <w:bookmarkStart w:id="42" w:name="_Toc518923101"/>
      <w:bookmarkStart w:id="43" w:name="_Toc2583662"/>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42"/>
      <w:bookmarkEnd w:id="43"/>
    </w:p>
    <w:p w14:paraId="5F4316D9">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3DAA5D1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7E6F952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1725B7C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5220A2B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3A9964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09801AB3">
      <w:pPr>
        <w:spacing w:line="500" w:lineRule="exact"/>
        <w:ind w:left="-420" w:leftChars="-200" w:firstLine="439" w:firstLineChars="182"/>
        <w:jc w:val="left"/>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32.投诉</w:t>
      </w:r>
    </w:p>
    <w:p w14:paraId="26F0B1E4">
      <w:pPr>
        <w:keepNext w:val="0"/>
        <w:keepLines w:val="0"/>
        <w:pageBreakBefore w:val="0"/>
        <w:widowControl w:val="0"/>
        <w:kinsoku/>
        <w:wordWrap w:val="0"/>
        <w:overflowPunct/>
        <w:topLinePunct w:val="0"/>
        <w:autoSpaceDE/>
        <w:autoSpaceDN/>
        <w:bidi w:val="0"/>
        <w:adjustRightInd/>
        <w:snapToGrid/>
        <w:spacing w:line="500" w:lineRule="exact"/>
        <w:ind w:left="-420" w:leftChars="-200" w:firstLine="436" w:firstLineChars="1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6BAB9FFE">
      <w:pPr>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144AAD9D">
      <w:pPr>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32.3政府采购监督管理部门在处理投诉事项期间，可以视具体情况书面通知采购人暂停采购活动，但暂停时间最长不得超过30日。</w:t>
      </w:r>
    </w:p>
    <w:p w14:paraId="791D14DF">
      <w:pPr>
        <w:spacing w:line="500" w:lineRule="exact"/>
        <w:ind w:left="-420" w:leftChars="-200" w:firstLine="439" w:firstLineChars="182"/>
        <w:jc w:val="left"/>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33.需要补充的其他内容</w:t>
      </w:r>
    </w:p>
    <w:p w14:paraId="34D744E1">
      <w:pPr>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需要补充的其他内容，见</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w:t>
      </w:r>
    </w:p>
    <w:p w14:paraId="0F2FC669">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11CFB285">
      <w:pPr>
        <w:numPr>
          <w:ilvl w:val="0"/>
          <w:numId w:val="1"/>
        </w:numPr>
        <w:spacing w:line="360" w:lineRule="auto"/>
        <w:jc w:val="center"/>
        <w:outlineLvl w:val="0"/>
        <w:rPr>
          <w:rFonts w:hint="eastAsia" w:asciiTheme="minorEastAsia" w:hAnsiTheme="minorEastAsia" w:eastAsiaTheme="minorEastAsia"/>
          <w:b/>
          <w:color w:val="auto"/>
          <w:sz w:val="28"/>
          <w:highlight w:val="none"/>
          <w:lang w:eastAsia="zh-CN"/>
        </w:rPr>
      </w:pPr>
      <w:r>
        <w:rPr>
          <w:rFonts w:hint="eastAsia" w:asciiTheme="minorEastAsia" w:hAnsiTheme="minorEastAsia" w:eastAsiaTheme="minorEastAsia"/>
          <w:b/>
          <w:color w:val="auto"/>
          <w:sz w:val="28"/>
          <w:highlight w:val="none"/>
        </w:rPr>
        <w:t xml:space="preserve"> </w:t>
      </w:r>
      <w:bookmarkStart w:id="44" w:name="_Toc22605"/>
      <w:r>
        <w:rPr>
          <w:rFonts w:hint="eastAsia" w:asciiTheme="minorEastAsia" w:hAnsiTheme="minorEastAsia" w:eastAsiaTheme="minorEastAsia"/>
          <w:b/>
          <w:color w:val="auto"/>
          <w:sz w:val="28"/>
          <w:highlight w:val="none"/>
        </w:rPr>
        <w:t>采购需求</w:t>
      </w:r>
      <w:bookmarkEnd w:id="44"/>
    </w:p>
    <w:p w14:paraId="55436052">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3EB889FF">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可以进行优化，提供满足采购人实际需要的更优（或者性能实质上不低于的）服务方案，且此方案须经评标委员会评审认可。</w:t>
      </w:r>
    </w:p>
    <w:p w14:paraId="2D1EF0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6C5747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所投产品须具有市场监管总局公布的《参与实施政府采购节能产品认证机构目录》中的认证机构出具的、处于有效期内的节能产品认证证书。</w:t>
      </w:r>
    </w:p>
    <w:p w14:paraId="566271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rPr>
      </w:pPr>
      <w:r>
        <w:rPr>
          <w:rFonts w:hint="eastAsia" w:ascii="宋体" w:hAnsi="宋体" w:eastAsia="宋体" w:cs="宋体"/>
          <w:color w:val="auto"/>
          <w:sz w:val="24"/>
          <w:szCs w:val="24"/>
          <w:highlight w:val="none"/>
        </w:rPr>
        <w:t>（2）如涉及商品包装和快递包装，</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53195B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bCs/>
          <w:color w:val="auto"/>
          <w:sz w:val="24"/>
          <w:szCs w:val="18"/>
          <w:highlight w:val="none"/>
          <w:lang w:val="en-US" w:eastAsia="zh-CN"/>
        </w:rPr>
      </w:pPr>
      <w:r>
        <w:rPr>
          <w:rFonts w:hint="eastAsia" w:ascii="宋体" w:hAnsi="宋体" w:eastAsia="宋体" w:cs="宋体"/>
          <w:color w:val="auto"/>
          <w:sz w:val="24"/>
          <w:szCs w:val="24"/>
          <w:highlight w:val="none"/>
        </w:rPr>
        <w:t>3.如采购人允许采用分包方式履行合同的，应当明确可以分包履行的相关内容</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本项目不允许分包</w:t>
      </w:r>
      <w:r>
        <w:rPr>
          <w:rFonts w:hint="eastAsia" w:ascii="宋体" w:hAnsi="宋体" w:eastAsia="宋体" w:cs="宋体"/>
          <w:color w:val="auto"/>
          <w:sz w:val="24"/>
          <w:szCs w:val="24"/>
          <w:highlight w:val="none"/>
          <w:lang w:val="en-US" w:eastAsia="zh-CN"/>
        </w:rPr>
        <w:t>。</w:t>
      </w:r>
    </w:p>
    <w:p w14:paraId="02DA894B">
      <w:pPr>
        <w:spacing w:line="360" w:lineRule="auto"/>
        <w:ind w:firstLine="437"/>
        <w:jc w:val="center"/>
        <w:outlineLvl w:val="1"/>
        <w:rPr>
          <w:rFonts w:ascii="宋体" w:hAnsi="宋体" w:eastAsia="宋体"/>
          <w:b/>
          <w:color w:val="auto"/>
          <w:sz w:val="24"/>
          <w:szCs w:val="18"/>
          <w:highlight w:val="none"/>
        </w:rPr>
      </w:pPr>
      <w:bookmarkStart w:id="45" w:name="_Toc21798"/>
      <w:bookmarkStart w:id="46" w:name="_Toc4148"/>
      <w:bookmarkStart w:id="47" w:name="_Hlk23621890"/>
      <w:r>
        <w:rPr>
          <w:rFonts w:hint="eastAsia" w:ascii="宋体" w:hAnsi="宋体" w:eastAsia="宋体"/>
          <w:b/>
          <w:color w:val="auto"/>
          <w:sz w:val="24"/>
          <w:szCs w:val="18"/>
          <w:highlight w:val="none"/>
        </w:rPr>
        <w:t>采购需求前附表</w:t>
      </w:r>
      <w:bookmarkEnd w:id="45"/>
      <w:bookmarkEnd w:id="46"/>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B5F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9EC241D">
            <w:pPr>
              <w:pStyle w:val="47"/>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4209D4B6">
            <w:pPr>
              <w:pStyle w:val="46"/>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2C18AB4A">
            <w:pPr>
              <w:pStyle w:val="46"/>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45E1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70F879C">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40BCE1C6">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0" w:firstLineChars="0"/>
              <w:jc w:val="center"/>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lang w:val="en-US" w:eastAsia="zh-CN"/>
              </w:rPr>
              <w:t>付款方式</w:t>
            </w:r>
          </w:p>
        </w:tc>
        <w:tc>
          <w:tcPr>
            <w:tcW w:w="3217" w:type="pct"/>
            <w:vAlign w:val="center"/>
          </w:tcPr>
          <w:p w14:paraId="15CF3726">
            <w:pPr>
              <w:keepNext w:val="0"/>
              <w:keepLines w:val="0"/>
              <w:pageBreakBefore w:val="0"/>
              <w:widowControl/>
              <w:kinsoku/>
              <w:wordWrap w:val="0"/>
              <w:overflowPunct/>
              <w:topLinePunct/>
              <w:autoSpaceDE/>
              <w:autoSpaceDN/>
              <w:bidi w:val="0"/>
              <w:adjustRightInd w:val="0"/>
              <w:snapToGrid w:val="0"/>
              <w:spacing w:after="0" w:afterLines="0" w:line="560" w:lineRule="exact"/>
              <w:ind w:firstLine="480" w:firstLineChars="200"/>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合同签订、担保措施生效并具备实施条件【须提供同等金额的保函（见索即付性质的独立保函）】后支付一年合同金额的40%为预付款，一年服务期满后按照考核结果支付剩余费用。</w:t>
            </w:r>
          </w:p>
          <w:p w14:paraId="4E994797">
            <w:pPr>
              <w:keepNext w:val="0"/>
              <w:keepLines w:val="0"/>
              <w:pageBreakBefore w:val="0"/>
              <w:widowControl/>
              <w:kinsoku/>
              <w:wordWrap w:val="0"/>
              <w:overflowPunct/>
              <w:topLinePunct/>
              <w:autoSpaceDE/>
              <w:autoSpaceDN/>
              <w:bidi w:val="0"/>
              <w:adjustRightInd w:val="0"/>
              <w:snapToGrid w:val="0"/>
              <w:spacing w:after="0" w:afterLines="0" w:line="560" w:lineRule="exact"/>
              <w:ind w:firstLine="480" w:firstLineChars="200"/>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根据相关考核要求开展年度运维服务考核，运维服务费根据考核得分情况兑付给中标人。年度运维服务费剩余费用计算公式为:年度运维服务费-（年度运维服务费*考核结果对应扣除比例）-预付款。</w:t>
            </w:r>
          </w:p>
          <w:p w14:paraId="53938D1E">
            <w:pPr>
              <w:keepNext w:val="0"/>
              <w:keepLines w:val="0"/>
              <w:pageBreakBefore w:val="0"/>
              <w:widowControl/>
              <w:kinsoku/>
              <w:wordWrap w:val="0"/>
              <w:overflowPunct/>
              <w:topLinePunct/>
              <w:autoSpaceDE/>
              <w:autoSpaceDN/>
              <w:bidi w:val="0"/>
              <w:adjustRightInd/>
              <w:snapToGrid w:val="0"/>
              <w:spacing w:after="0" w:afterLines="0" w:line="540" w:lineRule="exact"/>
              <w:ind w:firstLine="480" w:firstLineChars="200"/>
              <w:textAlignment w:val="auto"/>
              <w:rPr>
                <w:rFonts w:hint="eastAsia"/>
                <w:color w:val="auto"/>
                <w:highlight w:val="none"/>
                <w:lang w:val="en-US" w:eastAsia="zh-CN"/>
              </w:rPr>
            </w:pPr>
            <w:r>
              <w:rPr>
                <w:rFonts w:hint="eastAsia" w:ascii="宋体" w:hAnsi="宋体" w:eastAsia="宋体" w:cs="@仿宋_GB2312"/>
                <w:b w:val="0"/>
                <w:bCs w:val="0"/>
                <w:color w:val="auto"/>
                <w:kern w:val="2"/>
                <w:sz w:val="24"/>
                <w:szCs w:val="20"/>
                <w:highlight w:val="none"/>
                <w:lang w:val="en-US" w:eastAsia="zh-CN" w:bidi="ar-SA"/>
              </w:rPr>
              <w:t>（1）考核评分90分以上(含90分)，支付全额运维费，扣除年度运维服务费的0%。（2）考核评分85-90分（含85分），扣除年度运维服务费的10%。（3）考核评分80-85分（含80分），扣除年度运维服务费的20%。（4）考核评分75-80分（含75分），扣除年度运维服务费的30%。（5）考核评分75分以下或发生重大安全事故，监测中心被有关部门认定存在预警不准确或预警不及时等问题的情况下（以相关通报文件为准），不支付当年所有运维费用，扣除年度运维服务费的100%，并收回当年支付的预付款，且甲方有权利不再续签运维合同。</w:t>
            </w:r>
          </w:p>
        </w:tc>
      </w:tr>
      <w:tr w14:paraId="3DFA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5131182">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136F5290">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服务地点</w:t>
            </w:r>
          </w:p>
        </w:tc>
        <w:tc>
          <w:tcPr>
            <w:tcW w:w="3217" w:type="pct"/>
            <w:vAlign w:val="center"/>
          </w:tcPr>
          <w:p w14:paraId="79E161C9">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480" w:firstLineChars="200"/>
              <w:jc w:val="both"/>
              <w:textAlignment w:val="auto"/>
              <w:rPr>
                <w:rFonts w:hint="eastAsia" w:ascii="宋体" w:hAnsi="宋体" w:eastAsia="宋体" w:cs="宋体"/>
                <w:b w:val="0"/>
                <w:bCs w:val="0"/>
                <w:color w:val="auto"/>
                <w:kern w:val="0"/>
                <w:sz w:val="24"/>
                <w:szCs w:val="20"/>
                <w:highlight w:val="none"/>
                <w:lang w:val="en-US" w:eastAsia="zh-CN" w:bidi="ar-SA"/>
              </w:rPr>
            </w:pPr>
            <w:r>
              <w:rPr>
                <w:rFonts w:hint="eastAsia" w:ascii="宋体" w:hAnsi="宋体" w:eastAsia="宋体" w:cs="宋体"/>
                <w:b w:val="0"/>
                <w:bCs w:val="0"/>
                <w:color w:val="auto"/>
                <w:kern w:val="0"/>
                <w:sz w:val="24"/>
                <w:szCs w:val="20"/>
                <w:highlight w:val="none"/>
                <w:lang w:val="en-US" w:eastAsia="zh-CN" w:bidi="ar-SA"/>
              </w:rPr>
              <w:t>滁州市内，采购人指定地点</w:t>
            </w:r>
          </w:p>
        </w:tc>
      </w:tr>
      <w:tr w14:paraId="095C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68ACD6">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63D3F538">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0" w:firstLineChars="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服务期限</w:t>
            </w:r>
          </w:p>
        </w:tc>
        <w:tc>
          <w:tcPr>
            <w:tcW w:w="3217" w:type="pct"/>
            <w:vAlign w:val="center"/>
          </w:tcPr>
          <w:p w14:paraId="6469E6EA">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35" w:firstLineChars="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kern w:val="0"/>
                <w:sz w:val="24"/>
                <w:szCs w:val="20"/>
                <w:highlight w:val="none"/>
                <w:lang w:val="en-US" w:eastAsia="zh-CN" w:bidi="ar-SA"/>
              </w:rPr>
              <w:t>三年(合同一年一签，中标人当年运维服务满足合同约定及考核要求，可以续签下一年合同。若中标人当年运维服务不满足合同约定及考核要求，招标人有权终止续签合同。根据政策调整、工作需要、预算下达等情况，招标人有权调整续签合同金额，或终止续签合同。</w:t>
            </w:r>
          </w:p>
        </w:tc>
      </w:tr>
      <w:tr w14:paraId="75200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35B3A9A">
            <w:pPr>
              <w:pStyle w:val="47"/>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4</w:t>
            </w:r>
          </w:p>
        </w:tc>
        <w:tc>
          <w:tcPr>
            <w:tcW w:w="1192" w:type="pct"/>
            <w:vAlign w:val="center"/>
          </w:tcPr>
          <w:p w14:paraId="5D2D4170">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0" w:firstLineChars="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本项目采购标的名称及所属行业</w:t>
            </w:r>
          </w:p>
        </w:tc>
        <w:tc>
          <w:tcPr>
            <w:tcW w:w="3217" w:type="pct"/>
            <w:vAlign w:val="center"/>
          </w:tcPr>
          <w:p w14:paraId="63120EEE">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0" w:firstLineChars="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标的名称：滁州市城市生命线安全工程建设项目（一期）运维服务项目</w:t>
            </w:r>
          </w:p>
          <w:p w14:paraId="162D49D7">
            <w:pPr>
              <w:keepNext w:val="0"/>
              <w:keepLines w:val="0"/>
              <w:widowControl/>
              <w:suppressLineNumbers w:val="0"/>
              <w:spacing w:line="560" w:lineRule="exact"/>
              <w:jc w:val="left"/>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所属行业：软件和信息技术服务业</w:t>
            </w:r>
          </w:p>
        </w:tc>
      </w:tr>
    </w:tbl>
    <w:p w14:paraId="4DA8AEDF">
      <w:pPr>
        <w:pageBreakBefore w:val="0"/>
        <w:widowControl w:val="0"/>
        <w:numPr>
          <w:ilvl w:val="-1"/>
          <w:numId w:val="0"/>
        </w:numPr>
        <w:kinsoku/>
        <w:overflowPunct/>
        <w:topLinePunct w:val="0"/>
        <w:autoSpaceDE/>
        <w:autoSpaceDN/>
        <w:bidi w:val="0"/>
        <w:adjustRightInd/>
        <w:snapToGrid/>
        <w:spacing w:line="360" w:lineRule="auto"/>
        <w:ind w:right="-420" w:rightChars="-200" w:firstLine="0" w:firstLineChars="0"/>
        <w:jc w:val="left"/>
        <w:textAlignment w:val="auto"/>
        <w:rPr>
          <w:rFonts w:hint="eastAsia" w:ascii="宋体" w:hAnsi="宋体" w:eastAsia="宋体"/>
          <w:b/>
          <w:color w:val="auto"/>
          <w:sz w:val="24"/>
          <w:szCs w:val="18"/>
          <w:highlight w:val="none"/>
          <w:lang w:val="en-US" w:eastAsia="zh-CN"/>
        </w:rPr>
      </w:pPr>
      <w:bookmarkStart w:id="48" w:name="_Hlk16461016"/>
      <w:bookmarkStart w:id="49" w:name="_Toc16543"/>
      <w:r>
        <w:rPr>
          <w:rFonts w:hint="eastAsia" w:ascii="宋体" w:hAnsi="宋体" w:eastAsia="宋体"/>
          <w:b/>
          <w:color w:val="auto"/>
          <w:sz w:val="24"/>
          <w:szCs w:val="18"/>
          <w:highlight w:val="none"/>
          <w:lang w:val="en-US" w:eastAsia="zh-CN"/>
        </w:rPr>
        <w:t>一、项目概况</w:t>
      </w:r>
    </w:p>
    <w:p w14:paraId="7343ADB5">
      <w:pPr>
        <w:pageBreakBefore w:val="0"/>
        <w:widowControl w:val="0"/>
        <w:numPr>
          <w:ilvl w:val="-1"/>
          <w:numId w:val="0"/>
        </w:numPr>
        <w:kinsoku/>
        <w:overflowPunct/>
        <w:topLinePunct w:val="0"/>
        <w:autoSpaceDE/>
        <w:autoSpaceDN/>
        <w:bidi w:val="0"/>
        <w:adjustRightInd/>
        <w:snapToGrid/>
        <w:spacing w:line="360" w:lineRule="auto"/>
        <w:ind w:right="-420" w:rightChars="-200" w:firstLine="48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b w:val="0"/>
          <w:bCs w:val="0"/>
          <w:color w:val="auto"/>
          <w:sz w:val="24"/>
          <w:highlight w:val="none"/>
          <w:lang w:val="en-US" w:eastAsia="zh-CN"/>
        </w:rPr>
        <w:t>滁州市城市生命线安全工程建设项目（一期）主要针对城区171平方公里范围内风险等级较高的1965公里燃气管网、810公里供水管网、18座城市市政桥梁、1650公里排水管网四个专项的城市基础设施进行运行监测，已</w:t>
      </w:r>
      <w:r>
        <w:rPr>
          <w:rFonts w:hint="eastAsia" w:ascii="宋体" w:hAnsi="宋体" w:eastAsia="宋体" w:cs="@仿宋_GB2312"/>
          <w:b w:val="0"/>
          <w:bCs w:val="0"/>
          <w:color w:val="auto"/>
          <w:sz w:val="24"/>
          <w:szCs w:val="20"/>
          <w:highlight w:val="none"/>
        </w:rPr>
        <w:t>安装前端</w:t>
      </w:r>
      <w:r>
        <w:rPr>
          <w:rFonts w:hint="eastAsia" w:ascii="宋体" w:hAnsi="宋体" w:eastAsia="宋体" w:cs="@仿宋_GB2312"/>
          <w:b w:val="0"/>
          <w:bCs w:val="0"/>
          <w:color w:val="auto"/>
          <w:sz w:val="24"/>
          <w:szCs w:val="20"/>
          <w:highlight w:val="none"/>
          <w:lang w:eastAsia="zh-CN"/>
        </w:rPr>
        <w:t>物联网</w:t>
      </w:r>
      <w:r>
        <w:rPr>
          <w:rFonts w:hint="eastAsia" w:ascii="宋体" w:hAnsi="宋体" w:eastAsia="宋体" w:cs="@仿宋_GB2312"/>
          <w:b w:val="0"/>
          <w:bCs w:val="0"/>
          <w:color w:val="auto"/>
          <w:sz w:val="24"/>
          <w:szCs w:val="20"/>
          <w:highlight w:val="none"/>
        </w:rPr>
        <w:t>传感器1312</w:t>
      </w:r>
      <w:r>
        <w:rPr>
          <w:rFonts w:hint="eastAsia" w:ascii="宋体" w:hAnsi="宋体" w:eastAsia="宋体" w:cs="@仿宋_GB2312"/>
          <w:b w:val="0"/>
          <w:bCs w:val="0"/>
          <w:color w:val="auto"/>
          <w:sz w:val="24"/>
          <w:szCs w:val="20"/>
          <w:highlight w:val="none"/>
          <w:lang w:val="en-US" w:eastAsia="zh-CN"/>
        </w:rPr>
        <w:t>5</w:t>
      </w:r>
      <w:r>
        <w:rPr>
          <w:rFonts w:hint="eastAsia" w:ascii="宋体" w:hAnsi="宋体" w:eastAsia="宋体" w:cs="@仿宋_GB2312"/>
          <w:b w:val="0"/>
          <w:bCs w:val="0"/>
          <w:color w:val="auto"/>
          <w:sz w:val="24"/>
          <w:szCs w:val="20"/>
          <w:highlight w:val="none"/>
          <w:lang w:eastAsia="zh-CN"/>
        </w:rPr>
        <w:t>套</w:t>
      </w:r>
      <w:r>
        <w:rPr>
          <w:rFonts w:hint="eastAsia" w:ascii="宋体" w:hAnsi="宋体" w:eastAsia="宋体" w:cs="@仿宋_GB2312"/>
          <w:b w:val="0"/>
          <w:bCs w:val="0"/>
          <w:color w:val="auto"/>
          <w:sz w:val="24"/>
          <w:szCs w:val="20"/>
          <w:highlight w:val="none"/>
        </w:rPr>
        <w:t>，其中，燃气专项</w:t>
      </w:r>
      <w:r>
        <w:rPr>
          <w:rFonts w:hint="eastAsia" w:ascii="宋体" w:hAnsi="宋体" w:eastAsia="宋体" w:cs="@仿宋_GB2312"/>
          <w:b w:val="0"/>
          <w:bCs w:val="0"/>
          <w:color w:val="auto"/>
          <w:sz w:val="24"/>
          <w:szCs w:val="20"/>
          <w:highlight w:val="none"/>
          <w:lang w:eastAsia="zh-CN"/>
        </w:rPr>
        <w:t>（相邻地下空间）</w:t>
      </w:r>
      <w:r>
        <w:rPr>
          <w:rFonts w:hint="eastAsia" w:ascii="宋体" w:hAnsi="宋体" w:eastAsia="宋体" w:cs="@仿宋_GB2312"/>
          <w:b w:val="0"/>
          <w:bCs w:val="0"/>
          <w:color w:val="auto"/>
          <w:sz w:val="24"/>
          <w:szCs w:val="20"/>
          <w:highlight w:val="none"/>
        </w:rPr>
        <w:t>9484</w:t>
      </w:r>
      <w:r>
        <w:rPr>
          <w:rFonts w:hint="eastAsia" w:ascii="宋体" w:hAnsi="宋体" w:eastAsia="宋体" w:cs="@仿宋_GB2312"/>
          <w:b w:val="0"/>
          <w:bCs w:val="0"/>
          <w:color w:val="auto"/>
          <w:sz w:val="24"/>
          <w:szCs w:val="20"/>
          <w:highlight w:val="none"/>
          <w:lang w:eastAsia="zh-CN"/>
        </w:rPr>
        <w:t>套燃气监测仪</w:t>
      </w:r>
      <w:r>
        <w:rPr>
          <w:rFonts w:hint="eastAsia" w:ascii="宋体" w:hAnsi="宋体" w:eastAsia="宋体" w:cs="@仿宋_GB2312"/>
          <w:b w:val="0"/>
          <w:bCs w:val="0"/>
          <w:color w:val="auto"/>
          <w:sz w:val="24"/>
          <w:szCs w:val="20"/>
          <w:highlight w:val="none"/>
        </w:rPr>
        <w:t>，供水专项1089套</w:t>
      </w:r>
      <w:r>
        <w:rPr>
          <w:rFonts w:hint="eastAsia" w:ascii="宋体" w:hAnsi="宋体" w:eastAsia="宋体" w:cs="@仿宋_GB2312"/>
          <w:b w:val="0"/>
          <w:bCs w:val="0"/>
          <w:color w:val="auto"/>
          <w:sz w:val="24"/>
          <w:szCs w:val="20"/>
          <w:highlight w:val="none"/>
          <w:lang w:eastAsia="zh-CN"/>
        </w:rPr>
        <w:t>压力计、流量计、漏失仪等</w:t>
      </w:r>
      <w:r>
        <w:rPr>
          <w:rFonts w:hint="eastAsia" w:ascii="宋体" w:hAnsi="宋体" w:eastAsia="宋体" w:cs="@仿宋_GB2312"/>
          <w:b w:val="0"/>
          <w:bCs w:val="0"/>
          <w:color w:val="auto"/>
          <w:sz w:val="24"/>
          <w:szCs w:val="20"/>
          <w:highlight w:val="none"/>
        </w:rPr>
        <w:t>，排水专项413套</w:t>
      </w:r>
      <w:r>
        <w:rPr>
          <w:rFonts w:hint="eastAsia" w:ascii="宋体" w:hAnsi="宋体" w:eastAsia="宋体" w:cs="@仿宋_GB2312"/>
          <w:b w:val="0"/>
          <w:bCs w:val="0"/>
          <w:color w:val="auto"/>
          <w:sz w:val="24"/>
          <w:szCs w:val="20"/>
          <w:highlight w:val="none"/>
          <w:lang w:eastAsia="zh-CN"/>
        </w:rPr>
        <w:t>液位计、流量计等</w:t>
      </w:r>
      <w:r>
        <w:rPr>
          <w:rFonts w:hint="eastAsia" w:ascii="宋体" w:hAnsi="宋体" w:eastAsia="宋体" w:cs="@仿宋_GB2312"/>
          <w:b w:val="0"/>
          <w:bCs w:val="0"/>
          <w:color w:val="auto"/>
          <w:sz w:val="24"/>
          <w:szCs w:val="20"/>
          <w:highlight w:val="none"/>
        </w:rPr>
        <w:t>，桥梁专项213</w:t>
      </w:r>
      <w:r>
        <w:rPr>
          <w:rFonts w:hint="eastAsia" w:ascii="宋体" w:hAnsi="宋体" w:eastAsia="宋体" w:cs="@仿宋_GB2312"/>
          <w:b w:val="0"/>
          <w:bCs w:val="0"/>
          <w:color w:val="auto"/>
          <w:sz w:val="24"/>
          <w:szCs w:val="20"/>
          <w:highlight w:val="none"/>
          <w:lang w:val="en-US" w:eastAsia="zh-CN"/>
        </w:rPr>
        <w:t>9</w:t>
      </w:r>
      <w:r>
        <w:rPr>
          <w:rFonts w:hint="eastAsia" w:ascii="宋体" w:hAnsi="宋体" w:eastAsia="宋体" w:cs="@仿宋_GB2312"/>
          <w:b w:val="0"/>
          <w:bCs w:val="0"/>
          <w:color w:val="auto"/>
          <w:sz w:val="24"/>
          <w:szCs w:val="20"/>
          <w:highlight w:val="none"/>
        </w:rPr>
        <w:t>套</w:t>
      </w:r>
      <w:r>
        <w:rPr>
          <w:rFonts w:hint="eastAsia" w:ascii="宋体" w:hAnsi="宋体" w:eastAsia="宋体" w:cs="@仿宋_GB2312"/>
          <w:b w:val="0"/>
          <w:bCs w:val="0"/>
          <w:color w:val="auto"/>
          <w:sz w:val="24"/>
          <w:szCs w:val="20"/>
          <w:highlight w:val="none"/>
          <w:lang w:eastAsia="zh-CN"/>
        </w:rPr>
        <w:t>水准仪、位移计、倾角仪和加速度计等</w:t>
      </w:r>
      <w:r>
        <w:rPr>
          <w:rFonts w:hint="eastAsia" w:ascii="宋体" w:hAnsi="宋体" w:eastAsia="宋体" w:cs="@仿宋_GB2312"/>
          <w:b w:val="0"/>
          <w:bCs w:val="0"/>
          <w:color w:val="auto"/>
          <w:sz w:val="24"/>
          <w:szCs w:val="20"/>
          <w:highlight w:val="none"/>
        </w:rPr>
        <w:t>。</w:t>
      </w:r>
      <w:r>
        <w:rPr>
          <w:rFonts w:hint="eastAsia" w:ascii="宋体" w:hAnsi="宋体" w:eastAsia="宋体" w:cs="@仿宋_GB2312"/>
          <w:b w:val="0"/>
          <w:bCs w:val="0"/>
          <w:color w:val="auto"/>
          <w:sz w:val="24"/>
          <w:szCs w:val="20"/>
          <w:highlight w:val="none"/>
          <w:lang w:eastAsia="zh-CN"/>
        </w:rPr>
        <w:t>本</w:t>
      </w:r>
      <w:r>
        <w:rPr>
          <w:rFonts w:hint="eastAsia" w:ascii="宋体" w:hAnsi="宋体" w:eastAsia="宋体" w:cs="@仿宋_GB2312"/>
          <w:b w:val="0"/>
          <w:bCs w:val="0"/>
          <w:color w:val="auto"/>
          <w:sz w:val="24"/>
          <w:szCs w:val="20"/>
          <w:highlight w:val="none"/>
        </w:rPr>
        <w:t>项目</w:t>
      </w:r>
      <w:r>
        <w:rPr>
          <w:rFonts w:hint="eastAsia" w:ascii="宋体" w:hAnsi="宋体" w:eastAsia="宋体" w:cs="@仿宋_GB2312"/>
          <w:b w:val="0"/>
          <w:bCs w:val="0"/>
          <w:color w:val="auto"/>
          <w:sz w:val="24"/>
          <w:szCs w:val="20"/>
          <w:highlight w:val="none"/>
          <w:lang w:eastAsia="zh-CN"/>
        </w:rPr>
        <w:t>主要是对</w:t>
      </w:r>
      <w:r>
        <w:rPr>
          <w:rFonts w:hint="eastAsia" w:ascii="宋体" w:hAnsi="宋体" w:eastAsia="宋体"/>
          <w:b w:val="0"/>
          <w:bCs w:val="0"/>
          <w:color w:val="auto"/>
          <w:sz w:val="24"/>
          <w:highlight w:val="none"/>
          <w:lang w:val="en-US" w:eastAsia="zh-CN"/>
        </w:rPr>
        <w:t>滁州市城市生命线安全工程建设项目（一期）</w:t>
      </w:r>
      <w:r>
        <w:rPr>
          <w:rFonts w:hint="eastAsia" w:ascii="宋体" w:hAnsi="宋体" w:eastAsia="宋体" w:cs="@仿宋_GB2312"/>
          <w:b w:val="0"/>
          <w:bCs w:val="0"/>
          <w:color w:val="auto"/>
          <w:sz w:val="24"/>
          <w:szCs w:val="20"/>
          <w:highlight w:val="none"/>
          <w:lang w:eastAsia="zh-CN"/>
        </w:rPr>
        <w:t>所形成的监测系统与监测设备的运行、物联网传输、数据收集分析与储存、监测预警发布以及监测中心软硬件正常运行等各项内容提供技术支持与维护服务，以满足滁州市城市生命线工程安全运行监测中心正常工作的需要。</w:t>
      </w:r>
    </w:p>
    <w:p w14:paraId="483B791E">
      <w:pPr>
        <w:spacing w:line="360" w:lineRule="auto"/>
        <w:ind w:firstLine="437"/>
        <w:outlineLvl w:val="1"/>
        <w:rPr>
          <w:rFonts w:hint="eastAsia" w:ascii="宋体" w:hAnsi="宋体" w:eastAsia="宋体"/>
          <w:b/>
          <w:color w:val="auto"/>
          <w:sz w:val="24"/>
          <w:szCs w:val="18"/>
          <w:highlight w:val="none"/>
        </w:rPr>
      </w:pPr>
      <w:r>
        <w:rPr>
          <w:rFonts w:hint="eastAsia" w:ascii="宋体" w:hAnsi="宋体" w:eastAsia="宋体"/>
          <w:b/>
          <w:color w:val="auto"/>
          <w:sz w:val="24"/>
          <w:szCs w:val="18"/>
          <w:highlight w:val="none"/>
          <w:lang w:val="en-US" w:eastAsia="zh-CN"/>
        </w:rPr>
        <w:t>二、</w:t>
      </w:r>
      <w:r>
        <w:rPr>
          <w:rFonts w:hint="eastAsia" w:ascii="宋体" w:hAnsi="宋体" w:eastAsia="宋体"/>
          <w:b/>
          <w:color w:val="auto"/>
          <w:sz w:val="24"/>
          <w:szCs w:val="18"/>
          <w:highlight w:val="none"/>
          <w:lang w:eastAsia="zh-CN"/>
        </w:rPr>
        <w:t>采购</w:t>
      </w:r>
      <w:r>
        <w:rPr>
          <w:rFonts w:hint="eastAsia" w:ascii="宋体" w:hAnsi="宋体" w:eastAsia="宋体"/>
          <w:b/>
          <w:color w:val="auto"/>
          <w:sz w:val="24"/>
          <w:szCs w:val="18"/>
          <w:highlight w:val="none"/>
        </w:rPr>
        <w:t>需求</w:t>
      </w:r>
    </w:p>
    <w:p w14:paraId="687A6AB4">
      <w:pPr>
        <w:spacing w:line="440" w:lineRule="exact"/>
        <w:ind w:firstLine="435"/>
        <w:rPr>
          <w:rFonts w:hint="eastAsia" w:ascii="宋体" w:hAnsi="宋体" w:eastAsia="宋体"/>
          <w:b/>
          <w:bCs/>
          <w:color w:val="auto"/>
          <w:sz w:val="24"/>
          <w:highlight w:val="none"/>
          <w:lang w:val="en-US" w:eastAsia="zh-CN"/>
        </w:rPr>
      </w:pPr>
      <w:bookmarkStart w:id="50" w:name="_Hlk81211185"/>
      <w:bookmarkEnd w:id="50"/>
      <w:bookmarkStart w:id="51" w:name="_Hlk63329693"/>
      <w:bookmarkEnd w:id="51"/>
      <w:bookmarkStart w:id="52" w:name="_Toc73447097"/>
      <w:bookmarkStart w:id="53" w:name="_Toc24376"/>
      <w:bookmarkStart w:id="54" w:name="_Toc106827052"/>
      <w:r>
        <w:rPr>
          <w:rFonts w:hint="eastAsia" w:ascii="宋体" w:hAnsi="宋体" w:eastAsia="宋体"/>
          <w:b/>
          <w:bCs/>
          <w:color w:val="auto"/>
          <w:sz w:val="24"/>
          <w:highlight w:val="none"/>
          <w:lang w:val="en-US" w:eastAsia="zh-CN"/>
        </w:rPr>
        <w:t>（一）服务需求</w:t>
      </w:r>
    </w:p>
    <w:p w14:paraId="62204D4C">
      <w:pPr>
        <w:spacing w:line="440" w:lineRule="exact"/>
        <w:ind w:firstLine="435"/>
        <w:rPr>
          <w:rFonts w:hint="eastAsia" w:ascii="宋体" w:hAnsi="宋体" w:eastAsia="宋体"/>
          <w:color w:val="auto"/>
          <w:sz w:val="24"/>
          <w:highlight w:val="none"/>
          <w:lang w:val="en-US" w:eastAsia="zh-CN"/>
        </w:rPr>
      </w:pPr>
      <w:r>
        <w:rPr>
          <w:rFonts w:hint="eastAsia" w:ascii="宋体" w:hAnsi="宋体" w:eastAsia="宋体" w:cs="@仿宋_GB2312"/>
          <w:b w:val="0"/>
          <w:bCs w:val="0"/>
          <w:color w:val="auto"/>
          <w:sz w:val="24"/>
          <w:szCs w:val="20"/>
          <w:highlight w:val="none"/>
          <w:lang w:eastAsia="zh-CN"/>
        </w:rPr>
        <w:t>为</w:t>
      </w:r>
      <w:r>
        <w:rPr>
          <w:rFonts w:hint="eastAsia" w:ascii="宋体" w:hAnsi="宋体" w:eastAsia="宋体"/>
          <w:b w:val="0"/>
          <w:bCs w:val="0"/>
          <w:color w:val="auto"/>
          <w:sz w:val="24"/>
          <w:highlight w:val="none"/>
          <w:lang w:val="en-US" w:eastAsia="zh-CN"/>
        </w:rPr>
        <w:t>滁州市城市生命线安全工程建设项目（一期）</w:t>
      </w:r>
      <w:r>
        <w:rPr>
          <w:rFonts w:hint="eastAsia" w:ascii="宋体" w:hAnsi="宋体" w:eastAsia="宋体" w:cs="@仿宋_GB2312"/>
          <w:b w:val="0"/>
          <w:bCs w:val="0"/>
          <w:color w:val="auto"/>
          <w:sz w:val="24"/>
          <w:szCs w:val="20"/>
          <w:highlight w:val="none"/>
          <w:lang w:eastAsia="zh-CN"/>
        </w:rPr>
        <w:t>所形成的监测系统与监测设备的运行、物联网传输、数据收集分析与储存、监测预警发布以及监测中心软硬件正常运行等各项内容提供技术支持与维护服务</w:t>
      </w:r>
      <w:r>
        <w:rPr>
          <w:rFonts w:hint="eastAsia" w:ascii="宋体" w:hAnsi="宋体" w:eastAsia="宋体"/>
          <w:color w:val="auto"/>
          <w:sz w:val="24"/>
          <w:highlight w:val="none"/>
          <w:lang w:val="en-US" w:eastAsia="zh-CN"/>
        </w:rPr>
        <w:t>，保障</w:t>
      </w:r>
      <w:r>
        <w:rPr>
          <w:rFonts w:hint="eastAsia" w:ascii="宋体" w:hAnsi="宋体" w:eastAsia="宋体"/>
          <w:b w:val="0"/>
          <w:bCs w:val="0"/>
          <w:color w:val="auto"/>
          <w:sz w:val="24"/>
          <w:highlight w:val="none"/>
          <w:lang w:val="en-US" w:eastAsia="zh-CN"/>
        </w:rPr>
        <w:t>滁州市城市生命线安全</w:t>
      </w:r>
      <w:r>
        <w:rPr>
          <w:rFonts w:hint="eastAsia" w:ascii="宋体" w:hAnsi="宋体" w:eastAsia="宋体"/>
          <w:color w:val="auto"/>
          <w:sz w:val="24"/>
          <w:highlight w:val="none"/>
          <w:lang w:val="en-US" w:eastAsia="zh-CN"/>
        </w:rPr>
        <w:t>监测系统软硬件及配套附属设施正常稳定运行。配备专业技术人员进行7*24小时监测值守，提供数据分析、辅助决策等技术服务，与住建、应急管理、数据资源管理等相关部门以及属地政府（管委会）高效完成风险处置，及时提供风险预警分析报告。主要包括监测值守服务、监测数据分析服务、信息化系统运维服务、前端感知系统运维服务等。</w:t>
      </w:r>
    </w:p>
    <w:p w14:paraId="5B3E0D4C">
      <w:pPr>
        <w:spacing w:line="440" w:lineRule="exact"/>
        <w:ind w:firstLine="435"/>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（二）服务内容</w:t>
      </w:r>
    </w:p>
    <w:p w14:paraId="3F7DE304">
      <w:pPr>
        <w:spacing w:line="440" w:lineRule="exact"/>
        <w:ind w:firstLine="435"/>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1.监测值守服务</w:t>
      </w:r>
    </w:p>
    <w:p w14:paraId="6FA0DB4F">
      <w:pPr>
        <w:spacing w:line="440" w:lineRule="exact"/>
        <w:ind w:firstLine="435"/>
        <w:rPr>
          <w:rFonts w:hint="eastAsia" w:ascii="仿宋_GB2312" w:hAnsi="仿宋_GB2312" w:eastAsia="仿宋_GB2312" w:cs="仿宋_GB2312"/>
          <w:color w:val="auto"/>
          <w:sz w:val="32"/>
          <w:szCs w:val="32"/>
          <w:highlight w:val="none"/>
          <w:lang w:eastAsia="zh-CN"/>
        </w:rPr>
      </w:pPr>
      <w:r>
        <w:rPr>
          <w:rFonts w:hint="eastAsia" w:ascii="宋体" w:hAnsi="宋体" w:eastAsia="宋体"/>
          <w:color w:val="auto"/>
          <w:sz w:val="24"/>
          <w:highlight w:val="none"/>
          <w:lang w:val="en-US" w:eastAsia="zh-CN"/>
        </w:rPr>
        <w:t>为</w:t>
      </w:r>
      <w:r>
        <w:rPr>
          <w:rFonts w:hint="eastAsia" w:ascii="宋体" w:hAnsi="宋体" w:eastAsia="宋体"/>
          <w:b w:val="0"/>
          <w:bCs w:val="0"/>
          <w:color w:val="auto"/>
          <w:sz w:val="24"/>
          <w:highlight w:val="none"/>
          <w:lang w:val="en-US" w:eastAsia="zh-CN"/>
        </w:rPr>
        <w:t>滁州市城市生命线安全工程建设项目（一期）中</w:t>
      </w:r>
      <w:r>
        <w:rPr>
          <w:rFonts w:hint="eastAsia" w:ascii="宋体" w:hAnsi="宋体" w:eastAsia="宋体"/>
          <w:color w:val="auto"/>
          <w:sz w:val="24"/>
          <w:highlight w:val="none"/>
          <w:lang w:val="en-US" w:eastAsia="zh-CN"/>
        </w:rPr>
        <w:t>所形成的监测系统提供7*24小时监测值守服务，包括系统实时监测，在</w:t>
      </w:r>
      <w:r>
        <w:rPr>
          <w:rFonts w:hint="eastAsia" w:ascii="宋体" w:hAnsi="宋体" w:eastAsia="宋体"/>
          <w:color w:val="auto"/>
          <w:sz w:val="24"/>
          <w:highlight w:val="none"/>
          <w:u w:val="none"/>
          <w:lang w:val="en-US" w:eastAsia="zh-CN"/>
        </w:rPr>
        <w:t>规定</w:t>
      </w:r>
      <w:r>
        <w:rPr>
          <w:rFonts w:hint="eastAsia" w:ascii="宋体" w:hAnsi="宋体" w:eastAsia="宋体"/>
          <w:color w:val="auto"/>
          <w:sz w:val="24"/>
          <w:highlight w:val="none"/>
          <w:lang w:val="en-US" w:eastAsia="zh-CN"/>
        </w:rPr>
        <w:t>时间内完成报警审核，按照《滁州市城市安全风险监测预警响应工作规程》等要求做好预警闭环处置工作，需将监测值守记录表、交接班记录等形成资料档案备查；监测值守大厅应配置实时监控（视频留存至少一年），支持采购人实时视频监管。需制定监测值守服务规范，包括岗位职责、工作流程、处置时限等，并严格执行落实；需配齐专业技术人员进行监测值守，定期做好培训，监测值守人员实行电子打卡、线下签到，要求值守人员在岗率100%。同时</w:t>
      </w:r>
      <w:r>
        <w:rPr>
          <w:rFonts w:hint="eastAsia" w:ascii="宋体" w:hAnsi="宋体" w:eastAsia="宋体" w:cs="@仿宋_GB2312"/>
          <w:color w:val="auto"/>
          <w:sz w:val="24"/>
          <w:szCs w:val="20"/>
          <w:highlight w:val="none"/>
        </w:rPr>
        <w:t>负责对监测中心内现有的</w:t>
      </w:r>
      <w:r>
        <w:rPr>
          <w:rFonts w:hint="eastAsia" w:ascii="宋体" w:hAnsi="宋体" w:eastAsia="宋体" w:cs="@仿宋_GB2312"/>
          <w:color w:val="auto"/>
          <w:sz w:val="24"/>
          <w:szCs w:val="20"/>
          <w:highlight w:val="none"/>
          <w:lang w:eastAsia="zh-CN"/>
        </w:rPr>
        <w:t>办公场所、</w:t>
      </w:r>
      <w:r>
        <w:rPr>
          <w:rFonts w:hint="eastAsia" w:ascii="宋体" w:hAnsi="宋体" w:eastAsia="宋体" w:cs="@仿宋_GB2312"/>
          <w:color w:val="auto"/>
          <w:sz w:val="24"/>
          <w:szCs w:val="20"/>
          <w:highlight w:val="none"/>
        </w:rPr>
        <w:t>电脑终端、大屏、</w:t>
      </w:r>
      <w:r>
        <w:rPr>
          <w:rFonts w:hint="eastAsia" w:ascii="宋体" w:hAnsi="宋体" w:eastAsia="宋体" w:cs="@仿宋_GB2312"/>
          <w:color w:val="auto"/>
          <w:sz w:val="24"/>
          <w:szCs w:val="20"/>
          <w:highlight w:val="none"/>
          <w:lang w:eastAsia="zh-CN"/>
        </w:rPr>
        <w:t>照明、音响、席位、监控</w:t>
      </w:r>
      <w:r>
        <w:rPr>
          <w:rFonts w:hint="eastAsia" w:ascii="宋体" w:hAnsi="宋体" w:eastAsia="宋体" w:cs="@仿宋_GB2312"/>
          <w:color w:val="auto"/>
          <w:sz w:val="24"/>
          <w:szCs w:val="20"/>
          <w:highlight w:val="none"/>
        </w:rPr>
        <w:t>等物品提供维护服务、资产管理，</w:t>
      </w:r>
      <w:r>
        <w:rPr>
          <w:rFonts w:hint="eastAsia" w:ascii="宋体" w:hAnsi="宋体" w:eastAsia="宋体" w:cs="@仿宋_GB2312"/>
          <w:color w:val="auto"/>
          <w:sz w:val="24"/>
          <w:szCs w:val="20"/>
          <w:highlight w:val="none"/>
          <w:lang w:eastAsia="zh-CN"/>
        </w:rPr>
        <w:t>负责支付监测设备及监测中心办公场所电费；</w:t>
      </w:r>
      <w:r>
        <w:rPr>
          <w:rFonts w:hint="eastAsia" w:ascii="宋体" w:hAnsi="宋体" w:eastAsia="宋体" w:cs="@仿宋_GB2312"/>
          <w:color w:val="auto"/>
          <w:sz w:val="24"/>
          <w:szCs w:val="20"/>
          <w:highlight w:val="none"/>
        </w:rPr>
        <w:t>配置足够数量的电脑、桌椅和工作服装</w:t>
      </w:r>
      <w:r>
        <w:rPr>
          <w:rFonts w:hint="eastAsia" w:ascii="宋体" w:hAnsi="宋体" w:eastAsia="宋体" w:cs="@仿宋_GB2312"/>
          <w:color w:val="auto"/>
          <w:sz w:val="24"/>
          <w:szCs w:val="20"/>
          <w:highlight w:val="none"/>
          <w:lang w:eastAsia="zh-CN"/>
        </w:rPr>
        <w:t>及</w:t>
      </w:r>
      <w:r>
        <w:rPr>
          <w:rFonts w:hint="eastAsia" w:ascii="宋体" w:hAnsi="宋体" w:eastAsia="宋体" w:cs="@仿宋_GB2312"/>
          <w:color w:val="auto"/>
          <w:sz w:val="24"/>
          <w:szCs w:val="20"/>
          <w:highlight w:val="none"/>
        </w:rPr>
        <w:t>其他相关工作需要的办公物品</w:t>
      </w:r>
      <w:r>
        <w:rPr>
          <w:rFonts w:hint="eastAsia" w:ascii="宋体" w:hAnsi="宋体" w:eastAsia="宋体" w:cs="@仿宋_GB2312"/>
          <w:color w:val="auto"/>
          <w:sz w:val="24"/>
          <w:szCs w:val="20"/>
          <w:highlight w:val="none"/>
          <w:lang w:eastAsia="zh-CN"/>
        </w:rPr>
        <w:t>，</w:t>
      </w:r>
      <w:r>
        <w:rPr>
          <w:rFonts w:hint="eastAsia" w:ascii="宋体" w:hAnsi="宋体" w:eastAsia="宋体" w:cs="@仿宋_GB2312"/>
          <w:color w:val="auto"/>
          <w:sz w:val="24"/>
          <w:szCs w:val="20"/>
          <w:highlight w:val="none"/>
        </w:rPr>
        <w:t>以确保工作</w:t>
      </w:r>
      <w:r>
        <w:rPr>
          <w:rFonts w:hint="eastAsia" w:ascii="宋体" w:hAnsi="宋体" w:eastAsia="宋体" w:cs="@仿宋_GB2312"/>
          <w:color w:val="auto"/>
          <w:sz w:val="24"/>
          <w:szCs w:val="20"/>
          <w:highlight w:val="none"/>
          <w:lang w:eastAsia="zh-CN"/>
        </w:rPr>
        <w:t>有序开展</w:t>
      </w:r>
      <w:r>
        <w:rPr>
          <w:rFonts w:hint="eastAsia" w:ascii="宋体" w:hAnsi="宋体" w:eastAsia="宋体" w:cs="@仿宋_GB2312"/>
          <w:color w:val="auto"/>
          <w:sz w:val="24"/>
          <w:szCs w:val="20"/>
          <w:highlight w:val="none"/>
        </w:rPr>
        <w:t>。</w:t>
      </w:r>
      <w:r>
        <w:rPr>
          <w:rFonts w:hint="eastAsia" w:ascii="宋体" w:hAnsi="宋体" w:eastAsia="宋体" w:cs="@仿宋_GB2312"/>
          <w:color w:val="auto"/>
          <w:sz w:val="24"/>
          <w:szCs w:val="20"/>
          <w:highlight w:val="none"/>
          <w:lang w:eastAsia="zh-CN"/>
        </w:rPr>
        <w:t>以上费用均包含在总价内，招标人不再另行支付</w:t>
      </w:r>
      <w:r>
        <w:rPr>
          <w:rFonts w:hint="eastAsia" w:ascii="仿宋_GB2312" w:hAnsi="仿宋_GB2312" w:eastAsia="仿宋_GB2312" w:cs="仿宋_GB2312"/>
          <w:color w:val="auto"/>
          <w:sz w:val="32"/>
          <w:szCs w:val="32"/>
          <w:highlight w:val="none"/>
          <w:lang w:eastAsia="zh-CN"/>
        </w:rPr>
        <w:t>。</w:t>
      </w:r>
    </w:p>
    <w:p w14:paraId="464A0CA0">
      <w:pPr>
        <w:spacing w:line="440" w:lineRule="exact"/>
        <w:ind w:firstLine="435"/>
        <w:rPr>
          <w:rFonts w:hint="default"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 xml:space="preserve">2、监测数据分析服务 </w:t>
      </w:r>
    </w:p>
    <w:p w14:paraId="22AE9AC3">
      <w:pPr>
        <w:spacing w:line="440" w:lineRule="exact"/>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通过多源信息融合分析与大数据挖掘，实现对桥梁、供水管网、燃气管网和排水管网等各个专项领域内的城市生命线系统运行安全状况进行综合分析与评价，为城市生命线安全工程日常运行以及突发事件处置辅助决策提供科学依据。包括突发事件报告、周报、月报、半年报、年报以及其他相关工作需要提供的分析报告等，并及时报各相关单位。</w:t>
      </w:r>
    </w:p>
    <w:p w14:paraId="4F4DB220">
      <w:pPr>
        <w:spacing w:line="440" w:lineRule="exact"/>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（1）燃气管网及相邻地下空间安全监测数据分析服务</w:t>
      </w:r>
    </w:p>
    <w:p w14:paraId="02376693">
      <w:pPr>
        <w:spacing w:line="440" w:lineRule="exact"/>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对滁州市城市生命线安全工程建设项目（一期）项目1965公里的燃气管网共计9484个可燃气体监测点的监测数据进行分析，包括燃气管网及相邻地下空间监测报警分析服务、风险管控辅助决策服务、安全评估服务及燃气管网布点优化及巡检养护建议。</w:t>
      </w:r>
    </w:p>
    <w:p w14:paraId="0A90751B">
      <w:pPr>
        <w:spacing w:line="440" w:lineRule="exact"/>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（2）供水管网安全运行监测数据分析服务</w:t>
      </w:r>
    </w:p>
    <w:p w14:paraId="22A16BF4">
      <w:pPr>
        <w:spacing w:line="440" w:lineRule="exact"/>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对滁州市城市生命线安全工程建设项目（一期）项目810公里的供水管网共1089个监测点的监测数据进行分析，包括供水管网监测报警分析服务、供水管网风险预警辅助决策服务、供水管网安全评估及监测布点优化服务、供水管网监测阈值优化服务等。</w:t>
      </w:r>
    </w:p>
    <w:p w14:paraId="4B1C0751">
      <w:pPr>
        <w:spacing w:line="440" w:lineRule="exact"/>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（3）排水管网安全运行监测数据分析服务</w:t>
      </w:r>
    </w:p>
    <w:p w14:paraId="0F6CB123">
      <w:pPr>
        <w:spacing w:line="440" w:lineRule="exact"/>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对滁州市城市生命线安全工程建设项目（一期）项目1650公里的排水管网  413个监测点的监测数据进行分析，包括排水管网监测报警分析服务、积水内涝点位分析、风险预警辅助决策服务、安全评估服务和排水管网监测阈值优化及管网巡检养护建议。</w:t>
      </w:r>
    </w:p>
    <w:p w14:paraId="2F06F52F">
      <w:pPr>
        <w:spacing w:line="440" w:lineRule="exact"/>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（4）桥梁安全监测数据分析服务</w:t>
      </w:r>
    </w:p>
    <w:p w14:paraId="7E4BF82C">
      <w:pPr>
        <w:spacing w:line="440" w:lineRule="exact"/>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对滁州市城市生命线安全工程建设项目（一期）项目18座桥梁共2139个监测点的监测数据进行分析，包括桥梁监测综合分析与深度挖掘服务、突发事件报警研判服务、桥梁管养建议及信息咨询服务及桥梁测点阈值优化服务。</w:t>
      </w:r>
    </w:p>
    <w:bookmarkEnd w:id="52"/>
    <w:bookmarkEnd w:id="53"/>
    <w:bookmarkEnd w:id="54"/>
    <w:p w14:paraId="21B23607">
      <w:pPr>
        <w:spacing w:line="440" w:lineRule="exact"/>
        <w:ind w:firstLine="435"/>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3.信息化系统运维服务</w:t>
      </w:r>
    </w:p>
    <w:p w14:paraId="206DF7C9">
      <w:pPr>
        <w:spacing w:line="440" w:lineRule="exact"/>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主要是为滁州市城市生命线安全工程建设项目（一期）建设的基础支撑系统、城市生命线综合运行管理平台、生命线运维管理系统、桥梁安全监测应用系统、供水管网安全监测应用系统、燃气管网智能风险防控与应急辅助决策系统、排水管网安全监测应用系统等提供信息化运维服务，包括软硬件维护、数据更新共享、网络安全运维以及网络链路维护等。</w:t>
      </w:r>
    </w:p>
    <w:p w14:paraId="0DDB5A0C">
      <w:pPr>
        <w:numPr>
          <w:ilvl w:val="0"/>
          <w:numId w:val="0"/>
        </w:numPr>
        <w:spacing w:line="440" w:lineRule="exact"/>
        <w:ind w:firstLine="480" w:firstLineChars="200"/>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（一）软硬件维护。对网络设备、UPS以及办公终端、专线传输终端等设备进行维护，日常开展设备状态巡检、链路检测等，及时处置故障；应保持软件系统持续</w:t>
      </w:r>
      <w:r>
        <w:rPr>
          <w:rFonts w:hint="eastAsia" w:ascii="宋体" w:hAnsi="宋体" w:eastAsia="宋体" w:cs="宋体"/>
          <w:b w:val="0"/>
          <w:bCs w:val="0"/>
          <w:color w:val="auto"/>
          <w:kern w:val="2"/>
          <w:sz w:val="24"/>
          <w:szCs w:val="24"/>
          <w:highlight w:val="none"/>
          <w:lang w:val="en-US" w:eastAsia="zh-CN" w:bidi="ar-SA"/>
        </w:rPr>
        <w:t>稳定性，保证7×24小时不间断运行。</w:t>
      </w:r>
      <w:r>
        <w:rPr>
          <w:rFonts w:hint="eastAsia" w:ascii="宋体" w:hAnsi="宋体" w:eastAsia="宋体"/>
          <w:color w:val="auto"/>
          <w:sz w:val="24"/>
          <w:highlight w:val="none"/>
          <w:lang w:val="en-US" w:eastAsia="zh-CN"/>
        </w:rPr>
        <w:t>依据工作实际需要对监测软件系统功能包括各专项系统进行必要的完善、维护、升级、修复和拓展，</w:t>
      </w:r>
      <w:r>
        <w:rPr>
          <w:rFonts w:hint="eastAsia" w:ascii="宋体" w:hAnsi="宋体" w:eastAsia="宋体" w:cs="@仿宋_GB2312"/>
          <w:color w:val="auto"/>
          <w:sz w:val="24"/>
          <w:szCs w:val="20"/>
          <w:highlight w:val="none"/>
          <w:lang w:eastAsia="zh-CN"/>
        </w:rPr>
        <w:t>日常运维</w:t>
      </w:r>
      <w:r>
        <w:rPr>
          <w:rFonts w:hint="eastAsia" w:ascii="宋体" w:hAnsi="宋体" w:eastAsia="宋体" w:cs="@仿宋_GB2312"/>
          <w:color w:val="auto"/>
          <w:sz w:val="24"/>
          <w:szCs w:val="20"/>
          <w:highlight w:val="none"/>
        </w:rPr>
        <w:t>记录</w:t>
      </w:r>
      <w:r>
        <w:rPr>
          <w:rFonts w:hint="eastAsia" w:ascii="宋体" w:hAnsi="宋体" w:eastAsia="宋体" w:cs="@仿宋_GB2312"/>
          <w:color w:val="auto"/>
          <w:sz w:val="24"/>
          <w:szCs w:val="20"/>
          <w:highlight w:val="none"/>
          <w:lang w:eastAsia="zh-CN"/>
        </w:rPr>
        <w:t>归档备查，</w:t>
      </w:r>
      <w:r>
        <w:rPr>
          <w:rFonts w:hint="eastAsia" w:ascii="宋体" w:hAnsi="宋体" w:eastAsia="宋体"/>
          <w:color w:val="auto"/>
          <w:sz w:val="24"/>
          <w:highlight w:val="none"/>
          <w:lang w:val="en-US" w:eastAsia="zh-CN"/>
        </w:rPr>
        <w:t>确保监测系统功能完备、基础数据准确、</w:t>
      </w:r>
      <w:r>
        <w:rPr>
          <w:rFonts w:hint="eastAsia" w:ascii="宋体" w:hAnsi="宋体" w:eastAsia="宋体" w:cs="@仿宋_GB2312"/>
          <w:color w:val="auto"/>
          <w:sz w:val="24"/>
          <w:szCs w:val="20"/>
          <w:highlight w:val="none"/>
        </w:rPr>
        <w:t>操作便捷</w:t>
      </w:r>
      <w:r>
        <w:rPr>
          <w:rFonts w:hint="eastAsia" w:ascii="宋体" w:hAnsi="宋体" w:eastAsia="宋体" w:cs="@仿宋_GB2312"/>
          <w:color w:val="auto"/>
          <w:sz w:val="24"/>
          <w:szCs w:val="20"/>
          <w:highlight w:val="none"/>
          <w:lang w:eastAsia="zh-CN"/>
        </w:rPr>
        <w:t>，切实</w:t>
      </w:r>
      <w:r>
        <w:rPr>
          <w:rFonts w:hint="eastAsia" w:ascii="宋体" w:hAnsi="宋体" w:eastAsia="宋体"/>
          <w:color w:val="auto"/>
          <w:sz w:val="24"/>
          <w:highlight w:val="none"/>
          <w:lang w:val="en-US" w:eastAsia="zh-CN"/>
        </w:rPr>
        <w:t>提高监测中心工作运行质量。同时，</w:t>
      </w:r>
      <w:r>
        <w:rPr>
          <w:rFonts w:hint="eastAsia" w:ascii="宋体" w:hAnsi="宋体" w:eastAsia="宋体" w:cs="@仿宋_GB2312"/>
          <w:color w:val="auto"/>
          <w:sz w:val="24"/>
          <w:szCs w:val="20"/>
          <w:highlight w:val="none"/>
          <w:lang w:eastAsia="zh-CN"/>
        </w:rPr>
        <w:t>根据工作需要，负责完成相关业务系统与城市生命线安全监测系统优化整合和运行维护工作，</w:t>
      </w:r>
      <w:r>
        <w:rPr>
          <w:rFonts w:hint="eastAsia" w:ascii="宋体" w:hAnsi="宋体" w:eastAsia="宋体"/>
          <w:color w:val="auto"/>
          <w:sz w:val="24"/>
          <w:highlight w:val="none"/>
          <w:lang w:val="en-US" w:eastAsia="zh-CN"/>
        </w:rPr>
        <w:t>相关服务及系统整合所需全部费用已包含在总报价之内，采购人无需额外支付任何费用。</w:t>
      </w:r>
    </w:p>
    <w:p w14:paraId="28E55A38">
      <w:pPr>
        <w:numPr>
          <w:ilvl w:val="0"/>
          <w:numId w:val="2"/>
        </w:numPr>
        <w:spacing w:line="440" w:lineRule="exact"/>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数据更新共享。根据工作需要，定期完善、充实监测软件系统的城市基础设施、地下管网地理信息等各类基础数据，并负责数据库收集、更新等工作。应达到与省城市生命线监测平台以及市数据局、市应急局、市公安局等部门及各县（市）平台的互联互通、数据共享的要求；保障监测中心系统与相关系统之间的无缝对接，对接工作均需符合国家及行业标准，确保数据传输的完整性、安全性和实用性。</w:t>
      </w:r>
    </w:p>
    <w:p w14:paraId="21E004F7">
      <w:pPr>
        <w:spacing w:line="440" w:lineRule="exact"/>
        <w:ind w:firstLine="480" w:firstLineChars="200"/>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（三）网络安全维护。提供符合合规要求的网络信息安全运维服务，包括边界安全防护部署、防火墙、入侵检测以及日志安全审计分析等；配合做好系统等保测评（</w:t>
      </w:r>
      <w:r>
        <w:rPr>
          <w:rFonts w:hint="eastAsia" w:ascii="宋体" w:hAnsi="宋体" w:eastAsia="宋体" w:cs="宋体"/>
          <w:b w:val="0"/>
          <w:bCs w:val="0"/>
          <w:color w:val="auto"/>
          <w:kern w:val="2"/>
          <w:sz w:val="24"/>
          <w:szCs w:val="24"/>
          <w:highlight w:val="none"/>
          <w:lang w:val="en-US" w:eastAsia="zh-CN" w:bidi="ar-SA"/>
        </w:rPr>
        <w:t>三级</w:t>
      </w:r>
      <w:r>
        <w:rPr>
          <w:rFonts w:hint="eastAsia" w:ascii="宋体" w:hAnsi="宋体" w:eastAsia="宋体"/>
          <w:color w:val="auto"/>
          <w:sz w:val="24"/>
          <w:highlight w:val="none"/>
          <w:lang w:val="en-US" w:eastAsia="zh-CN"/>
        </w:rPr>
        <w:t>）、政务云等工作，对照等保标准持续整改安全隐患。</w:t>
      </w:r>
    </w:p>
    <w:p w14:paraId="0BCA2F33">
      <w:pPr>
        <w:spacing w:line="440" w:lineRule="exact"/>
        <w:ind w:firstLine="480" w:firstLineChars="200"/>
        <w:rPr>
          <w:rFonts w:hint="default"/>
          <w:color w:val="auto"/>
          <w:highlight w:val="none"/>
          <w:lang w:val="en-US" w:eastAsia="zh-CN"/>
        </w:rPr>
      </w:pPr>
      <w:r>
        <w:rPr>
          <w:rFonts w:hint="eastAsia" w:ascii="宋体" w:hAnsi="宋体" w:eastAsia="宋体"/>
          <w:color w:val="auto"/>
          <w:sz w:val="24"/>
          <w:highlight w:val="none"/>
          <w:lang w:val="en-US" w:eastAsia="zh-CN"/>
        </w:rPr>
        <w:t>(四）网络链路维护。对市公安局、市应急局、市重点处（市政中心）、燃气公司、供水公司等系统数据接入专线，桥梁现场数据传输专线，供水、燃气、排水等前端物联网传输等网络链路运行稳定保障和及时维护；配备</w:t>
      </w:r>
      <w:r>
        <w:rPr>
          <w:rFonts w:hint="eastAsia" w:ascii="宋体" w:hAnsi="宋体" w:eastAsia="宋体" w:cs="宋体"/>
          <w:b w:val="0"/>
          <w:bCs/>
          <w:color w:val="auto"/>
          <w:kern w:val="2"/>
          <w:sz w:val="24"/>
          <w:szCs w:val="24"/>
          <w:highlight w:val="none"/>
          <w:lang w:bidi="ar"/>
        </w:rPr>
        <w:t>各专项物联卡</w:t>
      </w:r>
      <w:r>
        <w:rPr>
          <w:rFonts w:hint="eastAsia" w:ascii="宋体" w:hAnsi="宋体" w:eastAsia="宋体"/>
          <w:color w:val="auto"/>
          <w:sz w:val="24"/>
          <w:highlight w:val="none"/>
          <w:lang w:val="en-US" w:eastAsia="zh-CN"/>
        </w:rPr>
        <w:t>。负责网络租赁等配套服务以及各类租赁专线巡检、链路状态监测、故障排除等工作，配合运营商做好故障抢修。</w:t>
      </w:r>
    </w:p>
    <w:p w14:paraId="4F3E7BFB">
      <w:pPr>
        <w:spacing w:line="360" w:lineRule="auto"/>
        <w:jc w:val="center"/>
        <w:rPr>
          <w:rFonts w:hint="eastAsia" w:ascii="宋体" w:hAnsi="宋体" w:eastAsia="宋体" w:cs="宋体"/>
          <w:bCs/>
          <w:color w:val="auto"/>
          <w:sz w:val="24"/>
          <w:szCs w:val="24"/>
          <w:highlight w:val="none"/>
        </w:rPr>
      </w:pPr>
    </w:p>
    <w:p w14:paraId="40B7E4E9">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网络链路清单</w:t>
      </w:r>
    </w:p>
    <w:tbl>
      <w:tblPr>
        <w:tblStyle w:val="27"/>
        <w:tblW w:w="5031" w:type="pct"/>
        <w:tblInd w:w="0" w:type="dxa"/>
        <w:tblLayout w:type="autofit"/>
        <w:tblCellMar>
          <w:top w:w="0" w:type="dxa"/>
          <w:left w:w="108" w:type="dxa"/>
          <w:bottom w:w="0" w:type="dxa"/>
          <w:right w:w="108" w:type="dxa"/>
        </w:tblCellMar>
      </w:tblPr>
      <w:tblGrid>
        <w:gridCol w:w="666"/>
        <w:gridCol w:w="1287"/>
        <w:gridCol w:w="1411"/>
        <w:gridCol w:w="1021"/>
        <w:gridCol w:w="971"/>
        <w:gridCol w:w="3219"/>
      </w:tblGrid>
      <w:tr w14:paraId="023DE5C4">
        <w:tblPrEx>
          <w:tblCellMar>
            <w:top w:w="0" w:type="dxa"/>
            <w:left w:w="108" w:type="dxa"/>
            <w:bottom w:w="0" w:type="dxa"/>
            <w:right w:w="108" w:type="dxa"/>
          </w:tblCellMar>
        </w:tblPrEx>
        <w:trPr>
          <w:trHeight w:val="90" w:hRule="atLeast"/>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282B3602">
            <w:pPr>
              <w:snapToGrid w:val="0"/>
              <w:jc w:val="center"/>
              <w:outlineLvl w:val="1"/>
              <w:rPr>
                <w:rFonts w:hint="eastAsia" w:ascii="宋体" w:hAnsi="宋体" w:eastAsia="宋体" w:cs="宋体"/>
                <w:bCs/>
                <w:color w:val="auto"/>
                <w:sz w:val="24"/>
                <w:szCs w:val="24"/>
                <w:highlight w:val="none"/>
              </w:rPr>
            </w:pPr>
            <w:bookmarkStart w:id="55" w:name="_Toc9470"/>
            <w:r>
              <w:rPr>
                <w:rFonts w:hint="eastAsia" w:ascii="宋体" w:hAnsi="宋体" w:eastAsia="宋体" w:cs="宋体"/>
                <w:bCs/>
                <w:color w:val="auto"/>
                <w:sz w:val="24"/>
                <w:szCs w:val="24"/>
                <w:highlight w:val="none"/>
                <w:lang w:bidi="ar"/>
              </w:rPr>
              <w:t>序号</w:t>
            </w:r>
            <w:bookmarkEnd w:id="55"/>
          </w:p>
        </w:tc>
        <w:tc>
          <w:tcPr>
            <w:tcW w:w="750" w:type="pct"/>
            <w:tcBorders>
              <w:top w:val="single" w:color="auto" w:sz="4" w:space="0"/>
              <w:left w:val="nil"/>
              <w:bottom w:val="single" w:color="auto" w:sz="4" w:space="0"/>
              <w:right w:val="single" w:color="auto" w:sz="4" w:space="0"/>
            </w:tcBorders>
            <w:shd w:val="clear" w:color="auto" w:fill="auto"/>
            <w:vAlign w:val="center"/>
          </w:tcPr>
          <w:p w14:paraId="4F6D2586">
            <w:pPr>
              <w:snapToGrid w:val="0"/>
              <w:jc w:val="center"/>
              <w:outlineLvl w:val="1"/>
              <w:rPr>
                <w:rFonts w:hint="eastAsia" w:ascii="宋体" w:hAnsi="宋体" w:eastAsia="宋体" w:cs="宋体"/>
                <w:bCs/>
                <w:color w:val="auto"/>
                <w:sz w:val="24"/>
                <w:szCs w:val="24"/>
                <w:highlight w:val="none"/>
              </w:rPr>
            </w:pPr>
            <w:bookmarkStart w:id="56" w:name="_Toc16944"/>
            <w:r>
              <w:rPr>
                <w:rFonts w:hint="eastAsia" w:ascii="宋体" w:hAnsi="宋体" w:eastAsia="宋体" w:cs="宋体"/>
                <w:bCs/>
                <w:color w:val="auto"/>
                <w:sz w:val="24"/>
                <w:szCs w:val="24"/>
                <w:highlight w:val="none"/>
                <w:lang w:bidi="ar"/>
              </w:rPr>
              <w:t>链路类型</w:t>
            </w:r>
            <w:bookmarkEnd w:id="56"/>
          </w:p>
        </w:tc>
        <w:tc>
          <w:tcPr>
            <w:tcW w:w="822" w:type="pct"/>
            <w:tcBorders>
              <w:top w:val="single" w:color="auto" w:sz="4" w:space="0"/>
              <w:left w:val="nil"/>
              <w:bottom w:val="single" w:color="auto" w:sz="4" w:space="0"/>
              <w:right w:val="single" w:color="auto" w:sz="4" w:space="0"/>
            </w:tcBorders>
            <w:shd w:val="clear" w:color="auto" w:fill="auto"/>
            <w:vAlign w:val="center"/>
          </w:tcPr>
          <w:p w14:paraId="456DF6F7">
            <w:pPr>
              <w:snapToGrid w:val="0"/>
              <w:jc w:val="center"/>
              <w:outlineLvl w:val="1"/>
              <w:rPr>
                <w:rFonts w:hint="eastAsia" w:ascii="宋体" w:hAnsi="宋体" w:eastAsia="宋体" w:cs="宋体"/>
                <w:bCs/>
                <w:color w:val="auto"/>
                <w:sz w:val="24"/>
                <w:szCs w:val="24"/>
                <w:highlight w:val="none"/>
              </w:rPr>
            </w:pPr>
            <w:bookmarkStart w:id="57" w:name="_Toc32489"/>
            <w:r>
              <w:rPr>
                <w:rFonts w:hint="eastAsia" w:ascii="宋体" w:hAnsi="宋体" w:eastAsia="宋体" w:cs="宋体"/>
                <w:bCs/>
                <w:color w:val="auto"/>
                <w:sz w:val="24"/>
                <w:szCs w:val="24"/>
                <w:highlight w:val="none"/>
                <w:lang w:bidi="ar"/>
              </w:rPr>
              <w:t>带宽</w:t>
            </w:r>
            <w:bookmarkEnd w:id="57"/>
          </w:p>
        </w:tc>
        <w:tc>
          <w:tcPr>
            <w:tcW w:w="595" w:type="pct"/>
            <w:tcBorders>
              <w:top w:val="single" w:color="auto" w:sz="4" w:space="0"/>
              <w:left w:val="nil"/>
              <w:bottom w:val="single" w:color="auto" w:sz="4" w:space="0"/>
              <w:right w:val="single" w:color="auto" w:sz="4" w:space="0"/>
            </w:tcBorders>
            <w:shd w:val="clear" w:color="auto" w:fill="auto"/>
            <w:vAlign w:val="center"/>
          </w:tcPr>
          <w:p w14:paraId="2EFCDA17">
            <w:pPr>
              <w:snapToGrid w:val="0"/>
              <w:jc w:val="center"/>
              <w:outlineLvl w:val="1"/>
              <w:rPr>
                <w:rFonts w:hint="eastAsia" w:ascii="宋体" w:hAnsi="宋体" w:eastAsia="宋体" w:cs="宋体"/>
                <w:bCs/>
                <w:color w:val="auto"/>
                <w:sz w:val="24"/>
                <w:szCs w:val="24"/>
                <w:highlight w:val="none"/>
              </w:rPr>
            </w:pPr>
            <w:bookmarkStart w:id="58" w:name="_Toc20036"/>
            <w:r>
              <w:rPr>
                <w:rFonts w:hint="eastAsia" w:ascii="宋体" w:hAnsi="宋体" w:eastAsia="宋体" w:cs="宋体"/>
                <w:bCs/>
                <w:color w:val="auto"/>
                <w:sz w:val="24"/>
                <w:szCs w:val="24"/>
                <w:highlight w:val="none"/>
                <w:lang w:bidi="ar"/>
              </w:rPr>
              <w:t>数量</w:t>
            </w:r>
            <w:bookmarkEnd w:id="58"/>
          </w:p>
        </w:tc>
        <w:tc>
          <w:tcPr>
            <w:tcW w:w="566" w:type="pct"/>
            <w:tcBorders>
              <w:top w:val="single" w:color="auto" w:sz="4" w:space="0"/>
              <w:left w:val="nil"/>
              <w:bottom w:val="single" w:color="auto" w:sz="4" w:space="0"/>
              <w:right w:val="single" w:color="auto" w:sz="4" w:space="0"/>
            </w:tcBorders>
            <w:shd w:val="clear" w:color="auto" w:fill="auto"/>
            <w:vAlign w:val="center"/>
          </w:tcPr>
          <w:p w14:paraId="7A47E830">
            <w:pPr>
              <w:snapToGrid w:val="0"/>
              <w:jc w:val="center"/>
              <w:outlineLvl w:val="1"/>
              <w:rPr>
                <w:rFonts w:hint="eastAsia" w:ascii="宋体" w:hAnsi="宋体" w:eastAsia="宋体" w:cs="宋体"/>
                <w:bCs/>
                <w:color w:val="auto"/>
                <w:sz w:val="24"/>
                <w:szCs w:val="24"/>
                <w:highlight w:val="none"/>
              </w:rPr>
            </w:pPr>
            <w:bookmarkStart w:id="59" w:name="_Toc18510"/>
            <w:r>
              <w:rPr>
                <w:rFonts w:hint="eastAsia" w:ascii="宋体" w:hAnsi="宋体" w:eastAsia="宋体" w:cs="宋体"/>
                <w:bCs/>
                <w:color w:val="auto"/>
                <w:sz w:val="24"/>
                <w:szCs w:val="24"/>
                <w:highlight w:val="none"/>
                <w:lang w:bidi="ar"/>
              </w:rPr>
              <w:t>现有运营商</w:t>
            </w:r>
            <w:bookmarkEnd w:id="59"/>
          </w:p>
        </w:tc>
        <w:tc>
          <w:tcPr>
            <w:tcW w:w="1876" w:type="pct"/>
            <w:tcBorders>
              <w:top w:val="single" w:color="auto" w:sz="4" w:space="0"/>
              <w:left w:val="nil"/>
              <w:bottom w:val="single" w:color="auto" w:sz="4" w:space="0"/>
              <w:right w:val="single" w:color="auto" w:sz="4" w:space="0"/>
            </w:tcBorders>
            <w:shd w:val="clear" w:color="auto" w:fill="auto"/>
            <w:vAlign w:val="center"/>
          </w:tcPr>
          <w:p w14:paraId="790EF835">
            <w:pPr>
              <w:snapToGrid w:val="0"/>
              <w:jc w:val="center"/>
              <w:outlineLvl w:val="1"/>
              <w:rPr>
                <w:rFonts w:hint="eastAsia" w:ascii="宋体" w:hAnsi="宋体" w:eastAsia="宋体" w:cs="宋体"/>
                <w:bCs/>
                <w:color w:val="auto"/>
                <w:sz w:val="24"/>
                <w:szCs w:val="24"/>
                <w:highlight w:val="none"/>
              </w:rPr>
            </w:pPr>
            <w:bookmarkStart w:id="60" w:name="_Toc30666"/>
            <w:r>
              <w:rPr>
                <w:rFonts w:hint="eastAsia" w:ascii="宋体" w:hAnsi="宋体" w:eastAsia="宋体" w:cs="宋体"/>
                <w:bCs/>
                <w:color w:val="auto"/>
                <w:sz w:val="24"/>
                <w:szCs w:val="24"/>
                <w:highlight w:val="none"/>
                <w:lang w:bidi="ar"/>
              </w:rPr>
              <w:t>用途说明</w:t>
            </w:r>
            <w:bookmarkEnd w:id="60"/>
          </w:p>
        </w:tc>
      </w:tr>
      <w:tr w14:paraId="72963734">
        <w:tblPrEx>
          <w:tblCellMar>
            <w:top w:w="0" w:type="dxa"/>
            <w:left w:w="108" w:type="dxa"/>
            <w:bottom w:w="0" w:type="dxa"/>
            <w:right w:w="108" w:type="dxa"/>
          </w:tblCellMar>
        </w:tblPrEx>
        <w:trPr>
          <w:trHeight w:val="20" w:hRule="atLeast"/>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32631B4C">
            <w:pPr>
              <w:snapToGrid w:val="0"/>
              <w:jc w:val="center"/>
              <w:outlineLvl w:val="1"/>
              <w:rPr>
                <w:rFonts w:hint="eastAsia" w:ascii="宋体" w:hAnsi="宋体" w:eastAsia="宋体" w:cs="宋体"/>
                <w:bCs/>
                <w:color w:val="auto"/>
                <w:sz w:val="24"/>
                <w:szCs w:val="24"/>
                <w:highlight w:val="none"/>
                <w:lang w:bidi="ar"/>
              </w:rPr>
            </w:pPr>
            <w:bookmarkStart w:id="61" w:name="_Toc20154"/>
            <w:r>
              <w:rPr>
                <w:rFonts w:hint="eastAsia" w:ascii="宋体" w:hAnsi="宋体" w:eastAsia="宋体" w:cs="宋体"/>
                <w:bCs/>
                <w:color w:val="auto"/>
                <w:sz w:val="24"/>
                <w:szCs w:val="24"/>
                <w:highlight w:val="none"/>
                <w:lang w:bidi="ar"/>
              </w:rPr>
              <w:t>1</w:t>
            </w:r>
            <w:bookmarkEnd w:id="61"/>
          </w:p>
        </w:tc>
        <w:tc>
          <w:tcPr>
            <w:tcW w:w="750" w:type="pct"/>
            <w:tcBorders>
              <w:top w:val="single" w:color="auto" w:sz="4" w:space="0"/>
              <w:left w:val="single" w:color="auto" w:sz="4" w:space="0"/>
              <w:bottom w:val="single" w:color="auto" w:sz="4" w:space="0"/>
              <w:right w:val="single" w:color="auto" w:sz="4" w:space="0"/>
            </w:tcBorders>
            <w:shd w:val="clear" w:color="auto" w:fill="auto"/>
            <w:vAlign w:val="center"/>
          </w:tcPr>
          <w:p w14:paraId="3E7C1A60">
            <w:pPr>
              <w:snapToGrid w:val="0"/>
              <w:jc w:val="center"/>
              <w:outlineLvl w:val="1"/>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val="en-US" w:eastAsia="zh-CN" w:bidi="ar"/>
              </w:rPr>
              <w:t>IPRANAH数字电路</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44D76054">
            <w:pPr>
              <w:snapToGrid w:val="0"/>
              <w:jc w:val="center"/>
              <w:outlineLvl w:val="1"/>
              <w:rPr>
                <w:rFonts w:hint="eastAsia" w:ascii="宋体" w:hAnsi="宋体" w:eastAsia="宋体" w:cs="宋体"/>
                <w:bCs/>
                <w:color w:val="auto"/>
                <w:sz w:val="24"/>
                <w:szCs w:val="24"/>
                <w:highlight w:val="none"/>
                <w:lang w:bidi="ar"/>
              </w:rPr>
            </w:pPr>
            <w:r>
              <w:rPr>
                <w:rFonts w:hint="eastAsia" w:ascii="宋体" w:hAnsi="宋体" w:eastAsia="宋体" w:cs="宋体"/>
                <w:bCs/>
                <w:color w:val="auto"/>
                <w:kern w:val="2"/>
                <w:sz w:val="24"/>
                <w:szCs w:val="24"/>
                <w:highlight w:val="none"/>
                <w:lang w:val="en-US" w:eastAsia="zh-CN" w:bidi="ar"/>
              </w:rPr>
              <w:t>100兆</w:t>
            </w: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tcPr>
          <w:p w14:paraId="3230856F">
            <w:pPr>
              <w:snapToGrid w:val="0"/>
              <w:jc w:val="center"/>
              <w:outlineLvl w:val="1"/>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val="en-US" w:eastAsia="zh-CN" w:bidi="ar"/>
              </w:rPr>
              <w:t>4</w:t>
            </w:r>
          </w:p>
        </w:tc>
        <w:tc>
          <w:tcPr>
            <w:tcW w:w="566" w:type="pct"/>
            <w:tcBorders>
              <w:top w:val="single" w:color="auto" w:sz="4" w:space="0"/>
              <w:left w:val="single" w:color="auto" w:sz="4" w:space="0"/>
              <w:bottom w:val="single" w:color="auto" w:sz="4" w:space="0"/>
              <w:right w:val="single" w:color="auto" w:sz="4" w:space="0"/>
            </w:tcBorders>
            <w:shd w:val="clear" w:color="auto" w:fill="auto"/>
            <w:vAlign w:val="center"/>
          </w:tcPr>
          <w:p w14:paraId="160E3026">
            <w:pPr>
              <w:snapToGrid w:val="0"/>
              <w:jc w:val="center"/>
              <w:outlineLvl w:val="1"/>
              <w:rPr>
                <w:rFonts w:hint="eastAsia" w:ascii="宋体" w:hAnsi="宋体" w:eastAsia="宋体" w:cs="宋体"/>
                <w:bCs/>
                <w:color w:val="auto"/>
                <w:sz w:val="24"/>
                <w:szCs w:val="24"/>
                <w:highlight w:val="none"/>
                <w:lang w:val="en-US" w:eastAsia="zh-CN" w:bidi="ar"/>
              </w:rPr>
            </w:pPr>
            <w:r>
              <w:rPr>
                <w:rFonts w:hint="eastAsia" w:ascii="宋体" w:hAnsi="宋体" w:eastAsia="宋体" w:cs="宋体"/>
                <w:bCs/>
                <w:color w:val="auto"/>
                <w:sz w:val="24"/>
                <w:szCs w:val="24"/>
                <w:highlight w:val="none"/>
                <w:lang w:val="en-US" w:eastAsia="zh-CN" w:bidi="ar"/>
              </w:rPr>
              <w:t>电信</w:t>
            </w:r>
          </w:p>
        </w:tc>
        <w:tc>
          <w:tcPr>
            <w:tcW w:w="1876" w:type="pct"/>
            <w:tcBorders>
              <w:top w:val="single" w:color="auto" w:sz="4" w:space="0"/>
              <w:left w:val="single" w:color="auto" w:sz="4" w:space="0"/>
              <w:bottom w:val="single" w:color="auto" w:sz="4" w:space="0"/>
              <w:right w:val="single" w:color="auto" w:sz="4" w:space="0"/>
            </w:tcBorders>
            <w:shd w:val="clear" w:color="auto" w:fill="auto"/>
            <w:vAlign w:val="center"/>
          </w:tcPr>
          <w:p w14:paraId="0CAE803C">
            <w:pPr>
              <w:snapToGrid/>
              <w:jc w:val="center"/>
              <w:outlineLvl w:val="1"/>
              <w:rPr>
                <w:rFonts w:hint="eastAsia" w:ascii="宋体" w:hAnsi="宋体" w:eastAsia="宋体" w:cs="宋体"/>
                <w:bCs/>
                <w:color w:val="auto"/>
                <w:sz w:val="24"/>
                <w:szCs w:val="24"/>
                <w:highlight w:val="none"/>
                <w:lang w:eastAsia="zh-CN" w:bidi="ar"/>
              </w:rPr>
            </w:pPr>
            <w:r>
              <w:rPr>
                <w:rFonts w:hint="eastAsia" w:ascii="宋体" w:hAnsi="宋体" w:eastAsia="宋体" w:cs="宋体"/>
                <w:bCs/>
                <w:color w:val="auto"/>
                <w:sz w:val="24"/>
                <w:szCs w:val="24"/>
                <w:highlight w:val="none"/>
                <w:lang w:val="en-US" w:eastAsia="zh-CN" w:bidi="ar"/>
              </w:rPr>
              <w:t>一期桥梁电路，带宽100兆，240元/条/月</w:t>
            </w:r>
          </w:p>
        </w:tc>
      </w:tr>
      <w:tr w14:paraId="2B773D97">
        <w:tblPrEx>
          <w:tblCellMar>
            <w:top w:w="0" w:type="dxa"/>
            <w:left w:w="108" w:type="dxa"/>
            <w:bottom w:w="0" w:type="dxa"/>
            <w:right w:w="108" w:type="dxa"/>
          </w:tblCellMar>
        </w:tblPrEx>
        <w:trPr>
          <w:trHeight w:val="20" w:hRule="atLeast"/>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3777DDA4">
            <w:pPr>
              <w:snapToGrid w:val="0"/>
              <w:jc w:val="center"/>
              <w:outlineLvl w:val="1"/>
              <w:rPr>
                <w:rFonts w:hint="eastAsia" w:ascii="宋体" w:hAnsi="宋体" w:eastAsia="宋体" w:cs="宋体"/>
                <w:bCs/>
                <w:color w:val="auto"/>
                <w:sz w:val="24"/>
                <w:szCs w:val="24"/>
                <w:highlight w:val="none"/>
                <w:lang w:bidi="ar"/>
              </w:rPr>
            </w:pPr>
            <w:bookmarkStart w:id="62" w:name="_Toc9687"/>
            <w:r>
              <w:rPr>
                <w:rFonts w:hint="eastAsia" w:ascii="宋体" w:hAnsi="宋体" w:eastAsia="宋体" w:cs="宋体"/>
                <w:bCs/>
                <w:color w:val="auto"/>
                <w:sz w:val="24"/>
                <w:szCs w:val="24"/>
                <w:highlight w:val="none"/>
                <w:lang w:bidi="ar"/>
              </w:rPr>
              <w:t>2</w:t>
            </w:r>
            <w:bookmarkEnd w:id="62"/>
          </w:p>
        </w:tc>
        <w:tc>
          <w:tcPr>
            <w:tcW w:w="750" w:type="pct"/>
            <w:tcBorders>
              <w:top w:val="single" w:color="auto" w:sz="4" w:space="0"/>
              <w:left w:val="single" w:color="auto" w:sz="4" w:space="0"/>
              <w:bottom w:val="single" w:color="auto" w:sz="4" w:space="0"/>
              <w:right w:val="single" w:color="auto" w:sz="4" w:space="0"/>
            </w:tcBorders>
            <w:shd w:val="clear" w:color="auto" w:fill="auto"/>
            <w:vAlign w:val="center"/>
          </w:tcPr>
          <w:p w14:paraId="3BD1DC53">
            <w:pPr>
              <w:snapToGrid w:val="0"/>
              <w:jc w:val="center"/>
              <w:outlineLvl w:val="1"/>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val="en-US" w:eastAsia="zh-CN" w:bidi="ar"/>
              </w:rPr>
              <w:t>IPRANAH数字电路</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7B3C8E8E">
            <w:pPr>
              <w:snapToGrid w:val="0"/>
              <w:jc w:val="center"/>
              <w:outlineLvl w:val="1"/>
              <w:rPr>
                <w:rFonts w:hint="eastAsia" w:ascii="宋体" w:hAnsi="宋体" w:eastAsia="宋体" w:cs="宋体"/>
                <w:bCs/>
                <w:color w:val="auto"/>
                <w:sz w:val="24"/>
                <w:szCs w:val="24"/>
                <w:highlight w:val="none"/>
                <w:lang w:bidi="ar"/>
              </w:rPr>
            </w:pPr>
            <w:r>
              <w:rPr>
                <w:rFonts w:hint="eastAsia" w:ascii="宋体" w:hAnsi="宋体" w:eastAsia="宋体" w:cs="宋体"/>
                <w:bCs/>
                <w:color w:val="auto"/>
                <w:kern w:val="2"/>
                <w:sz w:val="24"/>
                <w:szCs w:val="24"/>
                <w:highlight w:val="none"/>
                <w:lang w:val="en-US" w:eastAsia="zh-CN" w:bidi="ar"/>
              </w:rPr>
              <w:t>50兆</w:t>
            </w: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tcPr>
          <w:p w14:paraId="4D1759FB">
            <w:pPr>
              <w:snapToGrid w:val="0"/>
              <w:jc w:val="center"/>
              <w:outlineLvl w:val="1"/>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val="en-US" w:eastAsia="zh-CN" w:bidi="ar"/>
              </w:rPr>
              <w:t>18</w:t>
            </w:r>
          </w:p>
        </w:tc>
        <w:tc>
          <w:tcPr>
            <w:tcW w:w="566" w:type="pct"/>
            <w:tcBorders>
              <w:top w:val="single" w:color="auto" w:sz="4" w:space="0"/>
              <w:left w:val="single" w:color="auto" w:sz="4" w:space="0"/>
              <w:bottom w:val="single" w:color="auto" w:sz="4" w:space="0"/>
              <w:right w:val="single" w:color="auto" w:sz="4" w:space="0"/>
            </w:tcBorders>
            <w:shd w:val="clear" w:color="auto" w:fill="auto"/>
            <w:vAlign w:val="center"/>
          </w:tcPr>
          <w:p w14:paraId="37E130B7">
            <w:pPr>
              <w:snapToGrid w:val="0"/>
              <w:jc w:val="center"/>
              <w:outlineLvl w:val="1"/>
              <w:rPr>
                <w:rFonts w:hint="eastAsia" w:ascii="宋体" w:hAnsi="宋体" w:eastAsia="宋体" w:cs="宋体"/>
                <w:bCs/>
                <w:color w:val="auto"/>
                <w:sz w:val="24"/>
                <w:szCs w:val="24"/>
                <w:highlight w:val="none"/>
                <w:lang w:val="en-US" w:eastAsia="zh-CN" w:bidi="ar"/>
              </w:rPr>
            </w:pPr>
            <w:r>
              <w:rPr>
                <w:rFonts w:hint="eastAsia" w:ascii="宋体" w:hAnsi="宋体" w:eastAsia="宋体" w:cs="宋体"/>
                <w:bCs/>
                <w:color w:val="auto"/>
                <w:sz w:val="24"/>
                <w:szCs w:val="24"/>
                <w:highlight w:val="none"/>
                <w:lang w:val="en-US" w:eastAsia="zh-CN" w:bidi="ar"/>
              </w:rPr>
              <w:t>电信</w:t>
            </w:r>
          </w:p>
        </w:tc>
        <w:tc>
          <w:tcPr>
            <w:tcW w:w="1876" w:type="pct"/>
            <w:tcBorders>
              <w:top w:val="single" w:color="auto" w:sz="4" w:space="0"/>
              <w:left w:val="single" w:color="auto" w:sz="4" w:space="0"/>
              <w:bottom w:val="single" w:color="auto" w:sz="4" w:space="0"/>
              <w:right w:val="single" w:color="auto" w:sz="4" w:space="0"/>
            </w:tcBorders>
            <w:shd w:val="clear" w:color="auto" w:fill="auto"/>
            <w:vAlign w:val="center"/>
          </w:tcPr>
          <w:p w14:paraId="3B7A1591">
            <w:pPr>
              <w:snapToGrid/>
              <w:jc w:val="center"/>
              <w:outlineLvl w:val="1"/>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val="en-US" w:eastAsia="zh-CN" w:bidi="ar"/>
              </w:rPr>
              <w:t>一期桥梁电路，带宽50兆，180元/条/月</w:t>
            </w:r>
          </w:p>
        </w:tc>
      </w:tr>
      <w:tr w14:paraId="036A244B">
        <w:tblPrEx>
          <w:tblCellMar>
            <w:top w:w="0" w:type="dxa"/>
            <w:left w:w="108" w:type="dxa"/>
            <w:bottom w:w="0" w:type="dxa"/>
            <w:right w:w="108" w:type="dxa"/>
          </w:tblCellMar>
        </w:tblPrEx>
        <w:trPr>
          <w:trHeight w:val="20" w:hRule="atLeast"/>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3E10F033">
            <w:pPr>
              <w:snapToGrid w:val="0"/>
              <w:jc w:val="center"/>
              <w:outlineLvl w:val="1"/>
              <w:rPr>
                <w:rFonts w:hint="eastAsia" w:ascii="宋体" w:hAnsi="宋体" w:eastAsia="宋体" w:cs="宋体"/>
                <w:bCs/>
                <w:color w:val="auto"/>
                <w:sz w:val="24"/>
                <w:szCs w:val="24"/>
                <w:highlight w:val="none"/>
                <w:lang w:val="en-US" w:eastAsia="zh-CN" w:bidi="ar"/>
              </w:rPr>
            </w:pPr>
            <w:r>
              <w:rPr>
                <w:rFonts w:hint="eastAsia" w:ascii="宋体" w:hAnsi="宋体" w:eastAsia="宋体" w:cs="宋体"/>
                <w:bCs/>
                <w:color w:val="auto"/>
                <w:sz w:val="24"/>
                <w:szCs w:val="24"/>
                <w:highlight w:val="none"/>
                <w:lang w:val="en-US" w:eastAsia="zh-CN" w:bidi="ar"/>
              </w:rPr>
              <w:t>3</w:t>
            </w:r>
          </w:p>
        </w:tc>
        <w:tc>
          <w:tcPr>
            <w:tcW w:w="750" w:type="pct"/>
            <w:tcBorders>
              <w:top w:val="single" w:color="auto" w:sz="4" w:space="0"/>
              <w:left w:val="single" w:color="auto" w:sz="4" w:space="0"/>
              <w:bottom w:val="single" w:color="auto" w:sz="4" w:space="0"/>
              <w:right w:val="single" w:color="auto" w:sz="4" w:space="0"/>
            </w:tcBorders>
            <w:shd w:val="clear" w:color="auto" w:fill="auto"/>
            <w:vAlign w:val="center"/>
          </w:tcPr>
          <w:p w14:paraId="7352420F">
            <w:pPr>
              <w:snapToGrid w:val="0"/>
              <w:jc w:val="center"/>
              <w:outlineLvl w:val="1"/>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val="en-US" w:eastAsia="zh-CN" w:bidi="ar"/>
              </w:rPr>
              <w:t>一期物联网NB卡</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02A0FFA3">
            <w:pPr>
              <w:snapToGrid w:val="0"/>
              <w:jc w:val="center"/>
              <w:outlineLvl w:val="1"/>
              <w:rPr>
                <w:rFonts w:hint="eastAsia" w:ascii="宋体" w:hAnsi="宋体" w:eastAsia="宋体" w:cs="宋体"/>
                <w:bCs/>
                <w:color w:val="auto"/>
                <w:sz w:val="24"/>
                <w:szCs w:val="24"/>
                <w:highlight w:val="none"/>
                <w:lang w:bidi="ar"/>
              </w:rPr>
            </w:pPr>
            <w:r>
              <w:rPr>
                <w:rFonts w:hint="eastAsia" w:ascii="宋体" w:hAnsi="宋体" w:eastAsia="宋体" w:cs="宋体"/>
                <w:b w:val="0"/>
                <w:bCs/>
                <w:color w:val="auto"/>
                <w:kern w:val="2"/>
                <w:sz w:val="24"/>
                <w:szCs w:val="24"/>
                <w:highlight w:val="none"/>
                <w:lang w:bidi="ar"/>
              </w:rPr>
              <w:t>各专项物联卡</w:t>
            </w: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tcPr>
          <w:p w14:paraId="262E9B3E">
            <w:pPr>
              <w:snapToGrid w:val="0"/>
              <w:jc w:val="center"/>
              <w:outlineLvl w:val="1"/>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val="en-US" w:eastAsia="zh-CN" w:bidi="ar"/>
              </w:rPr>
              <w:t>9484张</w:t>
            </w:r>
          </w:p>
        </w:tc>
        <w:tc>
          <w:tcPr>
            <w:tcW w:w="566" w:type="pct"/>
            <w:tcBorders>
              <w:top w:val="single" w:color="auto" w:sz="4" w:space="0"/>
              <w:left w:val="single" w:color="auto" w:sz="4" w:space="0"/>
              <w:bottom w:val="single" w:color="auto" w:sz="4" w:space="0"/>
              <w:right w:val="single" w:color="auto" w:sz="4" w:space="0"/>
            </w:tcBorders>
            <w:shd w:val="clear" w:color="auto" w:fill="auto"/>
            <w:vAlign w:val="center"/>
          </w:tcPr>
          <w:p w14:paraId="09AB9180">
            <w:pPr>
              <w:snapToGrid w:val="0"/>
              <w:jc w:val="center"/>
              <w:outlineLvl w:val="1"/>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val="en-US" w:eastAsia="zh-CN" w:bidi="ar"/>
              </w:rPr>
              <w:t>电信</w:t>
            </w:r>
          </w:p>
        </w:tc>
        <w:tc>
          <w:tcPr>
            <w:tcW w:w="1876" w:type="pct"/>
            <w:tcBorders>
              <w:top w:val="single" w:color="auto" w:sz="4" w:space="0"/>
              <w:left w:val="single" w:color="auto" w:sz="4" w:space="0"/>
              <w:bottom w:val="single" w:color="auto" w:sz="4" w:space="0"/>
              <w:right w:val="single" w:color="auto" w:sz="4" w:space="0"/>
            </w:tcBorders>
            <w:shd w:val="clear" w:color="auto" w:fill="auto"/>
            <w:vAlign w:val="center"/>
          </w:tcPr>
          <w:p w14:paraId="62750947">
            <w:pPr>
              <w:snapToGrid/>
              <w:jc w:val="center"/>
              <w:outlineLvl w:val="1"/>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val="en-US" w:eastAsia="zh-CN" w:bidi="ar"/>
              </w:rPr>
              <w:t>一期物联网NB卡</w:t>
            </w:r>
          </w:p>
        </w:tc>
      </w:tr>
      <w:tr w14:paraId="061B0CD0">
        <w:tblPrEx>
          <w:tblCellMar>
            <w:top w:w="0" w:type="dxa"/>
            <w:left w:w="108" w:type="dxa"/>
            <w:bottom w:w="0" w:type="dxa"/>
            <w:right w:w="108" w:type="dxa"/>
          </w:tblCellMar>
        </w:tblPrEx>
        <w:trPr>
          <w:trHeight w:val="20" w:hRule="atLeast"/>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6A5968DA">
            <w:pPr>
              <w:snapToGrid w:val="0"/>
              <w:jc w:val="center"/>
              <w:outlineLvl w:val="1"/>
              <w:rPr>
                <w:rFonts w:hint="eastAsia" w:ascii="宋体" w:hAnsi="宋体" w:eastAsia="宋体" w:cs="宋体"/>
                <w:bCs/>
                <w:color w:val="auto"/>
                <w:sz w:val="24"/>
                <w:szCs w:val="24"/>
                <w:highlight w:val="none"/>
                <w:lang w:val="en-US" w:eastAsia="zh-CN" w:bidi="ar"/>
              </w:rPr>
            </w:pPr>
            <w:r>
              <w:rPr>
                <w:rFonts w:hint="eastAsia" w:ascii="宋体" w:hAnsi="宋体" w:eastAsia="宋体" w:cs="宋体"/>
                <w:bCs/>
                <w:color w:val="auto"/>
                <w:sz w:val="24"/>
                <w:szCs w:val="24"/>
                <w:highlight w:val="none"/>
                <w:lang w:val="en-US" w:eastAsia="zh-CN" w:bidi="ar"/>
              </w:rPr>
              <w:t>4</w:t>
            </w:r>
          </w:p>
        </w:tc>
        <w:tc>
          <w:tcPr>
            <w:tcW w:w="750" w:type="pct"/>
            <w:tcBorders>
              <w:top w:val="single" w:color="auto" w:sz="4" w:space="0"/>
              <w:left w:val="single" w:color="auto" w:sz="4" w:space="0"/>
              <w:bottom w:val="single" w:color="auto" w:sz="4" w:space="0"/>
              <w:right w:val="single" w:color="auto" w:sz="4" w:space="0"/>
            </w:tcBorders>
            <w:shd w:val="clear" w:color="auto" w:fill="auto"/>
            <w:vAlign w:val="center"/>
          </w:tcPr>
          <w:p w14:paraId="238BA151">
            <w:pPr>
              <w:snapToGrid w:val="0"/>
              <w:jc w:val="center"/>
              <w:outlineLvl w:val="1"/>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sz w:val="24"/>
                <w:szCs w:val="24"/>
                <w:highlight w:val="none"/>
                <w:lang w:val="en-US" w:eastAsia="zh-CN" w:bidi="ar"/>
              </w:rPr>
              <w:t>互联网专线</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326BA202">
            <w:pPr>
              <w:snapToGrid w:val="0"/>
              <w:jc w:val="center"/>
              <w:outlineLvl w:val="1"/>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sz w:val="24"/>
                <w:szCs w:val="24"/>
                <w:highlight w:val="none"/>
                <w:lang w:val="en-US" w:eastAsia="zh-CN" w:bidi="ar"/>
              </w:rPr>
              <w:t>400兆</w:t>
            </w: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tcPr>
          <w:p w14:paraId="71F91A6F">
            <w:pPr>
              <w:snapToGrid w:val="0"/>
              <w:jc w:val="center"/>
              <w:outlineLvl w:val="1"/>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sz w:val="24"/>
                <w:szCs w:val="24"/>
                <w:highlight w:val="none"/>
                <w:lang w:val="en-US" w:eastAsia="zh-CN" w:bidi="ar"/>
              </w:rPr>
              <w:t>1</w:t>
            </w:r>
          </w:p>
        </w:tc>
        <w:tc>
          <w:tcPr>
            <w:tcW w:w="566" w:type="pct"/>
            <w:tcBorders>
              <w:top w:val="single" w:color="auto" w:sz="4" w:space="0"/>
              <w:left w:val="single" w:color="auto" w:sz="4" w:space="0"/>
              <w:bottom w:val="single" w:color="auto" w:sz="4" w:space="0"/>
              <w:right w:val="single" w:color="auto" w:sz="4" w:space="0"/>
            </w:tcBorders>
            <w:shd w:val="clear" w:color="auto" w:fill="auto"/>
            <w:vAlign w:val="center"/>
          </w:tcPr>
          <w:p w14:paraId="6F2F4B12">
            <w:pPr>
              <w:snapToGrid w:val="0"/>
              <w:jc w:val="center"/>
              <w:outlineLvl w:val="1"/>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sz w:val="24"/>
                <w:szCs w:val="24"/>
                <w:highlight w:val="none"/>
                <w:lang w:val="en-US" w:eastAsia="zh-CN" w:bidi="ar"/>
              </w:rPr>
              <w:t>电信</w:t>
            </w:r>
          </w:p>
        </w:tc>
        <w:tc>
          <w:tcPr>
            <w:tcW w:w="1876" w:type="pct"/>
            <w:tcBorders>
              <w:top w:val="single" w:color="auto" w:sz="4" w:space="0"/>
              <w:left w:val="single" w:color="auto" w:sz="4" w:space="0"/>
              <w:bottom w:val="single" w:color="auto" w:sz="4" w:space="0"/>
              <w:right w:val="single" w:color="auto" w:sz="4" w:space="0"/>
            </w:tcBorders>
            <w:shd w:val="clear" w:color="auto" w:fill="auto"/>
            <w:vAlign w:val="center"/>
          </w:tcPr>
          <w:p w14:paraId="3B1F5B84">
            <w:pPr>
              <w:snapToGrid/>
              <w:ind w:firstLine="720" w:firstLineChars="300"/>
              <w:jc w:val="both"/>
              <w:outlineLvl w:val="1"/>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sz w:val="24"/>
                <w:szCs w:val="24"/>
                <w:highlight w:val="none"/>
                <w:lang w:val="en-US" w:eastAsia="zh-CN" w:bidi="ar"/>
              </w:rPr>
              <w:t>监测中心使用</w:t>
            </w:r>
          </w:p>
        </w:tc>
      </w:tr>
      <w:tr w14:paraId="3E15A69A">
        <w:tblPrEx>
          <w:tblCellMar>
            <w:top w:w="0" w:type="dxa"/>
            <w:left w:w="108" w:type="dxa"/>
            <w:bottom w:w="0" w:type="dxa"/>
            <w:right w:w="108" w:type="dxa"/>
          </w:tblCellMar>
        </w:tblPrEx>
        <w:trPr>
          <w:trHeight w:val="90" w:hRule="atLeast"/>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04818DA2">
            <w:pPr>
              <w:snapToGrid w:val="0"/>
              <w:jc w:val="center"/>
              <w:outlineLvl w:val="1"/>
              <w:rPr>
                <w:rFonts w:hint="eastAsia" w:ascii="宋体" w:hAnsi="宋体" w:eastAsia="宋体" w:cs="宋体"/>
                <w:bCs/>
                <w:color w:val="auto"/>
                <w:sz w:val="24"/>
                <w:szCs w:val="24"/>
                <w:highlight w:val="none"/>
                <w:lang w:val="en-US" w:eastAsia="zh-CN" w:bidi="ar"/>
              </w:rPr>
            </w:pPr>
            <w:r>
              <w:rPr>
                <w:rFonts w:hint="eastAsia" w:ascii="宋体" w:hAnsi="宋体" w:eastAsia="宋体" w:cs="宋体"/>
                <w:bCs/>
                <w:color w:val="auto"/>
                <w:sz w:val="24"/>
                <w:szCs w:val="24"/>
                <w:highlight w:val="none"/>
                <w:lang w:val="en-US" w:eastAsia="zh-CN" w:bidi="ar"/>
              </w:rPr>
              <w:t>5</w:t>
            </w:r>
          </w:p>
        </w:tc>
        <w:tc>
          <w:tcPr>
            <w:tcW w:w="750" w:type="pct"/>
            <w:tcBorders>
              <w:top w:val="single" w:color="auto" w:sz="4" w:space="0"/>
              <w:left w:val="single" w:color="auto" w:sz="4" w:space="0"/>
              <w:bottom w:val="single" w:color="auto" w:sz="4" w:space="0"/>
              <w:right w:val="single" w:color="auto" w:sz="4" w:space="0"/>
            </w:tcBorders>
            <w:shd w:val="clear" w:color="auto" w:fill="auto"/>
            <w:vAlign w:val="center"/>
          </w:tcPr>
          <w:p w14:paraId="411F3D09">
            <w:pPr>
              <w:snapToGrid w:val="0"/>
              <w:jc w:val="center"/>
              <w:outlineLvl w:val="1"/>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sz w:val="24"/>
                <w:szCs w:val="24"/>
                <w:highlight w:val="none"/>
                <w:lang w:val="en-US" w:eastAsia="zh-CN" w:bidi="ar"/>
              </w:rPr>
              <w:t>IPRANAH数字电路</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36F227B2">
            <w:pPr>
              <w:snapToGrid w:val="0"/>
              <w:jc w:val="center"/>
              <w:outlineLvl w:val="1"/>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sz w:val="24"/>
                <w:szCs w:val="24"/>
                <w:highlight w:val="none"/>
                <w:lang w:val="en-US" w:eastAsia="zh-CN" w:bidi="ar"/>
              </w:rPr>
              <w:t>100兆</w:t>
            </w: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tcPr>
          <w:p w14:paraId="378B12DE">
            <w:pPr>
              <w:snapToGrid w:val="0"/>
              <w:jc w:val="center"/>
              <w:outlineLvl w:val="1"/>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sz w:val="24"/>
                <w:szCs w:val="24"/>
                <w:highlight w:val="none"/>
                <w:lang w:val="en-US" w:eastAsia="zh-CN" w:bidi="ar"/>
              </w:rPr>
              <w:t>1</w:t>
            </w:r>
          </w:p>
        </w:tc>
        <w:tc>
          <w:tcPr>
            <w:tcW w:w="566" w:type="pct"/>
            <w:tcBorders>
              <w:top w:val="single" w:color="auto" w:sz="4" w:space="0"/>
              <w:left w:val="single" w:color="auto" w:sz="4" w:space="0"/>
              <w:bottom w:val="single" w:color="auto" w:sz="4" w:space="0"/>
              <w:right w:val="single" w:color="auto" w:sz="4" w:space="0"/>
            </w:tcBorders>
            <w:shd w:val="clear" w:color="auto" w:fill="auto"/>
            <w:vAlign w:val="center"/>
          </w:tcPr>
          <w:p w14:paraId="075828D7">
            <w:pPr>
              <w:snapToGrid w:val="0"/>
              <w:jc w:val="center"/>
              <w:outlineLvl w:val="1"/>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sz w:val="24"/>
                <w:szCs w:val="24"/>
                <w:highlight w:val="none"/>
                <w:lang w:val="en-US" w:eastAsia="zh-CN" w:bidi="ar"/>
              </w:rPr>
              <w:t>电信</w:t>
            </w:r>
          </w:p>
        </w:tc>
        <w:tc>
          <w:tcPr>
            <w:tcW w:w="1876" w:type="pct"/>
            <w:tcBorders>
              <w:top w:val="single" w:color="auto" w:sz="4" w:space="0"/>
              <w:left w:val="single" w:color="auto" w:sz="4" w:space="0"/>
              <w:bottom w:val="single" w:color="auto" w:sz="4" w:space="0"/>
              <w:right w:val="single" w:color="auto" w:sz="4" w:space="0"/>
            </w:tcBorders>
            <w:shd w:val="clear" w:color="auto" w:fill="auto"/>
            <w:vAlign w:val="center"/>
          </w:tcPr>
          <w:p w14:paraId="56189D9B">
            <w:pPr>
              <w:snapToGrid/>
              <w:jc w:val="center"/>
              <w:outlineLvl w:val="1"/>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sz w:val="24"/>
                <w:szCs w:val="24"/>
                <w:highlight w:val="none"/>
                <w:lang w:val="en-US" w:eastAsia="zh-CN" w:bidi="ar"/>
              </w:rPr>
              <w:t>滁州市电子政务网</w:t>
            </w:r>
          </w:p>
        </w:tc>
      </w:tr>
    </w:tbl>
    <w:p w14:paraId="71BB679B">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Autospacing="1" w:afterAutospacing="1"/>
        <w:ind w:left="360" w:firstLine="0"/>
        <w:jc w:val="left"/>
        <w:rPr>
          <w:rFonts w:hint="eastAsia" w:ascii="宋体" w:hAnsi="宋体" w:eastAsia="宋体" w:cs="@仿宋_GB2312"/>
          <w:b/>
          <w:bCs/>
          <w:color w:val="auto"/>
          <w:kern w:val="2"/>
          <w:sz w:val="24"/>
          <w:szCs w:val="20"/>
          <w:highlight w:val="none"/>
          <w:lang w:val="en-US" w:eastAsia="zh-CN" w:bidi="ar-SA"/>
        </w:rPr>
      </w:pPr>
      <w:r>
        <w:rPr>
          <w:rFonts w:hint="eastAsia" w:ascii="宋体" w:hAnsi="宋体" w:eastAsia="宋体" w:cs="@仿宋_GB2312"/>
          <w:b/>
          <w:bCs/>
          <w:color w:val="auto"/>
          <w:kern w:val="2"/>
          <w:sz w:val="24"/>
          <w:szCs w:val="20"/>
          <w:highlight w:val="none"/>
          <w:lang w:val="en-US" w:eastAsia="zh-CN" w:bidi="ar-SA"/>
        </w:rPr>
        <w:t>4.前端感知设备运维服务</w:t>
      </w:r>
    </w:p>
    <w:p w14:paraId="7495207B">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Autospacing="0" w:afterAutospacing="0" w:line="440" w:lineRule="exact"/>
        <w:ind w:firstLine="480" w:firstLineChars="200"/>
        <w:jc w:val="left"/>
        <w:rPr>
          <w:rFonts w:hint="eastAsia" w:ascii="宋体" w:hAnsi="宋体" w:eastAsia="宋体" w:cs="宋体"/>
          <w:bCs/>
          <w:color w:val="auto"/>
          <w:sz w:val="24"/>
          <w:szCs w:val="24"/>
          <w:highlight w:val="none"/>
          <w:lang w:val="en-US" w:eastAsia="zh-CN"/>
        </w:rPr>
      </w:pPr>
      <w:r>
        <w:rPr>
          <w:rFonts w:hint="eastAsia" w:ascii="宋体" w:hAnsi="宋体" w:eastAsia="宋体" w:cs="@仿宋_GB2312"/>
          <w:b w:val="0"/>
          <w:bCs w:val="0"/>
          <w:color w:val="auto"/>
          <w:kern w:val="2"/>
          <w:sz w:val="24"/>
          <w:szCs w:val="20"/>
          <w:highlight w:val="none"/>
          <w:lang w:val="en-US" w:eastAsia="zh-CN" w:bidi="ar-SA"/>
        </w:rPr>
        <w:t>根据工作需要，</w:t>
      </w:r>
      <w:r>
        <w:rPr>
          <w:rFonts w:hint="eastAsia" w:ascii="宋体" w:hAnsi="宋体" w:eastAsia="宋体" w:cs="@仿宋_GB2312"/>
          <w:color w:val="auto"/>
          <w:sz w:val="24"/>
          <w:szCs w:val="20"/>
          <w:highlight w:val="none"/>
        </w:rPr>
        <w:t>对</w:t>
      </w:r>
      <w:r>
        <w:rPr>
          <w:rFonts w:hint="eastAsia" w:ascii="宋体" w:hAnsi="宋体" w:eastAsia="宋体"/>
          <w:color w:val="auto"/>
          <w:sz w:val="24"/>
          <w:highlight w:val="none"/>
          <w:lang w:val="en-US" w:eastAsia="zh-CN"/>
        </w:rPr>
        <w:t>滁州市城市生命线安全工程建设项目（一期）</w:t>
      </w:r>
      <w:r>
        <w:rPr>
          <w:rFonts w:hint="eastAsia" w:ascii="宋体" w:hAnsi="宋体" w:eastAsia="宋体" w:cs="@仿宋_GB2312"/>
          <w:color w:val="auto"/>
          <w:sz w:val="24"/>
          <w:szCs w:val="20"/>
          <w:highlight w:val="none"/>
        </w:rPr>
        <w:t>中</w:t>
      </w:r>
      <w:r>
        <w:rPr>
          <w:rFonts w:hint="eastAsia" w:ascii="宋体" w:hAnsi="宋体" w:eastAsia="宋体" w:cs="@仿宋_GB2312"/>
          <w:color w:val="auto"/>
          <w:sz w:val="24"/>
          <w:szCs w:val="20"/>
          <w:highlight w:val="none"/>
          <w:lang w:val="en-US" w:eastAsia="zh-CN"/>
        </w:rPr>
        <w:t>各个监测专项</w:t>
      </w:r>
      <w:r>
        <w:rPr>
          <w:rFonts w:hint="eastAsia" w:ascii="宋体" w:hAnsi="宋体" w:eastAsia="宋体" w:cs="@仿宋_GB2312"/>
          <w:color w:val="auto"/>
          <w:sz w:val="24"/>
          <w:szCs w:val="20"/>
          <w:highlight w:val="none"/>
        </w:rPr>
        <w:t>的所有前端监测设备、物联网传输</w:t>
      </w:r>
      <w:r>
        <w:rPr>
          <w:rFonts w:hint="eastAsia" w:ascii="宋体" w:hAnsi="宋体" w:eastAsia="宋体" w:cs="@仿宋_GB2312"/>
          <w:color w:val="auto"/>
          <w:sz w:val="24"/>
          <w:szCs w:val="20"/>
          <w:highlight w:val="none"/>
          <w:lang w:eastAsia="zh-CN"/>
        </w:rPr>
        <w:t>等</w:t>
      </w:r>
      <w:r>
        <w:rPr>
          <w:rFonts w:hint="eastAsia" w:ascii="宋体" w:hAnsi="宋体" w:eastAsia="宋体" w:cs="@仿宋_GB2312"/>
          <w:color w:val="auto"/>
          <w:sz w:val="24"/>
          <w:szCs w:val="20"/>
          <w:highlight w:val="none"/>
        </w:rPr>
        <w:t>设备</w:t>
      </w:r>
      <w:r>
        <w:rPr>
          <w:rFonts w:hint="eastAsia" w:ascii="宋体" w:hAnsi="宋体" w:eastAsia="宋体" w:cs="@仿宋_GB2312"/>
          <w:color w:val="auto"/>
          <w:sz w:val="24"/>
          <w:szCs w:val="20"/>
          <w:highlight w:val="none"/>
          <w:lang w:eastAsia="zh-CN"/>
        </w:rPr>
        <w:t>开展运维工作（包含对相关系统整合后的设备进行运维）</w:t>
      </w:r>
      <w:r>
        <w:rPr>
          <w:rFonts w:hint="eastAsia" w:ascii="宋体" w:hAnsi="宋体" w:eastAsia="宋体" w:cs="@仿宋_GB2312"/>
          <w:color w:val="auto"/>
          <w:sz w:val="24"/>
          <w:szCs w:val="20"/>
          <w:highlight w:val="none"/>
        </w:rPr>
        <w:t>，</w:t>
      </w:r>
      <w:r>
        <w:rPr>
          <w:rFonts w:hint="eastAsia" w:ascii="宋体" w:hAnsi="宋体" w:eastAsia="宋体" w:cs="@仿宋_GB2312"/>
          <w:color w:val="auto"/>
          <w:sz w:val="24"/>
          <w:szCs w:val="20"/>
          <w:highlight w:val="none"/>
          <w:lang w:eastAsia="zh-CN"/>
        </w:rPr>
        <w:t>对监测设备</w:t>
      </w:r>
      <w:r>
        <w:rPr>
          <w:rFonts w:hint="eastAsia" w:ascii="宋体" w:hAnsi="宋体" w:eastAsia="宋体" w:cs="@仿宋_GB2312"/>
          <w:color w:val="auto"/>
          <w:sz w:val="24"/>
          <w:szCs w:val="20"/>
          <w:highlight w:val="none"/>
        </w:rPr>
        <w:t>定期保养、校准、调试、维修，</w:t>
      </w:r>
      <w:r>
        <w:rPr>
          <w:rFonts w:hint="eastAsia" w:ascii="宋体" w:hAnsi="宋体" w:eastAsia="宋体" w:cs="@仿宋_GB2312"/>
          <w:color w:val="auto"/>
          <w:sz w:val="24"/>
          <w:szCs w:val="20"/>
          <w:highlight w:val="none"/>
          <w:lang w:eastAsia="zh-CN"/>
        </w:rPr>
        <w:t>需</w:t>
      </w:r>
      <w:r>
        <w:rPr>
          <w:rFonts w:hint="eastAsia" w:ascii="宋体" w:hAnsi="宋体" w:eastAsia="宋体"/>
          <w:color w:val="auto"/>
          <w:sz w:val="24"/>
          <w:highlight w:val="none"/>
          <w:lang w:val="en-US" w:eastAsia="zh-CN"/>
        </w:rPr>
        <w:t>做好巡检记录；负责设备</w:t>
      </w:r>
      <w:r>
        <w:rPr>
          <w:rFonts w:hint="eastAsia" w:ascii="宋体" w:hAnsi="宋体" w:eastAsia="宋体" w:cs="宋体"/>
          <w:bCs/>
          <w:color w:val="auto"/>
          <w:sz w:val="24"/>
          <w:szCs w:val="24"/>
          <w:highlight w:val="none"/>
          <w:lang w:eastAsia="zh-CN"/>
        </w:rPr>
        <w:t>保管工作（</w:t>
      </w:r>
      <w:r>
        <w:rPr>
          <w:rFonts w:hint="eastAsia" w:ascii="宋体" w:hAnsi="宋体" w:eastAsia="宋体" w:cs="@仿宋_GB2312"/>
          <w:color w:val="auto"/>
          <w:sz w:val="24"/>
          <w:szCs w:val="20"/>
          <w:highlight w:val="none"/>
          <w:lang w:eastAsia="zh-CN"/>
        </w:rPr>
        <w:t>自行考虑设备丢失等保险费用</w:t>
      </w:r>
      <w:r>
        <w:rPr>
          <w:rFonts w:hint="eastAsia" w:ascii="宋体" w:hAnsi="宋体" w:eastAsia="宋体" w:cs="宋体"/>
          <w:bCs/>
          <w:color w:val="auto"/>
          <w:sz w:val="24"/>
          <w:szCs w:val="24"/>
          <w:highlight w:val="none"/>
          <w:lang w:eastAsia="zh-CN"/>
        </w:rPr>
        <w:t>），并根据设备类型</w:t>
      </w:r>
      <w:r>
        <w:rPr>
          <w:rFonts w:hint="eastAsia" w:ascii="宋体" w:hAnsi="宋体" w:eastAsia="宋体"/>
          <w:color w:val="auto"/>
          <w:sz w:val="24"/>
          <w:highlight w:val="none"/>
          <w:lang w:val="en-US" w:eastAsia="zh-CN"/>
        </w:rPr>
        <w:t>准备</w:t>
      </w:r>
      <w:r>
        <w:rPr>
          <w:rFonts w:hint="eastAsia" w:ascii="宋体" w:hAnsi="宋体" w:eastAsia="宋体" w:cs="@仿宋_GB2312"/>
          <w:color w:val="auto"/>
          <w:sz w:val="24"/>
          <w:szCs w:val="20"/>
          <w:highlight w:val="none"/>
        </w:rPr>
        <w:t>备品备件</w:t>
      </w:r>
      <w:r>
        <w:rPr>
          <w:rFonts w:hint="eastAsia" w:ascii="宋体" w:hAnsi="宋体" w:eastAsia="宋体" w:cs="@仿宋_GB2312"/>
          <w:color w:val="auto"/>
          <w:sz w:val="24"/>
          <w:szCs w:val="20"/>
          <w:highlight w:val="none"/>
          <w:lang w:eastAsia="zh-CN"/>
        </w:rPr>
        <w:t>，</w:t>
      </w:r>
      <w:r>
        <w:rPr>
          <w:rFonts w:hint="eastAsia" w:ascii="宋体" w:hAnsi="宋体" w:eastAsia="宋体" w:cs="@仿宋_GB2312"/>
          <w:color w:val="auto"/>
          <w:sz w:val="24"/>
          <w:szCs w:val="20"/>
          <w:highlight w:val="none"/>
        </w:rPr>
        <w:t>保障设备运行状态正常</w:t>
      </w:r>
      <w:r>
        <w:rPr>
          <w:rFonts w:hint="eastAsia" w:ascii="宋体" w:hAnsi="宋体" w:eastAsia="宋体" w:cs="@仿宋_GB2312"/>
          <w:color w:val="auto"/>
          <w:sz w:val="24"/>
          <w:szCs w:val="20"/>
          <w:highlight w:val="none"/>
          <w:lang w:eastAsia="zh-CN"/>
        </w:rPr>
        <w:t>。根据采购需求，组建巡检队伍，配置</w:t>
      </w:r>
      <w:r>
        <w:rPr>
          <w:rFonts w:hint="eastAsia" w:ascii="宋体" w:hAnsi="宋体" w:eastAsia="宋体" w:cs="@仿宋_GB2312"/>
          <w:color w:val="auto"/>
          <w:sz w:val="24"/>
          <w:szCs w:val="20"/>
          <w:highlight w:val="none"/>
          <w:lang w:val="en-US" w:eastAsia="zh-CN"/>
        </w:rPr>
        <w:t>前端感知设备运维服务人员、车辆（</w:t>
      </w:r>
      <w:r>
        <w:rPr>
          <w:rFonts w:hint="eastAsia" w:ascii="宋体" w:hAnsi="宋体" w:eastAsia="宋体" w:cs="@仿宋_GB2312"/>
          <w:b w:val="0"/>
          <w:bCs w:val="0"/>
          <w:color w:val="auto"/>
          <w:kern w:val="2"/>
          <w:sz w:val="24"/>
          <w:szCs w:val="20"/>
          <w:highlight w:val="none"/>
          <w:lang w:val="en-US" w:eastAsia="zh-CN" w:bidi="ar-SA"/>
        </w:rPr>
        <w:t>原则上不少于4辆）、巡检工具若干等。</w:t>
      </w:r>
    </w:p>
    <w:p w14:paraId="09F55052">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Autospacing="0" w:afterAutospacing="0" w:line="440" w:lineRule="exact"/>
        <w:ind w:left="0" w:leftChars="0" w:firstLine="435" w:firstLineChars="0"/>
        <w:jc w:val="left"/>
        <w:rPr>
          <w:rFonts w:hint="eastAsia" w:ascii="宋体" w:hAnsi="宋体" w:eastAsia="宋体" w:cs="@仿宋_GB2312"/>
          <w:color w:val="auto"/>
          <w:sz w:val="24"/>
          <w:szCs w:val="20"/>
          <w:highlight w:val="none"/>
          <w:lang w:eastAsia="zh-CN"/>
        </w:rPr>
      </w:pPr>
      <w:r>
        <w:rPr>
          <w:rFonts w:hint="eastAsia" w:ascii="宋体" w:hAnsi="宋体" w:eastAsia="宋体" w:cs="@仿宋_GB2312"/>
          <w:color w:val="auto"/>
          <w:sz w:val="24"/>
          <w:szCs w:val="20"/>
          <w:highlight w:val="none"/>
        </w:rPr>
        <w:t>建立</w:t>
      </w:r>
      <w:r>
        <w:rPr>
          <w:rFonts w:hint="eastAsia" w:ascii="宋体" w:hAnsi="宋体" w:eastAsia="宋体" w:cs="@仿宋_GB2312"/>
          <w:color w:val="auto"/>
          <w:sz w:val="24"/>
          <w:szCs w:val="20"/>
          <w:highlight w:val="none"/>
          <w:lang w:eastAsia="zh-CN"/>
        </w:rPr>
        <w:t>监测</w:t>
      </w:r>
      <w:r>
        <w:rPr>
          <w:rFonts w:hint="eastAsia" w:ascii="宋体" w:hAnsi="宋体" w:eastAsia="宋体" w:cs="@仿宋_GB2312"/>
          <w:color w:val="auto"/>
          <w:sz w:val="24"/>
          <w:szCs w:val="20"/>
          <w:highlight w:val="none"/>
        </w:rPr>
        <w:t>设备台账</w:t>
      </w:r>
      <w:r>
        <w:rPr>
          <w:rFonts w:hint="eastAsia" w:ascii="宋体" w:hAnsi="宋体" w:eastAsia="宋体" w:cs="@仿宋_GB2312"/>
          <w:color w:val="auto"/>
          <w:sz w:val="24"/>
          <w:szCs w:val="20"/>
          <w:highlight w:val="none"/>
          <w:lang w:eastAsia="zh-CN"/>
        </w:rPr>
        <w:t>和备品备件台账</w:t>
      </w:r>
      <w:r>
        <w:rPr>
          <w:rFonts w:hint="eastAsia" w:ascii="宋体" w:hAnsi="宋体" w:eastAsia="宋体" w:cs="@仿宋_GB2312"/>
          <w:color w:val="auto"/>
          <w:sz w:val="24"/>
          <w:szCs w:val="20"/>
          <w:highlight w:val="none"/>
        </w:rPr>
        <w:t>，详细记录设备型号、安装位置、运行状态、维保记录、更换记录等，实现设备全生命周期管理。</w:t>
      </w:r>
      <w:r>
        <w:rPr>
          <w:rFonts w:hint="eastAsia" w:ascii="宋体" w:hAnsi="宋体" w:eastAsia="宋体"/>
          <w:color w:val="auto"/>
          <w:sz w:val="24"/>
          <w:highlight w:val="none"/>
          <w:lang w:val="en-US" w:eastAsia="zh-CN"/>
        </w:rPr>
        <w:t>对发生</w:t>
      </w:r>
      <w:r>
        <w:rPr>
          <w:rFonts w:hint="eastAsia" w:ascii="宋体" w:hAnsi="宋体" w:eastAsia="宋体" w:cs="@仿宋_GB2312"/>
          <w:color w:val="auto"/>
          <w:sz w:val="24"/>
          <w:szCs w:val="20"/>
          <w:highlight w:val="none"/>
        </w:rPr>
        <w:t>故障</w:t>
      </w:r>
      <w:r>
        <w:rPr>
          <w:rFonts w:hint="eastAsia" w:ascii="宋体" w:hAnsi="宋体" w:eastAsia="宋体" w:cs="@仿宋_GB2312"/>
          <w:color w:val="auto"/>
          <w:sz w:val="24"/>
          <w:szCs w:val="20"/>
          <w:highlight w:val="none"/>
          <w:lang w:eastAsia="zh-CN"/>
        </w:rPr>
        <w:t>、离线</w:t>
      </w:r>
      <w:r>
        <w:rPr>
          <w:rFonts w:hint="eastAsia" w:ascii="宋体" w:hAnsi="宋体" w:eastAsia="宋体" w:cs="@仿宋_GB2312"/>
          <w:color w:val="auto"/>
          <w:sz w:val="24"/>
          <w:szCs w:val="20"/>
          <w:highlight w:val="none"/>
        </w:rPr>
        <w:t>设备</w:t>
      </w:r>
      <w:r>
        <w:rPr>
          <w:rFonts w:hint="eastAsia" w:ascii="宋体" w:hAnsi="宋体" w:eastAsia="宋体" w:cs="@仿宋_GB2312"/>
          <w:color w:val="auto"/>
          <w:sz w:val="24"/>
          <w:szCs w:val="20"/>
          <w:highlight w:val="none"/>
          <w:lang w:eastAsia="zh-CN"/>
        </w:rPr>
        <w:t>进行</w:t>
      </w:r>
      <w:r>
        <w:rPr>
          <w:rFonts w:hint="eastAsia" w:ascii="宋体" w:hAnsi="宋体" w:eastAsia="宋体" w:cs="@仿宋_GB2312"/>
          <w:color w:val="auto"/>
          <w:sz w:val="24"/>
          <w:szCs w:val="20"/>
          <w:highlight w:val="none"/>
        </w:rPr>
        <w:t>拆除、维修、更换、安装</w:t>
      </w:r>
      <w:r>
        <w:rPr>
          <w:rFonts w:hint="eastAsia" w:ascii="宋体" w:hAnsi="宋体" w:eastAsia="宋体" w:cs="@仿宋_GB2312"/>
          <w:color w:val="auto"/>
          <w:sz w:val="24"/>
          <w:szCs w:val="20"/>
          <w:highlight w:val="none"/>
          <w:lang w:eastAsia="zh-CN"/>
        </w:rPr>
        <w:t>，</w:t>
      </w:r>
      <w:r>
        <w:rPr>
          <w:rFonts w:hint="eastAsia" w:ascii="宋体" w:hAnsi="宋体" w:eastAsia="宋体"/>
          <w:color w:val="auto"/>
          <w:sz w:val="24"/>
          <w:highlight w:val="none"/>
          <w:lang w:val="en-US" w:eastAsia="zh-CN"/>
        </w:rPr>
        <w:t>在规定时限内对离线和损坏的设备及时派发运维工单，运维人员接单后应及时到达故障地点布置安全防范措施并完成处置工作，</w:t>
      </w:r>
      <w:r>
        <w:rPr>
          <w:rFonts w:hint="eastAsia" w:ascii="宋体" w:hAnsi="宋体" w:eastAsia="宋体" w:cs="@仿宋_GB2312"/>
          <w:color w:val="auto"/>
          <w:sz w:val="24"/>
          <w:szCs w:val="20"/>
          <w:highlight w:val="none"/>
        </w:rPr>
        <w:t>维护工单派发以及故障处置反馈等相关信息需进行记录归档备查。</w:t>
      </w:r>
      <w:r>
        <w:rPr>
          <w:rFonts w:hint="eastAsia" w:ascii="宋体" w:hAnsi="宋体" w:eastAsia="宋体" w:cs="@仿宋_GB2312"/>
          <w:color w:val="auto"/>
          <w:sz w:val="24"/>
          <w:szCs w:val="20"/>
          <w:highlight w:val="none"/>
          <w:lang w:eastAsia="zh-CN"/>
        </w:rPr>
        <w:t>与供电部门、相关通讯部门做好对接，负责断电设备、信号中断设备恢复工作，负责支付设备接电维修、通讯网络线路维修等日常运维费用，保障</w:t>
      </w:r>
      <w:r>
        <w:rPr>
          <w:rFonts w:hint="eastAsia" w:ascii="宋体" w:hAnsi="宋体" w:eastAsia="宋体"/>
          <w:color w:val="auto"/>
          <w:sz w:val="24"/>
          <w:highlight w:val="none"/>
          <w:lang w:val="en-US" w:eastAsia="zh-CN"/>
        </w:rPr>
        <w:t>设备供电和物联信号传输流畅；异常中断恢复须在24小时内完成；</w:t>
      </w:r>
      <w:r>
        <w:rPr>
          <w:rFonts w:hint="eastAsia" w:ascii="宋体" w:hAnsi="宋体" w:eastAsia="宋体" w:cs="@仿宋_GB2312"/>
          <w:color w:val="auto"/>
          <w:sz w:val="24"/>
          <w:szCs w:val="20"/>
          <w:highlight w:val="none"/>
          <w:lang w:eastAsia="zh-CN"/>
        </w:rPr>
        <w:t>确保各专项</w:t>
      </w:r>
      <w:r>
        <w:rPr>
          <w:rFonts w:hint="eastAsia" w:ascii="宋体" w:hAnsi="宋体" w:eastAsia="宋体" w:cs="@仿宋_GB2312"/>
          <w:color w:val="auto"/>
          <w:sz w:val="24"/>
          <w:szCs w:val="20"/>
          <w:highlight w:val="none"/>
        </w:rPr>
        <w:t>设备在线率</w:t>
      </w:r>
      <w:r>
        <w:rPr>
          <w:rFonts w:hint="eastAsia" w:ascii="宋体" w:hAnsi="宋体" w:eastAsia="宋体" w:cs="@仿宋_GB2312"/>
          <w:color w:val="auto"/>
          <w:sz w:val="24"/>
          <w:szCs w:val="20"/>
          <w:highlight w:val="none"/>
          <w:lang w:eastAsia="zh-CN"/>
        </w:rPr>
        <w:t>持续</w:t>
      </w:r>
      <w:r>
        <w:rPr>
          <w:rFonts w:hint="eastAsia" w:ascii="宋体" w:hAnsi="宋体" w:eastAsia="宋体" w:cs="@仿宋_GB2312"/>
          <w:color w:val="auto"/>
          <w:sz w:val="24"/>
          <w:szCs w:val="20"/>
          <w:highlight w:val="none"/>
        </w:rPr>
        <w:t>达9</w:t>
      </w:r>
      <w:r>
        <w:rPr>
          <w:rFonts w:hint="eastAsia" w:ascii="宋体" w:hAnsi="宋体" w:eastAsia="宋体" w:cs="@仿宋_GB2312"/>
          <w:color w:val="auto"/>
          <w:sz w:val="24"/>
          <w:szCs w:val="20"/>
          <w:highlight w:val="none"/>
          <w:lang w:val="en-US" w:eastAsia="zh-CN"/>
        </w:rPr>
        <w:t>6</w:t>
      </w:r>
      <w:r>
        <w:rPr>
          <w:rFonts w:hint="eastAsia" w:ascii="宋体" w:hAnsi="宋体" w:eastAsia="宋体" w:cs="@仿宋_GB2312"/>
          <w:color w:val="auto"/>
          <w:sz w:val="24"/>
          <w:szCs w:val="20"/>
          <w:highlight w:val="none"/>
        </w:rPr>
        <w:t>%以上（不含城市大建设、自然灾害等不可抗力影响）</w:t>
      </w:r>
      <w:r>
        <w:rPr>
          <w:rFonts w:hint="eastAsia" w:ascii="宋体" w:hAnsi="宋体" w:eastAsia="宋体" w:cs="@仿宋_GB2312"/>
          <w:color w:val="auto"/>
          <w:sz w:val="24"/>
          <w:szCs w:val="20"/>
          <w:highlight w:val="none"/>
          <w:lang w:eastAsia="zh-CN"/>
        </w:rPr>
        <w:t>。</w:t>
      </w:r>
    </w:p>
    <w:p w14:paraId="16BE7276">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Autospacing="0" w:afterAutospacing="0" w:line="440" w:lineRule="exact"/>
        <w:ind w:left="0" w:leftChars="0" w:firstLine="435" w:firstLineChars="0"/>
        <w:jc w:val="left"/>
        <w:rPr>
          <w:rFonts w:hint="eastAsia" w:ascii="宋体" w:hAnsi="宋体" w:eastAsia="宋体" w:cs="@仿宋_GB2312"/>
          <w:b w:val="0"/>
          <w:bCs w:val="0"/>
          <w:color w:val="auto"/>
          <w:kern w:val="2"/>
          <w:sz w:val="24"/>
          <w:szCs w:val="20"/>
          <w:highlight w:val="none"/>
          <w:lang w:val="en-US" w:eastAsia="zh-CN" w:bidi="ar-SA"/>
        </w:rPr>
      </w:pPr>
      <w:r>
        <w:rPr>
          <w:rFonts w:hint="eastAsia" w:ascii="宋体" w:hAnsi="宋体" w:eastAsia="宋体" w:cs="@仿宋_GB2312"/>
          <w:b w:val="0"/>
          <w:bCs w:val="0"/>
          <w:color w:val="auto"/>
          <w:kern w:val="2"/>
          <w:sz w:val="24"/>
          <w:szCs w:val="20"/>
          <w:highlight w:val="none"/>
          <w:lang w:val="en-US" w:eastAsia="zh-CN" w:bidi="ar-SA"/>
        </w:rPr>
        <w:t>监测范围内前端感知设备因监测点位有优化需求或因其他工作需要，需拆卸、移位、安装设备等，中标人应提供拆卸、移位、安装等服务，</w:t>
      </w:r>
      <w:r>
        <w:rPr>
          <w:rFonts w:hint="eastAsia" w:ascii="宋体" w:hAnsi="宋体" w:eastAsia="宋体"/>
          <w:color w:val="auto"/>
          <w:sz w:val="24"/>
          <w:highlight w:val="none"/>
          <w:lang w:val="en-US" w:eastAsia="zh-CN"/>
        </w:rPr>
        <w:t>采购人无需额外支付任何费用。</w:t>
      </w:r>
    </w:p>
    <w:p w14:paraId="435F118E">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Autospacing="0" w:afterAutospacing="0" w:line="360" w:lineRule="auto"/>
        <w:ind w:left="0" w:firstLine="0"/>
        <w:jc w:val="both"/>
        <w:rPr>
          <w:rFonts w:hint="eastAsia" w:ascii="宋体" w:hAnsi="宋体" w:eastAsia="宋体" w:cs="宋体"/>
          <w:bCs/>
          <w:color w:val="auto"/>
          <w:sz w:val="24"/>
          <w:szCs w:val="24"/>
          <w:highlight w:val="none"/>
          <w:lang w:eastAsia="zh-CN"/>
        </w:rPr>
      </w:pPr>
    </w:p>
    <w:p w14:paraId="78F96A63">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Autospacing="0" w:afterAutospacing="0" w:line="360" w:lineRule="auto"/>
        <w:ind w:left="0" w:firstLine="0"/>
        <w:jc w:val="center"/>
        <w:rPr>
          <w:rFonts w:hint="eastAsia" w:ascii="宋体" w:hAnsi="宋体" w:eastAsia="宋体" w:cs="@仿宋_GB2312"/>
          <w:b w:val="0"/>
          <w:bCs w:val="0"/>
          <w:color w:val="auto"/>
          <w:kern w:val="0"/>
          <w:sz w:val="24"/>
          <w:szCs w:val="20"/>
          <w:highlight w:val="none"/>
          <w:lang w:val="en-US" w:eastAsia="zh-CN" w:bidi="ar-SA"/>
        </w:rPr>
      </w:pPr>
      <w:r>
        <w:rPr>
          <w:rFonts w:hint="eastAsia" w:ascii="宋体" w:hAnsi="宋体" w:eastAsia="宋体" w:cs="宋体"/>
          <w:bCs/>
          <w:color w:val="auto"/>
          <w:sz w:val="24"/>
          <w:szCs w:val="24"/>
          <w:highlight w:val="none"/>
          <w:lang w:eastAsia="zh-CN"/>
        </w:rPr>
        <w:t>前端</w:t>
      </w:r>
      <w:r>
        <w:rPr>
          <w:rFonts w:hint="eastAsia" w:ascii="宋体" w:hAnsi="宋体" w:eastAsia="宋体" w:cs="宋体"/>
          <w:bCs/>
          <w:color w:val="auto"/>
          <w:sz w:val="24"/>
          <w:szCs w:val="24"/>
          <w:highlight w:val="none"/>
        </w:rPr>
        <w:t>监测</w:t>
      </w:r>
      <w:r>
        <w:rPr>
          <w:rFonts w:hint="eastAsia" w:ascii="宋体" w:hAnsi="宋体" w:eastAsia="宋体" w:cs="宋体"/>
          <w:bCs/>
          <w:color w:val="auto"/>
          <w:sz w:val="24"/>
          <w:szCs w:val="24"/>
          <w:highlight w:val="none"/>
          <w:lang w:eastAsia="zh-CN"/>
        </w:rPr>
        <w:t>设备</w:t>
      </w:r>
      <w:r>
        <w:rPr>
          <w:rFonts w:hint="eastAsia" w:ascii="宋体" w:hAnsi="宋体" w:eastAsia="宋体" w:cs="宋体"/>
          <w:bCs/>
          <w:color w:val="auto"/>
          <w:sz w:val="24"/>
          <w:szCs w:val="24"/>
          <w:highlight w:val="none"/>
        </w:rPr>
        <w:t>数量清单</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2"/>
        <w:gridCol w:w="2378"/>
        <w:gridCol w:w="1147"/>
        <w:gridCol w:w="1517"/>
        <w:gridCol w:w="2038"/>
      </w:tblGrid>
      <w:tr w14:paraId="71272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pct"/>
            <w:tcBorders>
              <w:top w:val="single" w:color="auto" w:sz="4" w:space="0"/>
              <w:left w:val="single" w:color="auto" w:sz="4" w:space="0"/>
              <w:bottom w:val="single" w:color="auto" w:sz="4" w:space="0"/>
              <w:right w:val="single" w:color="auto" w:sz="4" w:space="0"/>
            </w:tcBorders>
            <w:vAlign w:val="center"/>
          </w:tcPr>
          <w:p w14:paraId="7652EA8F">
            <w:pPr>
              <w:spacing w:line="360" w:lineRule="auto"/>
              <w:jc w:val="both"/>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专项</w:t>
            </w:r>
          </w:p>
        </w:tc>
        <w:tc>
          <w:tcPr>
            <w:tcW w:w="1395" w:type="pct"/>
            <w:tcBorders>
              <w:top w:val="single" w:color="auto" w:sz="4" w:space="0"/>
              <w:left w:val="single" w:color="auto" w:sz="4" w:space="0"/>
              <w:bottom w:val="single" w:color="auto" w:sz="4" w:space="0"/>
              <w:right w:val="single" w:color="auto" w:sz="4" w:space="0"/>
            </w:tcBorders>
            <w:vAlign w:val="center"/>
          </w:tcPr>
          <w:p w14:paraId="1BBC79B8">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设备类型</w:t>
            </w:r>
          </w:p>
        </w:tc>
        <w:tc>
          <w:tcPr>
            <w:tcW w:w="672" w:type="pct"/>
            <w:tcBorders>
              <w:top w:val="single" w:color="auto" w:sz="4" w:space="0"/>
              <w:left w:val="single" w:color="auto" w:sz="4" w:space="0"/>
              <w:bottom w:val="single" w:color="auto" w:sz="4" w:space="0"/>
              <w:right w:val="single" w:color="auto" w:sz="4" w:space="0"/>
            </w:tcBorders>
            <w:vAlign w:val="center"/>
          </w:tcPr>
          <w:p w14:paraId="74F2ED1D">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单位</w:t>
            </w:r>
          </w:p>
        </w:tc>
        <w:tc>
          <w:tcPr>
            <w:tcW w:w="890" w:type="pct"/>
            <w:tcBorders>
              <w:top w:val="single" w:color="auto" w:sz="4" w:space="0"/>
              <w:left w:val="single" w:color="auto" w:sz="4" w:space="0"/>
              <w:bottom w:val="single" w:color="auto" w:sz="4" w:space="0"/>
              <w:right w:val="single" w:color="auto" w:sz="4" w:space="0"/>
            </w:tcBorders>
            <w:vAlign w:val="center"/>
          </w:tcPr>
          <w:p w14:paraId="79C37A89">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数量</w:t>
            </w:r>
          </w:p>
        </w:tc>
        <w:tc>
          <w:tcPr>
            <w:tcW w:w="1195" w:type="pct"/>
            <w:tcBorders>
              <w:top w:val="single" w:color="auto" w:sz="4" w:space="0"/>
              <w:left w:val="single" w:color="auto" w:sz="4" w:space="0"/>
              <w:bottom w:val="single" w:color="auto" w:sz="4" w:space="0"/>
              <w:right w:val="single" w:color="auto" w:sz="4" w:space="0"/>
            </w:tcBorders>
            <w:vAlign w:val="center"/>
          </w:tcPr>
          <w:p w14:paraId="72514DBD">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备注</w:t>
            </w:r>
          </w:p>
        </w:tc>
      </w:tr>
      <w:tr w14:paraId="22FA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pct"/>
            <w:vMerge w:val="restart"/>
            <w:tcBorders>
              <w:top w:val="nil"/>
              <w:left w:val="single" w:color="auto" w:sz="4" w:space="0"/>
              <w:bottom w:val="single" w:color="auto" w:sz="4" w:space="0"/>
              <w:right w:val="single" w:color="auto" w:sz="4" w:space="0"/>
            </w:tcBorders>
            <w:vAlign w:val="center"/>
          </w:tcPr>
          <w:p w14:paraId="6C46E3A9">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桥梁</w:t>
            </w:r>
          </w:p>
        </w:tc>
        <w:tc>
          <w:tcPr>
            <w:tcW w:w="1395" w:type="pct"/>
            <w:tcBorders>
              <w:top w:val="single" w:color="auto" w:sz="4" w:space="0"/>
              <w:left w:val="single" w:color="auto" w:sz="4" w:space="0"/>
              <w:bottom w:val="single" w:color="auto" w:sz="4" w:space="0"/>
              <w:right w:val="single" w:color="auto" w:sz="4" w:space="0"/>
            </w:tcBorders>
            <w:vAlign w:val="center"/>
          </w:tcPr>
          <w:p w14:paraId="1707F8B5">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静力水准仪</w:t>
            </w:r>
          </w:p>
        </w:tc>
        <w:tc>
          <w:tcPr>
            <w:tcW w:w="672" w:type="pct"/>
            <w:tcBorders>
              <w:top w:val="single" w:color="auto" w:sz="4" w:space="0"/>
              <w:left w:val="single" w:color="auto" w:sz="4" w:space="0"/>
              <w:bottom w:val="single" w:color="auto" w:sz="4" w:space="0"/>
              <w:right w:val="single" w:color="auto" w:sz="4" w:space="0"/>
            </w:tcBorders>
            <w:vAlign w:val="center"/>
          </w:tcPr>
          <w:p w14:paraId="179E4E0C">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台</w:t>
            </w:r>
          </w:p>
        </w:tc>
        <w:tc>
          <w:tcPr>
            <w:tcW w:w="890" w:type="pct"/>
            <w:tcBorders>
              <w:top w:val="single" w:color="auto" w:sz="4" w:space="0"/>
              <w:left w:val="single" w:color="auto" w:sz="4" w:space="0"/>
              <w:bottom w:val="single" w:color="auto" w:sz="4" w:space="0"/>
              <w:right w:val="single" w:color="auto" w:sz="4" w:space="0"/>
            </w:tcBorders>
            <w:vAlign w:val="center"/>
          </w:tcPr>
          <w:p w14:paraId="1DC8E8A2">
            <w:pPr>
              <w:spacing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132</w:t>
            </w:r>
          </w:p>
        </w:tc>
        <w:tc>
          <w:tcPr>
            <w:tcW w:w="1195" w:type="pct"/>
            <w:vMerge w:val="restart"/>
            <w:tcBorders>
              <w:top w:val="nil"/>
              <w:left w:val="single" w:color="auto" w:sz="4" w:space="0"/>
              <w:right w:val="single" w:color="auto" w:sz="4" w:space="0"/>
            </w:tcBorders>
            <w:vAlign w:val="center"/>
          </w:tcPr>
          <w:p w14:paraId="3B588A79">
            <w:pPr>
              <w:jc w:val="center"/>
              <w:rPr>
                <w:rFonts w:hint="eastAsia" w:ascii="宋体" w:hAnsi="宋体" w:eastAsia="宋体" w:cs="@仿宋_GB2312"/>
                <w:color w:val="auto"/>
                <w:sz w:val="24"/>
                <w:szCs w:val="20"/>
                <w:highlight w:val="none"/>
                <w:lang w:eastAsia="zh-CN"/>
              </w:rPr>
            </w:pPr>
          </w:p>
          <w:p w14:paraId="45C984DA">
            <w:pPr>
              <w:jc w:val="center"/>
              <w:rPr>
                <w:rFonts w:hint="eastAsia" w:ascii="宋体" w:hAnsi="宋体" w:eastAsia="宋体" w:cs="@仿宋_GB2312"/>
                <w:color w:val="auto"/>
                <w:sz w:val="24"/>
                <w:szCs w:val="20"/>
                <w:highlight w:val="none"/>
                <w:lang w:eastAsia="zh-CN"/>
              </w:rPr>
            </w:pPr>
          </w:p>
          <w:p w14:paraId="572337FA">
            <w:pPr>
              <w:jc w:val="center"/>
              <w:rPr>
                <w:rFonts w:hint="eastAsia" w:ascii="宋体" w:hAnsi="宋体" w:eastAsia="宋体" w:cs="@仿宋_GB2312"/>
                <w:color w:val="auto"/>
                <w:sz w:val="24"/>
                <w:szCs w:val="20"/>
                <w:highlight w:val="none"/>
                <w:lang w:eastAsia="zh-CN"/>
              </w:rPr>
            </w:pPr>
          </w:p>
          <w:p w14:paraId="5975F2FD">
            <w:pPr>
              <w:rPr>
                <w:rFonts w:hint="eastAsia" w:ascii="宋体" w:hAnsi="宋体" w:eastAsia="宋体" w:cs="@仿宋_GB2312"/>
                <w:color w:val="auto"/>
                <w:sz w:val="24"/>
                <w:szCs w:val="20"/>
                <w:highlight w:val="none"/>
                <w:lang w:eastAsia="zh-CN"/>
              </w:rPr>
            </w:pPr>
          </w:p>
          <w:p w14:paraId="1195B7C3">
            <w:pPr>
              <w:jc w:val="center"/>
              <w:rPr>
                <w:rFonts w:hint="eastAsia" w:ascii="宋体" w:hAnsi="宋体" w:eastAsia="宋体" w:cs="@仿宋_GB2312"/>
                <w:color w:val="auto"/>
                <w:sz w:val="24"/>
                <w:szCs w:val="20"/>
                <w:highlight w:val="none"/>
                <w:lang w:eastAsia="zh-CN"/>
              </w:rPr>
            </w:pPr>
          </w:p>
          <w:p w14:paraId="2005928E">
            <w:pPr>
              <w:jc w:val="center"/>
              <w:rPr>
                <w:rFonts w:hint="eastAsia" w:ascii="宋体" w:hAnsi="宋体" w:eastAsia="宋体" w:cs="@仿宋_GB2312"/>
                <w:color w:val="auto"/>
                <w:sz w:val="24"/>
                <w:szCs w:val="20"/>
                <w:highlight w:val="none"/>
                <w:lang w:eastAsia="zh-CN"/>
              </w:rPr>
            </w:pPr>
          </w:p>
          <w:p w14:paraId="409D5DD6">
            <w:pPr>
              <w:jc w:val="center"/>
              <w:rPr>
                <w:rFonts w:hint="eastAsia" w:ascii="宋体" w:hAnsi="宋体" w:eastAsia="宋体" w:cs="@仿宋_GB2312"/>
                <w:color w:val="auto"/>
                <w:sz w:val="24"/>
                <w:szCs w:val="20"/>
                <w:highlight w:val="none"/>
                <w:lang w:eastAsia="zh-CN"/>
              </w:rPr>
            </w:pPr>
          </w:p>
          <w:p w14:paraId="777242EE">
            <w:pPr>
              <w:jc w:val="center"/>
              <w:rPr>
                <w:rFonts w:hint="eastAsia" w:ascii="宋体" w:hAnsi="宋体" w:eastAsia="宋体" w:cs="@仿宋_GB2312"/>
                <w:color w:val="auto"/>
                <w:sz w:val="24"/>
                <w:szCs w:val="20"/>
                <w:highlight w:val="none"/>
                <w:lang w:eastAsia="zh-CN"/>
              </w:rPr>
            </w:pPr>
          </w:p>
          <w:p w14:paraId="0B6BCD0B">
            <w:pPr>
              <w:jc w:val="center"/>
              <w:rPr>
                <w:rFonts w:hint="eastAsia" w:ascii="宋体" w:hAnsi="宋体" w:eastAsia="宋体" w:cs="@仿宋_GB2312"/>
                <w:color w:val="auto"/>
                <w:sz w:val="24"/>
                <w:szCs w:val="20"/>
                <w:highlight w:val="none"/>
                <w:lang w:eastAsia="zh-CN"/>
              </w:rPr>
            </w:pPr>
          </w:p>
          <w:p w14:paraId="25422FD7">
            <w:pPr>
              <w:jc w:val="center"/>
              <w:rPr>
                <w:rFonts w:hint="eastAsia" w:ascii="宋体" w:hAnsi="宋体" w:eastAsia="宋体" w:cs="宋体"/>
                <w:bCs/>
                <w:color w:val="auto"/>
                <w:sz w:val="24"/>
                <w:szCs w:val="24"/>
                <w:highlight w:val="none"/>
                <w:lang w:eastAsia="zh-CN"/>
              </w:rPr>
            </w:pPr>
            <w:r>
              <w:rPr>
                <w:rFonts w:hint="eastAsia" w:ascii="宋体" w:hAnsi="宋体" w:eastAsia="宋体" w:cs="@仿宋_GB2312"/>
                <w:color w:val="auto"/>
                <w:sz w:val="24"/>
                <w:szCs w:val="20"/>
                <w:highlight w:val="none"/>
                <w:lang w:eastAsia="zh-CN"/>
              </w:rPr>
              <w:t>投标人根据</w:t>
            </w:r>
            <w:r>
              <w:rPr>
                <w:rFonts w:hint="eastAsia" w:ascii="宋体" w:hAnsi="宋体" w:eastAsia="宋体" w:cs="宋体"/>
                <w:bCs/>
                <w:color w:val="auto"/>
                <w:sz w:val="24"/>
                <w:szCs w:val="24"/>
                <w:highlight w:val="none"/>
                <w:lang w:eastAsia="zh-CN"/>
              </w:rPr>
              <w:t>前端</w:t>
            </w:r>
            <w:r>
              <w:rPr>
                <w:rFonts w:hint="eastAsia" w:ascii="宋体" w:hAnsi="宋体" w:eastAsia="宋体" w:cs="宋体"/>
                <w:bCs/>
                <w:color w:val="auto"/>
                <w:sz w:val="24"/>
                <w:szCs w:val="24"/>
                <w:highlight w:val="none"/>
              </w:rPr>
              <w:t>监测</w:t>
            </w:r>
            <w:r>
              <w:rPr>
                <w:rFonts w:hint="eastAsia" w:ascii="宋体" w:hAnsi="宋体" w:eastAsia="宋体" w:cs="宋体"/>
                <w:bCs/>
                <w:color w:val="auto"/>
                <w:sz w:val="24"/>
                <w:szCs w:val="24"/>
                <w:highlight w:val="none"/>
                <w:lang w:eastAsia="zh-CN"/>
              </w:rPr>
              <w:t>设备</w:t>
            </w:r>
            <w:r>
              <w:rPr>
                <w:rFonts w:hint="eastAsia" w:ascii="宋体" w:hAnsi="宋体" w:eastAsia="宋体" w:cs="宋体"/>
                <w:bCs/>
                <w:color w:val="auto"/>
                <w:sz w:val="24"/>
                <w:szCs w:val="24"/>
                <w:highlight w:val="none"/>
              </w:rPr>
              <w:t>数量</w:t>
            </w:r>
            <w:r>
              <w:rPr>
                <w:rFonts w:hint="eastAsia" w:ascii="宋体" w:hAnsi="宋体" w:eastAsia="宋体" w:cs="宋体"/>
                <w:bCs/>
                <w:color w:val="auto"/>
                <w:sz w:val="24"/>
                <w:szCs w:val="24"/>
                <w:highlight w:val="none"/>
                <w:lang w:eastAsia="zh-CN"/>
              </w:rPr>
              <w:t>涉及的保管、</w:t>
            </w:r>
            <w:r>
              <w:rPr>
                <w:rFonts w:hint="eastAsia" w:ascii="宋体" w:hAnsi="宋体" w:eastAsia="宋体" w:cs="@仿宋_GB2312"/>
                <w:color w:val="auto"/>
                <w:sz w:val="24"/>
                <w:szCs w:val="20"/>
                <w:highlight w:val="none"/>
              </w:rPr>
              <w:t>保养、校准、调试、维修</w:t>
            </w:r>
            <w:r>
              <w:rPr>
                <w:rFonts w:hint="eastAsia" w:ascii="宋体" w:hAnsi="宋体" w:eastAsia="宋体" w:cs="@仿宋_GB2312"/>
                <w:color w:val="auto"/>
                <w:sz w:val="24"/>
                <w:szCs w:val="20"/>
                <w:highlight w:val="none"/>
                <w:lang w:eastAsia="zh-CN"/>
              </w:rPr>
              <w:t>以及备品备件准备等采购需求，自行考虑运维费用。中标后，不得以任何理由追加费用。</w:t>
            </w:r>
          </w:p>
        </w:tc>
      </w:tr>
      <w:tr w14:paraId="063EB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7D900EEA">
            <w:pPr>
              <w:spacing w:line="360" w:lineRule="auto"/>
              <w:ind w:firstLine="435"/>
              <w:jc w:val="center"/>
              <w:rPr>
                <w:rFonts w:hint="eastAsia" w:ascii="宋体" w:hAnsi="宋体" w:eastAsia="宋体" w:cs="宋体"/>
                <w:b/>
                <w:bCs/>
                <w:color w:val="auto"/>
                <w:sz w:val="24"/>
                <w:szCs w:val="24"/>
                <w:highlight w:val="none"/>
              </w:rPr>
            </w:pPr>
          </w:p>
        </w:tc>
        <w:tc>
          <w:tcPr>
            <w:tcW w:w="1395" w:type="pct"/>
            <w:tcBorders>
              <w:top w:val="single" w:color="auto" w:sz="4" w:space="0"/>
              <w:left w:val="single" w:color="auto" w:sz="4" w:space="0"/>
              <w:bottom w:val="single" w:color="auto" w:sz="4" w:space="0"/>
              <w:right w:val="single" w:color="auto" w:sz="4" w:space="0"/>
            </w:tcBorders>
            <w:vAlign w:val="center"/>
          </w:tcPr>
          <w:p w14:paraId="2483F996">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应变计</w:t>
            </w:r>
          </w:p>
        </w:tc>
        <w:tc>
          <w:tcPr>
            <w:tcW w:w="672" w:type="pct"/>
            <w:tcBorders>
              <w:top w:val="single" w:color="auto" w:sz="4" w:space="0"/>
              <w:left w:val="single" w:color="auto" w:sz="4" w:space="0"/>
              <w:bottom w:val="single" w:color="auto" w:sz="4" w:space="0"/>
              <w:right w:val="single" w:color="auto" w:sz="4" w:space="0"/>
            </w:tcBorders>
            <w:vAlign w:val="center"/>
          </w:tcPr>
          <w:p w14:paraId="3C9CF7B2">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台</w:t>
            </w:r>
          </w:p>
        </w:tc>
        <w:tc>
          <w:tcPr>
            <w:tcW w:w="890" w:type="pct"/>
            <w:tcBorders>
              <w:top w:val="single" w:color="auto" w:sz="4" w:space="0"/>
              <w:left w:val="single" w:color="auto" w:sz="4" w:space="0"/>
              <w:bottom w:val="single" w:color="auto" w:sz="4" w:space="0"/>
              <w:right w:val="single" w:color="auto" w:sz="4" w:space="0"/>
            </w:tcBorders>
            <w:vAlign w:val="center"/>
          </w:tcPr>
          <w:p w14:paraId="5288EEA6">
            <w:pPr>
              <w:spacing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1173</w:t>
            </w:r>
          </w:p>
        </w:tc>
        <w:tc>
          <w:tcPr>
            <w:tcW w:w="1195" w:type="pct"/>
            <w:vMerge w:val="continue"/>
            <w:tcBorders>
              <w:left w:val="single" w:color="auto" w:sz="4" w:space="0"/>
              <w:right w:val="single" w:color="auto" w:sz="4" w:space="0"/>
            </w:tcBorders>
            <w:vAlign w:val="center"/>
          </w:tcPr>
          <w:p w14:paraId="7F70C880">
            <w:pPr>
              <w:spacing w:line="360" w:lineRule="auto"/>
              <w:ind w:firstLine="435"/>
              <w:rPr>
                <w:rFonts w:hint="eastAsia" w:ascii="宋体" w:hAnsi="宋体" w:eastAsia="宋体" w:cs="宋体"/>
                <w:b/>
                <w:bCs/>
                <w:color w:val="auto"/>
                <w:sz w:val="24"/>
                <w:szCs w:val="24"/>
                <w:highlight w:val="none"/>
              </w:rPr>
            </w:pPr>
          </w:p>
        </w:tc>
      </w:tr>
      <w:tr w14:paraId="24C3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1D302E9F">
            <w:pPr>
              <w:spacing w:line="360" w:lineRule="auto"/>
              <w:ind w:firstLine="435"/>
              <w:jc w:val="center"/>
              <w:rPr>
                <w:rFonts w:hint="eastAsia" w:ascii="宋体" w:hAnsi="宋体" w:eastAsia="宋体" w:cs="宋体"/>
                <w:b/>
                <w:bCs/>
                <w:color w:val="auto"/>
                <w:sz w:val="24"/>
                <w:szCs w:val="24"/>
                <w:highlight w:val="none"/>
              </w:rPr>
            </w:pPr>
          </w:p>
        </w:tc>
        <w:tc>
          <w:tcPr>
            <w:tcW w:w="1395" w:type="pct"/>
            <w:tcBorders>
              <w:top w:val="single" w:color="auto" w:sz="4" w:space="0"/>
              <w:left w:val="single" w:color="auto" w:sz="4" w:space="0"/>
              <w:bottom w:val="single" w:color="auto" w:sz="4" w:space="0"/>
              <w:right w:val="single" w:color="auto" w:sz="4" w:space="0"/>
            </w:tcBorders>
            <w:vAlign w:val="center"/>
          </w:tcPr>
          <w:p w14:paraId="47918A3D">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温度计</w:t>
            </w:r>
          </w:p>
        </w:tc>
        <w:tc>
          <w:tcPr>
            <w:tcW w:w="672" w:type="pct"/>
            <w:tcBorders>
              <w:top w:val="single" w:color="auto" w:sz="4" w:space="0"/>
              <w:left w:val="single" w:color="auto" w:sz="4" w:space="0"/>
              <w:bottom w:val="single" w:color="auto" w:sz="4" w:space="0"/>
              <w:right w:val="single" w:color="auto" w:sz="4" w:space="0"/>
            </w:tcBorders>
            <w:vAlign w:val="center"/>
          </w:tcPr>
          <w:p w14:paraId="3A30AA46">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台</w:t>
            </w:r>
          </w:p>
        </w:tc>
        <w:tc>
          <w:tcPr>
            <w:tcW w:w="890" w:type="pct"/>
            <w:tcBorders>
              <w:top w:val="single" w:color="auto" w:sz="4" w:space="0"/>
              <w:left w:val="single" w:color="auto" w:sz="4" w:space="0"/>
              <w:bottom w:val="single" w:color="auto" w:sz="4" w:space="0"/>
              <w:right w:val="single" w:color="auto" w:sz="4" w:space="0"/>
            </w:tcBorders>
            <w:vAlign w:val="center"/>
          </w:tcPr>
          <w:p w14:paraId="1BCF72D0">
            <w:pPr>
              <w:spacing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425</w:t>
            </w:r>
          </w:p>
        </w:tc>
        <w:tc>
          <w:tcPr>
            <w:tcW w:w="1195" w:type="pct"/>
            <w:vMerge w:val="continue"/>
            <w:tcBorders>
              <w:left w:val="single" w:color="auto" w:sz="4" w:space="0"/>
              <w:right w:val="single" w:color="auto" w:sz="4" w:space="0"/>
            </w:tcBorders>
            <w:vAlign w:val="center"/>
          </w:tcPr>
          <w:p w14:paraId="3F117B3B">
            <w:pPr>
              <w:spacing w:line="360" w:lineRule="auto"/>
              <w:ind w:firstLine="435"/>
              <w:rPr>
                <w:rFonts w:hint="eastAsia" w:ascii="宋体" w:hAnsi="宋体" w:eastAsia="宋体" w:cs="宋体"/>
                <w:b/>
                <w:bCs/>
                <w:color w:val="auto"/>
                <w:sz w:val="24"/>
                <w:szCs w:val="24"/>
                <w:highlight w:val="none"/>
              </w:rPr>
            </w:pPr>
          </w:p>
        </w:tc>
      </w:tr>
      <w:tr w14:paraId="6617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4E7AD007">
            <w:pPr>
              <w:spacing w:line="360" w:lineRule="auto"/>
              <w:ind w:firstLine="435"/>
              <w:jc w:val="center"/>
              <w:rPr>
                <w:rFonts w:hint="eastAsia" w:ascii="宋体" w:hAnsi="宋体" w:eastAsia="宋体" w:cs="宋体"/>
                <w:b/>
                <w:bCs/>
                <w:color w:val="auto"/>
                <w:sz w:val="24"/>
                <w:szCs w:val="24"/>
                <w:highlight w:val="none"/>
              </w:rPr>
            </w:pPr>
          </w:p>
        </w:tc>
        <w:tc>
          <w:tcPr>
            <w:tcW w:w="1395" w:type="pct"/>
            <w:tcBorders>
              <w:top w:val="single" w:color="auto" w:sz="4" w:space="0"/>
              <w:left w:val="single" w:color="auto" w:sz="4" w:space="0"/>
              <w:bottom w:val="single" w:color="auto" w:sz="4" w:space="0"/>
              <w:right w:val="single" w:color="auto" w:sz="4" w:space="0"/>
            </w:tcBorders>
            <w:vAlign w:val="center"/>
          </w:tcPr>
          <w:p w14:paraId="332149C4">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拉线位移计</w:t>
            </w:r>
          </w:p>
        </w:tc>
        <w:tc>
          <w:tcPr>
            <w:tcW w:w="672" w:type="pct"/>
            <w:tcBorders>
              <w:top w:val="single" w:color="auto" w:sz="4" w:space="0"/>
              <w:left w:val="single" w:color="auto" w:sz="4" w:space="0"/>
              <w:bottom w:val="single" w:color="auto" w:sz="4" w:space="0"/>
              <w:right w:val="single" w:color="auto" w:sz="4" w:space="0"/>
            </w:tcBorders>
            <w:vAlign w:val="center"/>
          </w:tcPr>
          <w:p w14:paraId="6DAE9747">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台</w:t>
            </w:r>
          </w:p>
        </w:tc>
        <w:tc>
          <w:tcPr>
            <w:tcW w:w="890" w:type="pct"/>
            <w:tcBorders>
              <w:top w:val="single" w:color="auto" w:sz="4" w:space="0"/>
              <w:left w:val="single" w:color="auto" w:sz="4" w:space="0"/>
              <w:bottom w:val="single" w:color="auto" w:sz="4" w:space="0"/>
              <w:right w:val="single" w:color="auto" w:sz="4" w:space="0"/>
            </w:tcBorders>
            <w:vAlign w:val="center"/>
          </w:tcPr>
          <w:p w14:paraId="2E7B3ED0">
            <w:pPr>
              <w:spacing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20</w:t>
            </w:r>
          </w:p>
        </w:tc>
        <w:tc>
          <w:tcPr>
            <w:tcW w:w="1195" w:type="pct"/>
            <w:vMerge w:val="continue"/>
            <w:tcBorders>
              <w:left w:val="single" w:color="auto" w:sz="4" w:space="0"/>
              <w:right w:val="single" w:color="auto" w:sz="4" w:space="0"/>
            </w:tcBorders>
            <w:vAlign w:val="center"/>
          </w:tcPr>
          <w:p w14:paraId="52B1D2AD">
            <w:pPr>
              <w:spacing w:line="360" w:lineRule="auto"/>
              <w:ind w:firstLine="435"/>
              <w:rPr>
                <w:rFonts w:hint="eastAsia" w:ascii="宋体" w:hAnsi="宋体" w:eastAsia="宋体" w:cs="宋体"/>
                <w:b/>
                <w:bCs/>
                <w:color w:val="auto"/>
                <w:sz w:val="24"/>
                <w:szCs w:val="24"/>
                <w:highlight w:val="none"/>
              </w:rPr>
            </w:pPr>
          </w:p>
        </w:tc>
      </w:tr>
      <w:tr w14:paraId="045E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784069DB">
            <w:pPr>
              <w:spacing w:line="360" w:lineRule="auto"/>
              <w:ind w:firstLine="435"/>
              <w:jc w:val="center"/>
              <w:rPr>
                <w:rFonts w:hint="eastAsia" w:ascii="宋体" w:hAnsi="宋体" w:eastAsia="宋体" w:cs="宋体"/>
                <w:b/>
                <w:bCs/>
                <w:color w:val="auto"/>
                <w:sz w:val="24"/>
                <w:szCs w:val="24"/>
                <w:highlight w:val="none"/>
              </w:rPr>
            </w:pPr>
          </w:p>
        </w:tc>
        <w:tc>
          <w:tcPr>
            <w:tcW w:w="1395" w:type="pct"/>
            <w:tcBorders>
              <w:top w:val="single" w:color="auto" w:sz="4" w:space="0"/>
              <w:left w:val="single" w:color="auto" w:sz="4" w:space="0"/>
              <w:bottom w:val="single" w:color="auto" w:sz="4" w:space="0"/>
              <w:right w:val="single" w:color="auto" w:sz="4" w:space="0"/>
            </w:tcBorders>
            <w:vAlign w:val="center"/>
          </w:tcPr>
          <w:p w14:paraId="137079AF">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倾角仪</w:t>
            </w:r>
          </w:p>
        </w:tc>
        <w:tc>
          <w:tcPr>
            <w:tcW w:w="672" w:type="pct"/>
            <w:tcBorders>
              <w:top w:val="single" w:color="auto" w:sz="4" w:space="0"/>
              <w:left w:val="single" w:color="auto" w:sz="4" w:space="0"/>
              <w:bottom w:val="single" w:color="auto" w:sz="4" w:space="0"/>
              <w:right w:val="single" w:color="auto" w:sz="4" w:space="0"/>
            </w:tcBorders>
            <w:vAlign w:val="center"/>
          </w:tcPr>
          <w:p w14:paraId="7889A0E4">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台</w:t>
            </w:r>
          </w:p>
        </w:tc>
        <w:tc>
          <w:tcPr>
            <w:tcW w:w="890" w:type="pct"/>
            <w:tcBorders>
              <w:top w:val="single" w:color="auto" w:sz="4" w:space="0"/>
              <w:left w:val="single" w:color="auto" w:sz="4" w:space="0"/>
              <w:bottom w:val="single" w:color="auto" w:sz="4" w:space="0"/>
              <w:right w:val="single" w:color="auto" w:sz="4" w:space="0"/>
            </w:tcBorders>
            <w:vAlign w:val="center"/>
          </w:tcPr>
          <w:p w14:paraId="4BE43B89">
            <w:pPr>
              <w:spacing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20</w:t>
            </w:r>
          </w:p>
        </w:tc>
        <w:tc>
          <w:tcPr>
            <w:tcW w:w="1195" w:type="pct"/>
            <w:vMerge w:val="continue"/>
            <w:tcBorders>
              <w:left w:val="single" w:color="auto" w:sz="4" w:space="0"/>
              <w:right w:val="single" w:color="auto" w:sz="4" w:space="0"/>
            </w:tcBorders>
            <w:vAlign w:val="center"/>
          </w:tcPr>
          <w:p w14:paraId="39EBD396">
            <w:pPr>
              <w:spacing w:line="360" w:lineRule="auto"/>
              <w:ind w:firstLine="435"/>
              <w:rPr>
                <w:rFonts w:hint="eastAsia" w:ascii="宋体" w:hAnsi="宋体" w:eastAsia="宋体" w:cs="宋体"/>
                <w:b/>
                <w:bCs/>
                <w:color w:val="auto"/>
                <w:sz w:val="24"/>
                <w:szCs w:val="24"/>
                <w:highlight w:val="none"/>
              </w:rPr>
            </w:pPr>
          </w:p>
        </w:tc>
      </w:tr>
      <w:tr w14:paraId="4089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7C53B5F8">
            <w:pPr>
              <w:spacing w:line="360" w:lineRule="auto"/>
              <w:ind w:firstLine="435"/>
              <w:jc w:val="center"/>
              <w:rPr>
                <w:rFonts w:hint="eastAsia" w:ascii="宋体" w:hAnsi="宋体" w:eastAsia="宋体" w:cs="宋体"/>
                <w:b/>
                <w:bCs/>
                <w:color w:val="auto"/>
                <w:sz w:val="24"/>
                <w:szCs w:val="24"/>
                <w:highlight w:val="none"/>
              </w:rPr>
            </w:pPr>
          </w:p>
        </w:tc>
        <w:tc>
          <w:tcPr>
            <w:tcW w:w="1395" w:type="pct"/>
            <w:tcBorders>
              <w:top w:val="single" w:color="auto" w:sz="4" w:space="0"/>
              <w:left w:val="single" w:color="auto" w:sz="4" w:space="0"/>
              <w:bottom w:val="single" w:color="auto" w:sz="4" w:space="0"/>
              <w:right w:val="single" w:color="auto" w:sz="4" w:space="0"/>
            </w:tcBorders>
            <w:vAlign w:val="center"/>
          </w:tcPr>
          <w:p w14:paraId="506D697A">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加速度</w:t>
            </w:r>
          </w:p>
        </w:tc>
        <w:tc>
          <w:tcPr>
            <w:tcW w:w="672" w:type="pct"/>
            <w:tcBorders>
              <w:top w:val="single" w:color="auto" w:sz="4" w:space="0"/>
              <w:left w:val="single" w:color="auto" w:sz="4" w:space="0"/>
              <w:bottom w:val="single" w:color="auto" w:sz="4" w:space="0"/>
              <w:right w:val="single" w:color="auto" w:sz="4" w:space="0"/>
            </w:tcBorders>
            <w:vAlign w:val="center"/>
          </w:tcPr>
          <w:p w14:paraId="35B1B253">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台</w:t>
            </w:r>
          </w:p>
        </w:tc>
        <w:tc>
          <w:tcPr>
            <w:tcW w:w="890" w:type="pct"/>
            <w:tcBorders>
              <w:top w:val="single" w:color="auto" w:sz="4" w:space="0"/>
              <w:left w:val="single" w:color="auto" w:sz="4" w:space="0"/>
              <w:bottom w:val="single" w:color="auto" w:sz="4" w:space="0"/>
              <w:right w:val="single" w:color="auto" w:sz="4" w:space="0"/>
            </w:tcBorders>
            <w:vAlign w:val="center"/>
          </w:tcPr>
          <w:p w14:paraId="713EF886">
            <w:pPr>
              <w:spacing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131</w:t>
            </w:r>
          </w:p>
        </w:tc>
        <w:tc>
          <w:tcPr>
            <w:tcW w:w="1195" w:type="pct"/>
            <w:vMerge w:val="continue"/>
            <w:tcBorders>
              <w:left w:val="single" w:color="auto" w:sz="4" w:space="0"/>
              <w:right w:val="single" w:color="auto" w:sz="4" w:space="0"/>
            </w:tcBorders>
            <w:vAlign w:val="center"/>
          </w:tcPr>
          <w:p w14:paraId="7B7A6A27">
            <w:pPr>
              <w:spacing w:line="360" w:lineRule="auto"/>
              <w:ind w:firstLine="435"/>
              <w:rPr>
                <w:rFonts w:hint="eastAsia" w:ascii="宋体" w:hAnsi="宋体" w:eastAsia="宋体" w:cs="宋体"/>
                <w:b/>
                <w:bCs/>
                <w:color w:val="auto"/>
                <w:sz w:val="24"/>
                <w:szCs w:val="24"/>
                <w:highlight w:val="none"/>
              </w:rPr>
            </w:pPr>
          </w:p>
        </w:tc>
      </w:tr>
      <w:tr w14:paraId="67C0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2B74D6BE">
            <w:pPr>
              <w:spacing w:line="360" w:lineRule="auto"/>
              <w:ind w:firstLine="435"/>
              <w:jc w:val="center"/>
              <w:rPr>
                <w:rFonts w:hint="eastAsia" w:ascii="宋体" w:hAnsi="宋体" w:eastAsia="宋体" w:cs="宋体"/>
                <w:b/>
                <w:bCs/>
                <w:color w:val="auto"/>
                <w:sz w:val="24"/>
                <w:szCs w:val="24"/>
                <w:highlight w:val="none"/>
              </w:rPr>
            </w:pPr>
          </w:p>
        </w:tc>
        <w:tc>
          <w:tcPr>
            <w:tcW w:w="1395" w:type="pct"/>
            <w:tcBorders>
              <w:top w:val="single" w:color="auto" w:sz="4" w:space="0"/>
              <w:left w:val="single" w:color="auto" w:sz="4" w:space="0"/>
              <w:bottom w:val="single" w:color="auto" w:sz="4" w:space="0"/>
              <w:right w:val="single" w:color="auto" w:sz="4" w:space="0"/>
            </w:tcBorders>
            <w:shd w:val="clear" w:color="auto" w:fill="auto"/>
            <w:vAlign w:val="center"/>
          </w:tcPr>
          <w:p w14:paraId="241AA90B">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反射靶标</w:t>
            </w:r>
          </w:p>
        </w:tc>
        <w:tc>
          <w:tcPr>
            <w:tcW w:w="672" w:type="pct"/>
            <w:tcBorders>
              <w:top w:val="single" w:color="auto" w:sz="4" w:space="0"/>
              <w:left w:val="single" w:color="auto" w:sz="4" w:space="0"/>
              <w:bottom w:val="single" w:color="auto" w:sz="4" w:space="0"/>
              <w:right w:val="single" w:color="auto" w:sz="4" w:space="0"/>
            </w:tcBorders>
            <w:shd w:val="clear" w:color="auto" w:fill="auto"/>
            <w:vAlign w:val="center"/>
          </w:tcPr>
          <w:p w14:paraId="2CE7399E">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台</w:t>
            </w:r>
          </w:p>
        </w:tc>
        <w:tc>
          <w:tcPr>
            <w:tcW w:w="890" w:type="pct"/>
            <w:tcBorders>
              <w:top w:val="single" w:color="auto" w:sz="4" w:space="0"/>
              <w:left w:val="single" w:color="auto" w:sz="4" w:space="0"/>
              <w:bottom w:val="single" w:color="auto" w:sz="4" w:space="0"/>
              <w:right w:val="single" w:color="auto" w:sz="4" w:space="0"/>
            </w:tcBorders>
            <w:shd w:val="clear" w:color="auto" w:fill="auto"/>
            <w:vAlign w:val="center"/>
          </w:tcPr>
          <w:p w14:paraId="16526EB0">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150</w:t>
            </w:r>
          </w:p>
        </w:tc>
        <w:tc>
          <w:tcPr>
            <w:tcW w:w="1195" w:type="pct"/>
            <w:vMerge w:val="continue"/>
            <w:tcBorders>
              <w:left w:val="single" w:color="auto" w:sz="4" w:space="0"/>
              <w:right w:val="single" w:color="auto" w:sz="4" w:space="0"/>
            </w:tcBorders>
            <w:vAlign w:val="center"/>
          </w:tcPr>
          <w:p w14:paraId="1AF4F6C5">
            <w:pPr>
              <w:spacing w:line="360" w:lineRule="auto"/>
              <w:ind w:firstLine="435"/>
              <w:rPr>
                <w:rFonts w:hint="eastAsia" w:ascii="宋体" w:hAnsi="宋体" w:eastAsia="宋体" w:cs="宋体"/>
                <w:b/>
                <w:bCs/>
                <w:color w:val="auto"/>
                <w:sz w:val="24"/>
                <w:szCs w:val="24"/>
                <w:highlight w:val="none"/>
              </w:rPr>
            </w:pPr>
          </w:p>
        </w:tc>
      </w:tr>
      <w:tr w14:paraId="04C8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35922B19">
            <w:pPr>
              <w:spacing w:line="360" w:lineRule="auto"/>
              <w:ind w:firstLine="435"/>
              <w:jc w:val="center"/>
              <w:rPr>
                <w:rFonts w:hint="eastAsia" w:ascii="宋体" w:hAnsi="宋体" w:eastAsia="宋体" w:cs="宋体"/>
                <w:b/>
                <w:bCs/>
                <w:color w:val="auto"/>
                <w:sz w:val="24"/>
                <w:szCs w:val="24"/>
                <w:highlight w:val="none"/>
              </w:rPr>
            </w:pPr>
          </w:p>
        </w:tc>
        <w:tc>
          <w:tcPr>
            <w:tcW w:w="1395" w:type="pct"/>
            <w:tcBorders>
              <w:top w:val="single" w:color="auto" w:sz="4" w:space="0"/>
              <w:left w:val="single" w:color="auto" w:sz="4" w:space="0"/>
              <w:bottom w:val="single" w:color="auto" w:sz="4" w:space="0"/>
              <w:right w:val="single" w:color="auto" w:sz="4" w:space="0"/>
            </w:tcBorders>
            <w:shd w:val="clear" w:color="auto" w:fill="auto"/>
            <w:vAlign w:val="center"/>
          </w:tcPr>
          <w:p w14:paraId="33CE2F05">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智能视频动态位移计</w:t>
            </w:r>
          </w:p>
        </w:tc>
        <w:tc>
          <w:tcPr>
            <w:tcW w:w="672" w:type="pct"/>
            <w:tcBorders>
              <w:top w:val="single" w:color="auto" w:sz="4" w:space="0"/>
              <w:left w:val="single" w:color="auto" w:sz="4" w:space="0"/>
              <w:bottom w:val="single" w:color="auto" w:sz="4" w:space="0"/>
              <w:right w:val="single" w:color="auto" w:sz="4" w:space="0"/>
            </w:tcBorders>
            <w:shd w:val="clear" w:color="auto" w:fill="auto"/>
            <w:vAlign w:val="center"/>
          </w:tcPr>
          <w:p w14:paraId="3A8ECD3D">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台</w:t>
            </w:r>
          </w:p>
        </w:tc>
        <w:tc>
          <w:tcPr>
            <w:tcW w:w="890" w:type="pct"/>
            <w:tcBorders>
              <w:top w:val="single" w:color="auto" w:sz="4" w:space="0"/>
              <w:left w:val="single" w:color="auto" w:sz="4" w:space="0"/>
              <w:bottom w:val="single" w:color="auto" w:sz="4" w:space="0"/>
              <w:right w:val="single" w:color="auto" w:sz="4" w:space="0"/>
            </w:tcBorders>
            <w:shd w:val="clear" w:color="auto" w:fill="auto"/>
            <w:vAlign w:val="center"/>
          </w:tcPr>
          <w:p w14:paraId="567081C9">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60</w:t>
            </w:r>
          </w:p>
        </w:tc>
        <w:tc>
          <w:tcPr>
            <w:tcW w:w="1195" w:type="pct"/>
            <w:vMerge w:val="continue"/>
            <w:tcBorders>
              <w:left w:val="single" w:color="auto" w:sz="4" w:space="0"/>
              <w:right w:val="single" w:color="auto" w:sz="4" w:space="0"/>
            </w:tcBorders>
            <w:vAlign w:val="center"/>
          </w:tcPr>
          <w:p w14:paraId="02E65F84">
            <w:pPr>
              <w:spacing w:line="360" w:lineRule="auto"/>
              <w:ind w:firstLine="435"/>
              <w:rPr>
                <w:rFonts w:hint="eastAsia" w:ascii="宋体" w:hAnsi="宋体" w:eastAsia="宋体" w:cs="宋体"/>
                <w:b/>
                <w:bCs/>
                <w:color w:val="auto"/>
                <w:sz w:val="24"/>
                <w:szCs w:val="24"/>
                <w:highlight w:val="none"/>
              </w:rPr>
            </w:pPr>
          </w:p>
        </w:tc>
      </w:tr>
      <w:tr w14:paraId="7745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120A12A5">
            <w:pPr>
              <w:spacing w:line="360" w:lineRule="auto"/>
              <w:ind w:firstLine="435"/>
              <w:jc w:val="center"/>
              <w:rPr>
                <w:rFonts w:hint="eastAsia" w:ascii="宋体" w:hAnsi="宋体" w:eastAsia="宋体" w:cs="宋体"/>
                <w:b/>
                <w:bCs/>
                <w:color w:val="auto"/>
                <w:sz w:val="24"/>
                <w:szCs w:val="24"/>
                <w:highlight w:val="none"/>
              </w:rPr>
            </w:pPr>
          </w:p>
        </w:tc>
        <w:tc>
          <w:tcPr>
            <w:tcW w:w="1395" w:type="pct"/>
            <w:tcBorders>
              <w:top w:val="single" w:color="auto" w:sz="4" w:space="0"/>
              <w:left w:val="single" w:color="auto" w:sz="4" w:space="0"/>
              <w:bottom w:val="single" w:color="auto" w:sz="4" w:space="0"/>
              <w:right w:val="single" w:color="auto" w:sz="4" w:space="0"/>
            </w:tcBorders>
            <w:shd w:val="clear" w:color="auto" w:fill="auto"/>
            <w:vAlign w:val="center"/>
          </w:tcPr>
          <w:p w14:paraId="08D82A17">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测缝计</w:t>
            </w:r>
          </w:p>
        </w:tc>
        <w:tc>
          <w:tcPr>
            <w:tcW w:w="672" w:type="pct"/>
            <w:tcBorders>
              <w:top w:val="single" w:color="auto" w:sz="4" w:space="0"/>
              <w:left w:val="single" w:color="auto" w:sz="4" w:space="0"/>
              <w:bottom w:val="single" w:color="auto" w:sz="4" w:space="0"/>
              <w:right w:val="single" w:color="auto" w:sz="4" w:space="0"/>
            </w:tcBorders>
            <w:shd w:val="clear" w:color="auto" w:fill="auto"/>
            <w:vAlign w:val="center"/>
          </w:tcPr>
          <w:p w14:paraId="26EF6C20">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台</w:t>
            </w:r>
          </w:p>
        </w:tc>
        <w:tc>
          <w:tcPr>
            <w:tcW w:w="890" w:type="pct"/>
            <w:tcBorders>
              <w:top w:val="single" w:color="auto" w:sz="4" w:space="0"/>
              <w:left w:val="single" w:color="auto" w:sz="4" w:space="0"/>
              <w:bottom w:val="single" w:color="auto" w:sz="4" w:space="0"/>
              <w:right w:val="single" w:color="auto" w:sz="4" w:space="0"/>
            </w:tcBorders>
            <w:shd w:val="clear" w:color="auto" w:fill="auto"/>
            <w:vAlign w:val="center"/>
          </w:tcPr>
          <w:p w14:paraId="59DECAF3">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27</w:t>
            </w:r>
          </w:p>
        </w:tc>
        <w:tc>
          <w:tcPr>
            <w:tcW w:w="1195" w:type="pct"/>
            <w:vMerge w:val="continue"/>
            <w:tcBorders>
              <w:left w:val="single" w:color="auto" w:sz="4" w:space="0"/>
              <w:right w:val="single" w:color="auto" w:sz="4" w:space="0"/>
            </w:tcBorders>
            <w:vAlign w:val="center"/>
          </w:tcPr>
          <w:p w14:paraId="14C208B1">
            <w:pPr>
              <w:spacing w:line="360" w:lineRule="auto"/>
              <w:ind w:firstLine="435"/>
              <w:rPr>
                <w:rFonts w:hint="eastAsia" w:ascii="宋体" w:hAnsi="宋体" w:eastAsia="宋体" w:cs="宋体"/>
                <w:b/>
                <w:bCs/>
                <w:color w:val="auto"/>
                <w:sz w:val="24"/>
                <w:szCs w:val="24"/>
                <w:highlight w:val="none"/>
              </w:rPr>
            </w:pPr>
          </w:p>
        </w:tc>
      </w:tr>
      <w:tr w14:paraId="5DD50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47413C1E">
            <w:pPr>
              <w:spacing w:line="360" w:lineRule="auto"/>
              <w:ind w:firstLine="435"/>
              <w:jc w:val="center"/>
              <w:rPr>
                <w:rFonts w:hint="eastAsia" w:ascii="宋体" w:hAnsi="宋体" w:eastAsia="宋体" w:cs="宋体"/>
                <w:b/>
                <w:bCs/>
                <w:color w:val="auto"/>
                <w:sz w:val="24"/>
                <w:szCs w:val="24"/>
                <w:highlight w:val="none"/>
              </w:rPr>
            </w:pPr>
          </w:p>
        </w:tc>
        <w:tc>
          <w:tcPr>
            <w:tcW w:w="1395" w:type="pct"/>
            <w:tcBorders>
              <w:top w:val="single" w:color="auto" w:sz="4" w:space="0"/>
              <w:left w:val="single" w:color="auto" w:sz="4" w:space="0"/>
              <w:bottom w:val="single" w:color="auto" w:sz="4" w:space="0"/>
              <w:right w:val="single" w:color="auto" w:sz="4" w:space="0"/>
            </w:tcBorders>
            <w:vAlign w:val="center"/>
          </w:tcPr>
          <w:p w14:paraId="252B385C">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动态称重系统</w:t>
            </w:r>
          </w:p>
        </w:tc>
        <w:tc>
          <w:tcPr>
            <w:tcW w:w="672" w:type="pct"/>
            <w:tcBorders>
              <w:top w:val="single" w:color="auto" w:sz="4" w:space="0"/>
              <w:left w:val="single" w:color="auto" w:sz="4" w:space="0"/>
              <w:bottom w:val="single" w:color="auto" w:sz="4" w:space="0"/>
              <w:right w:val="single" w:color="auto" w:sz="4" w:space="0"/>
            </w:tcBorders>
            <w:vAlign w:val="center"/>
          </w:tcPr>
          <w:p w14:paraId="1CDBC8D8">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套</w:t>
            </w:r>
          </w:p>
        </w:tc>
        <w:tc>
          <w:tcPr>
            <w:tcW w:w="890" w:type="pct"/>
            <w:tcBorders>
              <w:top w:val="single" w:color="auto" w:sz="4" w:space="0"/>
              <w:left w:val="single" w:color="auto" w:sz="4" w:space="0"/>
              <w:bottom w:val="single" w:color="auto" w:sz="4" w:space="0"/>
              <w:right w:val="single" w:color="auto" w:sz="4" w:space="0"/>
            </w:tcBorders>
            <w:vAlign w:val="center"/>
          </w:tcPr>
          <w:p w14:paraId="62A05FAD">
            <w:pPr>
              <w:spacing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w:t>
            </w:r>
          </w:p>
        </w:tc>
        <w:tc>
          <w:tcPr>
            <w:tcW w:w="1195" w:type="pct"/>
            <w:vMerge w:val="continue"/>
            <w:tcBorders>
              <w:left w:val="single" w:color="auto" w:sz="4" w:space="0"/>
              <w:right w:val="single" w:color="auto" w:sz="4" w:space="0"/>
            </w:tcBorders>
            <w:vAlign w:val="center"/>
          </w:tcPr>
          <w:p w14:paraId="41CF2130">
            <w:pPr>
              <w:spacing w:line="360" w:lineRule="auto"/>
              <w:ind w:firstLine="435"/>
              <w:rPr>
                <w:rFonts w:hint="eastAsia" w:ascii="宋体" w:hAnsi="宋体" w:eastAsia="宋体" w:cs="宋体"/>
                <w:b/>
                <w:bCs/>
                <w:color w:val="auto"/>
                <w:sz w:val="24"/>
                <w:szCs w:val="24"/>
                <w:highlight w:val="none"/>
              </w:rPr>
            </w:pPr>
          </w:p>
        </w:tc>
      </w:tr>
      <w:tr w14:paraId="4417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pct"/>
            <w:tcBorders>
              <w:top w:val="single" w:color="auto" w:sz="4" w:space="0"/>
              <w:left w:val="single" w:color="auto" w:sz="4" w:space="0"/>
              <w:bottom w:val="single" w:color="auto" w:sz="4" w:space="0"/>
              <w:right w:val="single" w:color="auto" w:sz="4" w:space="0"/>
            </w:tcBorders>
            <w:vAlign w:val="center"/>
          </w:tcPr>
          <w:p w14:paraId="4620D0E9">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燃气</w:t>
            </w:r>
          </w:p>
        </w:tc>
        <w:tc>
          <w:tcPr>
            <w:tcW w:w="1395" w:type="pct"/>
            <w:tcBorders>
              <w:top w:val="single" w:color="auto" w:sz="4" w:space="0"/>
              <w:left w:val="single" w:color="auto" w:sz="4" w:space="0"/>
              <w:bottom w:val="single" w:color="auto" w:sz="4" w:space="0"/>
              <w:right w:val="single" w:color="auto" w:sz="4" w:space="0"/>
            </w:tcBorders>
            <w:vAlign w:val="center"/>
          </w:tcPr>
          <w:p w14:paraId="27629068">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可燃气体监测仪</w:t>
            </w:r>
          </w:p>
        </w:tc>
        <w:tc>
          <w:tcPr>
            <w:tcW w:w="672" w:type="pct"/>
            <w:tcBorders>
              <w:top w:val="single" w:color="auto" w:sz="4" w:space="0"/>
              <w:left w:val="single" w:color="auto" w:sz="4" w:space="0"/>
              <w:bottom w:val="single" w:color="auto" w:sz="4" w:space="0"/>
              <w:right w:val="single" w:color="auto" w:sz="4" w:space="0"/>
            </w:tcBorders>
            <w:vAlign w:val="center"/>
          </w:tcPr>
          <w:p w14:paraId="3A6B77F1">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台</w:t>
            </w:r>
          </w:p>
        </w:tc>
        <w:tc>
          <w:tcPr>
            <w:tcW w:w="890" w:type="pct"/>
            <w:tcBorders>
              <w:top w:val="single" w:color="auto" w:sz="4" w:space="0"/>
              <w:left w:val="single" w:color="auto" w:sz="4" w:space="0"/>
              <w:bottom w:val="single" w:color="auto" w:sz="4" w:space="0"/>
              <w:right w:val="single" w:color="auto" w:sz="4" w:space="0"/>
            </w:tcBorders>
            <w:vAlign w:val="center"/>
          </w:tcPr>
          <w:p w14:paraId="2989BE57">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9484</w:t>
            </w:r>
          </w:p>
        </w:tc>
        <w:tc>
          <w:tcPr>
            <w:tcW w:w="1195" w:type="pct"/>
            <w:vMerge w:val="continue"/>
            <w:tcBorders>
              <w:left w:val="single" w:color="auto" w:sz="4" w:space="0"/>
              <w:right w:val="single" w:color="auto" w:sz="4" w:space="0"/>
            </w:tcBorders>
            <w:vAlign w:val="center"/>
          </w:tcPr>
          <w:p w14:paraId="66C08183">
            <w:pPr>
              <w:spacing w:line="360" w:lineRule="auto"/>
              <w:ind w:firstLine="435"/>
              <w:rPr>
                <w:rFonts w:hint="eastAsia" w:ascii="宋体" w:hAnsi="宋体" w:eastAsia="宋体" w:cs="宋体"/>
                <w:b/>
                <w:bCs/>
                <w:color w:val="auto"/>
                <w:sz w:val="24"/>
                <w:szCs w:val="24"/>
                <w:highlight w:val="none"/>
              </w:rPr>
            </w:pPr>
          </w:p>
        </w:tc>
      </w:tr>
      <w:tr w14:paraId="5160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pct"/>
            <w:vMerge w:val="restart"/>
            <w:tcBorders>
              <w:top w:val="nil"/>
              <w:left w:val="single" w:color="auto" w:sz="4" w:space="0"/>
              <w:right w:val="single" w:color="auto" w:sz="4" w:space="0"/>
            </w:tcBorders>
            <w:vAlign w:val="center"/>
          </w:tcPr>
          <w:p w14:paraId="344E9BBC">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排</w:t>
            </w:r>
            <w:r>
              <w:rPr>
                <w:rFonts w:hint="eastAsia" w:ascii="宋体" w:hAnsi="宋体" w:eastAsia="宋体" w:cs="宋体"/>
                <w:bCs/>
                <w:color w:val="auto"/>
                <w:sz w:val="24"/>
                <w:szCs w:val="24"/>
                <w:highlight w:val="none"/>
              </w:rPr>
              <w:t>水</w:t>
            </w:r>
          </w:p>
        </w:tc>
        <w:tc>
          <w:tcPr>
            <w:tcW w:w="1395" w:type="pct"/>
            <w:tcBorders>
              <w:top w:val="single" w:color="auto" w:sz="4" w:space="0"/>
              <w:left w:val="single" w:color="auto" w:sz="4" w:space="0"/>
              <w:bottom w:val="single" w:color="auto" w:sz="4" w:space="0"/>
              <w:right w:val="single" w:color="auto" w:sz="4" w:space="0"/>
            </w:tcBorders>
            <w:vAlign w:val="center"/>
          </w:tcPr>
          <w:p w14:paraId="52F32FC8">
            <w:pPr>
              <w:spacing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液位计</w:t>
            </w:r>
          </w:p>
        </w:tc>
        <w:tc>
          <w:tcPr>
            <w:tcW w:w="672" w:type="pct"/>
            <w:tcBorders>
              <w:top w:val="single" w:color="auto" w:sz="4" w:space="0"/>
              <w:left w:val="single" w:color="auto" w:sz="4" w:space="0"/>
              <w:bottom w:val="single" w:color="auto" w:sz="4" w:space="0"/>
              <w:right w:val="single" w:color="auto" w:sz="4" w:space="0"/>
            </w:tcBorders>
            <w:vAlign w:val="center"/>
          </w:tcPr>
          <w:p w14:paraId="338582A7">
            <w:pPr>
              <w:spacing w:line="360" w:lineRule="auto"/>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台</w:t>
            </w:r>
          </w:p>
        </w:tc>
        <w:tc>
          <w:tcPr>
            <w:tcW w:w="890" w:type="pct"/>
            <w:tcBorders>
              <w:top w:val="single" w:color="auto" w:sz="4" w:space="0"/>
              <w:left w:val="single" w:color="auto" w:sz="4" w:space="0"/>
              <w:bottom w:val="single" w:color="auto" w:sz="4" w:space="0"/>
              <w:right w:val="single" w:color="auto" w:sz="4" w:space="0"/>
            </w:tcBorders>
            <w:vAlign w:val="center"/>
          </w:tcPr>
          <w:p w14:paraId="20D7AE21">
            <w:pPr>
              <w:spacing w:line="360" w:lineRule="auto"/>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323</w:t>
            </w:r>
          </w:p>
        </w:tc>
        <w:tc>
          <w:tcPr>
            <w:tcW w:w="1195" w:type="pct"/>
            <w:vMerge w:val="continue"/>
            <w:tcBorders>
              <w:left w:val="single" w:color="auto" w:sz="4" w:space="0"/>
              <w:right w:val="single" w:color="auto" w:sz="4" w:space="0"/>
            </w:tcBorders>
            <w:vAlign w:val="center"/>
          </w:tcPr>
          <w:p w14:paraId="4B7910B4">
            <w:pPr>
              <w:spacing w:line="360" w:lineRule="auto"/>
              <w:ind w:firstLine="435"/>
              <w:rPr>
                <w:rFonts w:hint="eastAsia" w:ascii="宋体" w:hAnsi="宋体" w:eastAsia="宋体" w:cs="宋体"/>
                <w:b/>
                <w:bCs/>
                <w:color w:val="auto"/>
                <w:sz w:val="24"/>
                <w:szCs w:val="24"/>
                <w:highlight w:val="none"/>
              </w:rPr>
            </w:pPr>
          </w:p>
        </w:tc>
      </w:tr>
      <w:tr w14:paraId="37A7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pct"/>
            <w:vMerge w:val="continue"/>
            <w:tcBorders>
              <w:left w:val="single" w:color="auto" w:sz="4" w:space="0"/>
              <w:right w:val="single" w:color="auto" w:sz="4" w:space="0"/>
            </w:tcBorders>
            <w:vAlign w:val="center"/>
          </w:tcPr>
          <w:p w14:paraId="70FB7562">
            <w:pPr>
              <w:spacing w:line="360" w:lineRule="auto"/>
              <w:jc w:val="center"/>
              <w:rPr>
                <w:rFonts w:hint="eastAsia" w:ascii="宋体" w:hAnsi="宋体" w:eastAsia="宋体" w:cs="宋体"/>
                <w:bCs/>
                <w:color w:val="auto"/>
                <w:sz w:val="24"/>
                <w:szCs w:val="24"/>
                <w:highlight w:val="none"/>
              </w:rPr>
            </w:pPr>
          </w:p>
        </w:tc>
        <w:tc>
          <w:tcPr>
            <w:tcW w:w="1395" w:type="pct"/>
            <w:tcBorders>
              <w:top w:val="single" w:color="auto" w:sz="4" w:space="0"/>
              <w:left w:val="single" w:color="auto" w:sz="4" w:space="0"/>
              <w:bottom w:val="single" w:color="auto" w:sz="4" w:space="0"/>
              <w:right w:val="single" w:color="auto" w:sz="4" w:space="0"/>
            </w:tcBorders>
            <w:vAlign w:val="center"/>
          </w:tcPr>
          <w:p w14:paraId="4D5889CD">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流量计</w:t>
            </w:r>
          </w:p>
        </w:tc>
        <w:tc>
          <w:tcPr>
            <w:tcW w:w="672" w:type="pct"/>
            <w:tcBorders>
              <w:top w:val="single" w:color="auto" w:sz="4" w:space="0"/>
              <w:left w:val="single" w:color="auto" w:sz="4" w:space="0"/>
              <w:bottom w:val="single" w:color="auto" w:sz="4" w:space="0"/>
              <w:right w:val="single" w:color="auto" w:sz="4" w:space="0"/>
            </w:tcBorders>
            <w:vAlign w:val="center"/>
          </w:tcPr>
          <w:p w14:paraId="511C1102">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台</w:t>
            </w:r>
          </w:p>
        </w:tc>
        <w:tc>
          <w:tcPr>
            <w:tcW w:w="890" w:type="pct"/>
            <w:tcBorders>
              <w:top w:val="single" w:color="auto" w:sz="4" w:space="0"/>
              <w:left w:val="single" w:color="auto" w:sz="4" w:space="0"/>
              <w:bottom w:val="single" w:color="auto" w:sz="4" w:space="0"/>
              <w:right w:val="single" w:color="auto" w:sz="4" w:space="0"/>
            </w:tcBorders>
            <w:vAlign w:val="center"/>
          </w:tcPr>
          <w:p w14:paraId="30651750">
            <w:pPr>
              <w:spacing w:line="360" w:lineRule="auto"/>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54</w:t>
            </w:r>
          </w:p>
        </w:tc>
        <w:tc>
          <w:tcPr>
            <w:tcW w:w="1195" w:type="pct"/>
            <w:vMerge w:val="continue"/>
            <w:tcBorders>
              <w:left w:val="single" w:color="auto" w:sz="4" w:space="0"/>
              <w:right w:val="single" w:color="auto" w:sz="4" w:space="0"/>
            </w:tcBorders>
            <w:vAlign w:val="center"/>
          </w:tcPr>
          <w:p w14:paraId="0BA120C7">
            <w:pPr>
              <w:spacing w:line="360" w:lineRule="auto"/>
              <w:ind w:firstLine="435"/>
              <w:rPr>
                <w:rFonts w:hint="eastAsia" w:ascii="宋体" w:hAnsi="宋体" w:eastAsia="宋体" w:cs="宋体"/>
                <w:b/>
                <w:bCs/>
                <w:color w:val="auto"/>
                <w:sz w:val="24"/>
                <w:szCs w:val="24"/>
                <w:highlight w:val="none"/>
              </w:rPr>
            </w:pPr>
          </w:p>
        </w:tc>
      </w:tr>
      <w:tr w14:paraId="179F4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pct"/>
            <w:vMerge w:val="continue"/>
            <w:tcBorders>
              <w:left w:val="single" w:color="auto" w:sz="4" w:space="0"/>
              <w:right w:val="single" w:color="auto" w:sz="4" w:space="0"/>
            </w:tcBorders>
            <w:vAlign w:val="center"/>
          </w:tcPr>
          <w:p w14:paraId="686CE7B6">
            <w:pPr>
              <w:spacing w:line="360" w:lineRule="auto"/>
              <w:ind w:firstLine="435"/>
              <w:rPr>
                <w:rFonts w:hint="eastAsia" w:ascii="宋体" w:hAnsi="宋体" w:eastAsia="宋体" w:cs="宋体"/>
                <w:b/>
                <w:bCs/>
                <w:color w:val="auto"/>
                <w:sz w:val="24"/>
                <w:szCs w:val="24"/>
                <w:highlight w:val="none"/>
              </w:rPr>
            </w:pPr>
          </w:p>
        </w:tc>
        <w:tc>
          <w:tcPr>
            <w:tcW w:w="1395" w:type="pct"/>
            <w:tcBorders>
              <w:top w:val="single" w:color="auto" w:sz="4" w:space="0"/>
              <w:left w:val="single" w:color="auto" w:sz="4" w:space="0"/>
              <w:bottom w:val="single" w:color="auto" w:sz="4" w:space="0"/>
              <w:right w:val="single" w:color="auto" w:sz="4" w:space="0"/>
            </w:tcBorders>
            <w:shd w:val="clear" w:color="auto" w:fill="auto"/>
            <w:vAlign w:val="center"/>
          </w:tcPr>
          <w:p w14:paraId="7D963A1F">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水位计</w:t>
            </w:r>
          </w:p>
        </w:tc>
        <w:tc>
          <w:tcPr>
            <w:tcW w:w="672" w:type="pct"/>
            <w:tcBorders>
              <w:top w:val="single" w:color="auto" w:sz="4" w:space="0"/>
              <w:left w:val="single" w:color="auto" w:sz="4" w:space="0"/>
              <w:bottom w:val="single" w:color="auto" w:sz="4" w:space="0"/>
              <w:right w:val="single" w:color="auto" w:sz="4" w:space="0"/>
            </w:tcBorders>
            <w:shd w:val="clear" w:color="auto" w:fill="auto"/>
            <w:vAlign w:val="center"/>
          </w:tcPr>
          <w:p w14:paraId="675B4141">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台</w:t>
            </w:r>
          </w:p>
        </w:tc>
        <w:tc>
          <w:tcPr>
            <w:tcW w:w="890" w:type="pct"/>
            <w:tcBorders>
              <w:top w:val="single" w:color="auto" w:sz="4" w:space="0"/>
              <w:left w:val="single" w:color="auto" w:sz="4" w:space="0"/>
              <w:bottom w:val="single" w:color="auto" w:sz="4" w:space="0"/>
              <w:right w:val="single" w:color="auto" w:sz="4" w:space="0"/>
            </w:tcBorders>
            <w:shd w:val="clear" w:color="auto" w:fill="auto"/>
            <w:vAlign w:val="center"/>
          </w:tcPr>
          <w:p w14:paraId="7696B057">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26</w:t>
            </w:r>
          </w:p>
        </w:tc>
        <w:tc>
          <w:tcPr>
            <w:tcW w:w="1195" w:type="pct"/>
            <w:vMerge w:val="continue"/>
            <w:tcBorders>
              <w:left w:val="single" w:color="auto" w:sz="4" w:space="0"/>
              <w:right w:val="single" w:color="auto" w:sz="4" w:space="0"/>
            </w:tcBorders>
            <w:vAlign w:val="center"/>
          </w:tcPr>
          <w:p w14:paraId="6263F900">
            <w:pPr>
              <w:spacing w:line="360" w:lineRule="auto"/>
              <w:ind w:firstLine="435"/>
              <w:rPr>
                <w:rFonts w:hint="eastAsia" w:ascii="宋体" w:hAnsi="宋体" w:eastAsia="宋体" w:cs="宋体"/>
                <w:b/>
                <w:bCs/>
                <w:color w:val="auto"/>
                <w:sz w:val="24"/>
                <w:szCs w:val="24"/>
                <w:highlight w:val="none"/>
              </w:rPr>
            </w:pPr>
          </w:p>
        </w:tc>
      </w:tr>
      <w:tr w14:paraId="1866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pct"/>
            <w:vMerge w:val="continue"/>
            <w:tcBorders>
              <w:left w:val="single" w:color="auto" w:sz="4" w:space="0"/>
              <w:bottom w:val="single" w:color="auto" w:sz="4" w:space="0"/>
              <w:right w:val="single" w:color="auto" w:sz="4" w:space="0"/>
            </w:tcBorders>
            <w:vAlign w:val="center"/>
          </w:tcPr>
          <w:p w14:paraId="4EA46B49">
            <w:pPr>
              <w:spacing w:line="360" w:lineRule="auto"/>
              <w:ind w:firstLine="435"/>
              <w:rPr>
                <w:rFonts w:hint="eastAsia" w:ascii="宋体" w:hAnsi="宋体" w:eastAsia="宋体" w:cs="宋体"/>
                <w:b/>
                <w:bCs/>
                <w:color w:val="auto"/>
                <w:sz w:val="24"/>
                <w:szCs w:val="24"/>
                <w:highlight w:val="none"/>
              </w:rPr>
            </w:pPr>
          </w:p>
        </w:tc>
        <w:tc>
          <w:tcPr>
            <w:tcW w:w="1395" w:type="pct"/>
            <w:tcBorders>
              <w:top w:val="single" w:color="auto" w:sz="4" w:space="0"/>
              <w:left w:val="single" w:color="auto" w:sz="4" w:space="0"/>
              <w:bottom w:val="single" w:color="auto" w:sz="4" w:space="0"/>
              <w:right w:val="single" w:color="auto" w:sz="4" w:space="0"/>
            </w:tcBorders>
            <w:shd w:val="clear" w:color="auto" w:fill="auto"/>
            <w:vAlign w:val="center"/>
          </w:tcPr>
          <w:p w14:paraId="793D5479">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雨量计</w:t>
            </w:r>
          </w:p>
        </w:tc>
        <w:tc>
          <w:tcPr>
            <w:tcW w:w="672" w:type="pct"/>
            <w:tcBorders>
              <w:top w:val="single" w:color="auto" w:sz="4" w:space="0"/>
              <w:left w:val="single" w:color="auto" w:sz="4" w:space="0"/>
              <w:bottom w:val="single" w:color="auto" w:sz="4" w:space="0"/>
              <w:right w:val="single" w:color="auto" w:sz="4" w:space="0"/>
            </w:tcBorders>
            <w:shd w:val="clear" w:color="auto" w:fill="auto"/>
            <w:vAlign w:val="center"/>
          </w:tcPr>
          <w:p w14:paraId="3B508B2F">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台</w:t>
            </w:r>
          </w:p>
        </w:tc>
        <w:tc>
          <w:tcPr>
            <w:tcW w:w="890" w:type="pct"/>
            <w:tcBorders>
              <w:top w:val="single" w:color="auto" w:sz="4" w:space="0"/>
              <w:left w:val="single" w:color="auto" w:sz="4" w:space="0"/>
              <w:bottom w:val="single" w:color="auto" w:sz="4" w:space="0"/>
              <w:right w:val="single" w:color="auto" w:sz="4" w:space="0"/>
            </w:tcBorders>
            <w:shd w:val="clear" w:color="auto" w:fill="auto"/>
            <w:vAlign w:val="center"/>
          </w:tcPr>
          <w:p w14:paraId="47D9E863">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10</w:t>
            </w:r>
          </w:p>
        </w:tc>
        <w:tc>
          <w:tcPr>
            <w:tcW w:w="1195" w:type="pct"/>
            <w:vMerge w:val="continue"/>
            <w:tcBorders>
              <w:left w:val="single" w:color="auto" w:sz="4" w:space="0"/>
              <w:right w:val="single" w:color="auto" w:sz="4" w:space="0"/>
            </w:tcBorders>
            <w:vAlign w:val="center"/>
          </w:tcPr>
          <w:p w14:paraId="2E9D73D3">
            <w:pPr>
              <w:spacing w:line="360" w:lineRule="auto"/>
              <w:ind w:firstLine="435"/>
              <w:rPr>
                <w:rFonts w:hint="eastAsia" w:ascii="宋体" w:hAnsi="宋体" w:eastAsia="宋体" w:cs="宋体"/>
                <w:b/>
                <w:bCs/>
                <w:color w:val="auto"/>
                <w:sz w:val="24"/>
                <w:szCs w:val="24"/>
                <w:highlight w:val="none"/>
              </w:rPr>
            </w:pPr>
          </w:p>
        </w:tc>
      </w:tr>
      <w:tr w14:paraId="75FC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pct"/>
            <w:vMerge w:val="restart"/>
            <w:tcBorders>
              <w:left w:val="single" w:color="auto" w:sz="4" w:space="0"/>
              <w:right w:val="single" w:color="auto" w:sz="4" w:space="0"/>
            </w:tcBorders>
            <w:vAlign w:val="center"/>
          </w:tcPr>
          <w:p w14:paraId="5272DE6F">
            <w:pPr>
              <w:spacing w:line="360" w:lineRule="auto"/>
              <w:ind w:firstLine="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供水</w:t>
            </w:r>
          </w:p>
        </w:tc>
        <w:tc>
          <w:tcPr>
            <w:tcW w:w="1395" w:type="pct"/>
            <w:tcBorders>
              <w:top w:val="single" w:color="auto" w:sz="4" w:space="0"/>
              <w:left w:val="single" w:color="auto" w:sz="4" w:space="0"/>
              <w:bottom w:val="single" w:color="auto" w:sz="4" w:space="0"/>
              <w:right w:val="single" w:color="auto" w:sz="4" w:space="0"/>
            </w:tcBorders>
            <w:shd w:val="clear" w:color="auto" w:fill="auto"/>
            <w:vAlign w:val="center"/>
          </w:tcPr>
          <w:p w14:paraId="45C575A2">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流量计</w:t>
            </w:r>
          </w:p>
        </w:tc>
        <w:tc>
          <w:tcPr>
            <w:tcW w:w="672" w:type="pct"/>
            <w:tcBorders>
              <w:top w:val="single" w:color="auto" w:sz="4" w:space="0"/>
              <w:left w:val="single" w:color="auto" w:sz="4" w:space="0"/>
              <w:bottom w:val="single" w:color="auto" w:sz="4" w:space="0"/>
              <w:right w:val="single" w:color="auto" w:sz="4" w:space="0"/>
            </w:tcBorders>
            <w:shd w:val="clear" w:color="auto" w:fill="auto"/>
            <w:vAlign w:val="center"/>
          </w:tcPr>
          <w:p w14:paraId="74140D0E">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台</w:t>
            </w:r>
          </w:p>
        </w:tc>
        <w:tc>
          <w:tcPr>
            <w:tcW w:w="890" w:type="pct"/>
            <w:tcBorders>
              <w:top w:val="single" w:color="auto" w:sz="4" w:space="0"/>
              <w:left w:val="single" w:color="auto" w:sz="4" w:space="0"/>
              <w:bottom w:val="single" w:color="auto" w:sz="4" w:space="0"/>
              <w:right w:val="single" w:color="auto" w:sz="4" w:space="0"/>
            </w:tcBorders>
            <w:shd w:val="clear" w:color="auto" w:fill="auto"/>
            <w:vAlign w:val="center"/>
          </w:tcPr>
          <w:p w14:paraId="6371FC86">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218</w:t>
            </w:r>
          </w:p>
        </w:tc>
        <w:tc>
          <w:tcPr>
            <w:tcW w:w="1195" w:type="pct"/>
            <w:vMerge w:val="continue"/>
            <w:tcBorders>
              <w:left w:val="single" w:color="auto" w:sz="4" w:space="0"/>
              <w:right w:val="single" w:color="auto" w:sz="4" w:space="0"/>
            </w:tcBorders>
            <w:vAlign w:val="center"/>
          </w:tcPr>
          <w:p w14:paraId="3737C8BB">
            <w:pPr>
              <w:spacing w:line="360" w:lineRule="auto"/>
              <w:ind w:firstLine="435"/>
              <w:rPr>
                <w:rFonts w:hint="eastAsia" w:ascii="宋体" w:hAnsi="宋体" w:eastAsia="宋体" w:cs="宋体"/>
                <w:b/>
                <w:bCs/>
                <w:color w:val="auto"/>
                <w:sz w:val="24"/>
                <w:szCs w:val="24"/>
                <w:highlight w:val="none"/>
              </w:rPr>
            </w:pPr>
          </w:p>
        </w:tc>
      </w:tr>
      <w:tr w14:paraId="5D819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pct"/>
            <w:vMerge w:val="continue"/>
            <w:tcBorders>
              <w:left w:val="single" w:color="auto" w:sz="4" w:space="0"/>
              <w:right w:val="single" w:color="auto" w:sz="4" w:space="0"/>
            </w:tcBorders>
            <w:vAlign w:val="center"/>
          </w:tcPr>
          <w:p w14:paraId="6E8F5FDD">
            <w:pPr>
              <w:spacing w:line="360" w:lineRule="auto"/>
              <w:ind w:firstLine="435"/>
              <w:rPr>
                <w:rFonts w:hint="eastAsia" w:ascii="宋体" w:hAnsi="宋体" w:eastAsia="宋体" w:cs="宋体"/>
                <w:b/>
                <w:bCs/>
                <w:color w:val="auto"/>
                <w:sz w:val="24"/>
                <w:szCs w:val="24"/>
                <w:highlight w:val="none"/>
              </w:rPr>
            </w:pPr>
          </w:p>
        </w:tc>
        <w:tc>
          <w:tcPr>
            <w:tcW w:w="1395" w:type="pct"/>
            <w:tcBorders>
              <w:top w:val="single" w:color="auto" w:sz="4" w:space="0"/>
              <w:left w:val="single" w:color="auto" w:sz="4" w:space="0"/>
              <w:bottom w:val="single" w:color="auto" w:sz="4" w:space="0"/>
              <w:right w:val="single" w:color="auto" w:sz="4" w:space="0"/>
            </w:tcBorders>
            <w:shd w:val="clear" w:color="auto" w:fill="auto"/>
            <w:vAlign w:val="center"/>
          </w:tcPr>
          <w:p w14:paraId="2502A18C">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漏失监测仪</w:t>
            </w:r>
          </w:p>
        </w:tc>
        <w:tc>
          <w:tcPr>
            <w:tcW w:w="672" w:type="pct"/>
            <w:tcBorders>
              <w:top w:val="single" w:color="auto" w:sz="4" w:space="0"/>
              <w:left w:val="single" w:color="auto" w:sz="4" w:space="0"/>
              <w:bottom w:val="single" w:color="auto" w:sz="4" w:space="0"/>
              <w:right w:val="single" w:color="auto" w:sz="4" w:space="0"/>
            </w:tcBorders>
            <w:shd w:val="clear" w:color="auto" w:fill="auto"/>
            <w:vAlign w:val="center"/>
          </w:tcPr>
          <w:p w14:paraId="51E5DD76">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台</w:t>
            </w:r>
          </w:p>
        </w:tc>
        <w:tc>
          <w:tcPr>
            <w:tcW w:w="890" w:type="pct"/>
            <w:tcBorders>
              <w:top w:val="single" w:color="auto" w:sz="4" w:space="0"/>
              <w:left w:val="single" w:color="auto" w:sz="4" w:space="0"/>
              <w:bottom w:val="single" w:color="auto" w:sz="4" w:space="0"/>
              <w:right w:val="single" w:color="auto" w:sz="4" w:space="0"/>
            </w:tcBorders>
            <w:shd w:val="clear" w:color="auto" w:fill="auto"/>
            <w:vAlign w:val="center"/>
          </w:tcPr>
          <w:p w14:paraId="79B0FB84">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358</w:t>
            </w:r>
          </w:p>
        </w:tc>
        <w:tc>
          <w:tcPr>
            <w:tcW w:w="1195" w:type="pct"/>
            <w:vMerge w:val="continue"/>
            <w:tcBorders>
              <w:left w:val="single" w:color="auto" w:sz="4" w:space="0"/>
              <w:right w:val="single" w:color="auto" w:sz="4" w:space="0"/>
            </w:tcBorders>
            <w:vAlign w:val="center"/>
          </w:tcPr>
          <w:p w14:paraId="208D5EB2">
            <w:pPr>
              <w:spacing w:line="360" w:lineRule="auto"/>
              <w:ind w:firstLine="435"/>
              <w:rPr>
                <w:rFonts w:hint="eastAsia" w:ascii="宋体" w:hAnsi="宋体" w:eastAsia="宋体" w:cs="宋体"/>
                <w:b/>
                <w:bCs/>
                <w:color w:val="auto"/>
                <w:sz w:val="24"/>
                <w:szCs w:val="24"/>
                <w:highlight w:val="none"/>
              </w:rPr>
            </w:pPr>
          </w:p>
        </w:tc>
      </w:tr>
      <w:tr w14:paraId="53BB5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pct"/>
            <w:vMerge w:val="continue"/>
            <w:tcBorders>
              <w:left w:val="single" w:color="auto" w:sz="4" w:space="0"/>
              <w:right w:val="single" w:color="auto" w:sz="4" w:space="0"/>
            </w:tcBorders>
            <w:vAlign w:val="center"/>
          </w:tcPr>
          <w:p w14:paraId="3B60AFB1">
            <w:pPr>
              <w:spacing w:line="360" w:lineRule="auto"/>
              <w:ind w:firstLine="435"/>
              <w:rPr>
                <w:rFonts w:hint="eastAsia" w:ascii="宋体" w:hAnsi="宋体" w:eastAsia="宋体" w:cs="宋体"/>
                <w:b/>
                <w:bCs/>
                <w:color w:val="auto"/>
                <w:sz w:val="24"/>
                <w:szCs w:val="24"/>
                <w:highlight w:val="none"/>
              </w:rPr>
            </w:pPr>
          </w:p>
        </w:tc>
        <w:tc>
          <w:tcPr>
            <w:tcW w:w="1395" w:type="pct"/>
            <w:tcBorders>
              <w:top w:val="single" w:color="auto" w:sz="4" w:space="0"/>
              <w:left w:val="single" w:color="auto" w:sz="4" w:space="0"/>
              <w:bottom w:val="single" w:color="auto" w:sz="4" w:space="0"/>
              <w:right w:val="single" w:color="auto" w:sz="4" w:space="0"/>
            </w:tcBorders>
            <w:shd w:val="clear" w:color="auto" w:fill="auto"/>
            <w:vAlign w:val="center"/>
          </w:tcPr>
          <w:p w14:paraId="709C2D69">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消火栓智能监测仪</w:t>
            </w:r>
          </w:p>
        </w:tc>
        <w:tc>
          <w:tcPr>
            <w:tcW w:w="672" w:type="pct"/>
            <w:tcBorders>
              <w:top w:val="single" w:color="auto" w:sz="4" w:space="0"/>
              <w:left w:val="single" w:color="auto" w:sz="4" w:space="0"/>
              <w:bottom w:val="single" w:color="auto" w:sz="4" w:space="0"/>
              <w:right w:val="single" w:color="auto" w:sz="4" w:space="0"/>
            </w:tcBorders>
            <w:shd w:val="clear" w:color="auto" w:fill="auto"/>
            <w:vAlign w:val="center"/>
          </w:tcPr>
          <w:p w14:paraId="5F5D3F90">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台</w:t>
            </w:r>
          </w:p>
        </w:tc>
        <w:tc>
          <w:tcPr>
            <w:tcW w:w="890" w:type="pct"/>
            <w:tcBorders>
              <w:top w:val="single" w:color="auto" w:sz="4" w:space="0"/>
              <w:left w:val="single" w:color="auto" w:sz="4" w:space="0"/>
              <w:bottom w:val="single" w:color="auto" w:sz="4" w:space="0"/>
              <w:right w:val="single" w:color="auto" w:sz="4" w:space="0"/>
            </w:tcBorders>
            <w:shd w:val="clear" w:color="auto" w:fill="auto"/>
            <w:vAlign w:val="center"/>
          </w:tcPr>
          <w:p w14:paraId="4AA25286">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413</w:t>
            </w:r>
          </w:p>
        </w:tc>
        <w:tc>
          <w:tcPr>
            <w:tcW w:w="1195" w:type="pct"/>
            <w:vMerge w:val="continue"/>
            <w:tcBorders>
              <w:left w:val="single" w:color="auto" w:sz="4" w:space="0"/>
              <w:right w:val="single" w:color="auto" w:sz="4" w:space="0"/>
            </w:tcBorders>
            <w:vAlign w:val="center"/>
          </w:tcPr>
          <w:p w14:paraId="1399F247">
            <w:pPr>
              <w:spacing w:line="360" w:lineRule="auto"/>
              <w:ind w:firstLine="435"/>
              <w:rPr>
                <w:rFonts w:hint="eastAsia" w:ascii="宋体" w:hAnsi="宋体" w:eastAsia="宋体" w:cs="宋体"/>
                <w:b/>
                <w:bCs/>
                <w:color w:val="auto"/>
                <w:sz w:val="24"/>
                <w:szCs w:val="24"/>
                <w:highlight w:val="none"/>
              </w:rPr>
            </w:pPr>
          </w:p>
        </w:tc>
      </w:tr>
      <w:tr w14:paraId="60D9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pct"/>
            <w:vMerge w:val="continue"/>
            <w:tcBorders>
              <w:left w:val="single" w:color="auto" w:sz="4" w:space="0"/>
              <w:bottom w:val="single" w:color="auto" w:sz="4" w:space="0"/>
              <w:right w:val="single" w:color="auto" w:sz="4" w:space="0"/>
            </w:tcBorders>
            <w:vAlign w:val="center"/>
          </w:tcPr>
          <w:p w14:paraId="7766D343">
            <w:pPr>
              <w:spacing w:line="360" w:lineRule="auto"/>
              <w:ind w:firstLine="435"/>
              <w:rPr>
                <w:rFonts w:hint="eastAsia" w:ascii="宋体" w:hAnsi="宋体" w:eastAsia="宋体" w:cs="宋体"/>
                <w:b/>
                <w:bCs/>
                <w:color w:val="auto"/>
                <w:sz w:val="24"/>
                <w:szCs w:val="24"/>
                <w:highlight w:val="none"/>
              </w:rPr>
            </w:pPr>
          </w:p>
        </w:tc>
        <w:tc>
          <w:tcPr>
            <w:tcW w:w="1395" w:type="pct"/>
            <w:tcBorders>
              <w:top w:val="single" w:color="auto" w:sz="4" w:space="0"/>
              <w:left w:val="single" w:color="auto" w:sz="4" w:space="0"/>
              <w:bottom w:val="single" w:color="auto" w:sz="4" w:space="0"/>
              <w:right w:val="single" w:color="auto" w:sz="4" w:space="0"/>
            </w:tcBorders>
            <w:shd w:val="clear" w:color="auto" w:fill="auto"/>
            <w:vAlign w:val="center"/>
          </w:tcPr>
          <w:p w14:paraId="43FC341A">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压力计</w:t>
            </w:r>
          </w:p>
        </w:tc>
        <w:tc>
          <w:tcPr>
            <w:tcW w:w="672" w:type="pct"/>
            <w:tcBorders>
              <w:top w:val="single" w:color="auto" w:sz="4" w:space="0"/>
              <w:left w:val="single" w:color="auto" w:sz="4" w:space="0"/>
              <w:bottom w:val="single" w:color="auto" w:sz="4" w:space="0"/>
              <w:right w:val="single" w:color="auto" w:sz="4" w:space="0"/>
            </w:tcBorders>
            <w:shd w:val="clear" w:color="auto" w:fill="auto"/>
            <w:vAlign w:val="center"/>
          </w:tcPr>
          <w:p w14:paraId="5A948ECC">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台</w:t>
            </w:r>
          </w:p>
        </w:tc>
        <w:tc>
          <w:tcPr>
            <w:tcW w:w="890" w:type="pct"/>
            <w:tcBorders>
              <w:top w:val="single" w:color="auto" w:sz="4" w:space="0"/>
              <w:left w:val="single" w:color="auto" w:sz="4" w:space="0"/>
              <w:bottom w:val="single" w:color="auto" w:sz="4" w:space="0"/>
              <w:right w:val="single" w:color="auto" w:sz="4" w:space="0"/>
            </w:tcBorders>
            <w:shd w:val="clear" w:color="auto" w:fill="auto"/>
            <w:vAlign w:val="center"/>
          </w:tcPr>
          <w:p w14:paraId="4B20A816">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100</w:t>
            </w:r>
          </w:p>
        </w:tc>
        <w:tc>
          <w:tcPr>
            <w:tcW w:w="1195" w:type="pct"/>
            <w:vMerge w:val="continue"/>
            <w:tcBorders>
              <w:left w:val="single" w:color="auto" w:sz="4" w:space="0"/>
              <w:right w:val="single" w:color="auto" w:sz="4" w:space="0"/>
            </w:tcBorders>
            <w:vAlign w:val="center"/>
          </w:tcPr>
          <w:p w14:paraId="5CCCEDB2">
            <w:pPr>
              <w:spacing w:line="360" w:lineRule="auto"/>
              <w:ind w:firstLine="435"/>
              <w:rPr>
                <w:rFonts w:hint="eastAsia" w:ascii="宋体" w:hAnsi="宋体" w:eastAsia="宋体" w:cs="宋体"/>
                <w:b/>
                <w:bCs/>
                <w:color w:val="auto"/>
                <w:sz w:val="24"/>
                <w:szCs w:val="24"/>
                <w:highlight w:val="none"/>
              </w:rPr>
            </w:pPr>
          </w:p>
        </w:tc>
      </w:tr>
      <w:tr w14:paraId="43AAD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14" w:type="pct"/>
            <w:gridSpan w:val="3"/>
            <w:tcBorders>
              <w:top w:val="single" w:color="auto" w:sz="4" w:space="0"/>
              <w:left w:val="single" w:color="auto" w:sz="4" w:space="0"/>
              <w:bottom w:val="single" w:color="auto" w:sz="4" w:space="0"/>
              <w:right w:val="single" w:color="auto" w:sz="4" w:space="0"/>
            </w:tcBorders>
            <w:vAlign w:val="center"/>
          </w:tcPr>
          <w:p w14:paraId="57DD4582">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合计</w:t>
            </w:r>
          </w:p>
        </w:tc>
        <w:tc>
          <w:tcPr>
            <w:tcW w:w="890" w:type="pct"/>
            <w:tcBorders>
              <w:top w:val="single" w:color="auto" w:sz="4" w:space="0"/>
              <w:left w:val="single" w:color="auto" w:sz="4" w:space="0"/>
              <w:bottom w:val="single" w:color="auto" w:sz="4" w:space="0"/>
              <w:right w:val="single" w:color="auto" w:sz="4" w:space="0"/>
            </w:tcBorders>
            <w:vAlign w:val="center"/>
          </w:tcPr>
          <w:p w14:paraId="103C608D">
            <w:pPr>
              <w:spacing w:line="360" w:lineRule="auto"/>
              <w:jc w:val="center"/>
              <w:rPr>
                <w:rFonts w:hint="default" w:ascii="宋体" w:hAnsi="宋体" w:eastAsia="宋体" w:cs="宋体"/>
                <w:bCs/>
                <w:color w:val="auto"/>
                <w:sz w:val="24"/>
                <w:szCs w:val="24"/>
                <w:highlight w:val="none"/>
                <w:lang w:val="en-US"/>
              </w:rPr>
            </w:pPr>
            <w:r>
              <w:rPr>
                <w:rFonts w:hint="eastAsia" w:ascii="宋体" w:hAnsi="宋体" w:cs="宋体"/>
                <w:bCs/>
                <w:color w:val="auto"/>
                <w:sz w:val="24"/>
                <w:szCs w:val="24"/>
                <w:highlight w:val="none"/>
                <w:lang w:val="en-US" w:eastAsia="zh-CN"/>
              </w:rPr>
              <w:t>13125</w:t>
            </w:r>
          </w:p>
        </w:tc>
        <w:tc>
          <w:tcPr>
            <w:tcW w:w="1195" w:type="pct"/>
            <w:vMerge w:val="continue"/>
            <w:tcBorders>
              <w:left w:val="single" w:color="auto" w:sz="4" w:space="0"/>
              <w:bottom w:val="single" w:color="auto" w:sz="4" w:space="0"/>
              <w:right w:val="single" w:color="auto" w:sz="4" w:space="0"/>
            </w:tcBorders>
            <w:vAlign w:val="center"/>
          </w:tcPr>
          <w:p w14:paraId="577F6DA7">
            <w:pPr>
              <w:spacing w:line="360" w:lineRule="auto"/>
              <w:ind w:firstLine="435"/>
              <w:rPr>
                <w:rFonts w:hint="eastAsia" w:ascii="宋体" w:hAnsi="宋体" w:eastAsia="宋体" w:cs="宋体"/>
                <w:b/>
                <w:bCs/>
                <w:color w:val="auto"/>
                <w:sz w:val="24"/>
                <w:szCs w:val="24"/>
                <w:highlight w:val="none"/>
              </w:rPr>
            </w:pPr>
          </w:p>
        </w:tc>
      </w:tr>
    </w:tbl>
    <w:p w14:paraId="2ABE8887">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Autospacing="1" w:afterAutospacing="1"/>
        <w:ind w:left="360" w:firstLine="0"/>
        <w:jc w:val="left"/>
        <w:rPr>
          <w:rFonts w:hint="eastAsia" w:ascii="宋体" w:hAnsi="宋体" w:eastAsia="宋体" w:cs="@仿宋_GB2312"/>
          <w:b/>
          <w:bCs/>
          <w:color w:val="auto"/>
          <w:kern w:val="2"/>
          <w:sz w:val="24"/>
          <w:szCs w:val="20"/>
          <w:highlight w:val="none"/>
          <w:lang w:val="en-US" w:eastAsia="zh-CN" w:bidi="ar-SA"/>
        </w:rPr>
      </w:pPr>
      <w:r>
        <w:rPr>
          <w:rFonts w:hint="eastAsia" w:ascii="宋体" w:hAnsi="宋体" w:eastAsia="宋体" w:cs="@仿宋_GB2312"/>
          <w:b/>
          <w:bCs/>
          <w:color w:val="auto"/>
          <w:kern w:val="2"/>
          <w:sz w:val="24"/>
          <w:szCs w:val="20"/>
          <w:highlight w:val="none"/>
          <w:lang w:val="en-US" w:eastAsia="zh-CN" w:bidi="ar-SA"/>
        </w:rPr>
        <w:t>（四）人员要求</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099"/>
        <w:gridCol w:w="3123"/>
        <w:gridCol w:w="892"/>
      </w:tblGrid>
      <w:tr w14:paraId="31A8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C8F42DF">
            <w:pPr>
              <w:pStyle w:val="9"/>
              <w:numPr>
                <w:ilvl w:val="-1"/>
                <w:numId w:val="0"/>
              </w:numPr>
              <w:jc w:val="center"/>
              <w:rPr>
                <w:rFonts w:hint="eastAsia" w:ascii="黑体" w:hAnsi="黑体" w:eastAsia="黑体" w:cs="黑体"/>
                <w:color w:val="auto"/>
                <w:sz w:val="24"/>
                <w:highlight w:val="none"/>
                <w:vertAlign w:val="baseline"/>
                <w:lang w:val="en-US" w:eastAsia="zh-CN"/>
              </w:rPr>
            </w:pPr>
            <w:r>
              <w:rPr>
                <w:rFonts w:hint="eastAsia" w:ascii="黑体" w:hAnsi="黑体" w:eastAsia="黑体" w:cs="黑体"/>
                <w:color w:val="auto"/>
                <w:sz w:val="24"/>
                <w:highlight w:val="none"/>
                <w:vertAlign w:val="baseline"/>
                <w:lang w:val="en-US" w:eastAsia="zh-CN"/>
              </w:rPr>
              <w:t>序号</w:t>
            </w:r>
          </w:p>
        </w:tc>
        <w:tc>
          <w:tcPr>
            <w:tcW w:w="1704" w:type="dxa"/>
          </w:tcPr>
          <w:p w14:paraId="5752B1F3">
            <w:pPr>
              <w:pStyle w:val="9"/>
              <w:numPr>
                <w:ilvl w:val="-1"/>
                <w:numId w:val="0"/>
              </w:numPr>
              <w:jc w:val="center"/>
              <w:rPr>
                <w:rFonts w:hint="eastAsia" w:ascii="黑体" w:hAnsi="黑体" w:eastAsia="黑体" w:cs="黑体"/>
                <w:color w:val="auto"/>
                <w:sz w:val="24"/>
                <w:highlight w:val="none"/>
                <w:vertAlign w:val="baseline"/>
                <w:lang w:val="en-US" w:eastAsia="zh-CN"/>
              </w:rPr>
            </w:pPr>
            <w:r>
              <w:rPr>
                <w:rFonts w:hint="eastAsia" w:ascii="黑体" w:hAnsi="黑体" w:eastAsia="黑体" w:cs="黑体"/>
                <w:color w:val="auto"/>
                <w:sz w:val="24"/>
                <w:highlight w:val="none"/>
                <w:vertAlign w:val="baseline"/>
                <w:lang w:val="en-US" w:eastAsia="zh-CN"/>
              </w:rPr>
              <w:t>类型</w:t>
            </w:r>
          </w:p>
        </w:tc>
        <w:tc>
          <w:tcPr>
            <w:tcW w:w="1099" w:type="dxa"/>
          </w:tcPr>
          <w:p w14:paraId="2F481BA6">
            <w:pPr>
              <w:pStyle w:val="9"/>
              <w:numPr>
                <w:ilvl w:val="-1"/>
                <w:numId w:val="0"/>
              </w:numPr>
              <w:jc w:val="center"/>
              <w:rPr>
                <w:rFonts w:hint="eastAsia" w:ascii="黑体" w:hAnsi="黑体" w:eastAsia="黑体" w:cs="黑体"/>
                <w:color w:val="auto"/>
                <w:sz w:val="24"/>
                <w:highlight w:val="none"/>
                <w:vertAlign w:val="baseline"/>
                <w:lang w:val="en-US" w:eastAsia="zh-CN"/>
              </w:rPr>
            </w:pPr>
            <w:r>
              <w:rPr>
                <w:rFonts w:hint="eastAsia" w:ascii="黑体" w:hAnsi="黑体" w:eastAsia="黑体" w:cs="黑体"/>
                <w:color w:val="auto"/>
                <w:sz w:val="24"/>
                <w:highlight w:val="none"/>
                <w:vertAlign w:val="baseline"/>
                <w:lang w:val="en-US" w:eastAsia="zh-CN"/>
              </w:rPr>
              <w:t>人数</w:t>
            </w:r>
          </w:p>
        </w:tc>
        <w:tc>
          <w:tcPr>
            <w:tcW w:w="3123" w:type="dxa"/>
          </w:tcPr>
          <w:p w14:paraId="5014C610">
            <w:pPr>
              <w:pStyle w:val="9"/>
              <w:numPr>
                <w:ilvl w:val="-1"/>
                <w:numId w:val="0"/>
              </w:numPr>
              <w:jc w:val="center"/>
              <w:rPr>
                <w:rFonts w:hint="eastAsia" w:ascii="黑体" w:hAnsi="黑体" w:eastAsia="黑体" w:cs="黑体"/>
                <w:color w:val="auto"/>
                <w:sz w:val="24"/>
                <w:highlight w:val="none"/>
                <w:vertAlign w:val="baseline"/>
                <w:lang w:val="en-US" w:eastAsia="zh-CN"/>
              </w:rPr>
            </w:pPr>
            <w:r>
              <w:rPr>
                <w:rFonts w:hint="eastAsia" w:ascii="黑体" w:hAnsi="黑体" w:eastAsia="黑体" w:cs="黑体"/>
                <w:color w:val="auto"/>
                <w:sz w:val="24"/>
                <w:highlight w:val="none"/>
                <w:vertAlign w:val="baseline"/>
                <w:lang w:val="en-US" w:eastAsia="zh-CN"/>
              </w:rPr>
              <w:t>人员要求</w:t>
            </w:r>
          </w:p>
        </w:tc>
        <w:tc>
          <w:tcPr>
            <w:tcW w:w="892" w:type="dxa"/>
          </w:tcPr>
          <w:p w14:paraId="7368D6E2">
            <w:pPr>
              <w:pStyle w:val="9"/>
              <w:numPr>
                <w:ilvl w:val="-1"/>
                <w:numId w:val="0"/>
              </w:numPr>
              <w:jc w:val="center"/>
              <w:rPr>
                <w:rFonts w:hint="eastAsia" w:ascii="黑体" w:hAnsi="黑体" w:eastAsia="黑体" w:cs="黑体"/>
                <w:color w:val="auto"/>
                <w:sz w:val="24"/>
                <w:highlight w:val="none"/>
                <w:vertAlign w:val="baseline"/>
                <w:lang w:val="en-US" w:eastAsia="zh-CN"/>
              </w:rPr>
            </w:pPr>
            <w:r>
              <w:rPr>
                <w:rFonts w:hint="eastAsia" w:ascii="黑体" w:hAnsi="黑体" w:eastAsia="黑体" w:cs="黑体"/>
                <w:color w:val="auto"/>
                <w:sz w:val="24"/>
                <w:highlight w:val="none"/>
                <w:vertAlign w:val="baseline"/>
                <w:lang w:val="en-US" w:eastAsia="zh-CN"/>
              </w:rPr>
              <w:t>备注</w:t>
            </w:r>
          </w:p>
        </w:tc>
      </w:tr>
      <w:tr w14:paraId="3243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1B86D75A">
            <w:pPr>
              <w:pStyle w:val="9"/>
              <w:numPr>
                <w:ilvl w:val="-1"/>
                <w:numId w:val="0"/>
              </w:numPr>
              <w:jc w:val="center"/>
              <w:rPr>
                <w:rFonts w:hint="default" w:ascii="宋体" w:hAnsi="宋体" w:eastAsia="宋体"/>
                <w:color w:val="auto"/>
                <w:sz w:val="24"/>
                <w:highlight w:val="none"/>
                <w:vertAlign w:val="baseline"/>
                <w:lang w:val="en-US" w:eastAsia="zh-CN"/>
              </w:rPr>
            </w:pPr>
            <w:r>
              <w:rPr>
                <w:rFonts w:hint="eastAsia" w:ascii="宋体" w:hAnsi="宋体" w:eastAsia="宋体"/>
                <w:color w:val="auto"/>
                <w:sz w:val="24"/>
                <w:highlight w:val="none"/>
                <w:vertAlign w:val="baseline"/>
                <w:lang w:val="en-US" w:eastAsia="zh-CN"/>
              </w:rPr>
              <w:t>1</w:t>
            </w:r>
          </w:p>
        </w:tc>
        <w:tc>
          <w:tcPr>
            <w:tcW w:w="1704" w:type="dxa"/>
            <w:vAlign w:val="center"/>
          </w:tcPr>
          <w:p w14:paraId="4ECFCB1D">
            <w:pPr>
              <w:pStyle w:val="9"/>
              <w:numPr>
                <w:ilvl w:val="-1"/>
                <w:numId w:val="0"/>
              </w:numPr>
              <w:jc w:val="center"/>
              <w:rPr>
                <w:rFonts w:hint="eastAsia" w:ascii="宋体" w:hAnsi="宋体" w:eastAsia="宋体"/>
                <w:color w:val="auto"/>
                <w:sz w:val="24"/>
                <w:highlight w:val="none"/>
                <w:vertAlign w:val="baseline"/>
                <w:lang w:val="en-US" w:eastAsia="zh-CN"/>
              </w:rPr>
            </w:pPr>
            <w:r>
              <w:rPr>
                <w:rFonts w:hint="eastAsia" w:ascii="宋体" w:hAnsi="宋体" w:eastAsia="宋体"/>
                <w:color w:val="auto"/>
                <w:sz w:val="24"/>
                <w:highlight w:val="none"/>
                <w:lang w:val="en-US" w:eastAsia="zh-CN"/>
              </w:rPr>
              <w:t>项目负责人</w:t>
            </w:r>
          </w:p>
        </w:tc>
        <w:tc>
          <w:tcPr>
            <w:tcW w:w="1099" w:type="dxa"/>
            <w:vAlign w:val="center"/>
          </w:tcPr>
          <w:p w14:paraId="0305206E">
            <w:pPr>
              <w:pStyle w:val="9"/>
              <w:numPr>
                <w:ilvl w:val="-1"/>
                <w:numId w:val="0"/>
              </w:numPr>
              <w:jc w:val="center"/>
              <w:rPr>
                <w:rFonts w:hint="default" w:ascii="宋体" w:hAnsi="宋体" w:eastAsia="宋体"/>
                <w:color w:val="auto"/>
                <w:sz w:val="24"/>
                <w:highlight w:val="none"/>
                <w:vertAlign w:val="baseline"/>
                <w:lang w:val="en-US" w:eastAsia="zh-CN"/>
              </w:rPr>
            </w:pPr>
            <w:r>
              <w:rPr>
                <w:rFonts w:hint="eastAsia" w:ascii="宋体" w:hAnsi="宋体" w:eastAsia="宋体"/>
                <w:color w:val="auto"/>
                <w:sz w:val="24"/>
                <w:highlight w:val="none"/>
                <w:vertAlign w:val="baseline"/>
                <w:lang w:val="en-US" w:eastAsia="zh-CN"/>
              </w:rPr>
              <w:t>1</w:t>
            </w:r>
          </w:p>
        </w:tc>
        <w:tc>
          <w:tcPr>
            <w:tcW w:w="3123" w:type="dxa"/>
          </w:tcPr>
          <w:p w14:paraId="6504A7A9">
            <w:pPr>
              <w:pStyle w:val="9"/>
              <w:numPr>
                <w:ilvl w:val="-1"/>
                <w:numId w:val="0"/>
              </w:numPr>
              <w:jc w:val="both"/>
              <w:rPr>
                <w:rFonts w:hint="eastAsia" w:ascii="宋体" w:hAnsi="宋体" w:eastAsia="宋体"/>
                <w:color w:val="auto"/>
                <w:sz w:val="24"/>
                <w:highlight w:val="none"/>
                <w:vertAlign w:val="baseline"/>
                <w:lang w:val="en-US" w:eastAsia="zh-CN"/>
              </w:rPr>
            </w:pPr>
            <w:r>
              <w:rPr>
                <w:rFonts w:hint="eastAsia" w:ascii="宋体" w:hAnsi="宋体" w:eastAsia="宋体"/>
                <w:color w:val="auto"/>
                <w:sz w:val="24"/>
                <w:highlight w:val="none"/>
                <w:lang w:val="en-US" w:eastAsia="zh-CN"/>
              </w:rPr>
              <w:t>从事城市生命线安全工程或</w:t>
            </w:r>
            <w:r>
              <w:rPr>
                <w:rFonts w:hint="default" w:ascii="宋体" w:hAnsi="宋体" w:eastAsia="宋体"/>
                <w:color w:val="auto"/>
                <w:sz w:val="24"/>
                <w:highlight w:val="none"/>
                <w:lang w:val="en-US" w:eastAsia="zh-CN"/>
              </w:rPr>
              <w:t>市政公用设施安全工程</w:t>
            </w:r>
            <w:r>
              <w:rPr>
                <w:rFonts w:hint="eastAsia" w:ascii="宋体" w:hAnsi="宋体" w:eastAsia="宋体"/>
                <w:color w:val="auto"/>
                <w:sz w:val="24"/>
                <w:highlight w:val="none"/>
                <w:lang w:val="en-US" w:eastAsia="zh-CN"/>
              </w:rPr>
              <w:t>运维服务相关工作满4年。担任过城市生命线安全工程或</w:t>
            </w:r>
            <w:r>
              <w:rPr>
                <w:rFonts w:hint="default" w:ascii="宋体" w:hAnsi="宋体" w:eastAsia="宋体"/>
                <w:color w:val="auto"/>
                <w:sz w:val="24"/>
                <w:highlight w:val="none"/>
                <w:lang w:val="en-US" w:eastAsia="zh-CN"/>
              </w:rPr>
              <w:t>市政公用设施安全工程</w:t>
            </w:r>
            <w:r>
              <w:rPr>
                <w:rFonts w:hint="eastAsia" w:ascii="宋体" w:hAnsi="宋体" w:eastAsia="宋体"/>
                <w:color w:val="auto"/>
                <w:sz w:val="24"/>
                <w:highlight w:val="none"/>
                <w:lang w:val="en-US" w:eastAsia="zh-CN"/>
              </w:rPr>
              <w:t>运维服务项目负责人。</w:t>
            </w:r>
          </w:p>
        </w:tc>
        <w:tc>
          <w:tcPr>
            <w:tcW w:w="892" w:type="dxa"/>
          </w:tcPr>
          <w:p w14:paraId="52E95BB0">
            <w:pPr>
              <w:pStyle w:val="9"/>
              <w:numPr>
                <w:ilvl w:val="-1"/>
                <w:numId w:val="0"/>
              </w:numPr>
              <w:rPr>
                <w:rFonts w:hint="eastAsia" w:ascii="宋体" w:hAnsi="宋体" w:eastAsia="宋体" w:cs="@微软简标宋"/>
                <w:bCs w:val="0"/>
                <w:color w:val="auto"/>
                <w:sz w:val="24"/>
                <w:szCs w:val="24"/>
                <w:highlight w:val="none"/>
                <w:lang w:val="en-US" w:eastAsia="zh-CN"/>
              </w:rPr>
            </w:pPr>
          </w:p>
          <w:p w14:paraId="4BF129BA">
            <w:pPr>
              <w:pStyle w:val="9"/>
              <w:numPr>
                <w:ilvl w:val="-1"/>
                <w:numId w:val="0"/>
              </w:numPr>
              <w:rPr>
                <w:rFonts w:hint="eastAsia" w:ascii="宋体" w:hAnsi="宋体" w:eastAsia="宋体"/>
                <w:color w:val="auto"/>
                <w:sz w:val="24"/>
                <w:highlight w:val="none"/>
                <w:vertAlign w:val="baseline"/>
                <w:lang w:val="en-US" w:eastAsia="zh-CN"/>
              </w:rPr>
            </w:pPr>
          </w:p>
        </w:tc>
      </w:tr>
      <w:tr w14:paraId="628D5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5314C123">
            <w:pPr>
              <w:pStyle w:val="9"/>
              <w:numPr>
                <w:ilvl w:val="-1"/>
                <w:numId w:val="0"/>
              </w:numPr>
              <w:ind w:firstLine="720" w:firstLineChars="300"/>
              <w:jc w:val="both"/>
              <w:rPr>
                <w:rFonts w:hint="default" w:ascii="宋体" w:hAnsi="宋体" w:eastAsia="宋体"/>
                <w:color w:val="auto"/>
                <w:sz w:val="24"/>
                <w:highlight w:val="none"/>
                <w:vertAlign w:val="baseline"/>
                <w:lang w:val="en-US" w:eastAsia="zh-CN"/>
              </w:rPr>
            </w:pPr>
            <w:r>
              <w:rPr>
                <w:rFonts w:hint="eastAsia" w:ascii="宋体" w:hAnsi="宋体" w:eastAsia="宋体"/>
                <w:color w:val="auto"/>
                <w:sz w:val="24"/>
                <w:highlight w:val="none"/>
                <w:vertAlign w:val="baseline"/>
                <w:lang w:val="en-US" w:eastAsia="zh-CN"/>
              </w:rPr>
              <w:t>2</w:t>
            </w:r>
          </w:p>
        </w:tc>
        <w:tc>
          <w:tcPr>
            <w:tcW w:w="1704" w:type="dxa"/>
            <w:vAlign w:val="center"/>
          </w:tcPr>
          <w:p w14:paraId="7443C18E">
            <w:pPr>
              <w:pStyle w:val="9"/>
              <w:numPr>
                <w:ilvl w:val="-1"/>
                <w:numId w:val="0"/>
              </w:numPr>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信息化系统专职运维人员</w:t>
            </w:r>
          </w:p>
        </w:tc>
        <w:tc>
          <w:tcPr>
            <w:tcW w:w="1099" w:type="dxa"/>
            <w:vAlign w:val="center"/>
          </w:tcPr>
          <w:p w14:paraId="617DE4DE">
            <w:pPr>
              <w:pStyle w:val="9"/>
              <w:numPr>
                <w:ilvl w:val="-1"/>
                <w:numId w:val="0"/>
              </w:numPr>
              <w:jc w:val="center"/>
              <w:rPr>
                <w:rFonts w:hint="default" w:ascii="宋体" w:hAnsi="宋体" w:eastAsia="宋体"/>
                <w:color w:val="auto"/>
                <w:sz w:val="24"/>
                <w:highlight w:val="none"/>
                <w:vertAlign w:val="baseline"/>
                <w:lang w:val="en-US" w:eastAsia="zh-CN"/>
              </w:rPr>
            </w:pPr>
            <w:r>
              <w:rPr>
                <w:rFonts w:hint="eastAsia" w:ascii="宋体" w:hAnsi="宋体" w:eastAsia="宋体"/>
                <w:color w:val="auto"/>
                <w:sz w:val="24"/>
                <w:highlight w:val="none"/>
                <w:vertAlign w:val="baseline"/>
                <w:lang w:val="en-US" w:eastAsia="zh-CN"/>
              </w:rPr>
              <w:t>2</w:t>
            </w:r>
          </w:p>
        </w:tc>
        <w:tc>
          <w:tcPr>
            <w:tcW w:w="3123" w:type="dxa"/>
          </w:tcPr>
          <w:p w14:paraId="3EE3982D">
            <w:pPr>
              <w:pStyle w:val="9"/>
              <w:numPr>
                <w:ilvl w:val="-1"/>
                <w:numId w:val="0"/>
              </w:numPr>
              <w:jc w:val="both"/>
              <w:rPr>
                <w:rFonts w:hint="default" w:ascii="宋体" w:hAnsi="宋体" w:eastAsia="宋体" w:cs="@仿宋_GB2312"/>
                <w:b w:val="0"/>
                <w:bCs w:val="0"/>
                <w:color w:val="auto"/>
                <w:kern w:val="2"/>
                <w:sz w:val="24"/>
                <w:szCs w:val="20"/>
                <w:highlight w:val="none"/>
                <w:lang w:val="en-US" w:eastAsia="zh-CN" w:bidi="ar-SA"/>
              </w:rPr>
            </w:pPr>
            <w:r>
              <w:rPr>
                <w:rFonts w:hint="eastAsia" w:ascii="宋体" w:hAnsi="宋体" w:eastAsia="宋体" w:cs="宋体"/>
                <w:color w:val="auto"/>
                <w:sz w:val="24"/>
                <w:szCs w:val="24"/>
                <w:highlight w:val="none"/>
                <w:lang w:eastAsia="zh-CN"/>
              </w:rPr>
              <w:t>从事软件开发、运维等相关领域工作满</w:t>
            </w:r>
            <w:r>
              <w:rPr>
                <w:rFonts w:hint="eastAsia" w:ascii="宋体" w:hAnsi="宋体" w:eastAsia="宋体" w:cs="宋体"/>
                <w:color w:val="auto"/>
                <w:sz w:val="24"/>
                <w:szCs w:val="24"/>
                <w:highlight w:val="none"/>
                <w:lang w:val="en-US" w:eastAsia="zh-CN"/>
              </w:rPr>
              <w:t>2年。</w:t>
            </w:r>
            <w:r>
              <w:rPr>
                <w:rFonts w:hint="eastAsia" w:ascii="宋体" w:hAnsi="宋体" w:eastAsia="宋体" w:cs="@仿宋_GB2312"/>
                <w:b w:val="0"/>
                <w:bCs w:val="0"/>
                <w:color w:val="auto"/>
                <w:kern w:val="2"/>
                <w:sz w:val="24"/>
                <w:szCs w:val="20"/>
                <w:highlight w:val="none"/>
                <w:lang w:val="en-US" w:eastAsia="zh-CN" w:bidi="ar-SA"/>
              </w:rPr>
              <w:t>具备</w:t>
            </w:r>
            <w:r>
              <w:rPr>
                <w:rFonts w:hint="eastAsia" w:ascii="宋体" w:hAnsi="宋体" w:eastAsia="宋体"/>
                <w:color w:val="auto"/>
                <w:sz w:val="24"/>
                <w:highlight w:val="none"/>
                <w:lang w:val="en-US" w:eastAsia="zh-CN"/>
              </w:rPr>
              <w:t>对本项目系统进行必要的完善、维护、升级、修复、拓展以及系统优化整合能力</w:t>
            </w:r>
            <w:r>
              <w:rPr>
                <w:rFonts w:hint="eastAsia" w:ascii="宋体" w:hAnsi="宋体" w:eastAsia="宋体" w:cs="@仿宋_GB2312"/>
                <w:b w:val="0"/>
                <w:bCs w:val="0"/>
                <w:color w:val="auto"/>
                <w:kern w:val="2"/>
                <w:sz w:val="24"/>
                <w:szCs w:val="20"/>
                <w:highlight w:val="none"/>
                <w:lang w:val="en-US" w:eastAsia="zh-CN" w:bidi="ar-SA"/>
              </w:rPr>
              <w:t>。</w:t>
            </w:r>
          </w:p>
        </w:tc>
        <w:tc>
          <w:tcPr>
            <w:tcW w:w="892" w:type="dxa"/>
          </w:tcPr>
          <w:p w14:paraId="674305F2">
            <w:pPr>
              <w:pStyle w:val="9"/>
              <w:numPr>
                <w:ilvl w:val="-1"/>
                <w:numId w:val="0"/>
              </w:numPr>
              <w:rPr>
                <w:rFonts w:hint="eastAsia" w:ascii="宋体" w:hAnsi="宋体" w:eastAsia="宋体" w:cs="宋体"/>
                <w:color w:val="auto"/>
                <w:sz w:val="24"/>
                <w:szCs w:val="24"/>
                <w:highlight w:val="none"/>
                <w:lang w:eastAsia="zh-CN"/>
              </w:rPr>
            </w:pPr>
          </w:p>
          <w:p w14:paraId="657001DC">
            <w:pPr>
              <w:pStyle w:val="9"/>
              <w:numPr>
                <w:ilvl w:val="-1"/>
                <w:numId w:val="0"/>
              </w:numPr>
              <w:rPr>
                <w:rFonts w:hint="eastAsia" w:ascii="宋体" w:hAnsi="宋体" w:eastAsia="宋体"/>
                <w:color w:val="auto"/>
                <w:sz w:val="24"/>
                <w:highlight w:val="none"/>
                <w:vertAlign w:val="baseline"/>
                <w:lang w:val="en-US" w:eastAsia="zh-CN"/>
              </w:rPr>
            </w:pPr>
          </w:p>
        </w:tc>
      </w:tr>
      <w:tr w14:paraId="3D28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4" w:type="dxa"/>
            <w:vAlign w:val="center"/>
          </w:tcPr>
          <w:p w14:paraId="596EE022">
            <w:pPr>
              <w:pStyle w:val="9"/>
              <w:numPr>
                <w:ilvl w:val="-1"/>
                <w:numId w:val="0"/>
              </w:numPr>
              <w:jc w:val="center"/>
              <w:rPr>
                <w:rFonts w:hint="default" w:ascii="宋体" w:hAnsi="宋体" w:eastAsia="宋体"/>
                <w:color w:val="auto"/>
                <w:sz w:val="24"/>
                <w:highlight w:val="none"/>
                <w:vertAlign w:val="baseline"/>
                <w:lang w:val="en-US" w:eastAsia="zh-CN"/>
              </w:rPr>
            </w:pPr>
            <w:r>
              <w:rPr>
                <w:rFonts w:hint="eastAsia" w:ascii="宋体" w:hAnsi="宋体" w:eastAsia="宋体"/>
                <w:color w:val="auto"/>
                <w:sz w:val="24"/>
                <w:highlight w:val="none"/>
                <w:vertAlign w:val="baseline"/>
                <w:lang w:val="en-US" w:eastAsia="zh-CN"/>
              </w:rPr>
              <w:t>3</w:t>
            </w:r>
          </w:p>
        </w:tc>
        <w:tc>
          <w:tcPr>
            <w:tcW w:w="1704" w:type="dxa"/>
            <w:vAlign w:val="center"/>
          </w:tcPr>
          <w:p w14:paraId="4B0E11A3">
            <w:pPr>
              <w:pStyle w:val="9"/>
              <w:numPr>
                <w:ilvl w:val="-1"/>
                <w:numId w:val="0"/>
              </w:numPr>
              <w:jc w:val="center"/>
              <w:rPr>
                <w:rFonts w:hint="eastAsia" w:ascii="宋体" w:hAnsi="宋体" w:eastAsia="宋体"/>
                <w:color w:val="auto"/>
                <w:sz w:val="24"/>
                <w:highlight w:val="none"/>
                <w:vertAlign w:val="baseline"/>
                <w:lang w:val="en-US" w:eastAsia="zh-CN"/>
              </w:rPr>
            </w:pPr>
            <w:r>
              <w:rPr>
                <w:rFonts w:hint="eastAsia" w:ascii="宋体" w:hAnsi="宋体" w:eastAsia="宋体"/>
                <w:color w:val="auto"/>
                <w:sz w:val="24"/>
                <w:highlight w:val="none"/>
                <w:lang w:val="en-US" w:eastAsia="zh-CN"/>
              </w:rPr>
              <w:t>监测值守服务人员</w:t>
            </w:r>
          </w:p>
        </w:tc>
        <w:tc>
          <w:tcPr>
            <w:tcW w:w="1099" w:type="dxa"/>
            <w:vAlign w:val="center"/>
          </w:tcPr>
          <w:p w14:paraId="40B7E543">
            <w:pPr>
              <w:pStyle w:val="9"/>
              <w:numPr>
                <w:ilvl w:val="-1"/>
                <w:numId w:val="0"/>
              </w:numPr>
              <w:jc w:val="center"/>
              <w:rPr>
                <w:rFonts w:hint="default" w:ascii="宋体" w:hAnsi="宋体" w:eastAsia="宋体"/>
                <w:color w:val="auto"/>
                <w:sz w:val="24"/>
                <w:highlight w:val="none"/>
                <w:vertAlign w:val="baseline"/>
                <w:lang w:val="en-US" w:eastAsia="zh-CN"/>
              </w:rPr>
            </w:pPr>
            <w:r>
              <w:rPr>
                <w:rFonts w:hint="eastAsia" w:ascii="宋体" w:hAnsi="宋体" w:eastAsia="宋体"/>
                <w:color w:val="auto"/>
                <w:sz w:val="24"/>
                <w:highlight w:val="none"/>
                <w:vertAlign w:val="baseline"/>
                <w:lang w:val="en-US" w:eastAsia="zh-CN"/>
              </w:rPr>
              <w:t>10</w:t>
            </w:r>
          </w:p>
        </w:tc>
        <w:tc>
          <w:tcPr>
            <w:tcW w:w="3123" w:type="dxa"/>
          </w:tcPr>
          <w:p w14:paraId="080120BF">
            <w:pPr>
              <w:pStyle w:val="9"/>
              <w:numPr>
                <w:ilvl w:val="-1"/>
                <w:numId w:val="0"/>
              </w:numPr>
              <w:jc w:val="center"/>
              <w:rPr>
                <w:rFonts w:hint="eastAsia" w:ascii="宋体" w:hAnsi="宋体" w:eastAsia="宋体" w:cs="@微软简标宋"/>
                <w:bCs w:val="0"/>
                <w:color w:val="auto"/>
                <w:sz w:val="24"/>
                <w:szCs w:val="24"/>
                <w:highlight w:val="none"/>
                <w:lang w:val="en-US" w:eastAsia="zh-CN"/>
              </w:rPr>
            </w:pPr>
            <w:r>
              <w:rPr>
                <w:rFonts w:hint="eastAsia" w:ascii="宋体" w:hAnsi="宋体" w:eastAsia="宋体"/>
                <w:color w:val="auto"/>
                <w:sz w:val="24"/>
                <w:highlight w:val="none"/>
                <w:lang w:val="en-US" w:eastAsia="zh-CN"/>
              </w:rPr>
              <w:t>监测值守服务人员应适应夜班工作需要，满足本项目监测值守要求。</w:t>
            </w:r>
            <w:r>
              <w:rPr>
                <w:rFonts w:hint="eastAsia" w:ascii="宋体" w:hAnsi="宋体" w:eastAsia="宋体" w:cs="@微软简标宋"/>
                <w:bCs w:val="0"/>
                <w:color w:val="auto"/>
                <w:sz w:val="24"/>
                <w:szCs w:val="24"/>
                <w:highlight w:val="none"/>
                <w:lang w:val="en-US" w:eastAsia="zh-CN"/>
              </w:rPr>
              <w:t>不少于3人需从事城</w:t>
            </w:r>
            <w:r>
              <w:rPr>
                <w:rFonts w:hint="eastAsia" w:ascii="宋体" w:hAnsi="宋体" w:eastAsia="宋体"/>
                <w:b w:val="0"/>
                <w:bCs w:val="0"/>
                <w:color w:val="auto"/>
                <w:sz w:val="24"/>
                <w:highlight w:val="none"/>
                <w:lang w:val="en-US" w:eastAsia="zh-CN"/>
              </w:rPr>
              <w:t>市生命线安全工程</w:t>
            </w:r>
            <w:r>
              <w:rPr>
                <w:rFonts w:hint="eastAsia" w:ascii="Times New Roman" w:hAnsi="Times New Roman" w:eastAsia="宋体" w:cs="Times New Roman"/>
                <w:b w:val="0"/>
                <w:bCs w:val="0"/>
                <w:color w:val="auto"/>
                <w:sz w:val="24"/>
                <w:szCs w:val="24"/>
                <w:highlight w:val="none"/>
                <w:lang w:val="en-US" w:eastAsia="zh-CN"/>
              </w:rPr>
              <w:t>或</w:t>
            </w:r>
            <w:r>
              <w:rPr>
                <w:rFonts w:hint="default" w:ascii="Times New Roman" w:hAnsi="Times New Roman" w:eastAsia="宋体" w:cs="Times New Roman"/>
                <w:b w:val="0"/>
                <w:bCs w:val="0"/>
                <w:color w:val="auto"/>
                <w:sz w:val="24"/>
                <w:szCs w:val="24"/>
                <w:highlight w:val="none"/>
                <w:lang w:val="en-US" w:eastAsia="zh-CN"/>
              </w:rPr>
              <w:t>市政公用设施安全工程</w:t>
            </w:r>
            <w:r>
              <w:rPr>
                <w:rFonts w:hint="eastAsia" w:ascii="宋体" w:hAnsi="宋体" w:eastAsia="宋体" w:cs="@微软简标宋"/>
                <w:bCs w:val="0"/>
                <w:color w:val="auto"/>
                <w:sz w:val="24"/>
                <w:szCs w:val="24"/>
                <w:highlight w:val="none"/>
                <w:lang w:val="en-US" w:eastAsia="zh-CN"/>
              </w:rPr>
              <w:t>等相关领域类似项目监测值守工作</w:t>
            </w:r>
            <w:r>
              <w:rPr>
                <w:rFonts w:hint="eastAsia" w:ascii="宋体" w:hAnsi="宋体" w:eastAsia="宋体" w:cs="@微软简标宋"/>
                <w:bCs w:val="0"/>
                <w:color w:val="auto"/>
                <w:sz w:val="24"/>
                <w:szCs w:val="24"/>
                <w:highlight w:val="none"/>
                <w:lang w:val="en-US"/>
              </w:rPr>
              <w:t>满</w:t>
            </w:r>
            <w:r>
              <w:rPr>
                <w:rFonts w:hint="eastAsia" w:ascii="宋体" w:hAnsi="宋体" w:eastAsia="宋体" w:cs="@微软简标宋"/>
                <w:bCs w:val="0"/>
                <w:color w:val="auto"/>
                <w:sz w:val="24"/>
                <w:szCs w:val="24"/>
                <w:highlight w:val="none"/>
                <w:lang w:val="en-US" w:eastAsia="zh-CN"/>
              </w:rPr>
              <w:t>2</w:t>
            </w:r>
            <w:r>
              <w:rPr>
                <w:rFonts w:hint="eastAsia" w:ascii="宋体" w:hAnsi="宋体" w:eastAsia="宋体" w:cs="@微软简标宋"/>
                <w:bCs w:val="0"/>
                <w:color w:val="auto"/>
                <w:sz w:val="24"/>
                <w:szCs w:val="24"/>
                <w:highlight w:val="none"/>
                <w:lang w:val="en-US"/>
              </w:rPr>
              <w:t>年</w:t>
            </w:r>
            <w:r>
              <w:rPr>
                <w:rFonts w:hint="eastAsia" w:ascii="宋体" w:hAnsi="宋体" w:eastAsia="宋体" w:cs="@微软简标宋"/>
                <w:bCs w:val="0"/>
                <w:color w:val="auto"/>
                <w:sz w:val="24"/>
                <w:szCs w:val="24"/>
                <w:highlight w:val="none"/>
                <w:lang w:val="en-US" w:eastAsia="zh-CN"/>
              </w:rPr>
              <w:t>，作为每班次值守负责人。</w:t>
            </w:r>
          </w:p>
        </w:tc>
        <w:tc>
          <w:tcPr>
            <w:tcW w:w="892" w:type="dxa"/>
          </w:tcPr>
          <w:p w14:paraId="314C1EA7">
            <w:pPr>
              <w:pStyle w:val="9"/>
              <w:numPr>
                <w:ilvl w:val="-1"/>
                <w:numId w:val="0"/>
              </w:numPr>
              <w:rPr>
                <w:rFonts w:hint="eastAsia" w:ascii="宋体" w:hAnsi="宋体" w:eastAsia="宋体"/>
                <w:color w:val="auto"/>
                <w:sz w:val="24"/>
                <w:highlight w:val="none"/>
                <w:vertAlign w:val="baseline"/>
                <w:lang w:val="en-US" w:eastAsia="zh-CN"/>
              </w:rPr>
            </w:pPr>
          </w:p>
        </w:tc>
      </w:tr>
      <w:tr w14:paraId="62F45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7B191FE6">
            <w:pPr>
              <w:pStyle w:val="9"/>
              <w:numPr>
                <w:ilvl w:val="-1"/>
                <w:numId w:val="0"/>
              </w:numPr>
              <w:jc w:val="center"/>
              <w:rPr>
                <w:rFonts w:hint="default" w:ascii="宋体" w:hAnsi="宋体" w:eastAsia="宋体"/>
                <w:color w:val="auto"/>
                <w:sz w:val="24"/>
                <w:highlight w:val="none"/>
                <w:vertAlign w:val="baseline"/>
                <w:lang w:val="en-US" w:eastAsia="zh-CN"/>
              </w:rPr>
            </w:pPr>
            <w:r>
              <w:rPr>
                <w:rFonts w:hint="eastAsia" w:ascii="宋体" w:hAnsi="宋体" w:eastAsia="宋体"/>
                <w:color w:val="auto"/>
                <w:sz w:val="24"/>
                <w:highlight w:val="none"/>
                <w:vertAlign w:val="baseline"/>
                <w:lang w:val="en-US" w:eastAsia="zh-CN"/>
              </w:rPr>
              <w:t>4</w:t>
            </w:r>
          </w:p>
        </w:tc>
        <w:tc>
          <w:tcPr>
            <w:tcW w:w="1704" w:type="dxa"/>
            <w:vAlign w:val="center"/>
          </w:tcPr>
          <w:p w14:paraId="0541DCF8">
            <w:pPr>
              <w:pStyle w:val="9"/>
              <w:numPr>
                <w:ilvl w:val="-1"/>
                <w:numId w:val="0"/>
              </w:numPr>
              <w:ind w:firstLine="0" w:firstLineChars="0"/>
              <w:jc w:val="center"/>
              <w:rPr>
                <w:rFonts w:hint="eastAsia" w:ascii="宋体" w:hAnsi="宋体" w:eastAsia="宋体"/>
                <w:color w:val="auto"/>
                <w:sz w:val="24"/>
                <w:highlight w:val="none"/>
                <w:vertAlign w:val="baseline"/>
                <w:lang w:val="en-US" w:eastAsia="zh-CN"/>
              </w:rPr>
            </w:pPr>
            <w:r>
              <w:rPr>
                <w:rFonts w:hint="eastAsia" w:ascii="宋体" w:hAnsi="宋体" w:eastAsia="宋体" w:cstheme="minorBidi"/>
                <w:color w:val="auto"/>
                <w:kern w:val="2"/>
                <w:sz w:val="24"/>
                <w:szCs w:val="24"/>
                <w:highlight w:val="none"/>
                <w:lang w:val="en-US" w:eastAsia="zh-CN" w:bidi="ar-SA"/>
              </w:rPr>
              <w:t>前端感知设备运维人员</w:t>
            </w:r>
          </w:p>
        </w:tc>
        <w:tc>
          <w:tcPr>
            <w:tcW w:w="1099" w:type="dxa"/>
            <w:vAlign w:val="center"/>
          </w:tcPr>
          <w:p w14:paraId="489F3EB8">
            <w:pPr>
              <w:pStyle w:val="9"/>
              <w:numPr>
                <w:ilvl w:val="-1"/>
                <w:numId w:val="0"/>
              </w:numPr>
              <w:jc w:val="center"/>
              <w:rPr>
                <w:rFonts w:hint="default" w:ascii="宋体" w:hAnsi="宋体" w:eastAsia="宋体"/>
                <w:color w:val="auto"/>
                <w:sz w:val="24"/>
                <w:highlight w:val="none"/>
                <w:vertAlign w:val="baseline"/>
                <w:lang w:val="en-US" w:eastAsia="zh-CN"/>
              </w:rPr>
            </w:pPr>
            <w:r>
              <w:rPr>
                <w:rFonts w:hint="eastAsia" w:ascii="宋体" w:hAnsi="宋体" w:eastAsia="宋体"/>
                <w:color w:val="auto"/>
                <w:sz w:val="24"/>
                <w:highlight w:val="none"/>
                <w:vertAlign w:val="baseline"/>
                <w:lang w:val="en-US" w:eastAsia="zh-CN"/>
              </w:rPr>
              <w:t>5</w:t>
            </w:r>
          </w:p>
        </w:tc>
        <w:tc>
          <w:tcPr>
            <w:tcW w:w="3123" w:type="dxa"/>
          </w:tcPr>
          <w:p w14:paraId="72696C5E">
            <w:pPr>
              <w:pStyle w:val="9"/>
              <w:numPr>
                <w:ilvl w:val="-1"/>
                <w:numId w:val="0"/>
              </w:numPr>
              <w:jc w:val="center"/>
              <w:rPr>
                <w:rFonts w:hint="eastAsia" w:ascii="宋体" w:hAnsi="宋体" w:eastAsia="宋体" w:cs="@微软简标宋"/>
                <w:bCs w:val="0"/>
                <w:color w:val="auto"/>
                <w:sz w:val="24"/>
                <w:szCs w:val="24"/>
                <w:highlight w:val="none"/>
                <w:lang w:val="en-US" w:eastAsia="zh-CN"/>
              </w:rPr>
            </w:pPr>
            <w:r>
              <w:rPr>
                <w:rFonts w:hint="eastAsia" w:ascii="宋体" w:hAnsi="宋体" w:eastAsia="宋体"/>
                <w:color w:val="auto"/>
                <w:sz w:val="24"/>
                <w:highlight w:val="none"/>
                <w:vertAlign w:val="baseline"/>
                <w:lang w:val="en-US" w:eastAsia="zh-CN"/>
              </w:rPr>
              <w:t>具备本项目</w:t>
            </w:r>
            <w:r>
              <w:rPr>
                <w:rFonts w:hint="eastAsia" w:ascii="宋体" w:hAnsi="宋体" w:eastAsia="宋体" w:cstheme="minorBidi"/>
                <w:color w:val="auto"/>
                <w:kern w:val="2"/>
                <w:sz w:val="24"/>
                <w:szCs w:val="24"/>
                <w:highlight w:val="none"/>
                <w:lang w:val="en-US" w:eastAsia="zh-CN" w:bidi="ar-SA"/>
              </w:rPr>
              <w:t>前端感知设备</w:t>
            </w:r>
            <w:r>
              <w:rPr>
                <w:rFonts w:hint="eastAsia" w:ascii="宋体" w:hAnsi="宋体" w:eastAsia="宋体"/>
                <w:color w:val="auto"/>
                <w:sz w:val="24"/>
                <w:highlight w:val="none"/>
                <w:vertAlign w:val="baseline"/>
                <w:lang w:val="en-US" w:eastAsia="zh-CN"/>
              </w:rPr>
              <w:t>运维能力。适应外业作业环境。不少于1人具备低压电工证</w:t>
            </w:r>
            <w:r>
              <w:rPr>
                <w:rStyle w:val="29"/>
                <w:rFonts w:hint="eastAsia" w:ascii="宋体" w:hAnsi="宋体" w:eastAsia="宋体" w:cs="宋体"/>
                <w:i w:val="0"/>
                <w:iCs w:val="0"/>
                <w:caps w:val="0"/>
                <w:color w:val="auto"/>
                <w:spacing w:val="0"/>
                <w:sz w:val="24"/>
                <w:szCs w:val="24"/>
                <w:highlight w:val="none"/>
                <w:shd w:val="clear"/>
              </w:rPr>
              <w:t>特种作业操作证</w:t>
            </w:r>
            <w:r>
              <w:rPr>
                <w:rFonts w:hint="eastAsia" w:ascii="宋体" w:hAnsi="宋体" w:eastAsia="宋体" w:cs="宋体"/>
                <w:color w:val="auto"/>
                <w:sz w:val="24"/>
                <w:highlight w:val="none"/>
                <w:vertAlign w:val="baseline"/>
                <w:lang w:val="en-US" w:eastAsia="zh-CN"/>
              </w:rPr>
              <w:t>。</w:t>
            </w:r>
          </w:p>
        </w:tc>
        <w:tc>
          <w:tcPr>
            <w:tcW w:w="892" w:type="dxa"/>
          </w:tcPr>
          <w:p w14:paraId="11F990E1">
            <w:pPr>
              <w:pStyle w:val="9"/>
              <w:numPr>
                <w:ilvl w:val="-1"/>
                <w:numId w:val="0"/>
              </w:numPr>
              <w:rPr>
                <w:rFonts w:hint="eastAsia" w:ascii="宋体" w:hAnsi="宋体" w:eastAsia="宋体"/>
                <w:color w:val="auto"/>
                <w:sz w:val="24"/>
                <w:highlight w:val="none"/>
                <w:vertAlign w:val="baseline"/>
                <w:lang w:val="en-US" w:eastAsia="zh-CN"/>
              </w:rPr>
            </w:pPr>
          </w:p>
        </w:tc>
      </w:tr>
      <w:tr w14:paraId="05CF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1704" w:type="dxa"/>
            <w:vAlign w:val="center"/>
          </w:tcPr>
          <w:p w14:paraId="60EEB818">
            <w:pPr>
              <w:pStyle w:val="9"/>
              <w:numPr>
                <w:ilvl w:val="-1"/>
                <w:numId w:val="0"/>
              </w:numPr>
              <w:jc w:val="center"/>
              <w:rPr>
                <w:rFonts w:hint="default" w:ascii="宋体" w:hAnsi="宋体" w:eastAsia="宋体"/>
                <w:color w:val="auto"/>
                <w:sz w:val="24"/>
                <w:highlight w:val="none"/>
                <w:vertAlign w:val="baseline"/>
                <w:lang w:val="en-US" w:eastAsia="zh-CN"/>
              </w:rPr>
            </w:pPr>
            <w:r>
              <w:rPr>
                <w:rFonts w:hint="eastAsia" w:ascii="宋体" w:hAnsi="宋体" w:eastAsia="宋体"/>
                <w:color w:val="auto"/>
                <w:sz w:val="24"/>
                <w:highlight w:val="none"/>
                <w:vertAlign w:val="baseline"/>
                <w:lang w:val="en-US" w:eastAsia="zh-CN"/>
              </w:rPr>
              <w:t>5</w:t>
            </w:r>
          </w:p>
        </w:tc>
        <w:tc>
          <w:tcPr>
            <w:tcW w:w="1704" w:type="dxa"/>
            <w:vAlign w:val="center"/>
          </w:tcPr>
          <w:p w14:paraId="7B9FADED">
            <w:pPr>
              <w:pStyle w:val="9"/>
              <w:numPr>
                <w:ilvl w:val="-1"/>
                <w:numId w:val="0"/>
              </w:numPr>
              <w:jc w:val="center"/>
              <w:rPr>
                <w:rFonts w:hint="eastAsia" w:ascii="宋体" w:hAnsi="宋体" w:eastAsia="宋体"/>
                <w:color w:val="auto"/>
                <w:sz w:val="24"/>
                <w:highlight w:val="none"/>
                <w:vertAlign w:val="baseline"/>
                <w:lang w:val="en-US" w:eastAsia="zh-CN"/>
              </w:rPr>
            </w:pPr>
            <w:r>
              <w:rPr>
                <w:rFonts w:hint="eastAsia" w:ascii="宋体" w:hAnsi="宋体" w:eastAsia="宋体"/>
                <w:color w:val="auto"/>
                <w:sz w:val="24"/>
                <w:highlight w:val="none"/>
                <w:lang w:val="en-US" w:eastAsia="zh-CN"/>
              </w:rPr>
              <w:t>数据分析人员</w:t>
            </w:r>
          </w:p>
        </w:tc>
        <w:tc>
          <w:tcPr>
            <w:tcW w:w="1099" w:type="dxa"/>
            <w:vAlign w:val="center"/>
          </w:tcPr>
          <w:p w14:paraId="27CA97CD">
            <w:pPr>
              <w:pStyle w:val="9"/>
              <w:numPr>
                <w:ilvl w:val="-1"/>
                <w:numId w:val="0"/>
              </w:numPr>
              <w:jc w:val="center"/>
              <w:rPr>
                <w:rFonts w:hint="default" w:ascii="宋体" w:hAnsi="宋体" w:eastAsia="宋体"/>
                <w:color w:val="auto"/>
                <w:sz w:val="24"/>
                <w:highlight w:val="none"/>
                <w:vertAlign w:val="baseline"/>
                <w:lang w:val="en-US" w:eastAsia="zh-CN"/>
              </w:rPr>
            </w:pPr>
            <w:r>
              <w:rPr>
                <w:rFonts w:hint="eastAsia" w:ascii="宋体" w:hAnsi="宋体" w:eastAsia="宋体"/>
                <w:color w:val="auto"/>
                <w:sz w:val="24"/>
                <w:highlight w:val="none"/>
                <w:vertAlign w:val="baseline"/>
                <w:lang w:val="en-US" w:eastAsia="zh-CN"/>
              </w:rPr>
              <w:t>2</w:t>
            </w:r>
          </w:p>
        </w:tc>
        <w:tc>
          <w:tcPr>
            <w:tcW w:w="3123" w:type="dxa"/>
          </w:tcPr>
          <w:p w14:paraId="212A559D">
            <w:pPr>
              <w:pStyle w:val="9"/>
              <w:numPr>
                <w:ilvl w:val="-1"/>
                <w:numId w:val="0"/>
              </w:numPr>
              <w:rPr>
                <w:rFonts w:hint="eastAsia" w:ascii="宋体" w:hAnsi="宋体" w:eastAsia="宋体" w:cs="@微软简标宋"/>
                <w:bCs w:val="0"/>
                <w:color w:val="auto"/>
                <w:sz w:val="24"/>
                <w:szCs w:val="24"/>
                <w:highlight w:val="none"/>
                <w:lang w:val="en-US" w:eastAsia="zh-CN"/>
              </w:rPr>
            </w:pPr>
            <w:r>
              <w:rPr>
                <w:rFonts w:hint="eastAsia" w:ascii="宋体" w:hAnsi="宋体" w:eastAsia="宋体" w:cs="@微软简标宋"/>
                <w:bCs w:val="0"/>
                <w:color w:val="auto"/>
                <w:sz w:val="24"/>
                <w:szCs w:val="24"/>
                <w:highlight w:val="none"/>
                <w:lang w:val="en-US" w:eastAsia="zh-CN"/>
              </w:rPr>
              <w:t>需从事城</w:t>
            </w:r>
            <w:r>
              <w:rPr>
                <w:rFonts w:hint="eastAsia" w:ascii="宋体" w:hAnsi="宋体" w:eastAsia="宋体"/>
                <w:b w:val="0"/>
                <w:bCs w:val="0"/>
                <w:color w:val="auto"/>
                <w:sz w:val="24"/>
                <w:highlight w:val="none"/>
                <w:lang w:val="en-US" w:eastAsia="zh-CN"/>
              </w:rPr>
              <w:t>市生命线安全工程</w:t>
            </w:r>
            <w:r>
              <w:rPr>
                <w:rFonts w:hint="eastAsia" w:ascii="Times New Roman" w:hAnsi="Times New Roman" w:eastAsia="宋体" w:cs="Times New Roman"/>
                <w:b w:val="0"/>
                <w:bCs w:val="0"/>
                <w:color w:val="auto"/>
                <w:sz w:val="24"/>
                <w:szCs w:val="24"/>
                <w:highlight w:val="none"/>
                <w:lang w:val="en-US" w:eastAsia="zh-CN"/>
              </w:rPr>
              <w:t>或</w:t>
            </w:r>
            <w:r>
              <w:rPr>
                <w:rFonts w:hint="default" w:ascii="Times New Roman" w:hAnsi="Times New Roman" w:eastAsia="宋体" w:cs="Times New Roman"/>
                <w:b w:val="0"/>
                <w:bCs w:val="0"/>
                <w:color w:val="auto"/>
                <w:sz w:val="24"/>
                <w:szCs w:val="24"/>
                <w:highlight w:val="none"/>
                <w:lang w:val="en-US" w:eastAsia="zh-CN"/>
              </w:rPr>
              <w:t>市政公用设施安全工程</w:t>
            </w:r>
            <w:r>
              <w:rPr>
                <w:rFonts w:hint="eastAsia" w:ascii="宋体" w:hAnsi="宋体" w:eastAsia="宋体" w:cs="@微软简标宋"/>
                <w:bCs w:val="0"/>
                <w:color w:val="auto"/>
                <w:sz w:val="24"/>
                <w:szCs w:val="24"/>
                <w:highlight w:val="none"/>
                <w:lang w:val="en-US" w:eastAsia="zh-CN"/>
              </w:rPr>
              <w:t>等相关领域项目数据分析工作</w:t>
            </w:r>
            <w:r>
              <w:rPr>
                <w:rFonts w:hint="eastAsia" w:ascii="宋体" w:hAnsi="宋体" w:eastAsia="宋体" w:cs="@微软简标宋"/>
                <w:bCs w:val="0"/>
                <w:color w:val="auto"/>
                <w:sz w:val="24"/>
                <w:szCs w:val="24"/>
                <w:highlight w:val="none"/>
                <w:lang w:val="en-US"/>
              </w:rPr>
              <w:t>满</w:t>
            </w:r>
            <w:r>
              <w:rPr>
                <w:rFonts w:hint="eastAsia" w:ascii="宋体" w:hAnsi="宋体" w:eastAsia="宋体" w:cs="@微软简标宋"/>
                <w:bCs w:val="0"/>
                <w:color w:val="auto"/>
                <w:sz w:val="24"/>
                <w:szCs w:val="24"/>
                <w:highlight w:val="none"/>
                <w:lang w:val="en-US" w:eastAsia="zh-CN"/>
              </w:rPr>
              <w:t>2</w:t>
            </w:r>
            <w:r>
              <w:rPr>
                <w:rFonts w:hint="eastAsia" w:ascii="宋体" w:hAnsi="宋体" w:eastAsia="宋体" w:cs="@微软简标宋"/>
                <w:bCs w:val="0"/>
                <w:color w:val="auto"/>
                <w:sz w:val="24"/>
                <w:szCs w:val="24"/>
                <w:highlight w:val="none"/>
                <w:lang w:val="en-US"/>
              </w:rPr>
              <w:t>年</w:t>
            </w:r>
            <w:r>
              <w:rPr>
                <w:rFonts w:hint="eastAsia" w:ascii="宋体" w:hAnsi="宋体" w:eastAsia="宋体" w:cs="@微软简标宋"/>
                <w:bCs w:val="0"/>
                <w:color w:val="auto"/>
                <w:sz w:val="24"/>
                <w:szCs w:val="24"/>
                <w:highlight w:val="none"/>
                <w:lang w:val="en-US" w:eastAsia="zh-CN"/>
              </w:rPr>
              <w:t>。</w:t>
            </w:r>
          </w:p>
        </w:tc>
        <w:tc>
          <w:tcPr>
            <w:tcW w:w="892" w:type="dxa"/>
          </w:tcPr>
          <w:p w14:paraId="79B759C7">
            <w:pPr>
              <w:pStyle w:val="9"/>
              <w:numPr>
                <w:ilvl w:val="-1"/>
                <w:numId w:val="0"/>
              </w:numPr>
              <w:rPr>
                <w:rFonts w:hint="eastAsia" w:ascii="宋体" w:hAnsi="宋体" w:eastAsia="宋体" w:cs="@微软简标宋"/>
                <w:bCs w:val="0"/>
                <w:color w:val="auto"/>
                <w:sz w:val="24"/>
                <w:szCs w:val="24"/>
                <w:highlight w:val="none"/>
                <w:lang w:val="en-US" w:eastAsia="zh-CN"/>
              </w:rPr>
            </w:pPr>
          </w:p>
          <w:p w14:paraId="2EB43C1D">
            <w:pPr>
              <w:pStyle w:val="9"/>
              <w:numPr>
                <w:ilvl w:val="-1"/>
                <w:numId w:val="0"/>
              </w:numPr>
              <w:rPr>
                <w:rFonts w:hint="eastAsia" w:ascii="宋体" w:hAnsi="宋体" w:eastAsia="宋体"/>
                <w:color w:val="auto"/>
                <w:sz w:val="24"/>
                <w:highlight w:val="none"/>
                <w:vertAlign w:val="baseline"/>
                <w:lang w:val="en-US" w:eastAsia="zh-CN"/>
              </w:rPr>
            </w:pPr>
          </w:p>
        </w:tc>
      </w:tr>
    </w:tbl>
    <w:p w14:paraId="13140954">
      <w:pPr>
        <w:pStyle w:val="9"/>
        <w:keepNext w:val="0"/>
        <w:keepLines w:val="0"/>
        <w:pageBreakBefore w:val="0"/>
        <w:widowControl/>
        <w:numPr>
          <w:ilvl w:val="-1"/>
          <w:numId w:val="0"/>
        </w:numPr>
        <w:suppressLineNumbers w:val="0"/>
        <w:kinsoku/>
        <w:wordWrap/>
        <w:overflowPunct/>
        <w:topLinePunct w:val="0"/>
        <w:autoSpaceDE/>
        <w:autoSpaceDN/>
        <w:bidi w:val="0"/>
        <w:adjustRightInd w:val="0"/>
        <w:snapToGrid w:val="0"/>
        <w:spacing w:line="560" w:lineRule="exact"/>
        <w:ind w:firstLineChars="200"/>
        <w:jc w:val="left"/>
        <w:textAlignment w:val="auto"/>
        <w:rPr>
          <w:rFonts w:hint="eastAsia" w:ascii="宋体" w:hAnsi="宋体" w:eastAsia="宋体" w:cs="@仿宋_GB2312"/>
          <w:b w:val="0"/>
          <w:bCs w:val="0"/>
          <w:color w:val="auto"/>
          <w:kern w:val="2"/>
          <w:sz w:val="24"/>
          <w:szCs w:val="20"/>
          <w:highlight w:val="none"/>
          <w:lang w:val="en-US" w:eastAsia="zh-CN" w:bidi="ar-SA"/>
        </w:rPr>
      </w:pPr>
      <w:r>
        <w:rPr>
          <w:rFonts w:hint="eastAsia" w:ascii="宋体" w:hAnsi="宋体" w:eastAsia="宋体"/>
          <w:color w:val="auto"/>
          <w:sz w:val="24"/>
          <w:highlight w:val="none"/>
          <w:lang w:val="en-US" w:eastAsia="zh-CN"/>
        </w:rPr>
        <w:t>备注：投标文件中无需提供上述人员相关证明材料，待合同签订进场服务前提供上述人员身份证明、学历（学位）证书、社保证明材料等给采购人审核，如提供不全或不提供，采购人有权要求中标人更换人员及追究违约责任。中标人应每月组织不少于1次业务培训。履约过程中，若相关人员不具备本项目服务要求，采购人有权要求中标人更换人员。</w:t>
      </w:r>
    </w:p>
    <w:p w14:paraId="3ACE6A66">
      <w:pPr>
        <w:widowControl/>
        <w:numPr>
          <w:ilvl w:val="-1"/>
          <w:numId w:val="0"/>
        </w:numPr>
        <w:wordWrap w:val="0"/>
        <w:topLinePunct/>
        <w:adjustRightInd w:val="0"/>
        <w:snapToGrid w:val="0"/>
        <w:spacing w:afterLines="0" w:line="560" w:lineRule="exact"/>
        <w:ind w:leftChars="0" w:firstLine="480" w:firstLineChars="200"/>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三、服务要求</w:t>
      </w:r>
    </w:p>
    <w:p w14:paraId="2D995BFD">
      <w:pPr>
        <w:spacing w:line="440" w:lineRule="exact"/>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1.中标人所提供的技术支持与运维服务，应符合国家、省、市等有关部门对相关技术质量的规定标准，并满足合同需求。</w:t>
      </w:r>
    </w:p>
    <w:p w14:paraId="45DAE092">
      <w:pPr>
        <w:spacing w:line="440" w:lineRule="exact"/>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中标人应确保运维服务工作的成效，对滁州市城市生命线安全工程建设项目（一期）运维服务整体工作负责。因中标人的运维服务不力等原因产生不良影响，甚至导致安全生产事故等不良后果的，中标人应承担相应责任。</w:t>
      </w:r>
    </w:p>
    <w:p w14:paraId="5ADFB237">
      <w:pPr>
        <w:spacing w:line="440" w:lineRule="exact"/>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3.中标人在运维工作中所产生的一切监测数据和数据分析成果的所有权均属招标人，中标人对上述数据和成果承担保密责任；未经招标人同意，中标人不得随意增减、修改、复制、传送和记录。</w:t>
      </w:r>
    </w:p>
    <w:p w14:paraId="4AF71AF8">
      <w:pPr>
        <w:spacing w:line="440" w:lineRule="exact"/>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中标人应严格按照采购需求足额配备专人负责软硬件运维、监测值守、数据分析、日常巡检工作，按照工作内容做好人员分工安排，人员在岗率100%。工作人员应具备相关学历及相关专业能力，工作人员的增减、更换均应向甲方报备，更换人员的学历、能力需满足采购需求中的“人员要求”。应建立完善的人员管理制度、考勤制度、工作规范、预警处置机制、保密制度和组织体系。上述所有制度、机制、体系应向招标人报备，确保各项工作平稳开展。</w:t>
      </w:r>
    </w:p>
    <w:p w14:paraId="0B4FD1DA">
      <w:pPr>
        <w:spacing w:line="440" w:lineRule="exact"/>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5、中标人应在每周周一、每月第一周、每半年（一月和七月）、每年一月分别提交质量合格的关于监测运行的周报、月报、半年报、年报，每月末向招标人报备下月排班表。中标人应合理制定运维计划，月末向招标人汇报当月运维工作情况总结报告。</w:t>
      </w:r>
    </w:p>
    <w:p w14:paraId="6787933D">
      <w:pPr>
        <w:spacing w:line="440" w:lineRule="exact"/>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6、根据工作需要，中标人应加强与安徽省城市生命线安全工程监管中心工作对接，接受其月度考核，根据考核结果做好工作优化。主动与相关主管部门以及管养单位的日常工作对接，积极配合开展相关工作。</w:t>
      </w:r>
    </w:p>
    <w:p w14:paraId="72F4B2CC">
      <w:pPr>
        <w:spacing w:line="440" w:lineRule="exact"/>
        <w:ind w:firstLine="435"/>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7、针对前端感知系统运维服务要求(如设备在线率要求保持96%以上），中标人应做好前端监测设备的巡检维护，必要时应另外合理增加专业外业巡检人员，确保满足服务要求。</w:t>
      </w:r>
    </w:p>
    <w:p w14:paraId="5A36EEE6">
      <w:pPr>
        <w:numPr>
          <w:ilvl w:val="0"/>
          <w:numId w:val="0"/>
        </w:numPr>
        <w:spacing w:line="440" w:lineRule="exact"/>
        <w:ind w:leftChars="0" w:firstLine="482" w:firstLineChars="200"/>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四、报价要求</w:t>
      </w:r>
    </w:p>
    <w:p w14:paraId="385DA068">
      <w:pPr>
        <w:spacing w:line="440" w:lineRule="exact"/>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投标单价应含有服务（货物）、利润、税金、政策性文件规定及合同包含的所有风险、责任、义务等，即为完成招标文件要求的服务（货物）内容所包含的一切应有费用。</w:t>
      </w:r>
    </w:p>
    <w:p w14:paraId="004239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五、其他要求</w:t>
      </w:r>
    </w:p>
    <w:p w14:paraId="5F980365">
      <w:pPr>
        <w:spacing w:line="440" w:lineRule="exact"/>
        <w:ind w:firstLine="435"/>
        <w:rPr>
          <w:rFonts w:hint="eastAsia" w:ascii="仿宋_GB2312" w:hAnsi="宋体" w:eastAsia="仿宋_GB2312"/>
          <w:b/>
          <w:color w:val="auto"/>
          <w:sz w:val="32"/>
          <w:szCs w:val="32"/>
          <w:highlight w:val="none"/>
        </w:rPr>
      </w:pPr>
      <w:r>
        <w:rPr>
          <w:rFonts w:hint="eastAsia" w:ascii="宋体" w:hAnsi="宋体" w:eastAsia="宋体"/>
          <w:color w:val="auto"/>
          <w:sz w:val="24"/>
          <w:highlight w:val="none"/>
          <w:lang w:val="en-US" w:eastAsia="zh-CN"/>
        </w:rPr>
        <w:t>采购人不组织现场考察：供应商应根据其实际需求自行安排时间进行现场考察。供应商现场考察的费用自理，为投标报价取得依据。一旦中标，不得以不了解现场情况为理由而提出额外费用。在现场考察过程中，供应商如果发生人身伤亡、财务或其它损失，不论何种原因造成，均由供应商自负。</w:t>
      </w:r>
    </w:p>
    <w:bookmarkEnd w:id="47"/>
    <w:bookmarkEnd w:id="48"/>
    <w:bookmarkEnd w:id="49"/>
    <w:p w14:paraId="54AA8168">
      <w:pPr>
        <w:rPr>
          <w:rFonts w:hint="eastAsia" w:asciiTheme="minorEastAsia" w:hAnsiTheme="minorEastAsia" w:eastAsiaTheme="minorEastAsia"/>
          <w:b/>
          <w:color w:val="auto"/>
          <w:sz w:val="28"/>
          <w:highlight w:val="none"/>
        </w:rPr>
      </w:pPr>
      <w:bookmarkStart w:id="63" w:name="_Toc30824"/>
      <w:r>
        <w:rPr>
          <w:rFonts w:hint="eastAsia" w:asciiTheme="minorEastAsia" w:hAnsiTheme="minorEastAsia" w:eastAsiaTheme="minorEastAsia"/>
          <w:b/>
          <w:color w:val="auto"/>
          <w:sz w:val="28"/>
          <w:highlight w:val="none"/>
        </w:rPr>
        <w:br w:type="page"/>
      </w:r>
    </w:p>
    <w:p w14:paraId="1C8A39E3">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第四章  评标方法和标准（综合评分法）</w:t>
      </w:r>
      <w:bookmarkEnd w:id="63"/>
    </w:p>
    <w:p w14:paraId="3EFD882E">
      <w:pPr>
        <w:spacing w:line="360" w:lineRule="auto"/>
        <w:ind w:firstLine="437"/>
        <w:outlineLvl w:val="1"/>
        <w:rPr>
          <w:rFonts w:asciiTheme="minorEastAsia" w:hAnsiTheme="minorEastAsia" w:eastAsiaTheme="minorEastAsia"/>
          <w:b/>
          <w:color w:val="auto"/>
          <w:sz w:val="24"/>
          <w:highlight w:val="none"/>
        </w:rPr>
      </w:pPr>
      <w:bookmarkStart w:id="64" w:name="_Toc4705"/>
      <w:bookmarkStart w:id="65" w:name="_Toc11823"/>
      <w:r>
        <w:rPr>
          <w:rFonts w:hint="eastAsia" w:asciiTheme="minorEastAsia" w:hAnsiTheme="minorEastAsia" w:eastAsiaTheme="minorEastAsia"/>
          <w:b/>
          <w:color w:val="auto"/>
          <w:sz w:val="24"/>
          <w:highlight w:val="none"/>
        </w:rPr>
        <w:t>一、总则</w:t>
      </w:r>
      <w:bookmarkEnd w:id="64"/>
      <w:bookmarkEnd w:id="65"/>
    </w:p>
    <w:p w14:paraId="4AEBEB7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1083153A">
      <w:pPr>
        <w:spacing w:line="360" w:lineRule="auto"/>
        <w:ind w:firstLine="437"/>
        <w:outlineLvl w:val="1"/>
        <w:rPr>
          <w:rFonts w:asciiTheme="minorEastAsia" w:hAnsiTheme="minorEastAsia" w:eastAsiaTheme="minorEastAsia"/>
          <w:b/>
          <w:color w:val="auto"/>
          <w:sz w:val="24"/>
          <w:highlight w:val="none"/>
        </w:rPr>
      </w:pPr>
      <w:bookmarkStart w:id="66" w:name="_Toc32410"/>
      <w:bookmarkStart w:id="67" w:name="_Toc31871"/>
      <w:r>
        <w:rPr>
          <w:rFonts w:hint="eastAsia" w:asciiTheme="minorEastAsia" w:hAnsiTheme="minorEastAsia" w:eastAsiaTheme="minorEastAsia"/>
          <w:b/>
          <w:color w:val="auto"/>
          <w:sz w:val="24"/>
          <w:highlight w:val="none"/>
        </w:rPr>
        <w:t>二、评标方法</w:t>
      </w:r>
      <w:bookmarkEnd w:id="66"/>
      <w:bookmarkEnd w:id="67"/>
    </w:p>
    <w:p w14:paraId="21090EAD">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7"/>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1651"/>
        <w:gridCol w:w="4557"/>
        <w:gridCol w:w="1891"/>
      </w:tblGrid>
      <w:tr w14:paraId="43235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61EB44F6">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1636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14:paraId="1E1B2D6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2" w:type="pct"/>
            <w:tcBorders>
              <w:bottom w:val="single" w:color="auto" w:sz="4" w:space="0"/>
            </w:tcBorders>
            <w:vAlign w:val="center"/>
          </w:tcPr>
          <w:p w14:paraId="4C3F5FA1">
            <w:pPr>
              <w:pStyle w:val="47"/>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审查因素</w:t>
            </w:r>
          </w:p>
        </w:tc>
        <w:tc>
          <w:tcPr>
            <w:tcW w:w="2601" w:type="pct"/>
            <w:tcBorders>
              <w:bottom w:val="single" w:color="auto" w:sz="4" w:space="0"/>
            </w:tcBorders>
            <w:vAlign w:val="center"/>
          </w:tcPr>
          <w:p w14:paraId="3C00E030">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审查内容</w:t>
            </w:r>
          </w:p>
        </w:tc>
        <w:tc>
          <w:tcPr>
            <w:tcW w:w="1077" w:type="pct"/>
            <w:tcBorders>
              <w:bottom w:val="single" w:color="auto" w:sz="4" w:space="0"/>
            </w:tcBorders>
            <w:vAlign w:val="center"/>
          </w:tcPr>
          <w:p w14:paraId="3CBC4409">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34E0C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8" w:type="pct"/>
            <w:tcBorders>
              <w:bottom w:val="single" w:color="auto" w:sz="4" w:space="0"/>
            </w:tcBorders>
            <w:vAlign w:val="center"/>
          </w:tcPr>
          <w:p w14:paraId="71D428CA">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2" w:type="pct"/>
            <w:tcBorders>
              <w:bottom w:val="single" w:color="auto" w:sz="4" w:space="0"/>
            </w:tcBorders>
            <w:vAlign w:val="center"/>
          </w:tcPr>
          <w:p w14:paraId="6F2D5DBA">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601" w:type="pct"/>
            <w:tcBorders>
              <w:bottom w:val="single" w:color="auto" w:sz="4" w:space="0"/>
            </w:tcBorders>
            <w:vAlign w:val="center"/>
          </w:tcPr>
          <w:p w14:paraId="26FE9D2F">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7876C4D5">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438D027C">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5800406C">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7AEA4ED9">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077" w:type="pct"/>
            <w:vAlign w:val="center"/>
          </w:tcPr>
          <w:p w14:paraId="3F7B09DC">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187A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8" w:type="pct"/>
            <w:tcBorders>
              <w:bottom w:val="single" w:color="auto" w:sz="4" w:space="0"/>
            </w:tcBorders>
            <w:vAlign w:val="center"/>
          </w:tcPr>
          <w:p w14:paraId="6AEC49D8">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2" w:type="pct"/>
            <w:tcBorders>
              <w:bottom w:val="single" w:color="auto" w:sz="4" w:space="0"/>
            </w:tcBorders>
            <w:vAlign w:val="center"/>
          </w:tcPr>
          <w:p w14:paraId="43DBAA13">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601" w:type="pct"/>
            <w:tcBorders>
              <w:bottom w:val="single" w:color="auto" w:sz="4" w:space="0"/>
            </w:tcBorders>
            <w:vAlign w:val="center"/>
          </w:tcPr>
          <w:p w14:paraId="5640ED28">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lang w:eastAsia="zh-CN"/>
              </w:rPr>
              <w:t>。</w:t>
            </w:r>
          </w:p>
        </w:tc>
        <w:tc>
          <w:tcPr>
            <w:tcW w:w="1077" w:type="pct"/>
            <w:vAlign w:val="center"/>
          </w:tcPr>
          <w:p w14:paraId="43796F3A">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7194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14:paraId="40C27260">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2" w:type="pct"/>
            <w:tcBorders>
              <w:bottom w:val="single" w:color="auto" w:sz="4" w:space="0"/>
            </w:tcBorders>
            <w:vAlign w:val="center"/>
          </w:tcPr>
          <w:p w14:paraId="2ED958B7">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601" w:type="pct"/>
            <w:tcBorders>
              <w:bottom w:val="single" w:color="auto" w:sz="4" w:space="0"/>
            </w:tcBorders>
            <w:vAlign w:val="center"/>
          </w:tcPr>
          <w:p w14:paraId="2F20FCA0">
            <w:pPr>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zh-CN"/>
              </w:rPr>
              <w:t>投标人不得存在</w:t>
            </w:r>
            <w:r>
              <w:rPr>
                <w:rFonts w:hint="eastAsia" w:ascii="宋体" w:hAnsi="宋体" w:eastAsia="宋体" w:cs="宋体"/>
                <w:color w:val="auto"/>
                <w:sz w:val="24"/>
                <w:szCs w:val="24"/>
                <w:highlight w:val="none"/>
                <w:lang w:val="en-US" w:eastAsia="zh-CN"/>
              </w:rPr>
              <w:t>投标邀请第4条信誉要求和</w:t>
            </w:r>
            <w:r>
              <w:rPr>
                <w:rFonts w:hint="eastAsia" w:ascii="宋体" w:hAnsi="宋体" w:eastAsia="宋体" w:cs="宋体"/>
                <w:color w:val="auto"/>
                <w:sz w:val="24"/>
                <w:szCs w:val="24"/>
                <w:highlight w:val="none"/>
                <w:lang w:val="zh-CN"/>
              </w:rPr>
              <w:t>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条中的不良信用记录情形</w:t>
            </w:r>
          </w:p>
        </w:tc>
        <w:tc>
          <w:tcPr>
            <w:tcW w:w="1077" w:type="pct"/>
            <w:tcBorders>
              <w:bottom w:val="single" w:color="auto" w:sz="4" w:space="0"/>
            </w:tcBorders>
            <w:vAlign w:val="center"/>
          </w:tcPr>
          <w:p w14:paraId="1CB6A0AA">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无须投标人</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供，由采购人或采购代理机构查询。</w:t>
            </w:r>
          </w:p>
        </w:tc>
      </w:tr>
      <w:tr w14:paraId="6335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14:paraId="603C4F6F">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4</w:t>
            </w:r>
          </w:p>
        </w:tc>
        <w:tc>
          <w:tcPr>
            <w:tcW w:w="942" w:type="pct"/>
            <w:tcBorders>
              <w:bottom w:val="single" w:color="auto" w:sz="4" w:space="0"/>
            </w:tcBorders>
            <w:vAlign w:val="center"/>
          </w:tcPr>
          <w:p w14:paraId="384244D6">
            <w:pPr>
              <w:spacing w:after="50" w:line="360" w:lineRule="auto"/>
              <w:ind w:right="-1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中小企业证明文件（</w:t>
            </w:r>
            <w:r>
              <w:rPr>
                <w:rFonts w:hint="eastAsia" w:ascii="宋体" w:hAnsi="宋体" w:eastAsia="宋体" w:cs="宋体"/>
                <w:color w:val="auto"/>
                <w:sz w:val="24"/>
                <w:szCs w:val="24"/>
                <w:highlight w:val="none"/>
                <w:lang w:val="en-US" w:eastAsia="zh-CN"/>
              </w:rPr>
              <w:t>适用于</w:t>
            </w:r>
            <w:r>
              <w:rPr>
                <w:rFonts w:hint="eastAsia" w:ascii="宋体" w:hAnsi="宋体" w:eastAsia="宋体" w:cs="宋体"/>
                <w:color w:val="auto"/>
                <w:sz w:val="24"/>
                <w:szCs w:val="24"/>
                <w:highlight w:val="none"/>
              </w:rPr>
              <w:t>专门面向中小企业采购项目</w:t>
            </w:r>
            <w:r>
              <w:rPr>
                <w:rFonts w:hint="eastAsia" w:ascii="宋体" w:hAnsi="宋体" w:eastAsia="宋体" w:cs="宋体"/>
                <w:color w:val="auto"/>
                <w:sz w:val="24"/>
                <w:szCs w:val="24"/>
                <w:highlight w:val="none"/>
                <w:lang w:val="en-US" w:eastAsia="zh-CN"/>
              </w:rPr>
              <w:t>或预留中小企业采购份额项目</w:t>
            </w:r>
            <w:r>
              <w:rPr>
                <w:rFonts w:hint="eastAsia" w:ascii="宋体" w:hAnsi="宋体" w:eastAsia="宋体" w:cs="宋体"/>
                <w:color w:val="auto"/>
                <w:sz w:val="24"/>
                <w:szCs w:val="24"/>
                <w:highlight w:val="none"/>
              </w:rPr>
              <w:t>）</w:t>
            </w:r>
          </w:p>
        </w:tc>
        <w:tc>
          <w:tcPr>
            <w:tcW w:w="2601" w:type="pct"/>
            <w:tcBorders>
              <w:bottom w:val="single" w:color="auto" w:sz="4" w:space="0"/>
            </w:tcBorders>
            <w:vAlign w:val="top"/>
          </w:tcPr>
          <w:p w14:paraId="0FA55B63">
            <w:pPr>
              <w:spacing w:after="50" w:line="360" w:lineRule="auto"/>
              <w:ind w:right="-1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05FB2B09">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专门面向中小企业采购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zh-CN" w:eastAsia="zh-CN"/>
              </w:rPr>
              <w:t>投标人</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 生产建设兵团）出具的属于监狱企业的证明文件。</w:t>
            </w:r>
          </w:p>
          <w:p w14:paraId="4B8166F1">
            <w:pPr>
              <w:spacing w:after="50" w:line="360" w:lineRule="auto"/>
              <w:ind w:right="-10"/>
              <w:jc w:val="left"/>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077" w:type="pct"/>
            <w:tcBorders>
              <w:bottom w:val="single" w:color="auto" w:sz="4" w:space="0"/>
            </w:tcBorders>
            <w:vAlign w:val="center"/>
          </w:tcPr>
          <w:p w14:paraId="21654751">
            <w:pPr>
              <w:spacing w:after="50" w:line="360" w:lineRule="auto"/>
              <w:ind w:right="-10"/>
              <w:jc w:val="center"/>
              <w:rPr>
                <w:rFonts w:hint="eastAsia" w:ascii="宋体" w:hAnsi="宋体" w:eastAsia="宋体" w:cs="宋体"/>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4E92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14:paraId="2E0E7D1A">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5</w:t>
            </w:r>
          </w:p>
        </w:tc>
        <w:tc>
          <w:tcPr>
            <w:tcW w:w="942" w:type="pct"/>
            <w:tcBorders>
              <w:bottom w:val="single" w:color="auto" w:sz="4" w:space="0"/>
            </w:tcBorders>
            <w:vAlign w:val="center"/>
          </w:tcPr>
          <w:p w14:paraId="3B60A59A">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2601" w:type="pct"/>
            <w:tcBorders>
              <w:bottom w:val="single" w:color="auto" w:sz="4" w:space="0"/>
            </w:tcBorders>
            <w:vAlign w:val="center"/>
          </w:tcPr>
          <w:p w14:paraId="5E83FE58">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1077" w:type="pct"/>
            <w:tcBorders>
              <w:bottom w:val="single" w:color="auto" w:sz="4" w:space="0"/>
            </w:tcBorders>
            <w:vAlign w:val="center"/>
          </w:tcPr>
          <w:p w14:paraId="30CBAC67">
            <w:pPr>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0391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vAlign w:val="center"/>
          </w:tcPr>
          <w:p w14:paraId="777BB7DB">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6</w:t>
            </w:r>
          </w:p>
        </w:tc>
        <w:tc>
          <w:tcPr>
            <w:tcW w:w="942" w:type="pct"/>
            <w:vAlign w:val="center"/>
          </w:tcPr>
          <w:p w14:paraId="401DC1DB">
            <w:pPr>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2601" w:type="pct"/>
            <w:vAlign w:val="center"/>
          </w:tcPr>
          <w:p w14:paraId="7EFA40F8">
            <w:pPr>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1077" w:type="pct"/>
            <w:vAlign w:val="center"/>
          </w:tcPr>
          <w:p w14:paraId="57EC13ED">
            <w:pPr>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67A7682B">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4375DC43">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5B20E8E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117"/>
        <w:gridCol w:w="3128"/>
        <w:gridCol w:w="2511"/>
      </w:tblGrid>
      <w:tr w14:paraId="43AAA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134E6DD5">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2CE02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50" w:type="pct"/>
            <w:tcBorders>
              <w:bottom w:val="single" w:color="auto" w:sz="4" w:space="0"/>
            </w:tcBorders>
            <w:vAlign w:val="center"/>
          </w:tcPr>
          <w:p w14:paraId="5730EEF9">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242" w:type="pct"/>
            <w:tcBorders>
              <w:bottom w:val="single" w:color="auto" w:sz="4" w:space="0"/>
            </w:tcBorders>
            <w:vAlign w:val="center"/>
          </w:tcPr>
          <w:p w14:paraId="011F6C20">
            <w:pPr>
              <w:pStyle w:val="47"/>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1835" w:type="pct"/>
            <w:tcBorders>
              <w:bottom w:val="single" w:color="auto" w:sz="4" w:space="0"/>
            </w:tcBorders>
            <w:vAlign w:val="center"/>
          </w:tcPr>
          <w:p w14:paraId="51F7ED0C">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1472" w:type="pct"/>
            <w:tcBorders>
              <w:bottom w:val="single" w:color="auto" w:sz="4" w:space="0"/>
            </w:tcBorders>
            <w:vAlign w:val="center"/>
          </w:tcPr>
          <w:p w14:paraId="0386E0B2">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C70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31BE7DA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42" w:type="pct"/>
            <w:vAlign w:val="center"/>
          </w:tcPr>
          <w:p w14:paraId="363F68B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35" w:type="pct"/>
            <w:vAlign w:val="center"/>
          </w:tcPr>
          <w:p w14:paraId="00FD0AC1">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1A000309">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48F2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6AB4924D">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42" w:type="pct"/>
            <w:vAlign w:val="center"/>
          </w:tcPr>
          <w:p w14:paraId="3429186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5" w:type="pct"/>
            <w:vAlign w:val="center"/>
          </w:tcPr>
          <w:p w14:paraId="30819BB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381FBB75">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97B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6D929D07">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42" w:type="pct"/>
            <w:vAlign w:val="center"/>
          </w:tcPr>
          <w:p w14:paraId="4103C87E">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5" w:type="pct"/>
            <w:vAlign w:val="center"/>
          </w:tcPr>
          <w:p w14:paraId="0E5A48C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25CAAC62">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5E03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772D8976">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42" w:type="pct"/>
            <w:vAlign w:val="center"/>
          </w:tcPr>
          <w:p w14:paraId="30E7322E">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5" w:type="pct"/>
            <w:vAlign w:val="center"/>
          </w:tcPr>
          <w:p w14:paraId="72D8DB51">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72" w:type="pct"/>
            <w:vAlign w:val="center"/>
          </w:tcPr>
          <w:p w14:paraId="258C104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6DDE8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5017C72D">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42" w:type="pct"/>
            <w:vAlign w:val="center"/>
          </w:tcPr>
          <w:p w14:paraId="07CA8C8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3430" w:type="dxa"/>
            <w:vAlign w:val="center"/>
          </w:tcPr>
          <w:p w14:paraId="671EB5A8">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地点、</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期限</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72" w:type="pct"/>
            <w:vAlign w:val="center"/>
          </w:tcPr>
          <w:p w14:paraId="13C2A74C">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049B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6B298DC2">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242" w:type="pct"/>
            <w:vAlign w:val="center"/>
          </w:tcPr>
          <w:p w14:paraId="15DDE533">
            <w:pPr>
              <w:spacing w:line="360" w:lineRule="auto"/>
              <w:ind w:firstLine="240" w:firstLineChars="100"/>
              <w:outlineLvl w:val="2"/>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lang w:val="en-US" w:eastAsia="zh-CN"/>
              </w:rPr>
              <w:t>技术</w:t>
            </w:r>
            <w:r>
              <w:rPr>
                <w:rFonts w:hint="eastAsia" w:asciiTheme="minorEastAsia" w:hAnsiTheme="minorEastAsia" w:eastAsiaTheme="minorEastAsia"/>
                <w:color w:val="auto"/>
                <w:sz w:val="24"/>
                <w:szCs w:val="28"/>
                <w:highlight w:val="none"/>
              </w:rPr>
              <w:t>响应情况</w:t>
            </w:r>
          </w:p>
        </w:tc>
        <w:tc>
          <w:tcPr>
            <w:tcW w:w="3430" w:type="dxa"/>
            <w:vAlign w:val="center"/>
          </w:tcPr>
          <w:p w14:paraId="2CD1B7D3">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72" w:type="pct"/>
            <w:vAlign w:val="center"/>
          </w:tcPr>
          <w:p w14:paraId="3EDD27BD">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E80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408D8A5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7</w:t>
            </w:r>
          </w:p>
        </w:tc>
        <w:tc>
          <w:tcPr>
            <w:tcW w:w="1242" w:type="pct"/>
            <w:vAlign w:val="center"/>
          </w:tcPr>
          <w:p w14:paraId="3699990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3430" w:type="dxa"/>
            <w:vAlign w:val="center"/>
          </w:tcPr>
          <w:p w14:paraId="1704C7FA">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472" w:type="pct"/>
            <w:vAlign w:val="center"/>
          </w:tcPr>
          <w:p w14:paraId="122D8DE7">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08572C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047361C7">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7"/>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0ED7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4FA9B361">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3117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10113691">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5E6F5595">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6C527501">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2D626584">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556F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5570BB8">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708F457C">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0E2AE2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3A7DD3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79BBD0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71DED1DE">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6BFB85DE">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79804EBD">
            <w:pPr>
              <w:keepNext w:val="0"/>
              <w:keepLines w:val="0"/>
              <w:widowControl/>
              <w:suppressLineNumbers w:val="0"/>
              <w:jc w:val="left"/>
              <w:rPr>
                <w:rFonts w:hint="default" w:ascii="宋体" w:hAnsi="宋体" w:eastAsia="宋体" w:cs="宋体"/>
                <w:color w:val="auto"/>
                <w:sz w:val="24"/>
                <w:highlight w:val="none"/>
                <w:lang w:val="en-US" w:eastAsia="zh-CN"/>
              </w:rPr>
            </w:pPr>
            <w:r>
              <w:rPr>
                <w:rFonts w:hint="eastAsia" w:ascii="宋体" w:hAnsi="宋体" w:eastAsia="宋体" w:cs="宋体"/>
                <w:color w:val="auto"/>
                <w:kern w:val="2"/>
                <w:sz w:val="24"/>
                <w:highlight w:val="none"/>
                <w:lang w:val="en-US" w:eastAsia="zh-CN" w:bidi="ar-SA"/>
              </w:rPr>
              <w:t>上述第（1）项数值计算：涉及总价、单价的精确到“分”并四舍五入，涉及费率的精确到小数点后两位，第三位四舍五入（例：如平均值为 123.456 元，即为 123.46 元；如平均值为 80.126%，即为 80.13%）。</w:t>
            </w:r>
          </w:p>
        </w:tc>
        <w:tc>
          <w:tcPr>
            <w:tcW w:w="2260" w:type="dxa"/>
            <w:vAlign w:val="center"/>
          </w:tcPr>
          <w:p w14:paraId="6EC10D25">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1FA686D4">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025064F4">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098DC45C">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6E776350">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37619C1C">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47070BA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0B84C615">
      <w:pPr>
        <w:spacing w:line="440" w:lineRule="exact"/>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本项目综合评分满分为100分，其</w:t>
      </w:r>
      <w:r>
        <w:rPr>
          <w:rFonts w:hint="eastAsia" w:asciiTheme="minorEastAsia" w:hAnsiTheme="minorEastAsia" w:eastAsiaTheme="minorEastAsia"/>
          <w:color w:val="auto"/>
          <w:sz w:val="24"/>
          <w:highlight w:val="none"/>
          <w:lang w:val="en-US" w:eastAsia="zh-CN"/>
        </w:rPr>
        <w:t>中：资信分值占总分值的权重为24%，技术分值占总分值的权重为55%，价格分值占总分值的权重为21%。具体评分细则如下：</w:t>
      </w:r>
    </w:p>
    <w:tbl>
      <w:tblPr>
        <w:tblStyle w:val="27"/>
        <w:tblW w:w="57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6"/>
        <w:gridCol w:w="2214"/>
        <w:gridCol w:w="4020"/>
        <w:gridCol w:w="2467"/>
      </w:tblGrid>
      <w:tr w14:paraId="1C5B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1E72C73">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类别</w:t>
            </w:r>
          </w:p>
        </w:tc>
        <w:tc>
          <w:tcPr>
            <w:tcW w:w="2214" w:type="dxa"/>
            <w:tcBorders>
              <w:top w:val="single" w:color="auto" w:sz="4" w:space="0"/>
              <w:left w:val="single" w:color="auto" w:sz="4" w:space="0"/>
              <w:bottom w:val="single" w:color="auto" w:sz="4" w:space="0"/>
              <w:right w:val="single" w:color="auto" w:sz="4" w:space="0"/>
            </w:tcBorders>
            <w:vAlign w:val="center"/>
          </w:tcPr>
          <w:p w14:paraId="36576DD2">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评分内容</w:t>
            </w:r>
          </w:p>
        </w:tc>
        <w:tc>
          <w:tcPr>
            <w:tcW w:w="4020" w:type="dxa"/>
            <w:tcBorders>
              <w:top w:val="single" w:color="auto" w:sz="4" w:space="0"/>
              <w:left w:val="single" w:color="auto" w:sz="4" w:space="0"/>
              <w:bottom w:val="single" w:color="auto" w:sz="4" w:space="0"/>
              <w:right w:val="single" w:color="auto" w:sz="4" w:space="0"/>
            </w:tcBorders>
            <w:vAlign w:val="center"/>
          </w:tcPr>
          <w:p w14:paraId="32257854">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评分标准</w:t>
            </w:r>
          </w:p>
        </w:tc>
        <w:tc>
          <w:tcPr>
            <w:tcW w:w="2467" w:type="dxa"/>
            <w:tcBorders>
              <w:top w:val="single" w:color="auto" w:sz="4" w:space="0"/>
              <w:left w:val="single" w:color="auto" w:sz="4" w:space="0"/>
              <w:bottom w:val="single" w:color="auto" w:sz="4" w:space="0"/>
              <w:right w:val="single" w:color="auto" w:sz="4" w:space="0"/>
            </w:tcBorders>
            <w:vAlign w:val="center"/>
          </w:tcPr>
          <w:p w14:paraId="01E3172D">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分值范围</w:t>
            </w:r>
          </w:p>
        </w:tc>
      </w:tr>
      <w:tr w14:paraId="447D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Merge w:val="restart"/>
            <w:tcBorders>
              <w:left w:val="single" w:color="auto" w:sz="4" w:space="0"/>
              <w:right w:val="single" w:color="auto" w:sz="4" w:space="0"/>
            </w:tcBorders>
            <w:vAlign w:val="center"/>
          </w:tcPr>
          <w:p w14:paraId="10375062">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lang w:val="en-US" w:eastAsia="zh-CN"/>
              </w:rPr>
              <w:t>资信</w:t>
            </w:r>
            <w:r>
              <w:rPr>
                <w:rFonts w:hint="default" w:ascii="Times New Roman" w:hAnsi="Times New Roman" w:eastAsia="宋体" w:cs="Times New Roman"/>
                <w:b w:val="0"/>
                <w:bCs w:val="0"/>
                <w:color w:val="auto"/>
                <w:sz w:val="24"/>
                <w:szCs w:val="24"/>
                <w:highlight w:val="none"/>
              </w:rPr>
              <w:t>分</w:t>
            </w:r>
          </w:p>
          <w:p w14:paraId="1F5D3512">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w:t>
            </w:r>
            <w:r>
              <w:rPr>
                <w:rFonts w:hint="eastAsia" w:ascii="Times New Roman" w:hAnsi="Times New Roman" w:eastAsia="宋体" w:cs="Times New Roman"/>
                <w:b w:val="0"/>
                <w:bCs w:val="0"/>
                <w:color w:val="auto"/>
                <w:sz w:val="24"/>
                <w:szCs w:val="24"/>
                <w:highlight w:val="none"/>
                <w:u w:val="single"/>
                <w:lang w:val="en-US" w:eastAsia="zh-CN"/>
              </w:rPr>
              <w:t>24</w:t>
            </w:r>
            <w:r>
              <w:rPr>
                <w:rFonts w:hint="default" w:ascii="Times New Roman" w:hAnsi="Times New Roman" w:eastAsia="宋体" w:cs="Times New Roman"/>
                <w:b w:val="0"/>
                <w:bCs w:val="0"/>
                <w:color w:val="auto"/>
                <w:sz w:val="24"/>
                <w:szCs w:val="24"/>
                <w:highlight w:val="none"/>
              </w:rPr>
              <w:t>分）</w:t>
            </w:r>
          </w:p>
          <w:p w14:paraId="51CFAAD9">
            <w:pPr>
              <w:pStyle w:val="43"/>
              <w:keepNext w:val="0"/>
              <w:keepLines w:val="0"/>
              <w:pageBreakBefore w:val="0"/>
              <w:kinsoku/>
              <w:wordWrap/>
              <w:overflowPunct/>
              <w:topLinePunct w:val="0"/>
              <w:autoSpaceDE/>
              <w:autoSpaceDN/>
              <w:bidi w:val="0"/>
              <w:snapToGrid/>
              <w:spacing w:line="400" w:lineRule="exact"/>
              <w:rPr>
                <w:rFonts w:hint="default" w:ascii="Times New Roman" w:hAnsi="Times New Roman" w:eastAsia="宋体" w:cs="Times New Roman"/>
                <w:b w:val="0"/>
                <w:bCs w:val="0"/>
                <w:color w:val="auto"/>
                <w:sz w:val="24"/>
                <w:szCs w:val="24"/>
                <w:highlight w:val="none"/>
              </w:rPr>
            </w:pPr>
          </w:p>
          <w:p w14:paraId="3CC1E0C4">
            <w:pPr>
              <w:pStyle w:val="9"/>
              <w:keepNext w:val="0"/>
              <w:keepLines w:val="0"/>
              <w:pageBreakBefore w:val="0"/>
              <w:kinsoku/>
              <w:wordWrap/>
              <w:overflowPunct/>
              <w:topLinePunct w:val="0"/>
              <w:autoSpaceDE/>
              <w:autoSpaceDN/>
              <w:bidi w:val="0"/>
              <w:snapToGrid/>
              <w:spacing w:line="400" w:lineRule="exact"/>
              <w:rPr>
                <w:rFonts w:hint="default" w:ascii="Times New Roman" w:hAnsi="Times New Roman" w:eastAsia="宋体" w:cs="Times New Roman"/>
                <w:color w:val="auto"/>
                <w:highlight w:val="none"/>
                <w:lang w:eastAsia="zh-CN"/>
              </w:rPr>
            </w:pPr>
          </w:p>
        </w:tc>
        <w:tc>
          <w:tcPr>
            <w:tcW w:w="2214" w:type="dxa"/>
            <w:tcBorders>
              <w:top w:val="single" w:color="auto" w:sz="4" w:space="0"/>
              <w:left w:val="single" w:color="auto" w:sz="4" w:space="0"/>
              <w:bottom w:val="single" w:color="auto" w:sz="4" w:space="0"/>
              <w:right w:val="single" w:color="auto" w:sz="4" w:space="0"/>
            </w:tcBorders>
            <w:shd w:val="clear" w:color="auto" w:fill="auto"/>
            <w:vAlign w:val="center"/>
          </w:tcPr>
          <w:p w14:paraId="3AD7E828">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eastAsia="zh-CN"/>
              </w:rPr>
              <w:t>供应商</w:t>
            </w:r>
            <w:r>
              <w:rPr>
                <w:rFonts w:hint="default" w:ascii="Times New Roman" w:hAnsi="Times New Roman" w:eastAsia="宋体" w:cs="Times New Roman"/>
                <w:b w:val="0"/>
                <w:bCs w:val="0"/>
                <w:color w:val="auto"/>
                <w:sz w:val="24"/>
                <w:szCs w:val="24"/>
                <w:highlight w:val="none"/>
              </w:rPr>
              <w:t>业绩</w:t>
            </w:r>
          </w:p>
        </w:tc>
        <w:tc>
          <w:tcPr>
            <w:tcW w:w="4020" w:type="dxa"/>
            <w:tcBorders>
              <w:top w:val="single" w:color="auto" w:sz="4" w:space="0"/>
              <w:left w:val="single" w:color="auto" w:sz="4" w:space="0"/>
              <w:bottom w:val="single" w:color="auto" w:sz="4" w:space="0"/>
              <w:right w:val="single" w:color="auto" w:sz="4" w:space="0"/>
            </w:tcBorders>
            <w:shd w:val="clear" w:color="auto" w:fill="auto"/>
            <w:vAlign w:val="center"/>
          </w:tcPr>
          <w:p w14:paraId="6F7BFC5F">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b w:val="0"/>
                <w:bCs w:val="0"/>
                <w:color w:val="auto"/>
                <w:sz w:val="24"/>
                <w:szCs w:val="24"/>
                <w:highlight w:val="none"/>
                <w:lang w:val="zh-CN" w:eastAsia="zh-CN"/>
              </w:rPr>
            </w:pPr>
            <w:r>
              <w:rPr>
                <w:rFonts w:hint="default" w:ascii="Times New Roman" w:hAnsi="Times New Roman" w:eastAsia="宋体" w:cs="Times New Roman"/>
                <w:b w:val="0"/>
                <w:bCs w:val="0"/>
                <w:color w:val="auto"/>
                <w:sz w:val="24"/>
                <w:szCs w:val="24"/>
                <w:highlight w:val="none"/>
                <w:lang w:val="zh-CN" w:eastAsia="zh-CN"/>
              </w:rPr>
              <w:t>自20</w:t>
            </w:r>
            <w:r>
              <w:rPr>
                <w:rFonts w:hint="default" w:ascii="Times New Roman" w:hAnsi="Times New Roman" w:eastAsia="宋体" w:cs="Times New Roman"/>
                <w:b w:val="0"/>
                <w:bCs w:val="0"/>
                <w:color w:val="auto"/>
                <w:sz w:val="24"/>
                <w:szCs w:val="24"/>
                <w:highlight w:val="none"/>
                <w:lang w:val="en-US" w:eastAsia="zh-CN"/>
              </w:rPr>
              <w:t>21</w:t>
            </w:r>
            <w:r>
              <w:rPr>
                <w:rFonts w:hint="default" w:ascii="Times New Roman" w:hAnsi="Times New Roman" w:eastAsia="宋体" w:cs="Times New Roman"/>
                <w:b w:val="0"/>
                <w:bCs w:val="0"/>
                <w:color w:val="auto"/>
                <w:sz w:val="24"/>
                <w:szCs w:val="24"/>
                <w:highlight w:val="none"/>
                <w:lang w:val="zh-CN" w:eastAsia="zh-CN"/>
              </w:rPr>
              <w:t>年</w:t>
            </w:r>
            <w:r>
              <w:rPr>
                <w:rFonts w:hint="default" w:ascii="Times New Roman" w:hAnsi="Times New Roman" w:eastAsia="宋体" w:cs="Times New Roman"/>
                <w:b w:val="0"/>
                <w:bCs w:val="0"/>
                <w:color w:val="auto"/>
                <w:sz w:val="24"/>
                <w:szCs w:val="24"/>
                <w:highlight w:val="none"/>
                <w:lang w:val="en-US" w:eastAsia="zh-CN"/>
              </w:rPr>
              <w:t>1</w:t>
            </w:r>
            <w:r>
              <w:rPr>
                <w:rFonts w:hint="default" w:ascii="Times New Roman" w:hAnsi="Times New Roman" w:eastAsia="宋体" w:cs="Times New Roman"/>
                <w:b w:val="0"/>
                <w:bCs w:val="0"/>
                <w:color w:val="auto"/>
                <w:sz w:val="24"/>
                <w:szCs w:val="24"/>
                <w:highlight w:val="none"/>
                <w:lang w:val="zh-CN" w:eastAsia="zh-CN"/>
              </w:rPr>
              <w:t>月</w:t>
            </w:r>
            <w:r>
              <w:rPr>
                <w:rFonts w:hint="default" w:ascii="Times New Roman" w:hAnsi="Times New Roman" w:eastAsia="宋体" w:cs="Times New Roman"/>
                <w:b w:val="0"/>
                <w:bCs w:val="0"/>
                <w:color w:val="auto"/>
                <w:sz w:val="24"/>
                <w:szCs w:val="24"/>
                <w:highlight w:val="none"/>
                <w:lang w:val="en-US" w:eastAsia="zh-CN"/>
              </w:rPr>
              <w:t>1</w:t>
            </w:r>
            <w:r>
              <w:rPr>
                <w:rFonts w:hint="default" w:ascii="Times New Roman" w:hAnsi="Times New Roman" w:eastAsia="宋体" w:cs="Times New Roman"/>
                <w:b w:val="0"/>
                <w:bCs w:val="0"/>
                <w:color w:val="auto"/>
                <w:sz w:val="24"/>
                <w:szCs w:val="24"/>
                <w:highlight w:val="none"/>
                <w:lang w:val="zh-CN" w:eastAsia="zh-CN"/>
              </w:rPr>
              <w:t>日</w:t>
            </w:r>
            <w:r>
              <w:rPr>
                <w:rFonts w:hint="default" w:ascii="Times New Roman" w:hAnsi="Times New Roman" w:eastAsia="宋体" w:cs="Times New Roman"/>
                <w:b w:val="0"/>
                <w:bCs w:val="0"/>
                <w:color w:val="auto"/>
                <w:sz w:val="24"/>
                <w:szCs w:val="24"/>
                <w:highlight w:val="none"/>
                <w:lang w:val="en-US" w:eastAsia="zh-CN"/>
              </w:rPr>
              <w:t>至投标截止日</w:t>
            </w:r>
            <w:r>
              <w:rPr>
                <w:rFonts w:hint="default" w:ascii="Times New Roman" w:hAnsi="Times New Roman" w:eastAsia="宋体" w:cs="Times New Roman"/>
                <w:b w:val="0"/>
                <w:bCs w:val="0"/>
                <w:color w:val="auto"/>
                <w:sz w:val="24"/>
                <w:szCs w:val="24"/>
                <w:highlight w:val="none"/>
                <w:lang w:val="zh-CN" w:eastAsia="zh-CN"/>
              </w:rPr>
              <w:t>，供应商</w:t>
            </w:r>
            <w:r>
              <w:rPr>
                <w:rFonts w:hint="default" w:ascii="Times New Roman" w:hAnsi="Times New Roman" w:eastAsia="宋体" w:cs="Times New Roman"/>
                <w:b w:val="0"/>
                <w:bCs w:val="0"/>
                <w:color w:val="auto"/>
                <w:sz w:val="24"/>
                <w:szCs w:val="24"/>
                <w:highlight w:val="none"/>
                <w:lang w:val="en-US" w:eastAsia="zh-CN"/>
              </w:rPr>
              <w:t>具有</w:t>
            </w:r>
            <w:r>
              <w:rPr>
                <w:rFonts w:hint="eastAsia" w:ascii="宋体" w:hAnsi="宋体" w:eastAsia="宋体"/>
                <w:b w:val="0"/>
                <w:bCs w:val="0"/>
                <w:color w:val="auto"/>
                <w:sz w:val="24"/>
                <w:highlight w:val="none"/>
                <w:lang w:val="en-US" w:eastAsia="zh-CN"/>
              </w:rPr>
              <w:t>城市生命线安全工程</w:t>
            </w:r>
            <w:r>
              <w:rPr>
                <w:rFonts w:hint="eastAsia" w:ascii="Times New Roman" w:hAnsi="Times New Roman" w:eastAsia="宋体" w:cs="Times New Roman"/>
                <w:b w:val="0"/>
                <w:bCs w:val="0"/>
                <w:color w:val="auto"/>
                <w:sz w:val="24"/>
                <w:szCs w:val="24"/>
                <w:highlight w:val="none"/>
                <w:lang w:val="en-US" w:eastAsia="zh-CN"/>
              </w:rPr>
              <w:t>或</w:t>
            </w:r>
            <w:r>
              <w:rPr>
                <w:rFonts w:hint="default" w:ascii="Times New Roman" w:hAnsi="Times New Roman" w:eastAsia="宋体" w:cs="Times New Roman"/>
                <w:b w:val="0"/>
                <w:bCs w:val="0"/>
                <w:color w:val="auto"/>
                <w:sz w:val="24"/>
                <w:szCs w:val="24"/>
                <w:highlight w:val="none"/>
                <w:lang w:val="en-US" w:eastAsia="zh-CN"/>
              </w:rPr>
              <w:t>市政公用设施安全工程</w:t>
            </w:r>
            <w:r>
              <w:rPr>
                <w:rFonts w:hint="eastAsia" w:ascii="Times New Roman" w:hAnsi="Times New Roman" w:eastAsia="宋体" w:cs="Times New Roman"/>
                <w:b w:val="0"/>
                <w:bCs w:val="0"/>
                <w:color w:val="auto"/>
                <w:sz w:val="24"/>
                <w:szCs w:val="24"/>
                <w:highlight w:val="none"/>
                <w:lang w:val="en-US" w:eastAsia="zh-CN"/>
              </w:rPr>
              <w:t>（单个项目涉及</w:t>
            </w:r>
            <w:r>
              <w:rPr>
                <w:rFonts w:hint="default" w:ascii="Times New Roman" w:hAnsi="Times New Roman" w:eastAsia="宋体" w:cs="Times New Roman"/>
                <w:b w:val="0"/>
                <w:bCs w:val="0"/>
                <w:color w:val="auto"/>
                <w:sz w:val="24"/>
                <w:szCs w:val="24"/>
                <w:highlight w:val="none"/>
                <w:lang w:val="en-US" w:eastAsia="zh-CN"/>
              </w:rPr>
              <w:t>桥梁、供水、排水、燃气等</w:t>
            </w:r>
            <w:r>
              <w:rPr>
                <w:rFonts w:hint="eastAsia" w:ascii="Times New Roman" w:hAnsi="Times New Roman" w:eastAsia="宋体" w:cs="Times New Roman"/>
                <w:b w:val="0"/>
                <w:bCs w:val="0"/>
                <w:color w:val="auto"/>
                <w:sz w:val="24"/>
                <w:szCs w:val="24"/>
                <w:highlight w:val="none"/>
                <w:lang w:val="en-US" w:eastAsia="zh-CN"/>
              </w:rPr>
              <w:t>专项</w:t>
            </w:r>
            <w:r>
              <w:rPr>
                <w:rFonts w:hint="default" w:ascii="Times New Roman" w:hAnsi="Times New Roman" w:eastAsia="宋体" w:cs="Times New Roman"/>
                <w:b w:val="0"/>
                <w:bCs w:val="0"/>
                <w:color w:val="auto"/>
                <w:sz w:val="24"/>
                <w:szCs w:val="24"/>
                <w:highlight w:val="none"/>
                <w:lang w:val="en-US" w:eastAsia="zh-CN"/>
              </w:rPr>
              <w:t>至少包含</w:t>
            </w:r>
            <w:r>
              <w:rPr>
                <w:rFonts w:hint="eastAsia" w:ascii="Times New Roman" w:hAnsi="Times New Roman" w:eastAsia="宋体" w:cs="Times New Roman"/>
                <w:b w:val="0"/>
                <w:bCs w:val="0"/>
                <w:color w:val="auto"/>
                <w:sz w:val="24"/>
                <w:szCs w:val="24"/>
                <w:highlight w:val="none"/>
                <w:lang w:val="en-US" w:eastAsia="zh-CN"/>
              </w:rPr>
              <w:t>2</w:t>
            </w:r>
            <w:r>
              <w:rPr>
                <w:rFonts w:hint="default" w:ascii="Times New Roman" w:hAnsi="Times New Roman" w:eastAsia="宋体" w:cs="Times New Roman"/>
                <w:b w:val="0"/>
                <w:bCs w:val="0"/>
                <w:color w:val="auto"/>
                <w:sz w:val="24"/>
                <w:szCs w:val="24"/>
                <w:highlight w:val="none"/>
                <w:lang w:val="en-US" w:eastAsia="zh-CN"/>
              </w:rPr>
              <w:t>项</w:t>
            </w:r>
            <w:r>
              <w:rPr>
                <w:rFonts w:hint="eastAsia" w:ascii="Times New Roman" w:hAnsi="Times New Roman" w:eastAsia="宋体" w:cs="Times New Roman"/>
                <w:b w:val="0"/>
                <w:bCs w:val="0"/>
                <w:color w:val="auto"/>
                <w:sz w:val="24"/>
                <w:szCs w:val="24"/>
                <w:highlight w:val="none"/>
                <w:lang w:val="en-US" w:eastAsia="zh-CN"/>
              </w:rPr>
              <w:t>及</w:t>
            </w:r>
            <w:r>
              <w:rPr>
                <w:rFonts w:hint="default" w:ascii="Times New Roman" w:hAnsi="Times New Roman" w:eastAsia="宋体" w:cs="Times New Roman"/>
                <w:b w:val="0"/>
                <w:bCs w:val="0"/>
                <w:color w:val="auto"/>
                <w:sz w:val="24"/>
                <w:szCs w:val="24"/>
                <w:highlight w:val="none"/>
                <w:lang w:val="en-US" w:eastAsia="zh-CN"/>
              </w:rPr>
              <w:t>以上</w:t>
            </w:r>
            <w:r>
              <w:rPr>
                <w:rFonts w:hint="eastAsia" w:ascii="Times New Roman" w:hAnsi="Times New Roman" w:eastAsia="宋体" w:cs="Times New Roman"/>
                <w:b w:val="0"/>
                <w:bCs w:val="0"/>
                <w:color w:val="auto"/>
                <w:sz w:val="24"/>
                <w:szCs w:val="24"/>
                <w:highlight w:val="none"/>
                <w:lang w:val="en-US" w:eastAsia="zh-CN"/>
              </w:rPr>
              <w:t>专业</w:t>
            </w:r>
            <w:r>
              <w:rPr>
                <w:rFonts w:hint="default" w:ascii="Times New Roman" w:hAnsi="Times New Roman" w:eastAsia="宋体" w:cs="Times New Roman"/>
                <w:b w:val="0"/>
                <w:bCs w:val="0"/>
                <w:color w:val="auto"/>
                <w:sz w:val="24"/>
                <w:szCs w:val="24"/>
                <w:highlight w:val="none"/>
                <w:lang w:val="en-US" w:eastAsia="zh-CN"/>
              </w:rPr>
              <w:t>）</w:t>
            </w:r>
            <w:r>
              <w:rPr>
                <w:rFonts w:hint="eastAsia" w:ascii="Times New Roman" w:hAnsi="Times New Roman" w:eastAsia="宋体" w:cs="Times New Roman"/>
                <w:b w:val="0"/>
                <w:bCs w:val="0"/>
                <w:color w:val="auto"/>
                <w:sz w:val="24"/>
                <w:szCs w:val="24"/>
                <w:highlight w:val="none"/>
                <w:lang w:val="en-US" w:eastAsia="zh-CN"/>
              </w:rPr>
              <w:t>运维</w:t>
            </w:r>
            <w:r>
              <w:rPr>
                <w:rFonts w:hint="default" w:ascii="Times New Roman" w:hAnsi="Times New Roman" w:eastAsia="宋体" w:cs="Times New Roman"/>
                <w:b w:val="0"/>
                <w:bCs w:val="0"/>
                <w:color w:val="auto"/>
                <w:sz w:val="24"/>
                <w:szCs w:val="24"/>
                <w:highlight w:val="none"/>
                <w:lang w:val="en-US" w:eastAsia="zh-CN"/>
              </w:rPr>
              <w:t>项目业绩</w:t>
            </w:r>
            <w:r>
              <w:rPr>
                <w:rFonts w:hint="eastAsia" w:ascii="Times New Roman" w:hAnsi="Times New Roman" w:eastAsia="宋体" w:cs="Times New Roman"/>
                <w:b w:val="0"/>
                <w:bCs w:val="0"/>
                <w:color w:val="auto"/>
                <w:sz w:val="24"/>
                <w:szCs w:val="24"/>
                <w:highlight w:val="none"/>
                <w:lang w:val="en-US" w:eastAsia="zh-CN"/>
              </w:rPr>
              <w:t>，每</w:t>
            </w:r>
            <w:r>
              <w:rPr>
                <w:rFonts w:hint="default" w:ascii="Times New Roman" w:hAnsi="Times New Roman" w:eastAsia="宋体" w:cs="Times New Roman"/>
                <w:b w:val="0"/>
                <w:bCs w:val="0"/>
                <w:color w:val="auto"/>
                <w:sz w:val="24"/>
                <w:szCs w:val="24"/>
                <w:highlight w:val="none"/>
                <w:lang w:val="zh-CN" w:eastAsia="zh-CN"/>
              </w:rPr>
              <w:t>提供一个得</w:t>
            </w:r>
            <w:r>
              <w:rPr>
                <w:rFonts w:hint="default" w:ascii="Times New Roman" w:hAnsi="Times New Roman" w:eastAsia="宋体" w:cs="Times New Roman"/>
                <w:b w:val="0"/>
                <w:bCs w:val="0"/>
                <w:color w:val="auto"/>
                <w:sz w:val="24"/>
                <w:szCs w:val="24"/>
                <w:highlight w:val="none"/>
                <w:lang w:val="en-US" w:eastAsia="zh-CN"/>
              </w:rPr>
              <w:t>2</w:t>
            </w:r>
            <w:r>
              <w:rPr>
                <w:rFonts w:hint="default" w:ascii="Times New Roman" w:hAnsi="Times New Roman" w:eastAsia="宋体" w:cs="Times New Roman"/>
                <w:b w:val="0"/>
                <w:bCs w:val="0"/>
                <w:color w:val="auto"/>
                <w:sz w:val="24"/>
                <w:szCs w:val="24"/>
                <w:highlight w:val="none"/>
                <w:lang w:val="zh-CN" w:eastAsia="zh-CN"/>
              </w:rPr>
              <w:t>分</w:t>
            </w:r>
            <w:r>
              <w:rPr>
                <w:rFonts w:hint="default"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zh-CN" w:eastAsia="zh-CN"/>
              </w:rPr>
              <w:t>最高得</w:t>
            </w:r>
            <w:r>
              <w:rPr>
                <w:rFonts w:hint="eastAsia" w:ascii="Times New Roman" w:hAnsi="Times New Roman" w:eastAsia="宋体" w:cs="Times New Roman"/>
                <w:b w:val="0"/>
                <w:bCs w:val="0"/>
                <w:color w:val="auto"/>
                <w:sz w:val="24"/>
                <w:szCs w:val="24"/>
                <w:highlight w:val="none"/>
                <w:lang w:val="en-US" w:eastAsia="zh-CN"/>
              </w:rPr>
              <w:t>4</w:t>
            </w:r>
            <w:r>
              <w:rPr>
                <w:rFonts w:hint="default" w:ascii="Times New Roman" w:hAnsi="Times New Roman" w:eastAsia="宋体" w:cs="Times New Roman"/>
                <w:b w:val="0"/>
                <w:bCs w:val="0"/>
                <w:color w:val="auto"/>
                <w:sz w:val="24"/>
                <w:szCs w:val="24"/>
                <w:highlight w:val="none"/>
                <w:lang w:val="zh-CN" w:eastAsia="zh-CN"/>
              </w:rPr>
              <w:t>分。</w:t>
            </w:r>
            <w:r>
              <w:rPr>
                <w:rFonts w:hint="default" w:ascii="Times New Roman" w:hAnsi="Times New Roman" w:eastAsia="宋体" w:cs="Times New Roman"/>
                <w:b w:val="0"/>
                <w:bCs w:val="0"/>
                <w:color w:val="auto"/>
                <w:sz w:val="24"/>
                <w:szCs w:val="24"/>
                <w:highlight w:val="none"/>
                <w:lang w:val="en-US" w:eastAsia="zh-CN"/>
              </w:rPr>
              <w:t>备</w:t>
            </w:r>
            <w:r>
              <w:rPr>
                <w:rFonts w:hint="default" w:ascii="Times New Roman" w:hAnsi="Times New Roman" w:eastAsia="宋体" w:cs="Times New Roman"/>
                <w:b w:val="0"/>
                <w:bCs w:val="0"/>
                <w:color w:val="auto"/>
                <w:sz w:val="24"/>
                <w:szCs w:val="24"/>
                <w:highlight w:val="none"/>
              </w:rPr>
              <w:t>注：</w:t>
            </w:r>
            <w:r>
              <w:rPr>
                <w:rFonts w:hint="default" w:ascii="Times New Roman" w:hAnsi="Times New Roman" w:eastAsia="宋体" w:cs="Times New Roman"/>
                <w:b w:val="0"/>
                <w:bCs w:val="0"/>
                <w:color w:val="auto"/>
                <w:sz w:val="24"/>
                <w:szCs w:val="24"/>
                <w:highlight w:val="none"/>
                <w:lang w:val="zh-CN"/>
              </w:rPr>
              <w:t>投标文件中提供业绩合同扫描件，时间以合同签订时间为准；若合同材料中无法体现签订时间、</w:t>
            </w:r>
            <w:r>
              <w:rPr>
                <w:rFonts w:hint="default" w:ascii="Times New Roman" w:hAnsi="Times New Roman" w:eastAsia="宋体" w:cs="Times New Roman"/>
                <w:b w:val="0"/>
                <w:bCs w:val="0"/>
                <w:color w:val="auto"/>
                <w:sz w:val="24"/>
                <w:szCs w:val="24"/>
                <w:highlight w:val="none"/>
                <w:lang w:val="en-US" w:eastAsia="zh-CN"/>
              </w:rPr>
              <w:t>业绩</w:t>
            </w:r>
            <w:r>
              <w:rPr>
                <w:rFonts w:hint="default" w:ascii="Times New Roman" w:hAnsi="Times New Roman" w:eastAsia="宋体" w:cs="Times New Roman"/>
                <w:b w:val="0"/>
                <w:bCs w:val="0"/>
                <w:color w:val="auto"/>
                <w:sz w:val="24"/>
                <w:szCs w:val="24"/>
                <w:highlight w:val="none"/>
                <w:lang w:val="zh-CN"/>
              </w:rPr>
              <w:t>内容等关键评</w:t>
            </w:r>
            <w:r>
              <w:rPr>
                <w:rFonts w:hint="default" w:ascii="Times New Roman" w:hAnsi="Times New Roman" w:eastAsia="宋体" w:cs="Times New Roman"/>
                <w:b w:val="0"/>
                <w:bCs w:val="0"/>
                <w:color w:val="auto"/>
                <w:sz w:val="24"/>
                <w:szCs w:val="24"/>
                <w:highlight w:val="none"/>
                <w:lang w:val="zh-CN" w:eastAsia="zh-CN"/>
              </w:rPr>
              <w:t>审因素的，须另</w:t>
            </w:r>
            <w:r>
              <w:rPr>
                <w:rFonts w:hint="default" w:ascii="Times New Roman" w:hAnsi="Times New Roman" w:eastAsia="宋体" w:cs="Times New Roman"/>
                <w:b w:val="0"/>
                <w:bCs w:val="0"/>
                <w:color w:val="auto"/>
                <w:sz w:val="24"/>
                <w:szCs w:val="24"/>
                <w:highlight w:val="none"/>
                <w:lang w:val="en-US" w:eastAsia="zh-CN"/>
              </w:rPr>
              <w:t>外提供</w:t>
            </w:r>
            <w:r>
              <w:rPr>
                <w:rFonts w:hint="default" w:ascii="Times New Roman" w:hAnsi="Times New Roman" w:eastAsia="宋体" w:cs="Times New Roman"/>
                <w:b w:val="0"/>
                <w:bCs w:val="0"/>
                <w:color w:val="auto"/>
                <w:sz w:val="24"/>
                <w:szCs w:val="24"/>
                <w:highlight w:val="none"/>
                <w:lang w:val="zh-CN" w:eastAsia="zh-CN"/>
              </w:rPr>
              <w:t>业主（合同甲方）出具的</w:t>
            </w:r>
            <w:r>
              <w:rPr>
                <w:rFonts w:hint="default" w:ascii="Times New Roman" w:hAnsi="Times New Roman" w:eastAsia="宋体" w:cs="Times New Roman"/>
                <w:b w:val="0"/>
                <w:bCs w:val="0"/>
                <w:color w:val="auto"/>
                <w:sz w:val="24"/>
                <w:szCs w:val="24"/>
                <w:highlight w:val="none"/>
                <w:lang w:val="en-US" w:eastAsia="zh-CN"/>
              </w:rPr>
              <w:t>盖章证明材料扫描件</w:t>
            </w:r>
            <w:r>
              <w:rPr>
                <w:rFonts w:hint="default" w:ascii="Times New Roman" w:hAnsi="Times New Roman" w:eastAsia="宋体" w:cs="Times New Roman"/>
                <w:b w:val="0"/>
                <w:bCs w:val="0"/>
                <w:color w:val="auto"/>
                <w:sz w:val="24"/>
                <w:szCs w:val="24"/>
                <w:highlight w:val="none"/>
                <w:lang w:val="zh-CN" w:eastAsia="zh-CN"/>
              </w:rPr>
              <w:t>。</w:t>
            </w:r>
          </w:p>
        </w:tc>
        <w:tc>
          <w:tcPr>
            <w:tcW w:w="2467" w:type="dxa"/>
            <w:tcBorders>
              <w:top w:val="single" w:color="auto" w:sz="4" w:space="0"/>
              <w:left w:val="single" w:color="auto" w:sz="4" w:space="0"/>
              <w:bottom w:val="single" w:color="auto" w:sz="4" w:space="0"/>
              <w:right w:val="single" w:color="auto" w:sz="4" w:space="0"/>
            </w:tcBorders>
            <w:shd w:val="clear" w:color="auto" w:fill="auto"/>
            <w:vAlign w:val="center"/>
          </w:tcPr>
          <w:p w14:paraId="2A705174">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rPr>
              <w:t>0-</w:t>
            </w:r>
            <w:r>
              <w:rPr>
                <w:rFonts w:hint="default" w:ascii="Times New Roman" w:hAnsi="Times New Roman" w:eastAsia="宋体" w:cs="Times New Roman"/>
                <w:b w:val="0"/>
                <w:bCs w:val="0"/>
                <w:color w:val="auto"/>
                <w:sz w:val="24"/>
                <w:szCs w:val="24"/>
                <w:highlight w:val="none"/>
                <w:lang w:val="en-US" w:eastAsia="zh-CN"/>
              </w:rPr>
              <w:t>4</w:t>
            </w:r>
            <w:r>
              <w:rPr>
                <w:rFonts w:hint="default" w:ascii="Times New Roman" w:hAnsi="Times New Roman" w:eastAsia="宋体" w:cs="Times New Roman"/>
                <w:b w:val="0"/>
                <w:bCs w:val="0"/>
                <w:color w:val="auto"/>
                <w:sz w:val="24"/>
                <w:szCs w:val="24"/>
                <w:highlight w:val="none"/>
              </w:rPr>
              <w:t>分</w:t>
            </w:r>
          </w:p>
        </w:tc>
      </w:tr>
      <w:tr w14:paraId="422A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Merge w:val="continue"/>
            <w:tcBorders>
              <w:left w:val="single" w:color="auto" w:sz="4" w:space="0"/>
              <w:right w:val="single" w:color="auto" w:sz="4" w:space="0"/>
            </w:tcBorders>
            <w:vAlign w:val="center"/>
          </w:tcPr>
          <w:p w14:paraId="00A6B9CC">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p>
        </w:tc>
        <w:tc>
          <w:tcPr>
            <w:tcW w:w="2214" w:type="dxa"/>
            <w:tcBorders>
              <w:top w:val="single" w:color="auto" w:sz="4" w:space="0"/>
              <w:left w:val="single" w:color="auto" w:sz="4" w:space="0"/>
              <w:bottom w:val="single" w:color="auto" w:sz="4" w:space="0"/>
              <w:right w:val="single" w:color="auto" w:sz="4" w:space="0"/>
            </w:tcBorders>
            <w:shd w:val="clear" w:color="auto" w:fill="auto"/>
            <w:vAlign w:val="center"/>
          </w:tcPr>
          <w:p w14:paraId="64C4B0F3">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供应商</w:t>
            </w:r>
            <w:r>
              <w:rPr>
                <w:rFonts w:hint="default" w:ascii="Times New Roman" w:hAnsi="Times New Roman" w:eastAsia="宋体" w:cs="Times New Roman"/>
                <w:b w:val="0"/>
                <w:bCs w:val="0"/>
                <w:color w:val="auto"/>
                <w:sz w:val="24"/>
                <w:szCs w:val="24"/>
                <w:highlight w:val="none"/>
                <w:lang w:val="en-US" w:eastAsia="zh-CN"/>
              </w:rPr>
              <w:t>能力</w:t>
            </w:r>
          </w:p>
        </w:tc>
        <w:tc>
          <w:tcPr>
            <w:tcW w:w="4020" w:type="dxa"/>
            <w:tcBorders>
              <w:top w:val="single" w:color="auto" w:sz="4" w:space="0"/>
              <w:left w:val="single" w:color="auto" w:sz="4" w:space="0"/>
              <w:bottom w:val="single" w:color="auto" w:sz="4" w:space="0"/>
              <w:right w:val="single" w:color="auto" w:sz="4" w:space="0"/>
            </w:tcBorders>
            <w:shd w:val="clear" w:color="auto" w:fill="auto"/>
            <w:vAlign w:val="center"/>
          </w:tcPr>
          <w:p w14:paraId="72A9E1FC">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宋体" w:hAnsi="宋体" w:eastAsia="宋体" w:cs="宋体"/>
                <w:color w:val="auto"/>
                <w:spacing w:val="1"/>
                <w:kern w:val="0"/>
                <w:sz w:val="24"/>
                <w:szCs w:val="24"/>
                <w:highlight w:val="none"/>
                <w:lang w:val="en-US" w:eastAsia="zh-CN" w:bidi="ar-SA"/>
              </w:rPr>
              <w:t>供应商具有以下相关领域有效的</w:t>
            </w:r>
            <w:r>
              <w:rPr>
                <w:rFonts w:hint="default" w:ascii="Times New Roman" w:hAnsi="Times New Roman" w:eastAsia="宋体" w:cs="Times New Roman"/>
                <w:b w:val="0"/>
                <w:bCs w:val="0"/>
                <w:color w:val="auto"/>
                <w:sz w:val="24"/>
                <w:szCs w:val="24"/>
                <w:highlight w:val="none"/>
                <w:lang w:val="en-US" w:eastAsia="zh-CN"/>
              </w:rPr>
              <w:t>软件著作权证书或专利的</w:t>
            </w:r>
            <w:r>
              <w:rPr>
                <w:rFonts w:hint="eastAsia" w:ascii="宋体" w:hAnsi="宋体" w:eastAsia="宋体" w:cs="宋体"/>
                <w:color w:val="auto"/>
                <w:spacing w:val="1"/>
                <w:kern w:val="0"/>
                <w:sz w:val="24"/>
                <w:szCs w:val="24"/>
                <w:highlight w:val="none"/>
                <w:lang w:val="en-US" w:eastAsia="zh-CN" w:bidi="ar-SA"/>
              </w:rPr>
              <w:t>，每提供一个得2分，最高8分：</w:t>
            </w:r>
            <w:r>
              <w:rPr>
                <w:rFonts w:hint="default" w:ascii="Times New Roman" w:hAnsi="Times New Roman" w:eastAsia="宋体" w:cs="Times New Roman"/>
                <w:b w:val="0"/>
                <w:bCs w:val="0"/>
                <w:color w:val="auto"/>
                <w:sz w:val="24"/>
                <w:szCs w:val="24"/>
                <w:highlight w:val="none"/>
                <w:lang w:val="en-US" w:eastAsia="zh-CN"/>
              </w:rPr>
              <w:t>燃气安全监测</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桥梁安全监测</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排水安全监测</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供水安全监测</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信息系统运行领域的软件著作权证书或专利</w:t>
            </w:r>
            <w:r>
              <w:rPr>
                <w:rFonts w:hint="eastAsia" w:ascii="Times New Roman" w:hAnsi="Times New Roman" w:eastAsia="宋体" w:cs="Times New Roman"/>
                <w:b w:val="0"/>
                <w:bCs w:val="0"/>
                <w:color w:val="auto"/>
                <w:sz w:val="24"/>
                <w:szCs w:val="24"/>
                <w:highlight w:val="none"/>
                <w:lang w:val="en-US" w:eastAsia="zh-CN"/>
              </w:rPr>
              <w:t>。</w:t>
            </w:r>
          </w:p>
          <w:p w14:paraId="3ED1615D">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备注：</w:t>
            </w:r>
            <w:r>
              <w:rPr>
                <w:rFonts w:hint="eastAsia" w:ascii="宋体" w:hAnsi="宋体" w:eastAsia="宋体" w:cs="宋体"/>
                <w:color w:val="auto"/>
                <w:spacing w:val="1"/>
                <w:kern w:val="0"/>
                <w:sz w:val="24"/>
                <w:szCs w:val="24"/>
                <w:highlight w:val="none"/>
                <w:lang w:val="en-US" w:eastAsia="zh-CN" w:bidi="ar-SA"/>
              </w:rPr>
              <w:t>同类领域仅限提供一个证书，同个证书不可重复得分，供应商须同时提供软件著作权证书扫描件及中国版权保护中心网站截图（或专利证书扫描件及国家知识产权局网站截图），并加盖供应商公章，未提供不得分。</w:t>
            </w:r>
          </w:p>
        </w:tc>
        <w:tc>
          <w:tcPr>
            <w:tcW w:w="2467" w:type="dxa"/>
            <w:tcBorders>
              <w:top w:val="single" w:color="auto" w:sz="4" w:space="0"/>
              <w:left w:val="single" w:color="auto" w:sz="4" w:space="0"/>
              <w:bottom w:val="single" w:color="auto" w:sz="4" w:space="0"/>
              <w:right w:val="single" w:color="auto" w:sz="4" w:space="0"/>
            </w:tcBorders>
            <w:shd w:val="clear" w:color="auto" w:fill="auto"/>
            <w:vAlign w:val="center"/>
          </w:tcPr>
          <w:p w14:paraId="3D58E614">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rPr>
              <w:t>0-</w:t>
            </w:r>
            <w:r>
              <w:rPr>
                <w:rFonts w:hint="eastAsia" w:ascii="Times New Roman" w:hAnsi="Times New Roman" w:eastAsia="宋体" w:cs="Times New Roman"/>
                <w:b w:val="0"/>
                <w:bCs w:val="0"/>
                <w:color w:val="auto"/>
                <w:sz w:val="24"/>
                <w:szCs w:val="24"/>
                <w:highlight w:val="none"/>
                <w:lang w:val="en-US" w:eastAsia="zh-CN"/>
              </w:rPr>
              <w:t>8</w:t>
            </w:r>
            <w:r>
              <w:rPr>
                <w:rFonts w:hint="default" w:ascii="Times New Roman" w:hAnsi="Times New Roman" w:eastAsia="宋体" w:cs="Times New Roman"/>
                <w:b w:val="0"/>
                <w:bCs w:val="0"/>
                <w:color w:val="auto"/>
                <w:sz w:val="24"/>
                <w:szCs w:val="24"/>
                <w:highlight w:val="none"/>
              </w:rPr>
              <w:t>分</w:t>
            </w:r>
          </w:p>
        </w:tc>
      </w:tr>
      <w:tr w14:paraId="33E77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9" w:hRule="atLeast"/>
          <w:jc w:val="center"/>
        </w:trPr>
        <w:tc>
          <w:tcPr>
            <w:tcW w:w="1086" w:type="dxa"/>
            <w:vMerge w:val="continue"/>
            <w:tcBorders>
              <w:left w:val="single" w:color="auto" w:sz="4" w:space="0"/>
              <w:right w:val="single" w:color="auto" w:sz="4" w:space="0"/>
            </w:tcBorders>
            <w:vAlign w:val="center"/>
          </w:tcPr>
          <w:p w14:paraId="3835AE1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p>
        </w:tc>
        <w:tc>
          <w:tcPr>
            <w:tcW w:w="2214" w:type="dxa"/>
            <w:tcBorders>
              <w:top w:val="single" w:color="auto" w:sz="4" w:space="0"/>
              <w:left w:val="single" w:color="auto" w:sz="4" w:space="0"/>
              <w:bottom w:val="single" w:color="auto" w:sz="4" w:space="0"/>
              <w:right w:val="single" w:color="auto" w:sz="4" w:space="0"/>
            </w:tcBorders>
            <w:vAlign w:val="center"/>
          </w:tcPr>
          <w:p w14:paraId="794EB9B9">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项目负责人能力</w:t>
            </w:r>
          </w:p>
        </w:tc>
        <w:tc>
          <w:tcPr>
            <w:tcW w:w="4020" w:type="dxa"/>
            <w:tcBorders>
              <w:top w:val="single" w:color="auto" w:sz="4" w:space="0"/>
              <w:left w:val="single" w:color="auto" w:sz="4" w:space="0"/>
              <w:bottom w:val="single" w:color="auto" w:sz="4" w:space="0"/>
              <w:right w:val="single" w:color="auto" w:sz="4" w:space="0"/>
            </w:tcBorders>
            <w:vAlign w:val="center"/>
          </w:tcPr>
          <w:p w14:paraId="087D59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宋体" w:cs="Times New Roman"/>
                <w:color w:val="auto"/>
                <w:spacing w:val="1"/>
                <w:kern w:val="0"/>
                <w:sz w:val="24"/>
                <w:szCs w:val="24"/>
                <w:highlight w:val="none"/>
                <w:lang w:val="en-US" w:eastAsia="zh-CN" w:bidi="ar-SA"/>
              </w:rPr>
            </w:pPr>
            <w:r>
              <w:rPr>
                <w:rFonts w:hint="eastAsia" w:ascii="Times New Roman" w:hAnsi="Times New Roman" w:eastAsia="宋体" w:cs="Times New Roman"/>
                <w:color w:val="auto"/>
                <w:spacing w:val="1"/>
                <w:kern w:val="0"/>
                <w:sz w:val="24"/>
                <w:szCs w:val="24"/>
                <w:highlight w:val="none"/>
                <w:lang w:val="en-US" w:eastAsia="zh-CN" w:bidi="ar-SA"/>
              </w:rPr>
              <w:t>供应商</w:t>
            </w:r>
            <w:r>
              <w:rPr>
                <w:rFonts w:hint="default" w:ascii="Times New Roman" w:hAnsi="Times New Roman" w:eastAsia="宋体" w:cs="Times New Roman"/>
                <w:color w:val="auto"/>
                <w:spacing w:val="1"/>
                <w:kern w:val="0"/>
                <w:sz w:val="24"/>
                <w:szCs w:val="24"/>
                <w:highlight w:val="none"/>
                <w:lang w:val="en-US" w:eastAsia="zh-CN" w:bidi="ar-SA"/>
              </w:rPr>
              <w:t>为本项目拟配备的项目负责人，具有以下</w:t>
            </w:r>
            <w:r>
              <w:rPr>
                <w:rFonts w:hint="eastAsia" w:ascii="Times New Roman" w:hAnsi="Times New Roman" w:eastAsia="宋体" w:cs="Times New Roman"/>
                <w:color w:val="auto"/>
                <w:spacing w:val="1"/>
                <w:kern w:val="0"/>
                <w:sz w:val="24"/>
                <w:szCs w:val="24"/>
                <w:highlight w:val="none"/>
                <w:lang w:val="en-US" w:eastAsia="zh-CN" w:bidi="ar-SA"/>
              </w:rPr>
              <w:t>任意</w:t>
            </w:r>
            <w:r>
              <w:rPr>
                <w:rFonts w:hint="default" w:ascii="Times New Roman" w:hAnsi="Times New Roman" w:eastAsia="宋体" w:cs="Times New Roman"/>
                <w:color w:val="auto"/>
                <w:spacing w:val="1"/>
                <w:kern w:val="0"/>
                <w:sz w:val="24"/>
                <w:szCs w:val="24"/>
                <w:highlight w:val="none"/>
                <w:lang w:val="en-US" w:eastAsia="zh-CN" w:bidi="ar-SA"/>
              </w:rPr>
              <w:t>1个证书</w:t>
            </w:r>
            <w:r>
              <w:rPr>
                <w:rFonts w:hint="eastAsia" w:ascii="Times New Roman" w:hAnsi="Times New Roman" w:eastAsia="宋体" w:cs="Times New Roman"/>
                <w:color w:val="auto"/>
                <w:spacing w:val="1"/>
                <w:kern w:val="0"/>
                <w:sz w:val="24"/>
                <w:szCs w:val="24"/>
                <w:highlight w:val="none"/>
                <w:lang w:val="en-US" w:eastAsia="zh-CN" w:bidi="ar-SA"/>
              </w:rPr>
              <w:t>的</w:t>
            </w:r>
            <w:r>
              <w:rPr>
                <w:rFonts w:hint="default" w:ascii="Times New Roman" w:hAnsi="Times New Roman" w:eastAsia="宋体" w:cs="Times New Roman"/>
                <w:color w:val="auto"/>
                <w:spacing w:val="1"/>
                <w:kern w:val="0"/>
                <w:sz w:val="24"/>
                <w:szCs w:val="24"/>
                <w:highlight w:val="none"/>
                <w:lang w:val="en-US" w:eastAsia="zh-CN" w:bidi="ar-SA"/>
              </w:rPr>
              <w:t>得2分，本项满分</w:t>
            </w:r>
            <w:r>
              <w:rPr>
                <w:rFonts w:hint="eastAsia" w:ascii="Times New Roman" w:hAnsi="Times New Roman" w:eastAsia="宋体" w:cs="Times New Roman"/>
                <w:color w:val="auto"/>
                <w:spacing w:val="1"/>
                <w:kern w:val="0"/>
                <w:sz w:val="24"/>
                <w:szCs w:val="24"/>
                <w:highlight w:val="none"/>
                <w:lang w:val="en-US" w:eastAsia="zh-CN" w:bidi="ar-SA"/>
              </w:rPr>
              <w:t>2</w:t>
            </w:r>
            <w:r>
              <w:rPr>
                <w:rFonts w:hint="default" w:ascii="Times New Roman" w:hAnsi="Times New Roman" w:eastAsia="宋体" w:cs="Times New Roman"/>
                <w:color w:val="auto"/>
                <w:spacing w:val="1"/>
                <w:kern w:val="0"/>
                <w:sz w:val="24"/>
                <w:szCs w:val="24"/>
                <w:highlight w:val="none"/>
                <w:lang w:val="en-US" w:eastAsia="zh-CN" w:bidi="ar-SA"/>
              </w:rPr>
              <w:t>分。</w:t>
            </w:r>
          </w:p>
          <w:p w14:paraId="0C0B238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宋体" w:cs="Times New Roman"/>
                <w:color w:val="auto"/>
                <w:spacing w:val="1"/>
                <w:kern w:val="0"/>
                <w:sz w:val="24"/>
                <w:szCs w:val="24"/>
                <w:highlight w:val="none"/>
                <w:lang w:val="en-US" w:eastAsia="zh-CN" w:bidi="ar-SA"/>
              </w:rPr>
            </w:pPr>
            <w:r>
              <w:rPr>
                <w:rFonts w:hint="default" w:ascii="Times New Roman" w:hAnsi="Times New Roman" w:eastAsia="宋体" w:cs="Times New Roman"/>
                <w:color w:val="auto"/>
                <w:spacing w:val="1"/>
                <w:kern w:val="0"/>
                <w:sz w:val="24"/>
                <w:szCs w:val="24"/>
                <w:highlight w:val="none"/>
                <w:lang w:val="en-US" w:eastAsia="zh-CN" w:bidi="ar-SA"/>
              </w:rPr>
              <w:t>（1）信息系统项目管理师（软考证书）；</w:t>
            </w:r>
          </w:p>
          <w:p w14:paraId="6BBEF238">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pacing w:val="1"/>
                <w:kern w:val="0"/>
                <w:sz w:val="24"/>
                <w:szCs w:val="24"/>
                <w:highlight w:val="none"/>
                <w:lang w:val="en-US" w:eastAsia="zh-CN" w:bidi="ar-SA"/>
              </w:rPr>
            </w:pPr>
            <w:r>
              <w:rPr>
                <w:rFonts w:hint="default" w:ascii="Times New Roman" w:hAnsi="Times New Roman" w:eastAsia="宋体" w:cs="Times New Roman"/>
                <w:color w:val="auto"/>
                <w:spacing w:val="1"/>
                <w:kern w:val="0"/>
                <w:sz w:val="24"/>
                <w:szCs w:val="24"/>
                <w:highlight w:val="none"/>
                <w:lang w:val="en-US" w:eastAsia="zh-CN" w:bidi="ar-SA"/>
              </w:rPr>
              <w:t>（2）系统架构设计师（软考证书）。</w:t>
            </w:r>
          </w:p>
        </w:tc>
        <w:tc>
          <w:tcPr>
            <w:tcW w:w="2467" w:type="dxa"/>
            <w:tcBorders>
              <w:top w:val="single" w:color="auto" w:sz="4" w:space="0"/>
              <w:left w:val="single" w:color="auto" w:sz="4" w:space="0"/>
              <w:bottom w:val="single" w:color="auto" w:sz="4" w:space="0"/>
              <w:right w:val="single" w:color="auto" w:sz="4" w:space="0"/>
            </w:tcBorders>
            <w:vAlign w:val="center"/>
          </w:tcPr>
          <w:p w14:paraId="7E1509E7">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0-2分</w:t>
            </w:r>
          </w:p>
        </w:tc>
      </w:tr>
      <w:tr w14:paraId="4CA6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5" w:hRule="atLeast"/>
          <w:jc w:val="center"/>
        </w:trPr>
        <w:tc>
          <w:tcPr>
            <w:tcW w:w="1086" w:type="dxa"/>
            <w:vMerge w:val="continue"/>
            <w:tcBorders>
              <w:left w:val="single" w:color="auto" w:sz="4" w:space="0"/>
              <w:right w:val="single" w:color="auto" w:sz="4" w:space="0"/>
            </w:tcBorders>
            <w:vAlign w:val="center"/>
          </w:tcPr>
          <w:p w14:paraId="73435397">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p>
        </w:tc>
        <w:tc>
          <w:tcPr>
            <w:tcW w:w="2214" w:type="dxa"/>
            <w:tcBorders>
              <w:top w:val="single" w:color="auto" w:sz="4" w:space="0"/>
              <w:left w:val="single" w:color="auto" w:sz="4" w:space="0"/>
              <w:bottom w:val="single" w:color="auto" w:sz="4" w:space="0"/>
              <w:right w:val="single" w:color="auto" w:sz="4" w:space="0"/>
            </w:tcBorders>
            <w:vAlign w:val="center"/>
          </w:tcPr>
          <w:p w14:paraId="62A767C3">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项目团队人员能力</w:t>
            </w:r>
          </w:p>
        </w:tc>
        <w:tc>
          <w:tcPr>
            <w:tcW w:w="4020" w:type="dxa"/>
            <w:tcBorders>
              <w:top w:val="single" w:color="auto" w:sz="4" w:space="0"/>
              <w:left w:val="single" w:color="auto" w:sz="4" w:space="0"/>
              <w:bottom w:val="single" w:color="auto" w:sz="4" w:space="0"/>
              <w:right w:val="single" w:color="auto" w:sz="4" w:space="0"/>
            </w:tcBorders>
            <w:vAlign w:val="center"/>
          </w:tcPr>
          <w:p w14:paraId="7E2098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宋体" w:cs="Times New Roman"/>
                <w:color w:val="auto"/>
                <w:spacing w:val="1"/>
                <w:kern w:val="0"/>
                <w:sz w:val="24"/>
                <w:szCs w:val="24"/>
                <w:highlight w:val="none"/>
                <w:lang w:val="en-US" w:eastAsia="zh-CN" w:bidi="ar-SA"/>
              </w:rPr>
            </w:pPr>
            <w:r>
              <w:rPr>
                <w:rFonts w:hint="eastAsia" w:ascii="Times New Roman" w:hAnsi="Times New Roman" w:eastAsia="宋体" w:cs="Times New Roman"/>
                <w:color w:val="auto"/>
                <w:spacing w:val="1"/>
                <w:kern w:val="0"/>
                <w:sz w:val="24"/>
                <w:szCs w:val="24"/>
                <w:highlight w:val="none"/>
                <w:lang w:val="en-US" w:eastAsia="zh-CN" w:bidi="ar-SA"/>
              </w:rPr>
              <w:t>供应商</w:t>
            </w:r>
            <w:r>
              <w:rPr>
                <w:rFonts w:hint="default" w:ascii="Times New Roman" w:hAnsi="Times New Roman" w:eastAsia="宋体" w:cs="Times New Roman"/>
                <w:color w:val="auto"/>
                <w:spacing w:val="1"/>
                <w:kern w:val="0"/>
                <w:sz w:val="24"/>
                <w:szCs w:val="24"/>
                <w:highlight w:val="none"/>
                <w:lang w:val="en-US" w:eastAsia="zh-CN" w:bidi="ar-SA"/>
              </w:rPr>
              <w:t>为本项目拟配备的数据分析、监测值守和信息</w:t>
            </w:r>
            <w:r>
              <w:rPr>
                <w:rFonts w:hint="eastAsia" w:ascii="Times New Roman" w:hAnsi="Times New Roman" w:eastAsia="宋体" w:cs="Times New Roman"/>
                <w:color w:val="auto"/>
                <w:spacing w:val="1"/>
                <w:kern w:val="0"/>
                <w:sz w:val="24"/>
                <w:szCs w:val="24"/>
                <w:highlight w:val="none"/>
                <w:lang w:val="en-US" w:eastAsia="zh-CN" w:bidi="ar-SA"/>
              </w:rPr>
              <w:t>化系统、</w:t>
            </w:r>
            <w:r>
              <w:rPr>
                <w:rFonts w:hint="eastAsia" w:ascii="宋体" w:hAnsi="宋体" w:eastAsia="宋体" w:cstheme="minorBidi"/>
                <w:color w:val="auto"/>
                <w:kern w:val="2"/>
                <w:sz w:val="24"/>
                <w:szCs w:val="24"/>
                <w:highlight w:val="none"/>
                <w:lang w:val="en-US" w:eastAsia="zh-CN" w:bidi="ar-SA"/>
              </w:rPr>
              <w:t>前端感知设备运维</w:t>
            </w:r>
            <w:r>
              <w:rPr>
                <w:rFonts w:hint="default" w:ascii="Times New Roman" w:hAnsi="Times New Roman" w:eastAsia="宋体" w:cs="Times New Roman"/>
                <w:b w:val="0"/>
                <w:bCs w:val="0"/>
                <w:color w:val="auto"/>
                <w:spacing w:val="1"/>
                <w:kern w:val="0"/>
                <w:sz w:val="24"/>
                <w:szCs w:val="24"/>
                <w:highlight w:val="none"/>
                <w:lang w:val="en-US" w:eastAsia="zh-CN" w:bidi="ar-SA"/>
              </w:rPr>
              <w:t>人员</w:t>
            </w:r>
            <w:r>
              <w:rPr>
                <w:rFonts w:hint="default" w:ascii="Times New Roman" w:hAnsi="Times New Roman" w:eastAsia="宋体" w:cs="Times New Roman"/>
                <w:color w:val="auto"/>
                <w:spacing w:val="1"/>
                <w:kern w:val="0"/>
                <w:sz w:val="24"/>
                <w:szCs w:val="24"/>
                <w:highlight w:val="none"/>
                <w:lang w:val="en-US" w:eastAsia="zh-CN" w:bidi="ar-SA"/>
              </w:rPr>
              <w:t>具有以下任意1个证书得2分，本项满分得</w:t>
            </w:r>
            <w:r>
              <w:rPr>
                <w:rFonts w:hint="eastAsia" w:ascii="Times New Roman" w:hAnsi="Times New Roman" w:eastAsia="宋体" w:cs="Times New Roman"/>
                <w:color w:val="auto"/>
                <w:spacing w:val="1"/>
                <w:kern w:val="0"/>
                <w:sz w:val="24"/>
                <w:szCs w:val="24"/>
                <w:highlight w:val="none"/>
                <w:lang w:val="en-US" w:eastAsia="zh-CN" w:bidi="ar-SA"/>
              </w:rPr>
              <w:t>8</w:t>
            </w:r>
            <w:r>
              <w:rPr>
                <w:rFonts w:hint="default" w:ascii="Times New Roman" w:hAnsi="Times New Roman" w:eastAsia="宋体" w:cs="Times New Roman"/>
                <w:color w:val="auto"/>
                <w:spacing w:val="1"/>
                <w:kern w:val="0"/>
                <w:sz w:val="24"/>
                <w:szCs w:val="24"/>
                <w:highlight w:val="none"/>
                <w:lang w:val="en-US" w:eastAsia="zh-CN" w:bidi="ar-SA"/>
              </w:rPr>
              <w:t>分。同一人有两个或以上证书不重复得分。</w:t>
            </w:r>
          </w:p>
          <w:p w14:paraId="3C1F55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imes New Roman" w:hAnsi="Times New Roman" w:eastAsia="宋体" w:cs="Times New Roman"/>
                <w:color w:val="auto"/>
                <w:spacing w:val="1"/>
                <w:kern w:val="0"/>
                <w:sz w:val="24"/>
                <w:szCs w:val="24"/>
                <w:highlight w:val="none"/>
                <w:lang w:val="en-US" w:eastAsia="zh-CN" w:bidi="ar-SA"/>
              </w:rPr>
            </w:pPr>
            <w:r>
              <w:rPr>
                <w:rFonts w:hint="eastAsia" w:ascii="Times New Roman" w:hAnsi="Times New Roman" w:eastAsia="宋体" w:cs="Times New Roman"/>
                <w:color w:val="auto"/>
                <w:spacing w:val="1"/>
                <w:kern w:val="0"/>
                <w:sz w:val="24"/>
                <w:szCs w:val="24"/>
                <w:highlight w:val="none"/>
                <w:lang w:val="en-US" w:eastAsia="zh-CN" w:bidi="ar-SA"/>
              </w:rPr>
              <w:t>（1）</w:t>
            </w:r>
            <w:r>
              <w:rPr>
                <w:rFonts w:hint="default" w:ascii="Times New Roman" w:hAnsi="Times New Roman" w:eastAsia="宋体" w:cs="Times New Roman"/>
                <w:color w:val="auto"/>
                <w:spacing w:val="1"/>
                <w:kern w:val="0"/>
                <w:sz w:val="24"/>
                <w:szCs w:val="24"/>
                <w:highlight w:val="none"/>
              </w:rPr>
              <w:t>网络工程师</w:t>
            </w:r>
            <w:r>
              <w:rPr>
                <w:rFonts w:hint="eastAsia" w:ascii="Times New Roman" w:hAnsi="Times New Roman" w:eastAsia="宋体" w:cs="Times New Roman"/>
                <w:color w:val="auto"/>
                <w:spacing w:val="1"/>
                <w:kern w:val="0"/>
                <w:sz w:val="24"/>
                <w:szCs w:val="24"/>
                <w:highlight w:val="none"/>
                <w:lang w:eastAsia="zh-CN"/>
              </w:rPr>
              <w:t>；</w:t>
            </w:r>
          </w:p>
          <w:p w14:paraId="0BC0D6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imes New Roman" w:hAnsi="Times New Roman" w:eastAsia="宋体" w:cs="Times New Roman"/>
                <w:color w:val="auto"/>
                <w:spacing w:val="1"/>
                <w:kern w:val="0"/>
                <w:sz w:val="24"/>
                <w:szCs w:val="24"/>
                <w:highlight w:val="none"/>
                <w:lang w:val="en-US" w:eastAsia="zh-CN" w:bidi="ar-SA"/>
              </w:rPr>
            </w:pPr>
            <w:r>
              <w:rPr>
                <w:rFonts w:hint="eastAsia" w:ascii="Times New Roman" w:hAnsi="Times New Roman" w:eastAsia="宋体" w:cs="Times New Roman"/>
                <w:color w:val="auto"/>
                <w:spacing w:val="1"/>
                <w:kern w:val="0"/>
                <w:sz w:val="24"/>
                <w:szCs w:val="24"/>
                <w:highlight w:val="none"/>
                <w:lang w:val="en-US" w:eastAsia="zh-CN" w:bidi="ar-SA"/>
              </w:rPr>
              <w:t>（2）大数据工程师；</w:t>
            </w:r>
          </w:p>
          <w:p w14:paraId="1EC02A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宋体" w:cs="Times New Roman"/>
                <w:color w:val="auto"/>
                <w:spacing w:val="1"/>
                <w:kern w:val="0"/>
                <w:sz w:val="24"/>
                <w:szCs w:val="24"/>
                <w:highlight w:val="none"/>
                <w:lang w:val="en-US" w:eastAsia="zh-CN" w:bidi="ar-SA"/>
              </w:rPr>
            </w:pPr>
            <w:r>
              <w:rPr>
                <w:rFonts w:hint="default" w:ascii="Times New Roman" w:hAnsi="Times New Roman" w:eastAsia="宋体" w:cs="Times New Roman"/>
                <w:color w:val="auto"/>
                <w:spacing w:val="1"/>
                <w:kern w:val="0"/>
                <w:sz w:val="24"/>
                <w:szCs w:val="24"/>
                <w:highlight w:val="none"/>
                <w:lang w:val="en-US" w:eastAsia="zh-CN" w:bidi="ar-SA"/>
              </w:rPr>
              <w:t>（</w:t>
            </w:r>
            <w:r>
              <w:rPr>
                <w:rFonts w:hint="eastAsia" w:ascii="Times New Roman" w:hAnsi="Times New Roman" w:eastAsia="宋体" w:cs="Times New Roman"/>
                <w:color w:val="auto"/>
                <w:spacing w:val="1"/>
                <w:kern w:val="0"/>
                <w:sz w:val="24"/>
                <w:szCs w:val="24"/>
                <w:highlight w:val="none"/>
                <w:lang w:val="en-US" w:eastAsia="zh-CN" w:bidi="ar-SA"/>
              </w:rPr>
              <w:t>3</w:t>
            </w:r>
            <w:r>
              <w:rPr>
                <w:rFonts w:hint="default" w:ascii="Times New Roman" w:hAnsi="Times New Roman" w:eastAsia="宋体" w:cs="Times New Roman"/>
                <w:color w:val="auto"/>
                <w:spacing w:val="1"/>
                <w:kern w:val="0"/>
                <w:sz w:val="24"/>
                <w:szCs w:val="24"/>
                <w:highlight w:val="none"/>
                <w:lang w:val="en-US" w:eastAsia="zh-CN" w:bidi="ar-SA"/>
              </w:rPr>
              <w:t>）给排水工程师；</w:t>
            </w:r>
          </w:p>
          <w:p w14:paraId="646C1AD6">
            <w:pPr>
              <w:keepNext w:val="0"/>
              <w:keepLines w:val="0"/>
              <w:pageBreakBefore w:val="0"/>
              <w:kinsoku/>
              <w:wordWrap/>
              <w:overflowPunct/>
              <w:topLinePunct w:val="0"/>
              <w:autoSpaceDE/>
              <w:autoSpaceDN/>
              <w:bidi w:val="0"/>
              <w:snapToGrid/>
              <w:spacing w:line="400" w:lineRule="exact"/>
              <w:jc w:val="left"/>
              <w:rPr>
                <w:rFonts w:hint="default" w:ascii="Times New Roman" w:hAnsi="Times New Roman" w:eastAsia="宋体" w:cs="Times New Roman"/>
                <w:color w:val="auto"/>
                <w:spacing w:val="1"/>
                <w:kern w:val="0"/>
                <w:sz w:val="24"/>
                <w:szCs w:val="24"/>
                <w:highlight w:val="none"/>
                <w:lang w:val="en-US" w:eastAsia="zh-CN" w:bidi="ar-SA"/>
              </w:rPr>
            </w:pPr>
            <w:r>
              <w:rPr>
                <w:rFonts w:hint="default" w:ascii="Times New Roman" w:hAnsi="Times New Roman" w:eastAsia="宋体" w:cs="Times New Roman"/>
                <w:color w:val="auto"/>
                <w:spacing w:val="1"/>
                <w:kern w:val="0"/>
                <w:sz w:val="24"/>
                <w:szCs w:val="24"/>
                <w:highlight w:val="none"/>
                <w:lang w:val="en-US" w:eastAsia="zh-CN" w:bidi="ar-SA"/>
              </w:rPr>
              <w:t>（</w:t>
            </w:r>
            <w:r>
              <w:rPr>
                <w:rFonts w:hint="eastAsia" w:ascii="Times New Roman" w:hAnsi="Times New Roman" w:eastAsia="宋体" w:cs="Times New Roman"/>
                <w:color w:val="auto"/>
                <w:spacing w:val="1"/>
                <w:kern w:val="0"/>
                <w:sz w:val="24"/>
                <w:szCs w:val="24"/>
                <w:highlight w:val="none"/>
                <w:lang w:val="en-US" w:eastAsia="zh-CN" w:bidi="ar-SA"/>
              </w:rPr>
              <w:t>4</w:t>
            </w:r>
            <w:r>
              <w:rPr>
                <w:rFonts w:hint="default" w:ascii="Times New Roman" w:hAnsi="Times New Roman" w:eastAsia="宋体" w:cs="Times New Roman"/>
                <w:color w:val="auto"/>
                <w:spacing w:val="1"/>
                <w:kern w:val="0"/>
                <w:sz w:val="24"/>
                <w:szCs w:val="24"/>
                <w:highlight w:val="none"/>
                <w:lang w:val="en-US" w:eastAsia="zh-CN" w:bidi="ar-SA"/>
              </w:rPr>
              <w:t>）机电工程师；</w:t>
            </w:r>
          </w:p>
          <w:p w14:paraId="74CA1BC2">
            <w:pPr>
              <w:keepNext w:val="0"/>
              <w:keepLines w:val="0"/>
              <w:pageBreakBefore w:val="0"/>
              <w:kinsoku/>
              <w:wordWrap/>
              <w:overflowPunct/>
              <w:topLinePunct w:val="0"/>
              <w:autoSpaceDE/>
              <w:autoSpaceDN/>
              <w:bidi w:val="0"/>
              <w:snapToGrid/>
              <w:spacing w:line="400" w:lineRule="exact"/>
              <w:jc w:val="left"/>
              <w:rPr>
                <w:rFonts w:hint="eastAsia" w:ascii="宋体" w:hAnsi="宋体" w:eastAsia="宋体" w:cs="宋体"/>
                <w:color w:val="auto"/>
                <w:spacing w:val="1"/>
                <w:kern w:val="0"/>
                <w:sz w:val="24"/>
                <w:szCs w:val="24"/>
                <w:highlight w:val="none"/>
                <w:lang w:val="en-US" w:eastAsia="zh-CN" w:bidi="ar-SA"/>
              </w:rPr>
            </w:pPr>
            <w:r>
              <w:rPr>
                <w:rFonts w:hint="default" w:ascii="Times New Roman" w:hAnsi="Times New Roman" w:eastAsia="宋体" w:cs="Times New Roman"/>
                <w:color w:val="auto"/>
                <w:spacing w:val="1"/>
                <w:kern w:val="0"/>
                <w:sz w:val="24"/>
                <w:szCs w:val="24"/>
                <w:highlight w:val="none"/>
                <w:lang w:val="en-US" w:eastAsia="zh-CN" w:bidi="ar-SA"/>
              </w:rPr>
              <w:t>（</w:t>
            </w:r>
            <w:r>
              <w:rPr>
                <w:rFonts w:hint="eastAsia" w:ascii="Times New Roman" w:hAnsi="Times New Roman" w:eastAsia="宋体" w:cs="Times New Roman"/>
                <w:color w:val="auto"/>
                <w:spacing w:val="1"/>
                <w:kern w:val="0"/>
                <w:sz w:val="24"/>
                <w:szCs w:val="24"/>
                <w:highlight w:val="none"/>
                <w:lang w:val="en-US" w:eastAsia="zh-CN" w:bidi="ar-SA"/>
              </w:rPr>
              <w:t>5</w:t>
            </w:r>
            <w:r>
              <w:rPr>
                <w:rFonts w:hint="default" w:ascii="Times New Roman" w:hAnsi="Times New Roman" w:eastAsia="宋体" w:cs="Times New Roman"/>
                <w:color w:val="auto"/>
                <w:spacing w:val="1"/>
                <w:kern w:val="0"/>
                <w:sz w:val="24"/>
                <w:szCs w:val="24"/>
                <w:highlight w:val="none"/>
                <w:lang w:val="en-US" w:eastAsia="zh-CN" w:bidi="ar-SA"/>
              </w:rPr>
              <w:t>）</w:t>
            </w:r>
            <w:r>
              <w:rPr>
                <w:rFonts w:hint="eastAsia" w:ascii="Times New Roman" w:hAnsi="Times New Roman" w:eastAsia="宋体" w:cs="Times New Roman"/>
                <w:color w:val="auto"/>
                <w:spacing w:val="1"/>
                <w:kern w:val="0"/>
                <w:sz w:val="24"/>
                <w:szCs w:val="24"/>
                <w:highlight w:val="none"/>
                <w:lang w:val="en-US" w:eastAsia="zh-CN" w:bidi="ar-SA"/>
              </w:rPr>
              <w:t>市政公用工程建造师(二级及以上)</w:t>
            </w:r>
            <w:r>
              <w:rPr>
                <w:rFonts w:hint="default" w:ascii="Times New Roman" w:hAnsi="Times New Roman" w:eastAsia="宋体" w:cs="Times New Roman"/>
                <w:color w:val="auto"/>
                <w:spacing w:val="1"/>
                <w:kern w:val="0"/>
                <w:sz w:val="24"/>
                <w:szCs w:val="24"/>
                <w:highlight w:val="none"/>
                <w:lang w:val="en-US" w:eastAsia="zh-CN" w:bidi="ar-SA"/>
              </w:rPr>
              <w:t>；</w:t>
            </w:r>
          </w:p>
          <w:p w14:paraId="2E9801A9">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宋体" w:hAnsi="宋体" w:eastAsia="宋体" w:cs="宋体"/>
                <w:color w:val="auto"/>
                <w:spacing w:val="1"/>
                <w:kern w:val="0"/>
                <w:sz w:val="24"/>
                <w:szCs w:val="24"/>
                <w:highlight w:val="none"/>
                <w:lang w:val="en-US" w:eastAsia="zh-CN" w:bidi="ar-SA"/>
              </w:rPr>
              <w:t>备注：①提供以上人员相关证书扫描件；②上述人员不得兼任；③持有上述人员社保部门出具的本单位为其缴纳的投标前近三个月内任意一月的社保证明或供应商提供承诺已为其缴纳社保的承诺书（格式自拟）。</w:t>
            </w:r>
          </w:p>
        </w:tc>
        <w:tc>
          <w:tcPr>
            <w:tcW w:w="2467" w:type="dxa"/>
            <w:tcBorders>
              <w:top w:val="single" w:color="auto" w:sz="4" w:space="0"/>
              <w:left w:val="single" w:color="auto" w:sz="4" w:space="0"/>
              <w:bottom w:val="single" w:color="auto" w:sz="4" w:space="0"/>
              <w:right w:val="single" w:color="auto" w:sz="4" w:space="0"/>
            </w:tcBorders>
            <w:vAlign w:val="center"/>
          </w:tcPr>
          <w:p w14:paraId="68205E05">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0-10分</w:t>
            </w:r>
          </w:p>
        </w:tc>
      </w:tr>
      <w:tr w14:paraId="14D6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Merge w:val="restart"/>
            <w:tcBorders>
              <w:left w:val="single" w:color="auto" w:sz="4" w:space="0"/>
              <w:right w:val="single" w:color="auto" w:sz="4" w:space="0"/>
            </w:tcBorders>
            <w:vAlign w:val="center"/>
          </w:tcPr>
          <w:p w14:paraId="2A13DBC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lang w:val="en-US" w:eastAsia="zh-CN"/>
              </w:rPr>
              <w:t>技术</w:t>
            </w:r>
            <w:r>
              <w:rPr>
                <w:rFonts w:hint="default" w:ascii="Times New Roman" w:hAnsi="Times New Roman" w:eastAsia="宋体" w:cs="Times New Roman"/>
                <w:b w:val="0"/>
                <w:bCs w:val="0"/>
                <w:color w:val="auto"/>
                <w:sz w:val="24"/>
                <w:szCs w:val="24"/>
                <w:highlight w:val="none"/>
              </w:rPr>
              <w:t>分</w:t>
            </w:r>
          </w:p>
          <w:p w14:paraId="42C0E828">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w:t>
            </w:r>
            <w:r>
              <w:rPr>
                <w:rFonts w:hint="eastAsia" w:ascii="Times New Roman" w:hAnsi="Times New Roman" w:eastAsia="宋体" w:cs="Times New Roman"/>
                <w:b w:val="0"/>
                <w:bCs w:val="0"/>
                <w:color w:val="auto"/>
                <w:sz w:val="24"/>
                <w:szCs w:val="24"/>
                <w:highlight w:val="none"/>
                <w:u w:val="single"/>
                <w:lang w:val="en-US" w:eastAsia="zh-CN"/>
              </w:rPr>
              <w:t>55</w:t>
            </w:r>
            <w:r>
              <w:rPr>
                <w:rFonts w:hint="default" w:ascii="Times New Roman" w:hAnsi="Times New Roman" w:eastAsia="宋体" w:cs="Times New Roman"/>
                <w:b w:val="0"/>
                <w:bCs w:val="0"/>
                <w:color w:val="auto"/>
                <w:sz w:val="24"/>
                <w:szCs w:val="24"/>
                <w:highlight w:val="none"/>
              </w:rPr>
              <w:t>分）</w:t>
            </w:r>
          </w:p>
        </w:tc>
        <w:tc>
          <w:tcPr>
            <w:tcW w:w="2214" w:type="dxa"/>
            <w:tcBorders>
              <w:top w:val="single" w:color="auto" w:sz="4" w:space="0"/>
              <w:left w:val="single" w:color="auto" w:sz="4" w:space="0"/>
              <w:bottom w:val="single" w:color="auto" w:sz="4" w:space="0"/>
              <w:right w:val="single" w:color="auto" w:sz="4" w:space="0"/>
            </w:tcBorders>
            <w:vAlign w:val="center"/>
          </w:tcPr>
          <w:p w14:paraId="376C6CBE">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w:t>
            </w:r>
            <w:r>
              <w:rPr>
                <w:rFonts w:hint="default" w:ascii="Times New Roman" w:hAnsi="Times New Roman" w:eastAsia="宋体" w:cs="Times New Roman"/>
                <w:b w:val="0"/>
                <w:bCs w:val="0"/>
                <w:color w:val="auto"/>
                <w:sz w:val="24"/>
                <w:szCs w:val="24"/>
                <w:highlight w:val="none"/>
                <w:lang w:val="en-US" w:eastAsia="zh-CN"/>
              </w:rPr>
              <w:t>总体服务方案</w:t>
            </w:r>
          </w:p>
        </w:tc>
        <w:tc>
          <w:tcPr>
            <w:tcW w:w="4020" w:type="dxa"/>
            <w:tcBorders>
              <w:top w:val="single" w:color="auto" w:sz="4" w:space="0"/>
              <w:left w:val="single" w:color="auto" w:sz="4" w:space="0"/>
              <w:bottom w:val="single" w:color="auto" w:sz="4" w:space="0"/>
              <w:right w:val="single" w:color="auto" w:sz="4" w:space="0"/>
            </w:tcBorders>
            <w:vAlign w:val="center"/>
          </w:tcPr>
          <w:p w14:paraId="1087263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对供应商提供的关于本项目的</w:t>
            </w:r>
            <w:r>
              <w:rPr>
                <w:rFonts w:hint="eastAsia" w:ascii="Times New Roman" w:hAnsi="Times New Roman" w:eastAsia="宋体" w:cs="Times New Roman"/>
                <w:b w:val="0"/>
                <w:bCs w:val="0"/>
                <w:color w:val="auto"/>
                <w:sz w:val="24"/>
                <w:szCs w:val="24"/>
                <w:highlight w:val="none"/>
                <w:lang w:val="en-US" w:eastAsia="zh-CN"/>
              </w:rPr>
              <w:t>总</w:t>
            </w:r>
            <w:r>
              <w:rPr>
                <w:rFonts w:hint="default" w:ascii="Times New Roman" w:hAnsi="Times New Roman" w:eastAsia="宋体" w:cs="Times New Roman"/>
                <w:b w:val="0"/>
                <w:bCs w:val="0"/>
                <w:color w:val="auto"/>
                <w:sz w:val="24"/>
                <w:szCs w:val="24"/>
                <w:highlight w:val="none"/>
                <w:lang w:val="en-US" w:eastAsia="zh-CN"/>
              </w:rPr>
              <w:t>体</w:t>
            </w:r>
          </w:p>
          <w:p w14:paraId="60102CE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服务方案进行评审。</w:t>
            </w:r>
          </w:p>
          <w:p w14:paraId="303B0EA9">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①方案详细具体、重点突出、合理可行、针对性强，内容全面措施完善，完全符合本项目特点的得5分；</w:t>
            </w:r>
          </w:p>
          <w:p w14:paraId="13A6DD17">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②方案内容详略得当，方案具有实施性和可操作性，内容详细、能够满足项目需求得4分；</w:t>
            </w:r>
          </w:p>
          <w:p w14:paraId="4FF718EA">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③方案内容简单，但基本满足项目需求，内容有待完善提高的得3分</w:t>
            </w:r>
          </w:p>
          <w:p w14:paraId="7C3658AE">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④方案内容空洞、不全面，方案有明显逻辑错误，关键点内容缺失，得2分；</w:t>
            </w:r>
          </w:p>
          <w:p w14:paraId="79CFD01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kern w:val="2"/>
                <w:sz w:val="24"/>
                <w:szCs w:val="24"/>
                <w:highlight w:val="none"/>
                <w:lang w:val="en-US" w:eastAsia="zh-CN" w:bidi="ar-SA"/>
              </w:rPr>
              <w:t>⑤未提供的，不得分。</w:t>
            </w:r>
          </w:p>
        </w:tc>
        <w:tc>
          <w:tcPr>
            <w:tcW w:w="2467" w:type="dxa"/>
            <w:tcBorders>
              <w:top w:val="single" w:color="auto" w:sz="4" w:space="0"/>
              <w:left w:val="single" w:color="auto" w:sz="4" w:space="0"/>
              <w:bottom w:val="single" w:color="auto" w:sz="4" w:space="0"/>
              <w:right w:val="single" w:color="auto" w:sz="4" w:space="0"/>
            </w:tcBorders>
            <w:vAlign w:val="center"/>
          </w:tcPr>
          <w:p w14:paraId="0005B2D2">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0-</w:t>
            </w:r>
            <w:r>
              <w:rPr>
                <w:rFonts w:hint="default" w:ascii="Times New Roman" w:hAnsi="Times New Roman" w:eastAsia="宋体" w:cs="Times New Roman"/>
                <w:b w:val="0"/>
                <w:bCs w:val="0"/>
                <w:color w:val="auto"/>
                <w:sz w:val="24"/>
                <w:szCs w:val="24"/>
                <w:highlight w:val="none"/>
                <w:lang w:val="en-US" w:eastAsia="zh-CN"/>
              </w:rPr>
              <w:t>5</w:t>
            </w:r>
            <w:r>
              <w:rPr>
                <w:rFonts w:hint="default" w:ascii="Times New Roman" w:hAnsi="Times New Roman" w:eastAsia="宋体" w:cs="Times New Roman"/>
                <w:b w:val="0"/>
                <w:bCs w:val="0"/>
                <w:color w:val="auto"/>
                <w:sz w:val="24"/>
                <w:szCs w:val="24"/>
                <w:highlight w:val="none"/>
              </w:rPr>
              <w:t>分</w:t>
            </w:r>
          </w:p>
          <w:p w14:paraId="2A5FD910">
            <w:pPr>
              <w:keepNext w:val="0"/>
              <w:keepLines w:val="0"/>
              <w:pageBreakBefore w:val="0"/>
              <w:kinsoku/>
              <w:wordWrap/>
              <w:overflowPunct/>
              <w:topLinePunct w:val="0"/>
              <w:autoSpaceDE/>
              <w:autoSpaceDN/>
              <w:bidi w:val="0"/>
              <w:snapToGrid/>
              <w:spacing w:line="400" w:lineRule="exact"/>
              <w:jc w:val="left"/>
              <w:textAlignment w:val="auto"/>
              <w:rPr>
                <w:rFonts w:hint="default" w:ascii="Times New Roman" w:hAnsi="Times New Roman" w:eastAsia="宋体" w:cs="Times New Roman"/>
                <w:b w:val="0"/>
                <w:bCs w:val="0"/>
                <w:color w:val="auto"/>
                <w:sz w:val="24"/>
                <w:szCs w:val="24"/>
                <w:highlight w:val="none"/>
              </w:rPr>
            </w:pPr>
          </w:p>
        </w:tc>
      </w:tr>
      <w:tr w14:paraId="70F5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Merge w:val="continue"/>
            <w:tcBorders>
              <w:left w:val="single" w:color="auto" w:sz="4" w:space="0"/>
              <w:right w:val="single" w:color="auto" w:sz="4" w:space="0"/>
            </w:tcBorders>
            <w:vAlign w:val="center"/>
          </w:tcPr>
          <w:p w14:paraId="4D096091">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p>
        </w:tc>
        <w:tc>
          <w:tcPr>
            <w:tcW w:w="2214" w:type="dxa"/>
            <w:tcBorders>
              <w:top w:val="single" w:color="auto" w:sz="4" w:space="0"/>
              <w:left w:val="single" w:color="auto" w:sz="4" w:space="0"/>
              <w:bottom w:val="single" w:color="auto" w:sz="4" w:space="0"/>
              <w:right w:val="single" w:color="auto" w:sz="4" w:space="0"/>
            </w:tcBorders>
            <w:vAlign w:val="center"/>
          </w:tcPr>
          <w:p w14:paraId="247DD4AA">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w:t>
            </w:r>
            <w:r>
              <w:rPr>
                <w:rFonts w:hint="default" w:ascii="Times New Roman" w:hAnsi="Times New Roman" w:eastAsia="宋体" w:cs="Times New Roman"/>
                <w:b w:val="0"/>
                <w:bCs w:val="0"/>
                <w:color w:val="auto"/>
                <w:sz w:val="24"/>
                <w:szCs w:val="24"/>
                <w:highlight w:val="none"/>
                <w:lang w:val="en-US" w:eastAsia="zh-CN"/>
              </w:rPr>
              <w:t>接管方案</w:t>
            </w:r>
          </w:p>
        </w:tc>
        <w:tc>
          <w:tcPr>
            <w:tcW w:w="4020" w:type="dxa"/>
            <w:tcBorders>
              <w:top w:val="single" w:color="auto" w:sz="4" w:space="0"/>
              <w:left w:val="single" w:color="auto" w:sz="4" w:space="0"/>
              <w:bottom w:val="single" w:color="auto" w:sz="4" w:space="0"/>
              <w:right w:val="single" w:color="auto" w:sz="4" w:space="0"/>
            </w:tcBorders>
            <w:vAlign w:val="center"/>
          </w:tcPr>
          <w:p w14:paraId="1DAE6F9D">
            <w:pPr>
              <w:keepNext w:val="0"/>
              <w:keepLines w:val="0"/>
              <w:pageBreakBefore w:val="0"/>
              <w:kinsoku/>
              <w:wordWrap/>
              <w:overflowPunct/>
              <w:topLinePunct w:val="0"/>
              <w:autoSpaceDE/>
              <w:autoSpaceDN/>
              <w:bidi w:val="0"/>
              <w:adjustRightInd/>
              <w:snapToGrid/>
              <w:spacing w:after="0" w:line="400" w:lineRule="exact"/>
              <w:ind w:right="-21" w:rightChars="-10"/>
              <w:jc w:val="left"/>
              <w:textAlignment w:val="auto"/>
              <w:rPr>
                <w:rFonts w:hint="default" w:ascii="Times New Roman" w:hAnsi="Times New Roman" w:eastAsia="宋体" w:cs="Times New Roman"/>
                <w:b w:val="0"/>
                <w:bCs w:val="0"/>
                <w:strike w:val="0"/>
                <w:dstrike w:val="0"/>
                <w:color w:val="auto"/>
                <w:kern w:val="0"/>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对供应商提供的关于本项目的</w:t>
            </w:r>
            <w:r>
              <w:rPr>
                <w:rFonts w:hint="default" w:ascii="Times New Roman" w:hAnsi="Times New Roman" w:eastAsia="宋体" w:cs="Times New Roman"/>
                <w:b w:val="0"/>
                <w:bCs w:val="0"/>
                <w:color w:val="auto"/>
                <w:sz w:val="24"/>
                <w:szCs w:val="24"/>
                <w:highlight w:val="none"/>
                <w:lang w:val="en-US" w:eastAsia="zh-CN"/>
              </w:rPr>
              <w:t>接管方案进行评审</w:t>
            </w:r>
            <w:r>
              <w:rPr>
                <w:rFonts w:hint="default" w:ascii="Times New Roman" w:hAnsi="Times New Roman" w:eastAsia="宋体" w:cs="Times New Roman"/>
                <w:b w:val="0"/>
                <w:bCs w:val="0"/>
                <w:strike w:val="0"/>
                <w:dstrike w:val="0"/>
                <w:color w:val="auto"/>
                <w:kern w:val="0"/>
                <w:sz w:val="24"/>
                <w:szCs w:val="24"/>
                <w:highlight w:val="none"/>
                <w:lang w:val="en-US" w:eastAsia="zh-CN"/>
              </w:rPr>
              <w:t>。</w:t>
            </w:r>
            <w:r>
              <w:rPr>
                <w:rFonts w:hint="eastAsia" w:ascii="Times New Roman" w:hAnsi="Times New Roman" w:eastAsia="宋体" w:cs="Times New Roman"/>
                <w:b w:val="0"/>
                <w:bCs w:val="0"/>
                <w:strike w:val="0"/>
                <w:dstrike w:val="0"/>
                <w:color w:val="auto"/>
                <w:kern w:val="0"/>
                <w:sz w:val="24"/>
                <w:szCs w:val="24"/>
                <w:highlight w:val="none"/>
                <w:lang w:val="en-US" w:eastAsia="zh-CN"/>
              </w:rPr>
              <w:t>包含采购需求中涉及的监测值守、数据分析、设备巡检、系统运维等服务内容的接管方案。</w:t>
            </w:r>
          </w:p>
          <w:p w14:paraId="3D2AF832">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①服务方案全面、完整、详尽、各项服务措施完善，充分考虑项目特征，接管重点，对接具体实施方案等因素，充分满足项目实施要求，得 5 分；</w:t>
            </w:r>
          </w:p>
          <w:p w14:paraId="4EF67858">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②服务方案有各项服务措施，针对前期接管有基本的工作安排且可实施，满足项目实施要求，得4分；</w:t>
            </w:r>
          </w:p>
          <w:p w14:paraId="46259026">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③服务方案简单，对接措施片面，项目服务安排考虑完整但内容空洞，得3分；</w:t>
            </w:r>
          </w:p>
          <w:p w14:paraId="6C18BEC7">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④方案满足项目要求但有矛盾点、可行性受影响，对各个环节的保障措施、解决方案等缺项或关键点缺失的得 2分；</w:t>
            </w:r>
          </w:p>
          <w:p w14:paraId="1C3C1732">
            <w:pPr>
              <w:pStyle w:val="25"/>
              <w:keepNext w:val="0"/>
              <w:keepLines w:val="0"/>
              <w:pageBreakBefore w:val="0"/>
              <w:numPr>
                <w:ilvl w:val="-1"/>
                <w:numId w:val="0"/>
              </w:numPr>
              <w:kinsoku/>
              <w:wordWrap/>
              <w:overflowPunct/>
              <w:topLinePunct w:val="0"/>
              <w:autoSpaceDE/>
              <w:autoSpaceDN/>
              <w:bidi w:val="0"/>
              <w:adjustRightInd/>
              <w:snapToGrid/>
              <w:spacing w:after="0" w:line="400" w:lineRule="exact"/>
              <w:ind w:right="-21" w:rightChars="-10" w:firstLine="0"/>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kern w:val="2"/>
                <w:sz w:val="24"/>
                <w:szCs w:val="24"/>
                <w:highlight w:val="none"/>
                <w:lang w:val="en-US" w:eastAsia="zh-CN" w:bidi="ar-SA"/>
              </w:rPr>
              <w:t>⑤未提供的，不得分。</w:t>
            </w:r>
          </w:p>
        </w:tc>
        <w:tc>
          <w:tcPr>
            <w:tcW w:w="2467" w:type="dxa"/>
            <w:tcBorders>
              <w:top w:val="single" w:color="auto" w:sz="4" w:space="0"/>
              <w:left w:val="single" w:color="auto" w:sz="4" w:space="0"/>
              <w:bottom w:val="single" w:color="auto" w:sz="4" w:space="0"/>
              <w:right w:val="single" w:color="auto" w:sz="4" w:space="0"/>
            </w:tcBorders>
            <w:vAlign w:val="center"/>
          </w:tcPr>
          <w:p w14:paraId="74B7460D">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0-5分</w:t>
            </w:r>
          </w:p>
        </w:tc>
      </w:tr>
      <w:tr w14:paraId="6286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Merge w:val="continue"/>
            <w:tcBorders>
              <w:left w:val="single" w:color="auto" w:sz="4" w:space="0"/>
              <w:right w:val="single" w:color="auto" w:sz="4" w:space="0"/>
            </w:tcBorders>
            <w:vAlign w:val="center"/>
          </w:tcPr>
          <w:p w14:paraId="62FF28C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p>
        </w:tc>
        <w:tc>
          <w:tcPr>
            <w:tcW w:w="2214" w:type="dxa"/>
            <w:tcBorders>
              <w:top w:val="single" w:color="auto" w:sz="4" w:space="0"/>
              <w:left w:val="single" w:color="auto" w:sz="4" w:space="0"/>
              <w:bottom w:val="single" w:color="auto" w:sz="4" w:space="0"/>
              <w:right w:val="single" w:color="auto" w:sz="4" w:space="0"/>
            </w:tcBorders>
            <w:vAlign w:val="center"/>
          </w:tcPr>
          <w:p w14:paraId="39C904A5">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w:t>
            </w:r>
            <w:r>
              <w:rPr>
                <w:rFonts w:hint="default" w:ascii="Times New Roman" w:hAnsi="Times New Roman" w:eastAsia="宋体" w:cs="Times New Roman"/>
                <w:b w:val="0"/>
                <w:bCs w:val="0"/>
                <w:color w:val="auto"/>
                <w:sz w:val="24"/>
                <w:szCs w:val="24"/>
                <w:highlight w:val="none"/>
              </w:rPr>
              <w:t>监测值守服务方案</w:t>
            </w:r>
          </w:p>
        </w:tc>
        <w:tc>
          <w:tcPr>
            <w:tcW w:w="4020" w:type="dxa"/>
            <w:tcBorders>
              <w:top w:val="single" w:color="auto" w:sz="4" w:space="0"/>
              <w:left w:val="single" w:color="auto" w:sz="4" w:space="0"/>
              <w:bottom w:val="single" w:color="auto" w:sz="4" w:space="0"/>
              <w:right w:val="single" w:color="auto" w:sz="4" w:space="0"/>
            </w:tcBorders>
            <w:vAlign w:val="center"/>
          </w:tcPr>
          <w:p w14:paraId="7B920C29">
            <w:pPr>
              <w:pStyle w:val="25"/>
              <w:keepNext w:val="0"/>
              <w:keepLines w:val="0"/>
              <w:pageBreakBefore w:val="0"/>
              <w:numPr>
                <w:ilvl w:val="-1"/>
                <w:numId w:val="0"/>
              </w:numPr>
              <w:kinsoku/>
              <w:wordWrap/>
              <w:overflowPunct/>
              <w:topLinePunct w:val="0"/>
              <w:autoSpaceDE/>
              <w:autoSpaceDN/>
              <w:bidi w:val="0"/>
              <w:adjustRightInd/>
              <w:snapToGrid/>
              <w:spacing w:after="0" w:line="400" w:lineRule="exact"/>
              <w:ind w:right="-21" w:rightChars="-10" w:firstLine="0"/>
              <w:textAlignment w:val="auto"/>
              <w:rPr>
                <w:rFonts w:hint="default"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对供应商提供的关于本项目的监测值守</w:t>
            </w:r>
            <w:r>
              <w:rPr>
                <w:rFonts w:hint="default" w:ascii="Times New Roman" w:hAnsi="Times New Roman" w:eastAsia="宋体" w:cs="Times New Roman"/>
                <w:b w:val="0"/>
                <w:bCs w:val="0"/>
                <w:color w:val="auto"/>
                <w:sz w:val="24"/>
                <w:szCs w:val="24"/>
                <w:highlight w:val="none"/>
                <w:lang w:val="en-US" w:eastAsia="zh-CN"/>
              </w:rPr>
              <w:t>方案进行评审</w:t>
            </w:r>
            <w:r>
              <w:rPr>
                <w:rFonts w:hint="default" w:ascii="Times New Roman" w:hAnsi="Times New Roman" w:eastAsia="宋体" w:cs="Times New Roman"/>
                <w:b w:val="0"/>
                <w:bCs w:val="0"/>
                <w:strike w:val="0"/>
                <w:dstrike w:val="0"/>
                <w:color w:val="auto"/>
                <w:kern w:val="0"/>
                <w:sz w:val="24"/>
                <w:szCs w:val="24"/>
                <w:highlight w:val="none"/>
                <w:lang w:val="en-US" w:eastAsia="zh-CN"/>
              </w:rPr>
              <w:t>。</w:t>
            </w:r>
            <w:r>
              <w:rPr>
                <w:rFonts w:hint="eastAsia" w:ascii="Times New Roman" w:hAnsi="Times New Roman" w:eastAsia="宋体" w:cs="Times New Roman"/>
                <w:b w:val="0"/>
                <w:bCs w:val="0"/>
                <w:strike w:val="0"/>
                <w:dstrike w:val="0"/>
                <w:color w:val="auto"/>
                <w:kern w:val="0"/>
                <w:sz w:val="24"/>
                <w:szCs w:val="24"/>
                <w:highlight w:val="none"/>
                <w:lang w:val="en-US" w:eastAsia="zh-CN"/>
              </w:rPr>
              <w:t>包含</w:t>
            </w:r>
            <w:r>
              <w:rPr>
                <w:rFonts w:hint="eastAsia" w:ascii="宋体" w:hAnsi="宋体" w:eastAsia="宋体"/>
                <w:color w:val="auto"/>
                <w:sz w:val="24"/>
                <w:highlight w:val="none"/>
                <w:lang w:val="en-US" w:eastAsia="zh-CN"/>
              </w:rPr>
              <w:t>系统实时监测、报警审核、预警闭环处置等内容</w:t>
            </w:r>
            <w:r>
              <w:rPr>
                <w:rFonts w:hint="eastAsia" w:ascii="Times New Roman" w:hAnsi="Times New Roman" w:eastAsia="宋体" w:cs="Times New Roman"/>
                <w:b w:val="0"/>
                <w:bCs w:val="0"/>
                <w:color w:val="auto"/>
                <w:kern w:val="0"/>
                <w:sz w:val="24"/>
                <w:szCs w:val="24"/>
                <w:highlight w:val="none"/>
                <w:lang w:val="en-US" w:eastAsia="zh-CN"/>
              </w:rPr>
              <w:t>。</w:t>
            </w:r>
          </w:p>
          <w:p w14:paraId="4EB06011">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①方案切合实际情况，各部分有深入的表述，解决方案合理、有具体切实可行的保障措施的得 5分；</w:t>
            </w:r>
          </w:p>
          <w:p w14:paraId="3D3AFF19">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②方案符合实际情况，内容完整、表述清晰，有保障措施，措施实施内容具体可行的得 4 分；</w:t>
            </w:r>
          </w:p>
          <w:p w14:paraId="3991E764">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③方案满足项目要求，内容完整，考虑了保障措施，保障措施及解决方案出现非专门针对本项目内容的得 3分；</w:t>
            </w:r>
          </w:p>
          <w:p w14:paraId="5DCB0343">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④方案满足项目要求但有矛盾点、可行性受影响，对各个环节的保障措施、解决方案等缺项或关键点缺失的得 2分；</w:t>
            </w:r>
          </w:p>
          <w:p w14:paraId="3C5688AD">
            <w:pPr>
              <w:pStyle w:val="25"/>
              <w:keepNext w:val="0"/>
              <w:keepLines w:val="0"/>
              <w:pageBreakBefore w:val="0"/>
              <w:numPr>
                <w:ilvl w:val="-1"/>
                <w:numId w:val="0"/>
              </w:numPr>
              <w:kinsoku/>
              <w:wordWrap/>
              <w:overflowPunct/>
              <w:topLinePunct w:val="0"/>
              <w:autoSpaceDE/>
              <w:autoSpaceDN/>
              <w:bidi w:val="0"/>
              <w:adjustRightInd/>
              <w:snapToGrid/>
              <w:spacing w:after="0" w:line="400" w:lineRule="exact"/>
              <w:ind w:right="-21" w:rightChars="-10" w:firstLine="0"/>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kern w:val="2"/>
                <w:sz w:val="24"/>
                <w:szCs w:val="24"/>
                <w:highlight w:val="none"/>
                <w:lang w:val="en-US" w:eastAsia="zh-CN" w:bidi="ar-SA"/>
              </w:rPr>
              <w:t>⑤未提供的，不得分。</w:t>
            </w:r>
          </w:p>
        </w:tc>
        <w:tc>
          <w:tcPr>
            <w:tcW w:w="2467" w:type="dxa"/>
            <w:tcBorders>
              <w:top w:val="single" w:color="auto" w:sz="4" w:space="0"/>
              <w:left w:val="single" w:color="auto" w:sz="4" w:space="0"/>
              <w:bottom w:val="single" w:color="auto" w:sz="4" w:space="0"/>
              <w:right w:val="single" w:color="auto" w:sz="4" w:space="0"/>
            </w:tcBorders>
            <w:vAlign w:val="center"/>
          </w:tcPr>
          <w:p w14:paraId="439031EC">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0-5分</w:t>
            </w:r>
          </w:p>
        </w:tc>
      </w:tr>
      <w:tr w14:paraId="4BC9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Merge w:val="continue"/>
            <w:tcBorders>
              <w:left w:val="single" w:color="auto" w:sz="4" w:space="0"/>
              <w:right w:val="single" w:color="auto" w:sz="4" w:space="0"/>
            </w:tcBorders>
            <w:vAlign w:val="center"/>
          </w:tcPr>
          <w:p w14:paraId="55409CC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p>
        </w:tc>
        <w:tc>
          <w:tcPr>
            <w:tcW w:w="2214" w:type="dxa"/>
            <w:tcBorders>
              <w:top w:val="single" w:color="auto" w:sz="4" w:space="0"/>
              <w:left w:val="single" w:color="auto" w:sz="4" w:space="0"/>
              <w:bottom w:val="single" w:color="auto" w:sz="4" w:space="0"/>
              <w:right w:val="single" w:color="auto" w:sz="4" w:space="0"/>
            </w:tcBorders>
            <w:shd w:val="clear" w:color="auto" w:fill="auto"/>
            <w:vAlign w:val="center"/>
          </w:tcPr>
          <w:p w14:paraId="477E869C">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宋体" w:hAnsi="宋体" w:eastAsia="宋体"/>
                <w:b w:val="0"/>
                <w:bCs w:val="0"/>
                <w:color w:val="auto"/>
                <w:sz w:val="24"/>
                <w:highlight w:val="none"/>
                <w:lang w:val="en-US" w:eastAsia="zh-CN"/>
              </w:rPr>
              <w:t>4.监测数据分析服务方案</w:t>
            </w:r>
          </w:p>
        </w:tc>
        <w:tc>
          <w:tcPr>
            <w:tcW w:w="4020" w:type="dxa"/>
            <w:tcBorders>
              <w:top w:val="single" w:color="auto" w:sz="4" w:space="0"/>
              <w:left w:val="single" w:color="auto" w:sz="4" w:space="0"/>
              <w:bottom w:val="single" w:color="auto" w:sz="4" w:space="0"/>
              <w:right w:val="single" w:color="auto" w:sz="4" w:space="0"/>
            </w:tcBorders>
            <w:shd w:val="clear" w:color="auto" w:fill="auto"/>
            <w:vAlign w:val="center"/>
          </w:tcPr>
          <w:p w14:paraId="038DAA77">
            <w:pPr>
              <w:pStyle w:val="25"/>
              <w:keepNext w:val="0"/>
              <w:keepLines w:val="0"/>
              <w:pageBreakBefore w:val="0"/>
              <w:numPr>
                <w:ilvl w:val="-1"/>
                <w:numId w:val="0"/>
              </w:numPr>
              <w:kinsoku/>
              <w:wordWrap/>
              <w:overflowPunct/>
              <w:topLinePunct w:val="0"/>
              <w:autoSpaceDE/>
              <w:autoSpaceDN/>
              <w:bidi w:val="0"/>
              <w:adjustRightInd/>
              <w:snapToGrid/>
              <w:spacing w:after="0" w:line="400" w:lineRule="exact"/>
              <w:ind w:right="-21" w:rightChars="-10" w:firstLine="0"/>
              <w:textAlignment w:val="auto"/>
              <w:rPr>
                <w:rFonts w:hint="default" w:ascii="Times New Roman" w:hAnsi="Times New Roman" w:eastAsia="宋体" w:cs="Times New Roman"/>
                <w:b w:val="0"/>
                <w:bCs w:val="0"/>
                <w:color w:val="auto"/>
                <w:sz w:val="24"/>
                <w:szCs w:val="24"/>
                <w:highlight w:val="none"/>
                <w:lang w:eastAsia="zh-CN"/>
              </w:rPr>
            </w:pPr>
            <w:r>
              <w:rPr>
                <w:rFonts w:hint="default" w:ascii="Times New Roman" w:hAnsi="Times New Roman" w:eastAsia="宋体" w:cs="Times New Roman"/>
                <w:b w:val="0"/>
                <w:bCs w:val="0"/>
                <w:color w:val="auto"/>
                <w:sz w:val="24"/>
                <w:szCs w:val="24"/>
                <w:highlight w:val="none"/>
                <w:lang w:eastAsia="zh-CN"/>
              </w:rPr>
              <w:t>针对</w:t>
            </w:r>
            <w:r>
              <w:rPr>
                <w:rFonts w:hint="eastAsia" w:ascii="Times New Roman" w:hAnsi="Times New Roman" w:eastAsia="宋体" w:cs="Times New Roman"/>
                <w:b w:val="0"/>
                <w:bCs w:val="0"/>
                <w:color w:val="auto"/>
                <w:sz w:val="24"/>
                <w:szCs w:val="24"/>
                <w:highlight w:val="none"/>
                <w:lang w:val="en-US" w:eastAsia="zh-CN"/>
              </w:rPr>
              <w:t>供应商提供的</w:t>
            </w:r>
            <w:r>
              <w:rPr>
                <w:rFonts w:hint="eastAsia" w:ascii="Times New Roman" w:hAnsi="Times New Roman" w:eastAsia="宋体" w:cs="Times New Roman"/>
                <w:b w:val="0"/>
                <w:bCs w:val="0"/>
                <w:color w:val="auto"/>
                <w:sz w:val="24"/>
                <w:szCs w:val="24"/>
                <w:highlight w:val="none"/>
                <w:lang w:eastAsia="zh-CN"/>
              </w:rPr>
              <w:t>监测</w:t>
            </w:r>
            <w:r>
              <w:rPr>
                <w:rFonts w:hint="default" w:ascii="Times New Roman" w:hAnsi="Times New Roman" w:eastAsia="宋体" w:cs="Times New Roman"/>
                <w:b w:val="0"/>
                <w:bCs w:val="0"/>
                <w:color w:val="auto"/>
                <w:sz w:val="24"/>
                <w:szCs w:val="24"/>
                <w:highlight w:val="none"/>
                <w:lang w:eastAsia="zh-CN"/>
              </w:rPr>
              <w:t>数据分析</w:t>
            </w:r>
            <w:r>
              <w:rPr>
                <w:rFonts w:hint="eastAsia" w:ascii="Times New Roman" w:hAnsi="Times New Roman" w:eastAsia="宋体" w:cs="Times New Roman"/>
                <w:b w:val="0"/>
                <w:bCs w:val="0"/>
                <w:color w:val="auto"/>
                <w:sz w:val="24"/>
                <w:szCs w:val="24"/>
                <w:highlight w:val="none"/>
                <w:lang w:eastAsia="zh-CN"/>
              </w:rPr>
              <w:t>服务</w:t>
            </w:r>
            <w:r>
              <w:rPr>
                <w:rFonts w:hint="default" w:ascii="Times New Roman" w:hAnsi="Times New Roman" w:eastAsia="宋体" w:cs="Times New Roman"/>
                <w:b w:val="0"/>
                <w:bCs w:val="0"/>
                <w:color w:val="auto"/>
                <w:sz w:val="24"/>
                <w:szCs w:val="24"/>
                <w:highlight w:val="none"/>
                <w:lang w:eastAsia="zh-CN"/>
              </w:rPr>
              <w:t>方案进行评审，包含但不限于</w:t>
            </w:r>
            <w:r>
              <w:rPr>
                <w:rFonts w:hint="eastAsia" w:ascii="Times New Roman" w:hAnsi="Times New Roman" w:eastAsia="宋体" w:cs="Times New Roman"/>
                <w:b w:val="0"/>
                <w:bCs w:val="0"/>
                <w:color w:val="auto"/>
                <w:sz w:val="24"/>
                <w:szCs w:val="24"/>
                <w:highlight w:val="none"/>
                <w:lang w:eastAsia="zh-CN"/>
              </w:rPr>
              <w:t>数据处理</w:t>
            </w:r>
            <w:r>
              <w:rPr>
                <w:rFonts w:hint="default" w:ascii="Times New Roman" w:hAnsi="Times New Roman" w:eastAsia="宋体" w:cs="Times New Roman"/>
                <w:b w:val="0"/>
                <w:bCs w:val="0"/>
                <w:color w:val="auto"/>
                <w:sz w:val="24"/>
                <w:szCs w:val="24"/>
                <w:highlight w:val="none"/>
                <w:lang w:eastAsia="zh-CN"/>
              </w:rPr>
              <w:t>、数据挖掘、突发事件研判、阈值优化、</w:t>
            </w:r>
            <w:r>
              <w:rPr>
                <w:rFonts w:hint="eastAsia" w:ascii="Times New Roman" w:hAnsi="Times New Roman" w:eastAsia="宋体" w:cs="Times New Roman"/>
                <w:b w:val="0"/>
                <w:bCs w:val="0"/>
                <w:color w:val="auto"/>
                <w:sz w:val="24"/>
                <w:szCs w:val="24"/>
                <w:highlight w:val="none"/>
                <w:lang w:eastAsia="zh-CN"/>
              </w:rPr>
              <w:t>延伸</w:t>
            </w:r>
            <w:r>
              <w:rPr>
                <w:rFonts w:hint="default" w:ascii="Times New Roman" w:hAnsi="Times New Roman" w:eastAsia="宋体" w:cs="Times New Roman"/>
                <w:b w:val="0"/>
                <w:bCs w:val="0"/>
                <w:color w:val="auto"/>
                <w:sz w:val="24"/>
                <w:szCs w:val="24"/>
                <w:highlight w:val="none"/>
                <w:lang w:eastAsia="zh-CN"/>
              </w:rPr>
              <w:t>安全评估</w:t>
            </w:r>
            <w:r>
              <w:rPr>
                <w:rFonts w:hint="eastAsia" w:ascii="Times New Roman" w:hAnsi="Times New Roman" w:eastAsia="宋体" w:cs="Times New Roman"/>
                <w:b w:val="0"/>
                <w:bCs w:val="0"/>
                <w:color w:val="auto"/>
                <w:sz w:val="24"/>
                <w:szCs w:val="24"/>
                <w:highlight w:val="none"/>
                <w:lang w:eastAsia="zh-CN"/>
              </w:rPr>
              <w:t>等内容</w:t>
            </w:r>
            <w:r>
              <w:rPr>
                <w:rFonts w:hint="default" w:ascii="Times New Roman" w:hAnsi="Times New Roman" w:eastAsia="宋体" w:cs="Times New Roman"/>
                <w:b w:val="0"/>
                <w:bCs w:val="0"/>
                <w:color w:val="auto"/>
                <w:sz w:val="24"/>
                <w:szCs w:val="24"/>
                <w:highlight w:val="none"/>
                <w:lang w:eastAsia="zh-CN"/>
              </w:rPr>
              <w:t>。</w:t>
            </w:r>
          </w:p>
          <w:p w14:paraId="3D594186">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lang w:val="en-US" w:eastAsia="zh-CN"/>
              </w:rPr>
              <w:t>1</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方案全面、完整、详尽、各项服务措施完善，充分</w:t>
            </w:r>
            <w:r>
              <w:rPr>
                <w:rFonts w:hint="default" w:ascii="Times New Roman" w:hAnsi="Times New Roman" w:eastAsia="宋体" w:cs="Times New Roman"/>
                <w:b w:val="0"/>
                <w:bCs w:val="0"/>
                <w:color w:val="auto"/>
                <w:sz w:val="24"/>
                <w:szCs w:val="24"/>
                <w:highlight w:val="none"/>
                <w:lang w:eastAsia="zh-CN"/>
              </w:rPr>
              <w:t>涵盖各专项的监测数据要素和潜在价值</w:t>
            </w:r>
            <w:r>
              <w:rPr>
                <w:rFonts w:hint="default" w:ascii="Times New Roman" w:hAnsi="Times New Roman" w:eastAsia="宋体" w:cs="Times New Roman"/>
                <w:b w:val="0"/>
                <w:bCs w:val="0"/>
                <w:color w:val="auto"/>
                <w:sz w:val="24"/>
                <w:szCs w:val="24"/>
                <w:highlight w:val="none"/>
              </w:rPr>
              <w:t>，</w:t>
            </w:r>
            <w:r>
              <w:rPr>
                <w:rFonts w:hint="default" w:ascii="Times New Roman" w:hAnsi="Times New Roman" w:eastAsia="宋体" w:cs="Times New Roman"/>
                <w:b w:val="0"/>
                <w:bCs w:val="0"/>
                <w:color w:val="auto"/>
                <w:sz w:val="24"/>
                <w:szCs w:val="24"/>
                <w:highlight w:val="none"/>
                <w:lang w:eastAsia="zh-CN"/>
              </w:rPr>
              <w:t>对数据价值进行深度挖掘，</w:t>
            </w:r>
            <w:r>
              <w:rPr>
                <w:rFonts w:hint="default" w:ascii="Times New Roman" w:hAnsi="Times New Roman" w:eastAsia="宋体" w:cs="Times New Roman"/>
                <w:b w:val="0"/>
                <w:bCs w:val="0"/>
                <w:color w:val="auto"/>
                <w:sz w:val="24"/>
                <w:szCs w:val="24"/>
                <w:highlight w:val="none"/>
              </w:rPr>
              <w:t>充分满足</w:t>
            </w:r>
            <w:r>
              <w:rPr>
                <w:rFonts w:hint="default" w:ascii="Times New Roman" w:hAnsi="Times New Roman" w:eastAsia="宋体" w:cs="Times New Roman"/>
                <w:b w:val="0"/>
                <w:bCs w:val="0"/>
                <w:color w:val="auto"/>
                <w:sz w:val="24"/>
                <w:szCs w:val="24"/>
                <w:highlight w:val="none"/>
                <w:lang w:eastAsia="zh-CN"/>
              </w:rPr>
              <w:t>城市安全运行辅助决策需要</w:t>
            </w:r>
            <w:r>
              <w:rPr>
                <w:rFonts w:hint="default" w:ascii="Times New Roman" w:hAnsi="Times New Roman" w:eastAsia="宋体" w:cs="Times New Roman"/>
                <w:b w:val="0"/>
                <w:bCs w:val="0"/>
                <w:color w:val="auto"/>
                <w:sz w:val="24"/>
                <w:szCs w:val="24"/>
                <w:highlight w:val="none"/>
              </w:rPr>
              <w:t>，得5分；</w:t>
            </w:r>
          </w:p>
          <w:p w14:paraId="14C340E2">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lang w:val="en-US" w:eastAsia="zh-CN"/>
              </w:rPr>
              <w:t>2</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方案有各项服务措施，</w:t>
            </w:r>
            <w:r>
              <w:rPr>
                <w:rFonts w:hint="default" w:ascii="Times New Roman" w:hAnsi="Times New Roman" w:eastAsia="宋体" w:cs="Times New Roman"/>
                <w:b w:val="0"/>
                <w:bCs w:val="0"/>
                <w:color w:val="auto"/>
                <w:sz w:val="24"/>
                <w:szCs w:val="24"/>
                <w:highlight w:val="none"/>
                <w:lang w:eastAsia="zh-CN"/>
              </w:rPr>
              <w:t>涵盖各专项的监测数据要素</w:t>
            </w:r>
            <w:r>
              <w:rPr>
                <w:rFonts w:hint="default" w:ascii="Times New Roman" w:hAnsi="Times New Roman" w:eastAsia="宋体" w:cs="Times New Roman"/>
                <w:b w:val="0"/>
                <w:bCs w:val="0"/>
                <w:color w:val="auto"/>
                <w:sz w:val="24"/>
                <w:szCs w:val="24"/>
                <w:highlight w:val="none"/>
              </w:rPr>
              <w:t>，</w:t>
            </w:r>
            <w:r>
              <w:rPr>
                <w:rFonts w:hint="default" w:ascii="Times New Roman" w:hAnsi="Times New Roman" w:eastAsia="宋体" w:cs="Times New Roman"/>
                <w:b w:val="0"/>
                <w:bCs w:val="0"/>
                <w:color w:val="auto"/>
                <w:sz w:val="24"/>
                <w:szCs w:val="24"/>
                <w:highlight w:val="none"/>
                <w:lang w:eastAsia="zh-CN"/>
              </w:rPr>
              <w:t>对数据价值进行挖掘，</w:t>
            </w:r>
            <w:r>
              <w:rPr>
                <w:rFonts w:hint="eastAsia" w:ascii="Times New Roman" w:hAnsi="Times New Roman" w:eastAsia="宋体" w:cs="Times New Roman"/>
                <w:b w:val="0"/>
                <w:bCs w:val="0"/>
                <w:color w:val="auto"/>
                <w:sz w:val="24"/>
                <w:szCs w:val="24"/>
                <w:highlight w:val="none"/>
                <w:lang w:eastAsia="zh-CN"/>
              </w:rPr>
              <w:t>基本</w:t>
            </w:r>
            <w:r>
              <w:rPr>
                <w:rFonts w:hint="default" w:ascii="Times New Roman" w:hAnsi="Times New Roman" w:eastAsia="宋体" w:cs="Times New Roman"/>
                <w:b w:val="0"/>
                <w:bCs w:val="0"/>
                <w:color w:val="auto"/>
                <w:sz w:val="24"/>
                <w:szCs w:val="24"/>
                <w:highlight w:val="none"/>
              </w:rPr>
              <w:t>满足</w:t>
            </w:r>
            <w:r>
              <w:rPr>
                <w:rFonts w:hint="default" w:ascii="Times New Roman" w:hAnsi="Times New Roman" w:eastAsia="宋体" w:cs="Times New Roman"/>
                <w:b w:val="0"/>
                <w:bCs w:val="0"/>
                <w:color w:val="auto"/>
                <w:sz w:val="24"/>
                <w:szCs w:val="24"/>
                <w:highlight w:val="none"/>
                <w:lang w:eastAsia="zh-CN"/>
              </w:rPr>
              <w:t>城市安全运行辅助决策需要</w:t>
            </w:r>
            <w:r>
              <w:rPr>
                <w:rFonts w:hint="default" w:ascii="Times New Roman" w:hAnsi="Times New Roman" w:eastAsia="宋体" w:cs="Times New Roman"/>
                <w:b w:val="0"/>
                <w:bCs w:val="0"/>
                <w:color w:val="auto"/>
                <w:sz w:val="24"/>
                <w:szCs w:val="24"/>
                <w:highlight w:val="none"/>
              </w:rPr>
              <w:t>，得</w:t>
            </w:r>
            <w:r>
              <w:rPr>
                <w:rFonts w:hint="eastAsia" w:ascii="Times New Roman" w:hAnsi="Times New Roman" w:eastAsia="宋体" w:cs="Times New Roman"/>
                <w:b w:val="0"/>
                <w:bCs w:val="0"/>
                <w:color w:val="auto"/>
                <w:sz w:val="24"/>
                <w:szCs w:val="24"/>
                <w:highlight w:val="none"/>
                <w:lang w:val="en-US" w:eastAsia="zh-CN"/>
              </w:rPr>
              <w:t>4</w:t>
            </w:r>
            <w:r>
              <w:rPr>
                <w:rFonts w:hint="default" w:ascii="Times New Roman" w:hAnsi="Times New Roman" w:eastAsia="宋体" w:cs="Times New Roman"/>
                <w:b w:val="0"/>
                <w:bCs w:val="0"/>
                <w:color w:val="auto"/>
                <w:sz w:val="24"/>
                <w:szCs w:val="24"/>
                <w:highlight w:val="none"/>
              </w:rPr>
              <w:t>分；</w:t>
            </w:r>
          </w:p>
          <w:p w14:paraId="6A30F5A0">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lang w:val="en-US" w:eastAsia="zh-CN"/>
              </w:rPr>
              <w:t>3</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方案简单，服务措施片面，</w:t>
            </w:r>
            <w:r>
              <w:rPr>
                <w:rFonts w:hint="default" w:ascii="Times New Roman" w:hAnsi="Times New Roman" w:eastAsia="宋体" w:cs="Times New Roman"/>
                <w:b w:val="0"/>
                <w:bCs w:val="0"/>
                <w:color w:val="auto"/>
                <w:sz w:val="24"/>
                <w:szCs w:val="24"/>
                <w:highlight w:val="none"/>
                <w:lang w:eastAsia="zh-CN"/>
              </w:rPr>
              <w:t>缺少监测数据要素或缺少数据挖掘</w:t>
            </w:r>
            <w:r>
              <w:rPr>
                <w:rFonts w:hint="eastAsia" w:ascii="Times New Roman" w:hAnsi="Times New Roman" w:eastAsia="宋体" w:cs="Times New Roman"/>
                <w:b w:val="0"/>
                <w:bCs w:val="0"/>
                <w:color w:val="auto"/>
                <w:sz w:val="24"/>
                <w:szCs w:val="24"/>
                <w:highlight w:val="none"/>
                <w:lang w:eastAsia="zh-CN"/>
              </w:rPr>
              <w:t>和</w:t>
            </w:r>
            <w:r>
              <w:rPr>
                <w:rFonts w:hint="default" w:ascii="Times New Roman" w:hAnsi="Times New Roman" w:eastAsia="宋体" w:cs="Times New Roman"/>
                <w:b w:val="0"/>
                <w:bCs w:val="0"/>
                <w:color w:val="auto"/>
                <w:sz w:val="24"/>
                <w:szCs w:val="24"/>
                <w:highlight w:val="none"/>
                <w:lang w:eastAsia="zh-CN"/>
              </w:rPr>
              <w:t>数据分析目标和价值</w:t>
            </w:r>
            <w:r>
              <w:rPr>
                <w:rFonts w:hint="default" w:ascii="Times New Roman" w:hAnsi="Times New Roman" w:eastAsia="宋体" w:cs="Times New Roman"/>
                <w:b w:val="0"/>
                <w:bCs w:val="0"/>
                <w:color w:val="auto"/>
                <w:sz w:val="24"/>
                <w:szCs w:val="24"/>
                <w:highlight w:val="none"/>
              </w:rPr>
              <w:t>，</w:t>
            </w:r>
            <w:r>
              <w:rPr>
                <w:rFonts w:hint="eastAsia" w:ascii="Times New Roman" w:hAnsi="Times New Roman" w:eastAsia="宋体" w:cs="Times New Roman"/>
                <w:b w:val="0"/>
                <w:bCs w:val="0"/>
                <w:color w:val="auto"/>
                <w:sz w:val="24"/>
                <w:szCs w:val="24"/>
                <w:highlight w:val="none"/>
                <w:lang w:eastAsia="zh-CN"/>
              </w:rPr>
              <w:t>不能</w:t>
            </w:r>
            <w:r>
              <w:rPr>
                <w:rFonts w:hint="default" w:ascii="Times New Roman" w:hAnsi="Times New Roman" w:eastAsia="宋体" w:cs="Times New Roman"/>
                <w:b w:val="0"/>
                <w:bCs w:val="0"/>
                <w:color w:val="auto"/>
                <w:sz w:val="24"/>
                <w:szCs w:val="24"/>
                <w:highlight w:val="none"/>
              </w:rPr>
              <w:t>满足</w:t>
            </w:r>
            <w:r>
              <w:rPr>
                <w:rFonts w:hint="default" w:ascii="Times New Roman" w:hAnsi="Times New Roman" w:eastAsia="宋体" w:cs="Times New Roman"/>
                <w:b w:val="0"/>
                <w:bCs w:val="0"/>
                <w:color w:val="auto"/>
                <w:sz w:val="24"/>
                <w:szCs w:val="24"/>
                <w:highlight w:val="none"/>
                <w:lang w:eastAsia="zh-CN"/>
              </w:rPr>
              <w:t>城市安全运行辅助决策需要</w:t>
            </w:r>
            <w:r>
              <w:rPr>
                <w:rFonts w:hint="default" w:ascii="Times New Roman" w:hAnsi="Times New Roman" w:eastAsia="宋体" w:cs="Times New Roman"/>
                <w:b w:val="0"/>
                <w:bCs w:val="0"/>
                <w:color w:val="auto"/>
                <w:sz w:val="24"/>
                <w:szCs w:val="24"/>
                <w:highlight w:val="none"/>
              </w:rPr>
              <w:t>，得</w:t>
            </w:r>
            <w:r>
              <w:rPr>
                <w:rFonts w:hint="eastAsia" w:ascii="Times New Roman" w:hAnsi="Times New Roman" w:eastAsia="宋体" w:cs="Times New Roman"/>
                <w:b w:val="0"/>
                <w:bCs w:val="0"/>
                <w:color w:val="auto"/>
                <w:sz w:val="24"/>
                <w:szCs w:val="24"/>
                <w:highlight w:val="none"/>
                <w:lang w:val="en-US" w:eastAsia="zh-CN"/>
              </w:rPr>
              <w:t>3</w:t>
            </w:r>
            <w:r>
              <w:rPr>
                <w:rFonts w:hint="default" w:ascii="Times New Roman" w:hAnsi="Times New Roman" w:eastAsia="宋体" w:cs="Times New Roman"/>
                <w:b w:val="0"/>
                <w:bCs w:val="0"/>
                <w:color w:val="auto"/>
                <w:sz w:val="24"/>
                <w:szCs w:val="24"/>
                <w:highlight w:val="none"/>
              </w:rPr>
              <w:t>分；</w:t>
            </w:r>
          </w:p>
          <w:p w14:paraId="75E15F04">
            <w:pPr>
              <w:keepNext w:val="0"/>
              <w:keepLines w:val="0"/>
              <w:pageBreakBefore w:val="0"/>
              <w:kinsoku/>
              <w:wordWrap/>
              <w:overflowPunct/>
              <w:topLinePunct w:val="0"/>
              <w:autoSpaceDE/>
              <w:autoSpaceDN/>
              <w:bidi w:val="0"/>
              <w:snapToGrid/>
              <w:spacing w:line="400" w:lineRule="exact"/>
              <w:rPr>
                <w:rFonts w:hint="eastAsia" w:ascii="宋体" w:hAnsi="宋体" w:eastAsia="宋体" w:cs="宋体"/>
                <w:color w:val="auto"/>
                <w:sz w:val="21"/>
                <w:szCs w:val="21"/>
                <w:highlight w:val="none"/>
              </w:rPr>
            </w:pP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lang w:val="en-US" w:eastAsia="zh-CN"/>
              </w:rPr>
              <w:t>4）</w:t>
            </w:r>
            <w:r>
              <w:rPr>
                <w:rFonts w:hint="eastAsia" w:ascii="宋体" w:hAnsi="宋体" w:eastAsia="宋体" w:cs="宋体"/>
                <w:color w:val="auto"/>
                <w:sz w:val="24"/>
                <w:szCs w:val="24"/>
                <w:highlight w:val="none"/>
              </w:rPr>
              <w:t>方案粗糙，服务措施及服务安排不</w:t>
            </w:r>
            <w:r>
              <w:rPr>
                <w:rFonts w:hint="eastAsia" w:ascii="宋体" w:hAnsi="宋体" w:eastAsia="宋体" w:cs="宋体"/>
                <w:color w:val="auto"/>
                <w:sz w:val="24"/>
                <w:szCs w:val="24"/>
                <w:highlight w:val="none"/>
                <w:lang w:val="en-US" w:eastAsia="zh-CN"/>
              </w:rPr>
              <w:t>能</w:t>
            </w:r>
            <w:r>
              <w:rPr>
                <w:rFonts w:hint="default" w:ascii="Times New Roman" w:hAnsi="Times New Roman" w:eastAsia="宋体" w:cs="Times New Roman"/>
                <w:b w:val="0"/>
                <w:bCs w:val="0"/>
                <w:color w:val="auto"/>
                <w:sz w:val="24"/>
                <w:szCs w:val="24"/>
                <w:highlight w:val="none"/>
              </w:rPr>
              <w:t>满足</w:t>
            </w:r>
            <w:r>
              <w:rPr>
                <w:rFonts w:hint="default" w:ascii="Times New Roman" w:hAnsi="Times New Roman" w:eastAsia="宋体" w:cs="Times New Roman"/>
                <w:b w:val="0"/>
                <w:bCs w:val="0"/>
                <w:color w:val="auto"/>
                <w:sz w:val="24"/>
                <w:szCs w:val="24"/>
                <w:highlight w:val="none"/>
                <w:lang w:eastAsia="zh-CN"/>
              </w:rPr>
              <w:t>城市安全运行辅助决策需要</w:t>
            </w:r>
            <w:r>
              <w:rPr>
                <w:rFonts w:hint="default" w:ascii="Times New Roman" w:hAnsi="Times New Roman" w:eastAsia="宋体" w:cs="Times New Roman"/>
                <w:b w:val="0"/>
                <w:bCs w:val="0"/>
                <w:color w:val="auto"/>
                <w:sz w:val="24"/>
                <w:szCs w:val="24"/>
                <w:highlight w:val="none"/>
              </w:rPr>
              <w:t>，</w:t>
            </w:r>
            <w:r>
              <w:rPr>
                <w:rFonts w:hint="eastAsia" w:ascii="宋体" w:hAnsi="宋体" w:eastAsia="宋体" w:cs="宋体"/>
                <w:color w:val="auto"/>
                <w:sz w:val="24"/>
                <w:szCs w:val="24"/>
                <w:highlight w:val="none"/>
              </w:rPr>
              <w:t>得 2 分；</w:t>
            </w:r>
          </w:p>
          <w:p w14:paraId="5DB643FA">
            <w:pPr>
              <w:keepNext w:val="0"/>
              <w:keepLines w:val="0"/>
              <w:pageBreakBefore w:val="0"/>
              <w:kinsoku/>
              <w:wordWrap/>
              <w:overflowPunct/>
              <w:topLinePunct w:val="0"/>
              <w:autoSpaceDE/>
              <w:autoSpaceDN/>
              <w:bidi w:val="0"/>
              <w:snapToGrid/>
              <w:spacing w:line="400" w:lineRule="exact"/>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b w:val="0"/>
                <w:bCs w:val="0"/>
                <w:color w:val="auto"/>
                <w:sz w:val="24"/>
                <w:szCs w:val="24"/>
                <w:highlight w:val="none"/>
                <w:lang w:eastAsia="zh-CN"/>
              </w:rPr>
              <w:t>（</w:t>
            </w:r>
            <w:r>
              <w:rPr>
                <w:rFonts w:hint="eastAsia" w:ascii="Times New Roman" w:hAnsi="Times New Roman" w:eastAsia="宋体" w:cs="Times New Roman"/>
                <w:b w:val="0"/>
                <w:bCs w:val="0"/>
                <w:color w:val="auto"/>
                <w:sz w:val="24"/>
                <w:szCs w:val="24"/>
                <w:highlight w:val="none"/>
                <w:lang w:val="en-US" w:eastAsia="zh-CN"/>
              </w:rPr>
              <w:t>5</w:t>
            </w:r>
            <w:r>
              <w:rPr>
                <w:rFonts w:hint="eastAsia"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未提供的不得分</w:t>
            </w:r>
            <w:r>
              <w:rPr>
                <w:rFonts w:hint="eastAsia" w:ascii="Times New Roman" w:hAnsi="Times New Roman" w:eastAsia="宋体" w:cs="Times New Roman"/>
                <w:b w:val="0"/>
                <w:bCs w:val="0"/>
                <w:color w:val="auto"/>
                <w:sz w:val="24"/>
                <w:szCs w:val="24"/>
                <w:highlight w:val="none"/>
                <w:lang w:eastAsia="zh-CN"/>
              </w:rPr>
              <w:t>。</w:t>
            </w:r>
          </w:p>
        </w:tc>
        <w:tc>
          <w:tcPr>
            <w:tcW w:w="2467" w:type="dxa"/>
            <w:tcBorders>
              <w:top w:val="single" w:color="auto" w:sz="4" w:space="0"/>
              <w:left w:val="single" w:color="auto" w:sz="4" w:space="0"/>
              <w:bottom w:val="single" w:color="auto" w:sz="4" w:space="0"/>
              <w:right w:val="single" w:color="auto" w:sz="4" w:space="0"/>
            </w:tcBorders>
            <w:shd w:val="clear" w:color="auto" w:fill="auto"/>
            <w:vAlign w:val="center"/>
          </w:tcPr>
          <w:p w14:paraId="12455D6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0-5</w:t>
            </w:r>
            <w:r>
              <w:rPr>
                <w:rFonts w:hint="eastAsia" w:ascii="Times New Roman" w:hAnsi="Times New Roman" w:eastAsia="宋体" w:cs="Times New Roman"/>
                <w:b w:val="0"/>
                <w:bCs w:val="0"/>
                <w:color w:val="auto"/>
                <w:sz w:val="24"/>
                <w:szCs w:val="24"/>
                <w:highlight w:val="none"/>
                <w:lang w:val="en-US" w:eastAsia="zh-CN"/>
              </w:rPr>
              <w:t>分</w:t>
            </w:r>
          </w:p>
        </w:tc>
      </w:tr>
      <w:tr w14:paraId="6A9AA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6" w:type="dxa"/>
            <w:vMerge w:val="continue"/>
            <w:tcBorders>
              <w:left w:val="single" w:color="auto" w:sz="4" w:space="0"/>
              <w:right w:val="single" w:color="auto" w:sz="4" w:space="0"/>
            </w:tcBorders>
            <w:vAlign w:val="center"/>
          </w:tcPr>
          <w:p w14:paraId="2143B57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p>
        </w:tc>
        <w:tc>
          <w:tcPr>
            <w:tcW w:w="2214" w:type="dxa"/>
            <w:tcBorders>
              <w:top w:val="single" w:color="auto" w:sz="4" w:space="0"/>
              <w:left w:val="single" w:color="auto" w:sz="4" w:space="0"/>
              <w:bottom w:val="single" w:color="auto" w:sz="4" w:space="0"/>
              <w:right w:val="single" w:color="auto" w:sz="4" w:space="0"/>
            </w:tcBorders>
            <w:shd w:val="clear" w:color="auto" w:fill="auto"/>
            <w:vAlign w:val="center"/>
          </w:tcPr>
          <w:p w14:paraId="04C9AA23">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5.信息化</w:t>
            </w:r>
            <w:r>
              <w:rPr>
                <w:rFonts w:hint="default" w:ascii="Times New Roman" w:hAnsi="Times New Roman" w:eastAsia="宋体" w:cs="Times New Roman"/>
                <w:b w:val="0"/>
                <w:bCs w:val="0"/>
                <w:color w:val="auto"/>
                <w:sz w:val="24"/>
                <w:szCs w:val="24"/>
                <w:highlight w:val="none"/>
                <w:lang w:val="en-US" w:eastAsia="zh-CN"/>
              </w:rPr>
              <w:t>系统</w:t>
            </w:r>
            <w:r>
              <w:rPr>
                <w:rFonts w:hint="default" w:ascii="Times New Roman" w:hAnsi="Times New Roman" w:eastAsia="宋体" w:cs="Times New Roman"/>
                <w:b w:val="0"/>
                <w:bCs w:val="0"/>
                <w:color w:val="auto"/>
                <w:sz w:val="24"/>
                <w:szCs w:val="24"/>
                <w:highlight w:val="none"/>
              </w:rPr>
              <w:t>运维服务方案</w:t>
            </w:r>
          </w:p>
        </w:tc>
        <w:tc>
          <w:tcPr>
            <w:tcW w:w="4020" w:type="dxa"/>
            <w:tcBorders>
              <w:top w:val="single" w:color="auto" w:sz="4" w:space="0"/>
              <w:left w:val="single" w:color="auto" w:sz="4" w:space="0"/>
              <w:bottom w:val="single" w:color="auto" w:sz="4" w:space="0"/>
              <w:right w:val="single" w:color="auto" w:sz="4" w:space="0"/>
            </w:tcBorders>
            <w:shd w:val="clear" w:color="auto" w:fill="auto"/>
            <w:vAlign w:val="center"/>
          </w:tcPr>
          <w:p w14:paraId="3C77C950">
            <w:pPr>
              <w:pStyle w:val="25"/>
              <w:keepNext w:val="0"/>
              <w:keepLines w:val="0"/>
              <w:pageBreakBefore w:val="0"/>
              <w:numPr>
                <w:ilvl w:val="-1"/>
                <w:numId w:val="0"/>
              </w:numPr>
              <w:kinsoku/>
              <w:wordWrap/>
              <w:overflowPunct/>
              <w:topLinePunct w:val="0"/>
              <w:autoSpaceDE/>
              <w:autoSpaceDN/>
              <w:bidi w:val="0"/>
              <w:adjustRightInd/>
              <w:snapToGrid/>
              <w:spacing w:after="0" w:line="400" w:lineRule="exact"/>
              <w:ind w:right="-21" w:rightChars="-10" w:firstLine="0"/>
              <w:textAlignment w:val="auto"/>
              <w:rPr>
                <w:rFonts w:hint="default" w:ascii="Times New Roman" w:hAnsi="Times New Roman" w:eastAsia="宋体" w:cs="Times New Roman"/>
                <w:b w:val="0"/>
                <w:bCs w:val="0"/>
                <w:color w:val="auto"/>
                <w:kern w:val="0"/>
                <w:sz w:val="24"/>
                <w:szCs w:val="24"/>
                <w:highlight w:val="none"/>
              </w:rPr>
            </w:pPr>
            <w:r>
              <w:rPr>
                <w:rFonts w:hint="default" w:ascii="Times New Roman" w:hAnsi="Times New Roman" w:eastAsia="宋体" w:cs="Times New Roman"/>
                <w:b w:val="0"/>
                <w:bCs w:val="0"/>
                <w:color w:val="auto"/>
                <w:sz w:val="24"/>
                <w:szCs w:val="24"/>
                <w:highlight w:val="none"/>
                <w:lang w:eastAsia="zh-CN"/>
              </w:rPr>
              <w:t>针对</w:t>
            </w:r>
            <w:r>
              <w:rPr>
                <w:rFonts w:hint="eastAsia" w:ascii="Times New Roman" w:hAnsi="Times New Roman" w:eastAsia="宋体" w:cs="Times New Roman"/>
                <w:b w:val="0"/>
                <w:bCs w:val="0"/>
                <w:color w:val="auto"/>
                <w:sz w:val="24"/>
                <w:szCs w:val="24"/>
                <w:highlight w:val="none"/>
                <w:lang w:val="en-US" w:eastAsia="zh-CN"/>
              </w:rPr>
              <w:t>供应商提供的信息化</w:t>
            </w:r>
            <w:r>
              <w:rPr>
                <w:rFonts w:hint="default" w:ascii="Times New Roman" w:hAnsi="Times New Roman" w:eastAsia="宋体" w:cs="Times New Roman"/>
                <w:b w:val="0"/>
                <w:bCs w:val="0"/>
                <w:color w:val="auto"/>
                <w:sz w:val="24"/>
                <w:szCs w:val="24"/>
                <w:highlight w:val="none"/>
                <w:lang w:val="en-US" w:eastAsia="zh-CN"/>
              </w:rPr>
              <w:t>系统</w:t>
            </w:r>
            <w:r>
              <w:rPr>
                <w:rFonts w:hint="default" w:ascii="Times New Roman" w:hAnsi="Times New Roman" w:eastAsia="宋体" w:cs="Times New Roman"/>
                <w:b w:val="0"/>
                <w:bCs w:val="0"/>
                <w:color w:val="auto"/>
                <w:sz w:val="24"/>
                <w:szCs w:val="24"/>
                <w:highlight w:val="none"/>
              </w:rPr>
              <w:t>运维服务方案进行评审</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lang w:val="en-US" w:eastAsia="zh-CN"/>
              </w:rPr>
              <w:t>包含但不限于</w:t>
            </w:r>
            <w:r>
              <w:rPr>
                <w:rFonts w:hint="default" w:ascii="Times New Roman" w:hAnsi="Times New Roman" w:eastAsia="宋体" w:cs="Times New Roman"/>
                <w:b w:val="0"/>
                <w:bCs w:val="0"/>
                <w:color w:val="auto"/>
                <w:sz w:val="24"/>
                <w:szCs w:val="24"/>
                <w:highlight w:val="none"/>
              </w:rPr>
              <w:t>信息化系统</w:t>
            </w:r>
            <w:r>
              <w:rPr>
                <w:rFonts w:hint="eastAsia" w:ascii="Times New Roman" w:hAnsi="Times New Roman" w:eastAsia="宋体" w:cs="Times New Roman"/>
                <w:b w:val="0"/>
                <w:bCs w:val="0"/>
                <w:color w:val="auto"/>
                <w:sz w:val="24"/>
                <w:szCs w:val="24"/>
                <w:highlight w:val="none"/>
                <w:lang w:eastAsia="zh-CN"/>
              </w:rPr>
              <w:t>运维、</w:t>
            </w:r>
            <w:r>
              <w:rPr>
                <w:rFonts w:hint="eastAsia" w:ascii="宋体" w:hAnsi="宋体" w:eastAsia="宋体"/>
                <w:color w:val="auto"/>
                <w:sz w:val="24"/>
                <w:highlight w:val="none"/>
                <w:lang w:val="en-US" w:eastAsia="zh-CN"/>
              </w:rPr>
              <w:t>完善、修复、升级、拓展以及数据更新共享服务等内容。</w:t>
            </w:r>
          </w:p>
          <w:p w14:paraId="252C6359">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zh-CN" w:eastAsia="zh-CN" w:bidi="ar-SA"/>
              </w:rPr>
            </w:pPr>
            <w:r>
              <w:rPr>
                <w:rFonts w:hint="eastAsia" w:ascii="Times New Roman" w:hAnsi="Times New Roman" w:eastAsia="宋体" w:cs="Times New Roman"/>
                <w:b w:val="0"/>
                <w:bCs w:val="0"/>
                <w:color w:val="auto"/>
                <w:kern w:val="2"/>
                <w:sz w:val="24"/>
                <w:szCs w:val="24"/>
                <w:highlight w:val="none"/>
                <w:lang w:val="zh-CN" w:eastAsia="zh-CN" w:bidi="ar-SA"/>
              </w:rPr>
              <w:t>①服务方案全面、完整、详尽、各项服务措施完善，充分满足项目实施要求，得 5 分；</w:t>
            </w:r>
          </w:p>
          <w:p w14:paraId="4C07150E">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zh-CN" w:eastAsia="zh-CN" w:bidi="ar-SA"/>
              </w:rPr>
            </w:pPr>
            <w:r>
              <w:rPr>
                <w:rFonts w:hint="eastAsia" w:ascii="Times New Roman" w:hAnsi="Times New Roman" w:eastAsia="宋体" w:cs="Times New Roman"/>
                <w:b w:val="0"/>
                <w:bCs w:val="0"/>
                <w:color w:val="auto"/>
                <w:kern w:val="2"/>
                <w:sz w:val="24"/>
                <w:szCs w:val="24"/>
                <w:highlight w:val="none"/>
                <w:lang w:val="zh-CN" w:eastAsia="zh-CN" w:bidi="ar-SA"/>
              </w:rPr>
              <w:t>②服务方案有各项服务措施，满足项目实施要求，得 4 分；</w:t>
            </w:r>
          </w:p>
          <w:p w14:paraId="4CB9BFCD">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zh-CN" w:eastAsia="zh-CN" w:bidi="ar-SA"/>
              </w:rPr>
            </w:pPr>
            <w:r>
              <w:rPr>
                <w:rFonts w:hint="eastAsia" w:ascii="Times New Roman" w:hAnsi="Times New Roman" w:eastAsia="宋体" w:cs="Times New Roman"/>
                <w:b w:val="0"/>
                <w:bCs w:val="0"/>
                <w:color w:val="auto"/>
                <w:kern w:val="2"/>
                <w:sz w:val="24"/>
                <w:szCs w:val="24"/>
                <w:highlight w:val="none"/>
                <w:lang w:val="zh-CN" w:eastAsia="zh-CN" w:bidi="ar-SA"/>
              </w:rPr>
              <w:t>③服务方案简单，服务措施片面，得 3 分；</w:t>
            </w:r>
          </w:p>
          <w:p w14:paraId="3343BC39">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zh-CN" w:eastAsia="zh-CN" w:bidi="ar-SA"/>
              </w:rPr>
            </w:pPr>
            <w:r>
              <w:rPr>
                <w:rFonts w:hint="eastAsia" w:ascii="Times New Roman" w:hAnsi="Times New Roman" w:eastAsia="宋体" w:cs="Times New Roman"/>
                <w:b w:val="0"/>
                <w:bCs w:val="0"/>
                <w:color w:val="auto"/>
                <w:kern w:val="2"/>
                <w:sz w:val="24"/>
                <w:szCs w:val="24"/>
                <w:highlight w:val="none"/>
                <w:lang w:val="zh-CN" w:eastAsia="zh-CN" w:bidi="ar-SA"/>
              </w:rPr>
              <w:t>④服务方案粗糙，服务措施及服务安排存在不足，不满足实际的每天日常工作的得 2 分；</w:t>
            </w:r>
          </w:p>
          <w:p w14:paraId="723901A9">
            <w:pPr>
              <w:pStyle w:val="25"/>
              <w:keepNext w:val="0"/>
              <w:keepLines w:val="0"/>
              <w:pageBreakBefore w:val="0"/>
              <w:numPr>
                <w:ilvl w:val="-1"/>
                <w:numId w:val="0"/>
              </w:numPr>
              <w:kinsoku/>
              <w:wordWrap/>
              <w:overflowPunct/>
              <w:topLinePunct w:val="0"/>
              <w:autoSpaceDE/>
              <w:autoSpaceDN/>
              <w:bidi w:val="0"/>
              <w:adjustRightInd/>
              <w:snapToGrid/>
              <w:spacing w:after="0" w:line="400" w:lineRule="exact"/>
              <w:ind w:right="-21" w:rightChars="-10" w:firstLine="0"/>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zh-CN" w:eastAsia="zh-CN" w:bidi="ar-SA"/>
              </w:rPr>
              <w:t>⑤未提供的不得分。</w:t>
            </w:r>
          </w:p>
        </w:tc>
        <w:tc>
          <w:tcPr>
            <w:tcW w:w="2467" w:type="dxa"/>
            <w:tcBorders>
              <w:top w:val="single" w:color="auto" w:sz="4" w:space="0"/>
              <w:left w:val="single" w:color="auto" w:sz="4" w:space="0"/>
              <w:bottom w:val="single" w:color="auto" w:sz="4" w:space="0"/>
              <w:right w:val="single" w:color="auto" w:sz="4" w:space="0"/>
            </w:tcBorders>
            <w:vAlign w:val="center"/>
          </w:tcPr>
          <w:p w14:paraId="4E3A4130">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0-5分</w:t>
            </w:r>
          </w:p>
        </w:tc>
      </w:tr>
      <w:tr w14:paraId="493D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2" w:hRule="atLeast"/>
          <w:jc w:val="center"/>
        </w:trPr>
        <w:tc>
          <w:tcPr>
            <w:tcW w:w="1086" w:type="dxa"/>
            <w:vMerge w:val="continue"/>
            <w:tcBorders>
              <w:left w:val="single" w:color="auto" w:sz="4" w:space="0"/>
              <w:right w:val="single" w:color="auto" w:sz="4" w:space="0"/>
            </w:tcBorders>
            <w:vAlign w:val="center"/>
          </w:tcPr>
          <w:p w14:paraId="32ED562D">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p>
        </w:tc>
        <w:tc>
          <w:tcPr>
            <w:tcW w:w="2214" w:type="dxa"/>
            <w:tcBorders>
              <w:top w:val="single" w:color="auto" w:sz="4" w:space="0"/>
              <w:left w:val="single" w:color="auto" w:sz="4" w:space="0"/>
              <w:bottom w:val="single" w:color="auto" w:sz="4" w:space="0"/>
              <w:right w:val="single" w:color="auto" w:sz="4" w:space="0"/>
            </w:tcBorders>
            <w:shd w:val="clear" w:color="auto" w:fill="auto"/>
            <w:vAlign w:val="center"/>
          </w:tcPr>
          <w:p w14:paraId="1C7304E7">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宋体" w:hAnsi="宋体" w:eastAsia="宋体" w:cs="@仿宋_GB2312"/>
                <w:b w:val="0"/>
                <w:bCs w:val="0"/>
                <w:color w:val="auto"/>
                <w:kern w:val="2"/>
                <w:sz w:val="24"/>
                <w:szCs w:val="20"/>
                <w:highlight w:val="none"/>
                <w:lang w:val="en-US" w:eastAsia="zh-CN" w:bidi="ar-SA"/>
              </w:rPr>
              <w:t>6.前端感知设备运维服务方案</w:t>
            </w:r>
          </w:p>
        </w:tc>
        <w:tc>
          <w:tcPr>
            <w:tcW w:w="4020" w:type="dxa"/>
            <w:tcBorders>
              <w:top w:val="single" w:color="auto" w:sz="4" w:space="0"/>
              <w:left w:val="single" w:color="auto" w:sz="4" w:space="0"/>
              <w:bottom w:val="single" w:color="auto" w:sz="4" w:space="0"/>
              <w:right w:val="single" w:color="auto" w:sz="4" w:space="0"/>
            </w:tcBorders>
            <w:shd w:val="clear" w:color="auto" w:fill="auto"/>
            <w:vAlign w:val="center"/>
          </w:tcPr>
          <w:p w14:paraId="00D63CF2">
            <w:pPr>
              <w:pStyle w:val="25"/>
              <w:keepNext w:val="0"/>
              <w:keepLines w:val="0"/>
              <w:pageBreakBefore w:val="0"/>
              <w:numPr>
                <w:ilvl w:val="-1"/>
                <w:numId w:val="0"/>
              </w:numPr>
              <w:kinsoku/>
              <w:wordWrap/>
              <w:overflowPunct/>
              <w:topLinePunct w:val="0"/>
              <w:autoSpaceDE/>
              <w:autoSpaceDN/>
              <w:bidi w:val="0"/>
              <w:adjustRightInd/>
              <w:snapToGrid/>
              <w:spacing w:after="0" w:line="400" w:lineRule="exact"/>
              <w:ind w:right="-21" w:rightChars="-10" w:firstLine="0"/>
              <w:textAlignment w:val="auto"/>
              <w:rPr>
                <w:rFonts w:hint="default" w:ascii="Times New Roman" w:hAnsi="Times New Roman" w:eastAsia="宋体" w:cs="Times New Roman"/>
                <w:b w:val="0"/>
                <w:bCs w:val="0"/>
                <w:color w:val="auto"/>
                <w:kern w:val="0"/>
                <w:sz w:val="24"/>
                <w:szCs w:val="24"/>
                <w:highlight w:val="none"/>
              </w:rPr>
            </w:pPr>
            <w:r>
              <w:rPr>
                <w:rFonts w:hint="default" w:ascii="Times New Roman" w:hAnsi="Times New Roman" w:eastAsia="宋体" w:cs="Times New Roman"/>
                <w:b w:val="0"/>
                <w:bCs w:val="0"/>
                <w:color w:val="auto"/>
                <w:sz w:val="24"/>
                <w:szCs w:val="24"/>
                <w:highlight w:val="none"/>
                <w:lang w:eastAsia="zh-CN"/>
              </w:rPr>
              <w:t>针对</w:t>
            </w:r>
            <w:r>
              <w:rPr>
                <w:rFonts w:hint="eastAsia" w:ascii="Times New Roman" w:hAnsi="Times New Roman" w:eastAsia="宋体" w:cs="Times New Roman"/>
                <w:b w:val="0"/>
                <w:bCs w:val="0"/>
                <w:color w:val="auto"/>
                <w:sz w:val="24"/>
                <w:szCs w:val="24"/>
                <w:highlight w:val="none"/>
                <w:lang w:val="en-US" w:eastAsia="zh-CN"/>
              </w:rPr>
              <w:t>供应商提供的</w:t>
            </w:r>
            <w:r>
              <w:rPr>
                <w:rFonts w:hint="eastAsia" w:ascii="宋体" w:hAnsi="宋体" w:eastAsia="宋体" w:cs="@仿宋_GB2312"/>
                <w:b w:val="0"/>
                <w:bCs w:val="0"/>
                <w:color w:val="auto"/>
                <w:kern w:val="2"/>
                <w:sz w:val="24"/>
                <w:szCs w:val="20"/>
                <w:highlight w:val="none"/>
                <w:lang w:val="en-US" w:eastAsia="zh-CN" w:bidi="ar-SA"/>
              </w:rPr>
              <w:t>前端感知设备运维服务方案</w:t>
            </w:r>
            <w:r>
              <w:rPr>
                <w:rFonts w:hint="default" w:ascii="Times New Roman" w:hAnsi="Times New Roman" w:eastAsia="宋体" w:cs="Times New Roman"/>
                <w:b w:val="0"/>
                <w:bCs w:val="0"/>
                <w:color w:val="auto"/>
                <w:sz w:val="24"/>
                <w:szCs w:val="24"/>
                <w:highlight w:val="none"/>
              </w:rPr>
              <w:t>进行评审</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包含但不限于</w:t>
            </w:r>
            <w:r>
              <w:rPr>
                <w:rFonts w:hint="eastAsia" w:ascii="宋体" w:hAnsi="宋体" w:eastAsia="宋体" w:cs="@仿宋_GB2312"/>
                <w:color w:val="auto"/>
                <w:sz w:val="24"/>
                <w:szCs w:val="20"/>
                <w:highlight w:val="none"/>
              </w:rPr>
              <w:t>设备巡查巡检</w:t>
            </w:r>
            <w:r>
              <w:rPr>
                <w:rFonts w:hint="eastAsia" w:ascii="宋体" w:hAnsi="宋体" w:eastAsia="宋体" w:cs="@仿宋_GB2312"/>
                <w:color w:val="auto"/>
                <w:sz w:val="24"/>
                <w:szCs w:val="20"/>
                <w:highlight w:val="none"/>
                <w:lang w:eastAsia="zh-CN"/>
              </w:rPr>
              <w:t>方案</w:t>
            </w:r>
            <w:r>
              <w:rPr>
                <w:rFonts w:hint="eastAsia" w:ascii="宋体" w:hAnsi="宋体" w:eastAsia="宋体"/>
                <w:color w:val="auto"/>
                <w:sz w:val="24"/>
                <w:highlight w:val="none"/>
                <w:lang w:val="en-US" w:eastAsia="zh-CN"/>
              </w:rPr>
              <w:t>，</w:t>
            </w:r>
            <w:r>
              <w:rPr>
                <w:rFonts w:hint="eastAsia" w:ascii="宋体" w:hAnsi="宋体" w:eastAsia="宋体" w:cs="@仿宋_GB2312"/>
                <w:color w:val="auto"/>
                <w:sz w:val="24"/>
                <w:szCs w:val="20"/>
                <w:highlight w:val="none"/>
              </w:rPr>
              <w:t>故障</w:t>
            </w:r>
            <w:r>
              <w:rPr>
                <w:rFonts w:hint="eastAsia" w:ascii="宋体" w:hAnsi="宋体" w:eastAsia="宋体" w:cs="@仿宋_GB2312"/>
                <w:color w:val="auto"/>
                <w:sz w:val="24"/>
                <w:szCs w:val="20"/>
                <w:highlight w:val="none"/>
                <w:lang w:eastAsia="zh-CN"/>
              </w:rPr>
              <w:t>、离线</w:t>
            </w:r>
            <w:r>
              <w:rPr>
                <w:rFonts w:hint="eastAsia" w:ascii="宋体" w:hAnsi="宋体" w:eastAsia="宋体" w:cs="@仿宋_GB2312"/>
                <w:color w:val="auto"/>
                <w:sz w:val="24"/>
                <w:szCs w:val="20"/>
                <w:highlight w:val="none"/>
              </w:rPr>
              <w:t>设备拆除、维修、更换、安装</w:t>
            </w:r>
            <w:r>
              <w:rPr>
                <w:rFonts w:hint="eastAsia" w:ascii="宋体" w:hAnsi="宋体" w:eastAsia="宋体" w:cs="@仿宋_GB2312"/>
                <w:color w:val="auto"/>
                <w:sz w:val="24"/>
                <w:szCs w:val="20"/>
                <w:highlight w:val="none"/>
                <w:lang w:eastAsia="zh-CN"/>
              </w:rPr>
              <w:t>处理方案，</w:t>
            </w:r>
            <w:r>
              <w:rPr>
                <w:rFonts w:hint="default" w:ascii="Times New Roman" w:hAnsi="Times New Roman" w:eastAsia="宋体" w:cs="Times New Roman"/>
                <w:b w:val="0"/>
                <w:bCs w:val="0"/>
                <w:color w:val="auto"/>
                <w:sz w:val="24"/>
                <w:szCs w:val="24"/>
                <w:highlight w:val="none"/>
                <w:lang w:val="en-US" w:eastAsia="zh-CN"/>
              </w:rPr>
              <w:t>运维人员管理方案、前端感知设备备品备件管理方案</w:t>
            </w:r>
            <w:r>
              <w:rPr>
                <w:rFonts w:hint="default" w:ascii="Times New Roman" w:hAnsi="Times New Roman" w:eastAsia="宋体" w:cs="Times New Roman"/>
                <w:b w:val="0"/>
                <w:bCs w:val="0"/>
                <w:color w:val="auto"/>
                <w:sz w:val="24"/>
                <w:szCs w:val="24"/>
                <w:highlight w:val="none"/>
              </w:rPr>
              <w:t>等。</w:t>
            </w:r>
          </w:p>
          <w:p w14:paraId="0CEE7790">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zh-CN" w:eastAsia="zh-CN" w:bidi="ar-SA"/>
              </w:rPr>
            </w:pPr>
            <w:r>
              <w:rPr>
                <w:rFonts w:hint="eastAsia" w:ascii="Times New Roman" w:hAnsi="Times New Roman" w:eastAsia="宋体" w:cs="Times New Roman"/>
                <w:b w:val="0"/>
                <w:bCs w:val="0"/>
                <w:color w:val="auto"/>
                <w:kern w:val="2"/>
                <w:sz w:val="24"/>
                <w:szCs w:val="24"/>
                <w:highlight w:val="none"/>
                <w:lang w:val="zh-CN" w:eastAsia="zh-CN" w:bidi="ar-SA"/>
              </w:rPr>
              <w:t>①方案编制全面，对项目理解准确、符合程度高、分析透彻、完整、科学合理、思路清晰明了、充分满足项目实施要求的得 5 分；</w:t>
            </w:r>
          </w:p>
          <w:p w14:paraId="0FC238B0">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zh-CN" w:eastAsia="zh-CN" w:bidi="ar-SA"/>
              </w:rPr>
            </w:pPr>
            <w:r>
              <w:rPr>
                <w:rFonts w:hint="eastAsia" w:ascii="Times New Roman" w:hAnsi="Times New Roman" w:eastAsia="宋体" w:cs="Times New Roman"/>
                <w:b w:val="0"/>
                <w:bCs w:val="0"/>
                <w:color w:val="auto"/>
                <w:kern w:val="2"/>
                <w:sz w:val="24"/>
                <w:szCs w:val="24"/>
                <w:highlight w:val="none"/>
                <w:lang w:val="zh-CN" w:eastAsia="zh-CN" w:bidi="ar-SA"/>
              </w:rPr>
              <w:t>②方案编制内容完整、思路清晰、满足项目采购需求、满足项目实施要求的得4分；</w:t>
            </w:r>
          </w:p>
          <w:p w14:paraId="4469E100">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zh-CN" w:eastAsia="zh-CN" w:bidi="ar-SA"/>
              </w:rPr>
            </w:pPr>
            <w:r>
              <w:rPr>
                <w:rFonts w:hint="eastAsia" w:ascii="Times New Roman" w:hAnsi="Times New Roman" w:eastAsia="宋体" w:cs="Times New Roman"/>
                <w:b w:val="0"/>
                <w:bCs w:val="0"/>
                <w:color w:val="auto"/>
                <w:kern w:val="2"/>
                <w:sz w:val="24"/>
                <w:szCs w:val="24"/>
                <w:highlight w:val="none"/>
                <w:lang w:val="zh-CN" w:eastAsia="zh-CN" w:bidi="ar-SA"/>
              </w:rPr>
              <w:t>③方案编制内容简单、思路无明显逻辑错误、尚可实施但存在与项目要求不贴合或矛盾的地方的得 3分；</w:t>
            </w:r>
          </w:p>
          <w:p w14:paraId="5E80EC88">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zh-CN" w:eastAsia="zh-CN" w:bidi="ar-SA"/>
              </w:rPr>
            </w:pPr>
            <w:r>
              <w:rPr>
                <w:rFonts w:hint="eastAsia" w:ascii="Times New Roman" w:hAnsi="Times New Roman" w:eastAsia="宋体" w:cs="Times New Roman"/>
                <w:b w:val="0"/>
                <w:bCs w:val="0"/>
                <w:color w:val="auto"/>
                <w:kern w:val="2"/>
                <w:sz w:val="24"/>
                <w:szCs w:val="24"/>
                <w:highlight w:val="none"/>
                <w:lang w:val="zh-CN" w:eastAsia="zh-CN" w:bidi="ar-SA"/>
              </w:rPr>
              <w:t>④方案编制内容缺失、实施流程混乱、存在前后不一致或与本项目无关的内容的得2分；</w:t>
            </w:r>
          </w:p>
          <w:p w14:paraId="434FB58E">
            <w:pPr>
              <w:keepNext w:val="0"/>
              <w:keepLines w:val="0"/>
              <w:pageBreakBefore w:val="0"/>
              <w:kinsoku/>
              <w:wordWrap/>
              <w:overflowPunct/>
              <w:topLinePunct w:val="0"/>
              <w:autoSpaceDE/>
              <w:autoSpaceDN/>
              <w:bidi w:val="0"/>
              <w:snapToGrid/>
              <w:spacing w:line="400" w:lineRule="exact"/>
              <w:rPr>
                <w:rFonts w:hint="default" w:ascii="Times New Roman" w:hAnsi="Times New Roman" w:eastAsia="宋体" w:cs="Times New Roman"/>
                <w:b w:val="0"/>
                <w:bCs w:val="0"/>
                <w:color w:val="auto"/>
                <w:sz w:val="24"/>
                <w:szCs w:val="24"/>
                <w:highlight w:val="none"/>
                <w:lang w:eastAsia="zh-CN"/>
              </w:rPr>
            </w:pPr>
            <w:r>
              <w:rPr>
                <w:rFonts w:hint="eastAsia" w:ascii="Times New Roman" w:hAnsi="Times New Roman" w:eastAsia="宋体" w:cs="Times New Roman"/>
                <w:b w:val="0"/>
                <w:bCs w:val="0"/>
                <w:color w:val="auto"/>
                <w:kern w:val="2"/>
                <w:sz w:val="24"/>
                <w:szCs w:val="24"/>
                <w:highlight w:val="none"/>
                <w:lang w:val="zh-CN" w:eastAsia="zh-CN" w:bidi="ar-SA"/>
              </w:rPr>
              <w:t>⑤未提供的不得分。</w:t>
            </w:r>
          </w:p>
        </w:tc>
        <w:tc>
          <w:tcPr>
            <w:tcW w:w="2467" w:type="dxa"/>
            <w:tcBorders>
              <w:top w:val="single" w:color="auto" w:sz="4" w:space="0"/>
              <w:left w:val="single" w:color="auto" w:sz="4" w:space="0"/>
              <w:bottom w:val="single" w:color="auto" w:sz="4" w:space="0"/>
              <w:right w:val="single" w:color="auto" w:sz="4" w:space="0"/>
            </w:tcBorders>
            <w:vAlign w:val="center"/>
          </w:tcPr>
          <w:p w14:paraId="7DC3B550">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0-5</w:t>
            </w:r>
            <w:r>
              <w:rPr>
                <w:rFonts w:hint="eastAsia" w:ascii="Times New Roman" w:hAnsi="Times New Roman" w:eastAsia="宋体" w:cs="Times New Roman"/>
                <w:b w:val="0"/>
                <w:bCs w:val="0"/>
                <w:color w:val="auto"/>
                <w:sz w:val="24"/>
                <w:szCs w:val="24"/>
                <w:highlight w:val="none"/>
                <w:lang w:val="en-US" w:eastAsia="zh-CN"/>
              </w:rPr>
              <w:t>分</w:t>
            </w:r>
          </w:p>
        </w:tc>
      </w:tr>
      <w:tr w14:paraId="6D5E4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6" w:type="dxa"/>
            <w:vMerge w:val="continue"/>
            <w:tcBorders>
              <w:left w:val="single" w:color="auto" w:sz="4" w:space="0"/>
              <w:right w:val="single" w:color="auto" w:sz="4" w:space="0"/>
            </w:tcBorders>
            <w:vAlign w:val="center"/>
          </w:tcPr>
          <w:p w14:paraId="2CCBBC47">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p>
        </w:tc>
        <w:tc>
          <w:tcPr>
            <w:tcW w:w="2214" w:type="dxa"/>
            <w:tcBorders>
              <w:top w:val="single" w:color="auto" w:sz="4" w:space="0"/>
              <w:left w:val="single" w:color="auto" w:sz="4" w:space="0"/>
              <w:bottom w:val="single" w:color="auto" w:sz="4" w:space="0"/>
              <w:right w:val="single" w:color="auto" w:sz="4" w:space="0"/>
            </w:tcBorders>
            <w:shd w:val="clear" w:color="auto" w:fill="auto"/>
            <w:vAlign w:val="center"/>
          </w:tcPr>
          <w:p w14:paraId="5EE7692B">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7.网络安全及网络链路维护保障方案</w:t>
            </w:r>
          </w:p>
        </w:tc>
        <w:tc>
          <w:tcPr>
            <w:tcW w:w="4020" w:type="dxa"/>
            <w:tcBorders>
              <w:top w:val="single" w:color="auto" w:sz="4" w:space="0"/>
              <w:left w:val="single" w:color="auto" w:sz="4" w:space="0"/>
              <w:bottom w:val="single" w:color="auto" w:sz="4" w:space="0"/>
              <w:right w:val="single" w:color="auto" w:sz="4" w:space="0"/>
            </w:tcBorders>
            <w:shd w:val="clear" w:color="auto" w:fill="auto"/>
            <w:vAlign w:val="center"/>
          </w:tcPr>
          <w:p w14:paraId="73274334">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olor w:val="auto"/>
                <w:sz w:val="24"/>
                <w:highlight w:val="none"/>
                <w:lang w:val="en-US" w:eastAsia="zh-CN"/>
              </w:rPr>
              <w:t>针对</w:t>
            </w:r>
            <w:r>
              <w:rPr>
                <w:rFonts w:hint="eastAsia" w:ascii="Times New Roman" w:hAnsi="Times New Roman" w:eastAsia="宋体" w:cs="Times New Roman"/>
                <w:b w:val="0"/>
                <w:bCs w:val="0"/>
                <w:color w:val="auto"/>
                <w:sz w:val="24"/>
                <w:szCs w:val="24"/>
                <w:highlight w:val="none"/>
                <w:lang w:val="en-US" w:eastAsia="zh-CN"/>
              </w:rPr>
              <w:t>供应商提供的网络安全及网络链路维护保障方案进行评审，</w:t>
            </w:r>
            <w:r>
              <w:rPr>
                <w:rFonts w:hint="eastAsia" w:ascii="宋体" w:hAnsi="宋体" w:eastAsia="宋体" w:cs="宋体"/>
                <w:b w:val="0"/>
                <w:bCs w:val="0"/>
                <w:color w:val="auto"/>
                <w:sz w:val="24"/>
                <w:szCs w:val="24"/>
                <w:highlight w:val="none"/>
                <w:lang w:val="en-US" w:eastAsia="zh-CN"/>
              </w:rPr>
              <w:t>包含但不限于</w:t>
            </w:r>
            <w:r>
              <w:rPr>
                <w:rFonts w:hint="eastAsia" w:ascii="宋体" w:hAnsi="宋体" w:eastAsia="宋体" w:cs="宋体"/>
                <w:b w:val="0"/>
                <w:bCs w:val="0"/>
                <w:color w:val="auto"/>
                <w:sz w:val="24"/>
                <w:szCs w:val="24"/>
                <w:highlight w:val="none"/>
                <w:lang w:eastAsia="zh-CN"/>
              </w:rPr>
              <w:t>针对本项目特点制定可能发生的</w:t>
            </w:r>
            <w:r>
              <w:rPr>
                <w:rFonts w:hint="eastAsia" w:ascii="宋体" w:hAnsi="宋体" w:eastAsia="宋体"/>
                <w:color w:val="auto"/>
                <w:sz w:val="24"/>
                <w:highlight w:val="none"/>
                <w:lang w:val="en-US" w:eastAsia="zh-CN"/>
              </w:rPr>
              <w:t>网络安全隐患预判及处置方案；网络链路运行、维护方案；网络租赁以及各类租赁专线巡检、链路状态监测、故障排除等保障方案。</w:t>
            </w:r>
          </w:p>
          <w:p w14:paraId="6A5D81C4">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zh-CN" w:eastAsia="zh-CN" w:bidi="ar-SA"/>
              </w:rPr>
            </w:pPr>
            <w:r>
              <w:rPr>
                <w:rFonts w:hint="eastAsia" w:ascii="Times New Roman" w:hAnsi="Times New Roman" w:eastAsia="宋体" w:cs="Times New Roman"/>
                <w:b w:val="0"/>
                <w:bCs w:val="0"/>
                <w:color w:val="auto"/>
                <w:kern w:val="2"/>
                <w:sz w:val="24"/>
                <w:szCs w:val="24"/>
                <w:highlight w:val="none"/>
                <w:lang w:val="zh-CN" w:eastAsia="zh-CN" w:bidi="ar-SA"/>
              </w:rPr>
              <w:t>①服务方案全面、完整、详尽、各项服务措施完善，充分考虑工作安排实施方案等因素，可实施性突出，充分满足项目实施要求，得 5 分；</w:t>
            </w:r>
          </w:p>
          <w:p w14:paraId="7A9A416C">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zh-CN" w:eastAsia="zh-CN" w:bidi="ar-SA"/>
              </w:rPr>
            </w:pPr>
            <w:r>
              <w:rPr>
                <w:rFonts w:hint="eastAsia" w:ascii="Times New Roman" w:hAnsi="Times New Roman" w:eastAsia="宋体" w:cs="Times New Roman"/>
                <w:b w:val="0"/>
                <w:bCs w:val="0"/>
                <w:color w:val="auto"/>
                <w:kern w:val="2"/>
                <w:sz w:val="24"/>
                <w:szCs w:val="24"/>
                <w:highlight w:val="none"/>
                <w:lang w:val="zh-CN" w:eastAsia="zh-CN" w:bidi="ar-SA"/>
              </w:rPr>
              <w:t>②服务方案有各项服务措施，各岗位工作安排具有实施性，满足项目实施要求，得 4 分；</w:t>
            </w:r>
          </w:p>
          <w:p w14:paraId="463362E2">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zh-CN" w:eastAsia="zh-CN" w:bidi="ar-SA"/>
              </w:rPr>
            </w:pPr>
            <w:r>
              <w:rPr>
                <w:rFonts w:hint="eastAsia" w:ascii="Times New Roman" w:hAnsi="Times New Roman" w:eastAsia="宋体" w:cs="Times New Roman"/>
                <w:b w:val="0"/>
                <w:bCs w:val="0"/>
                <w:color w:val="auto"/>
                <w:kern w:val="2"/>
                <w:sz w:val="24"/>
                <w:szCs w:val="24"/>
                <w:highlight w:val="none"/>
                <w:lang w:val="zh-CN" w:eastAsia="zh-CN" w:bidi="ar-SA"/>
              </w:rPr>
              <w:t>③服务方案简单，服务措施片面，日常工作安排合理，得 3 分；</w:t>
            </w:r>
          </w:p>
          <w:p w14:paraId="6E558BC6">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zh-CN" w:eastAsia="zh-CN" w:bidi="ar-SA"/>
              </w:rPr>
            </w:pPr>
            <w:r>
              <w:rPr>
                <w:rFonts w:hint="eastAsia" w:ascii="Times New Roman" w:hAnsi="Times New Roman" w:eastAsia="宋体" w:cs="Times New Roman"/>
                <w:b w:val="0"/>
                <w:bCs w:val="0"/>
                <w:color w:val="auto"/>
                <w:kern w:val="2"/>
                <w:sz w:val="24"/>
                <w:szCs w:val="24"/>
                <w:highlight w:val="none"/>
                <w:lang w:val="zh-CN" w:eastAsia="zh-CN" w:bidi="ar-SA"/>
              </w:rPr>
              <w:t>④服务方案粗糙，服务措施及服务安排存在不足，不满足实际的日常工作的得 2 分；</w:t>
            </w:r>
          </w:p>
          <w:p w14:paraId="5003143B">
            <w:pPr>
              <w:pStyle w:val="25"/>
              <w:keepNext w:val="0"/>
              <w:keepLines w:val="0"/>
              <w:pageBreakBefore w:val="0"/>
              <w:numPr>
                <w:ilvl w:val="-1"/>
                <w:numId w:val="0"/>
              </w:numPr>
              <w:kinsoku/>
              <w:wordWrap/>
              <w:overflowPunct/>
              <w:topLinePunct w:val="0"/>
              <w:autoSpaceDE/>
              <w:autoSpaceDN/>
              <w:bidi w:val="0"/>
              <w:adjustRightInd/>
              <w:snapToGrid/>
              <w:spacing w:after="0" w:line="400" w:lineRule="exact"/>
              <w:ind w:right="-21" w:rightChars="-10" w:firstLine="0"/>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kern w:val="2"/>
                <w:sz w:val="24"/>
                <w:szCs w:val="24"/>
                <w:highlight w:val="none"/>
                <w:lang w:val="zh-CN" w:eastAsia="zh-CN" w:bidi="ar-SA"/>
              </w:rPr>
              <w:t>⑤未提供的不得分。</w:t>
            </w:r>
          </w:p>
        </w:tc>
        <w:tc>
          <w:tcPr>
            <w:tcW w:w="2467" w:type="dxa"/>
            <w:tcBorders>
              <w:top w:val="single" w:color="auto" w:sz="4" w:space="0"/>
              <w:left w:val="single" w:color="auto" w:sz="4" w:space="0"/>
              <w:bottom w:val="single" w:color="auto" w:sz="4" w:space="0"/>
              <w:right w:val="single" w:color="auto" w:sz="4" w:space="0"/>
            </w:tcBorders>
            <w:vAlign w:val="center"/>
          </w:tcPr>
          <w:p w14:paraId="205ADBE5">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0-5分</w:t>
            </w:r>
          </w:p>
        </w:tc>
      </w:tr>
      <w:tr w14:paraId="18B4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4" w:hRule="atLeast"/>
          <w:jc w:val="center"/>
        </w:trPr>
        <w:tc>
          <w:tcPr>
            <w:tcW w:w="1086" w:type="dxa"/>
            <w:vMerge w:val="continue"/>
            <w:tcBorders>
              <w:left w:val="single" w:color="auto" w:sz="4" w:space="0"/>
              <w:right w:val="single" w:color="auto" w:sz="4" w:space="0"/>
            </w:tcBorders>
            <w:vAlign w:val="center"/>
          </w:tcPr>
          <w:p w14:paraId="7956875E">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p>
        </w:tc>
        <w:tc>
          <w:tcPr>
            <w:tcW w:w="2214" w:type="dxa"/>
            <w:tcBorders>
              <w:top w:val="single" w:color="auto" w:sz="4" w:space="0"/>
              <w:left w:val="single" w:color="auto" w:sz="4" w:space="0"/>
              <w:bottom w:val="single" w:color="auto" w:sz="4" w:space="0"/>
              <w:right w:val="single" w:color="auto" w:sz="4" w:space="0"/>
            </w:tcBorders>
            <w:shd w:val="clear" w:color="auto" w:fill="auto"/>
            <w:vAlign w:val="center"/>
          </w:tcPr>
          <w:p w14:paraId="7E104961">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8.</w:t>
            </w:r>
            <w:r>
              <w:rPr>
                <w:rFonts w:hint="default" w:ascii="Times New Roman" w:hAnsi="Times New Roman" w:eastAsia="宋体" w:cs="Times New Roman"/>
                <w:b w:val="0"/>
                <w:bCs w:val="0"/>
                <w:color w:val="auto"/>
                <w:sz w:val="24"/>
                <w:szCs w:val="24"/>
                <w:highlight w:val="none"/>
                <w:lang w:val="en-US" w:eastAsia="zh-CN"/>
              </w:rPr>
              <w:t>服务</w:t>
            </w:r>
            <w:r>
              <w:rPr>
                <w:rFonts w:hint="default" w:ascii="Times New Roman" w:hAnsi="Times New Roman" w:eastAsia="宋体" w:cs="Times New Roman"/>
                <w:b w:val="0"/>
                <w:bCs w:val="0"/>
                <w:color w:val="auto"/>
                <w:sz w:val="24"/>
                <w:szCs w:val="24"/>
                <w:highlight w:val="none"/>
              </w:rPr>
              <w:t>保障</w:t>
            </w:r>
            <w:r>
              <w:rPr>
                <w:rFonts w:hint="default" w:ascii="Times New Roman" w:hAnsi="Times New Roman" w:eastAsia="宋体" w:cs="Times New Roman"/>
                <w:b w:val="0"/>
                <w:bCs w:val="0"/>
                <w:color w:val="auto"/>
                <w:sz w:val="24"/>
                <w:szCs w:val="24"/>
                <w:highlight w:val="none"/>
                <w:lang w:val="en-US" w:eastAsia="zh-CN"/>
              </w:rPr>
              <w:t>方案</w:t>
            </w:r>
          </w:p>
        </w:tc>
        <w:tc>
          <w:tcPr>
            <w:tcW w:w="4020" w:type="dxa"/>
            <w:tcBorders>
              <w:top w:val="single" w:color="auto" w:sz="4" w:space="0"/>
              <w:left w:val="single" w:color="auto" w:sz="4" w:space="0"/>
              <w:bottom w:val="single" w:color="auto" w:sz="4" w:space="0"/>
              <w:right w:val="single" w:color="auto" w:sz="4" w:space="0"/>
            </w:tcBorders>
            <w:shd w:val="clear" w:color="auto" w:fill="auto"/>
            <w:vAlign w:val="center"/>
          </w:tcPr>
          <w:p w14:paraId="6F1EEDCA">
            <w:pPr>
              <w:pStyle w:val="25"/>
              <w:keepNext w:val="0"/>
              <w:keepLines w:val="0"/>
              <w:pageBreakBefore w:val="0"/>
              <w:numPr>
                <w:ilvl w:val="-1"/>
                <w:numId w:val="0"/>
              </w:numPr>
              <w:kinsoku/>
              <w:wordWrap/>
              <w:overflowPunct/>
              <w:topLinePunct w:val="0"/>
              <w:autoSpaceDE/>
              <w:autoSpaceDN/>
              <w:bidi w:val="0"/>
              <w:adjustRightInd/>
              <w:snapToGrid/>
              <w:spacing w:after="0" w:line="400" w:lineRule="exact"/>
              <w:ind w:right="-21" w:rightChars="-10" w:firstLine="0"/>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lang w:eastAsia="zh-CN"/>
              </w:rPr>
              <w:t>针对</w:t>
            </w:r>
            <w:r>
              <w:rPr>
                <w:rFonts w:hint="eastAsia" w:ascii="Times New Roman" w:hAnsi="Times New Roman" w:eastAsia="宋体" w:cs="Times New Roman"/>
                <w:b w:val="0"/>
                <w:bCs w:val="0"/>
                <w:color w:val="auto"/>
                <w:sz w:val="24"/>
                <w:szCs w:val="24"/>
                <w:highlight w:val="none"/>
                <w:lang w:val="en-US" w:eastAsia="zh-CN"/>
              </w:rPr>
              <w:t>供应商提供的</w:t>
            </w:r>
            <w:r>
              <w:rPr>
                <w:rFonts w:hint="default" w:ascii="Times New Roman" w:hAnsi="Times New Roman" w:eastAsia="宋体" w:cs="Times New Roman"/>
                <w:b w:val="0"/>
                <w:bCs w:val="0"/>
                <w:color w:val="auto"/>
                <w:sz w:val="24"/>
                <w:szCs w:val="24"/>
                <w:highlight w:val="none"/>
                <w:lang w:val="en-US" w:eastAsia="zh-CN"/>
              </w:rPr>
              <w:t>服务</w:t>
            </w:r>
            <w:r>
              <w:rPr>
                <w:rFonts w:hint="default" w:ascii="Times New Roman" w:hAnsi="Times New Roman" w:eastAsia="宋体" w:cs="Times New Roman"/>
                <w:b w:val="0"/>
                <w:bCs w:val="0"/>
                <w:color w:val="auto"/>
                <w:sz w:val="24"/>
                <w:szCs w:val="24"/>
                <w:highlight w:val="none"/>
              </w:rPr>
              <w:t>保障</w:t>
            </w:r>
            <w:r>
              <w:rPr>
                <w:rFonts w:hint="default" w:ascii="Times New Roman" w:hAnsi="Times New Roman" w:eastAsia="宋体" w:cs="Times New Roman"/>
                <w:b w:val="0"/>
                <w:bCs w:val="0"/>
                <w:color w:val="auto"/>
                <w:sz w:val="24"/>
                <w:szCs w:val="24"/>
                <w:highlight w:val="none"/>
                <w:lang w:val="en-US" w:eastAsia="zh-CN"/>
              </w:rPr>
              <w:t>方案</w:t>
            </w:r>
            <w:r>
              <w:rPr>
                <w:rFonts w:hint="default" w:ascii="Times New Roman" w:hAnsi="Times New Roman" w:eastAsia="宋体" w:cs="Times New Roman"/>
                <w:b w:val="0"/>
                <w:bCs w:val="0"/>
                <w:color w:val="auto"/>
                <w:sz w:val="24"/>
                <w:szCs w:val="24"/>
                <w:highlight w:val="none"/>
              </w:rPr>
              <w:t>进行评审</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包含但不限于</w:t>
            </w:r>
            <w:r>
              <w:rPr>
                <w:rFonts w:hint="default" w:ascii="Times New Roman" w:hAnsi="Times New Roman" w:eastAsia="宋体" w:cs="Times New Roman"/>
                <w:b w:val="0"/>
                <w:bCs w:val="0"/>
                <w:color w:val="auto"/>
                <w:sz w:val="24"/>
                <w:szCs w:val="24"/>
                <w:highlight w:val="none"/>
              </w:rPr>
              <w:t>组织保障、制度保障、技术保障、资源保障等方面服务保障措施。</w:t>
            </w:r>
          </w:p>
          <w:p w14:paraId="11937507">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zh-CN" w:eastAsia="zh-CN" w:bidi="ar-SA"/>
              </w:rPr>
            </w:pPr>
            <w:r>
              <w:rPr>
                <w:rFonts w:hint="eastAsia" w:ascii="Times New Roman" w:hAnsi="Times New Roman" w:eastAsia="宋体" w:cs="Times New Roman"/>
                <w:b w:val="0"/>
                <w:bCs w:val="0"/>
                <w:color w:val="auto"/>
                <w:kern w:val="2"/>
                <w:sz w:val="24"/>
                <w:szCs w:val="24"/>
                <w:highlight w:val="none"/>
                <w:lang w:val="zh-CN" w:eastAsia="zh-CN" w:bidi="ar-SA"/>
              </w:rPr>
              <w:t>①服务方案全面、完整、详尽、各项服务措施完善，充分考虑各岗位日常人员配合、工作安排实施方案等因素，可实施性突出，充分满足项目实施要求，得 5 分；</w:t>
            </w:r>
          </w:p>
          <w:p w14:paraId="06904118">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zh-CN" w:eastAsia="zh-CN" w:bidi="ar-SA"/>
              </w:rPr>
            </w:pPr>
            <w:r>
              <w:rPr>
                <w:rFonts w:hint="eastAsia" w:ascii="Times New Roman" w:hAnsi="Times New Roman" w:eastAsia="宋体" w:cs="Times New Roman"/>
                <w:b w:val="0"/>
                <w:bCs w:val="0"/>
                <w:color w:val="auto"/>
                <w:kern w:val="2"/>
                <w:sz w:val="24"/>
                <w:szCs w:val="24"/>
                <w:highlight w:val="none"/>
                <w:lang w:val="zh-CN" w:eastAsia="zh-CN" w:bidi="ar-SA"/>
              </w:rPr>
              <w:t>②服务方案有各项服务措施，各岗位日常人员配合、工作安排具有实施性，满足项目实施要求，得 4 分；</w:t>
            </w:r>
          </w:p>
          <w:p w14:paraId="31E282F0">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zh-CN" w:eastAsia="zh-CN" w:bidi="ar-SA"/>
              </w:rPr>
            </w:pPr>
            <w:r>
              <w:rPr>
                <w:rFonts w:hint="eastAsia" w:ascii="Times New Roman" w:hAnsi="Times New Roman" w:eastAsia="宋体" w:cs="Times New Roman"/>
                <w:b w:val="0"/>
                <w:bCs w:val="0"/>
                <w:color w:val="auto"/>
                <w:kern w:val="2"/>
                <w:sz w:val="24"/>
                <w:szCs w:val="24"/>
                <w:highlight w:val="none"/>
                <w:lang w:val="zh-CN" w:eastAsia="zh-CN" w:bidi="ar-SA"/>
              </w:rPr>
              <w:t>③服务方案简单，服务措施片面，日常人员配合、工作安排合理，得 3 分；</w:t>
            </w:r>
          </w:p>
          <w:p w14:paraId="4949C647">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color w:val="auto"/>
                <w:kern w:val="2"/>
                <w:sz w:val="24"/>
                <w:szCs w:val="24"/>
                <w:highlight w:val="none"/>
                <w:lang w:val="zh-CN" w:eastAsia="zh-CN" w:bidi="ar-SA"/>
              </w:rPr>
            </w:pPr>
            <w:r>
              <w:rPr>
                <w:rFonts w:hint="eastAsia" w:ascii="Times New Roman" w:hAnsi="Times New Roman" w:eastAsia="宋体" w:cs="Times New Roman"/>
                <w:b w:val="0"/>
                <w:bCs w:val="0"/>
                <w:color w:val="auto"/>
                <w:kern w:val="2"/>
                <w:sz w:val="24"/>
                <w:szCs w:val="24"/>
                <w:highlight w:val="none"/>
                <w:lang w:val="zh-CN" w:eastAsia="zh-CN" w:bidi="ar-SA"/>
              </w:rPr>
              <w:t>④服务方案粗糙，服务措施及服务安排存在不足，不满足实际的每天日常工作的得 2 分；</w:t>
            </w:r>
          </w:p>
          <w:p w14:paraId="0A291514">
            <w:pPr>
              <w:pStyle w:val="25"/>
              <w:keepNext w:val="0"/>
              <w:keepLines w:val="0"/>
              <w:pageBreakBefore w:val="0"/>
              <w:numPr>
                <w:ilvl w:val="-1"/>
                <w:numId w:val="0"/>
              </w:numPr>
              <w:kinsoku/>
              <w:wordWrap/>
              <w:overflowPunct/>
              <w:topLinePunct w:val="0"/>
              <w:autoSpaceDE/>
              <w:autoSpaceDN/>
              <w:bidi w:val="0"/>
              <w:adjustRightInd/>
              <w:snapToGrid/>
              <w:spacing w:after="0" w:line="400" w:lineRule="exact"/>
              <w:ind w:right="-21" w:rightChars="-10" w:firstLine="0"/>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zh-CN" w:eastAsia="zh-CN" w:bidi="ar-SA"/>
              </w:rPr>
              <w:t>⑤未提供的不得分。</w:t>
            </w:r>
          </w:p>
        </w:tc>
        <w:tc>
          <w:tcPr>
            <w:tcW w:w="2467" w:type="dxa"/>
            <w:tcBorders>
              <w:top w:val="single" w:color="auto" w:sz="4" w:space="0"/>
              <w:left w:val="single" w:color="auto" w:sz="4" w:space="0"/>
              <w:bottom w:val="single" w:color="auto" w:sz="4" w:space="0"/>
              <w:right w:val="single" w:color="auto" w:sz="4" w:space="0"/>
            </w:tcBorders>
            <w:vAlign w:val="center"/>
          </w:tcPr>
          <w:p w14:paraId="2C549A0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0-5分</w:t>
            </w:r>
          </w:p>
        </w:tc>
      </w:tr>
      <w:tr w14:paraId="0F154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7" w:hRule="atLeast"/>
          <w:jc w:val="center"/>
        </w:trPr>
        <w:tc>
          <w:tcPr>
            <w:tcW w:w="1086" w:type="dxa"/>
            <w:vMerge w:val="continue"/>
            <w:tcBorders>
              <w:left w:val="single" w:color="auto" w:sz="4" w:space="0"/>
              <w:right w:val="single" w:color="auto" w:sz="4" w:space="0"/>
            </w:tcBorders>
            <w:vAlign w:val="center"/>
          </w:tcPr>
          <w:p w14:paraId="196D1E9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p>
        </w:tc>
        <w:tc>
          <w:tcPr>
            <w:tcW w:w="2214" w:type="dxa"/>
            <w:tcBorders>
              <w:top w:val="single" w:color="auto" w:sz="4" w:space="0"/>
              <w:left w:val="single" w:color="auto" w:sz="4" w:space="0"/>
              <w:bottom w:val="single" w:color="auto" w:sz="4" w:space="0"/>
              <w:right w:val="single" w:color="auto" w:sz="4" w:space="0"/>
            </w:tcBorders>
            <w:shd w:val="clear" w:color="auto" w:fill="auto"/>
            <w:vAlign w:val="center"/>
          </w:tcPr>
          <w:p w14:paraId="71B3E272">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9.</w:t>
            </w:r>
            <w:r>
              <w:rPr>
                <w:rFonts w:hint="default" w:ascii="Times New Roman" w:hAnsi="Times New Roman" w:eastAsia="宋体" w:cs="Times New Roman"/>
                <w:b w:val="0"/>
                <w:bCs w:val="0"/>
                <w:color w:val="auto"/>
                <w:sz w:val="24"/>
                <w:szCs w:val="24"/>
                <w:highlight w:val="none"/>
              </w:rPr>
              <w:t>应急</w:t>
            </w:r>
            <w:r>
              <w:rPr>
                <w:rFonts w:hint="eastAsia" w:ascii="Times New Roman" w:hAnsi="Times New Roman" w:eastAsia="宋体" w:cs="Times New Roman"/>
                <w:b w:val="0"/>
                <w:bCs w:val="0"/>
                <w:color w:val="auto"/>
                <w:sz w:val="24"/>
                <w:szCs w:val="24"/>
                <w:highlight w:val="none"/>
                <w:lang w:eastAsia="zh-CN"/>
              </w:rPr>
              <w:t>保障方案</w:t>
            </w:r>
          </w:p>
        </w:tc>
        <w:tc>
          <w:tcPr>
            <w:tcW w:w="4020" w:type="dxa"/>
            <w:tcBorders>
              <w:top w:val="single" w:color="auto" w:sz="4" w:space="0"/>
              <w:left w:val="single" w:color="auto" w:sz="4" w:space="0"/>
              <w:bottom w:val="single" w:color="auto" w:sz="4" w:space="0"/>
              <w:right w:val="single" w:color="auto" w:sz="4" w:space="0"/>
            </w:tcBorders>
            <w:shd w:val="clear" w:color="auto" w:fill="auto"/>
            <w:vAlign w:val="center"/>
          </w:tcPr>
          <w:p w14:paraId="263D57B1">
            <w:pPr>
              <w:pStyle w:val="25"/>
              <w:keepNext w:val="0"/>
              <w:keepLines w:val="0"/>
              <w:pageBreakBefore w:val="0"/>
              <w:numPr>
                <w:ilvl w:val="-1"/>
                <w:numId w:val="0"/>
              </w:numPr>
              <w:kinsoku/>
              <w:wordWrap/>
              <w:overflowPunct/>
              <w:topLinePunct w:val="0"/>
              <w:autoSpaceDE/>
              <w:autoSpaceDN/>
              <w:bidi w:val="0"/>
              <w:adjustRightInd/>
              <w:snapToGrid/>
              <w:spacing w:after="0" w:line="400" w:lineRule="exact"/>
              <w:ind w:right="-21" w:rightChars="-10" w:firstLine="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针对</w:t>
            </w:r>
            <w:r>
              <w:rPr>
                <w:rFonts w:hint="eastAsia" w:ascii="Times New Roman" w:hAnsi="Times New Roman" w:eastAsia="宋体" w:cs="Times New Roman"/>
                <w:b w:val="0"/>
                <w:bCs w:val="0"/>
                <w:color w:val="auto"/>
                <w:sz w:val="24"/>
                <w:szCs w:val="24"/>
                <w:highlight w:val="none"/>
                <w:lang w:val="en-US" w:eastAsia="zh-CN"/>
              </w:rPr>
              <w:t>供应商提供的</w:t>
            </w:r>
            <w:r>
              <w:rPr>
                <w:rFonts w:hint="default" w:ascii="Times New Roman" w:hAnsi="Times New Roman" w:eastAsia="宋体" w:cs="Times New Roman"/>
                <w:b w:val="0"/>
                <w:bCs w:val="0"/>
                <w:color w:val="auto"/>
                <w:sz w:val="24"/>
                <w:szCs w:val="24"/>
                <w:highlight w:val="none"/>
                <w:lang w:val="en-US" w:eastAsia="zh-CN"/>
              </w:rPr>
              <w:t>应急</w:t>
            </w:r>
            <w:r>
              <w:rPr>
                <w:rFonts w:hint="eastAsia" w:ascii="Times New Roman" w:hAnsi="Times New Roman" w:eastAsia="宋体" w:cs="Times New Roman"/>
                <w:b w:val="0"/>
                <w:bCs w:val="0"/>
                <w:color w:val="auto"/>
                <w:sz w:val="24"/>
                <w:szCs w:val="24"/>
                <w:highlight w:val="none"/>
                <w:lang w:val="en-US" w:eastAsia="zh-CN"/>
              </w:rPr>
              <w:t>保障方案进行评审。</w:t>
            </w:r>
            <w:r>
              <w:rPr>
                <w:rFonts w:hint="default" w:ascii="Times New Roman" w:hAnsi="Times New Roman" w:eastAsia="宋体" w:cs="Times New Roman"/>
                <w:b w:val="0"/>
                <w:bCs w:val="0"/>
                <w:color w:val="auto"/>
                <w:sz w:val="24"/>
                <w:szCs w:val="24"/>
                <w:highlight w:val="none"/>
                <w:lang w:val="en-US" w:eastAsia="zh-CN"/>
              </w:rPr>
              <w:t>包含但不限于针对本项目特点</w:t>
            </w:r>
            <w:r>
              <w:rPr>
                <w:rFonts w:hint="eastAsia" w:ascii="Times New Roman" w:hAnsi="Times New Roman" w:eastAsia="宋体" w:cs="Times New Roman"/>
                <w:b w:val="0"/>
                <w:bCs w:val="0"/>
                <w:color w:val="auto"/>
                <w:sz w:val="24"/>
                <w:szCs w:val="24"/>
                <w:highlight w:val="none"/>
                <w:lang w:val="en-US" w:eastAsia="zh-CN"/>
              </w:rPr>
              <w:t>进行风险分析，制定</w:t>
            </w:r>
            <w:r>
              <w:rPr>
                <w:rFonts w:hint="default" w:ascii="Times New Roman" w:hAnsi="Times New Roman" w:eastAsia="宋体" w:cs="Times New Roman"/>
                <w:b w:val="0"/>
                <w:bCs w:val="0"/>
                <w:color w:val="auto"/>
                <w:sz w:val="24"/>
                <w:szCs w:val="24"/>
                <w:highlight w:val="none"/>
                <w:lang w:val="en-US" w:eastAsia="zh-CN"/>
              </w:rPr>
              <w:t>可能发生的各种突发事件</w:t>
            </w:r>
            <w:r>
              <w:rPr>
                <w:rFonts w:hint="eastAsia" w:ascii="Times New Roman" w:hAnsi="Times New Roman" w:eastAsia="宋体" w:cs="Times New Roman"/>
                <w:b w:val="0"/>
                <w:bCs w:val="0"/>
                <w:color w:val="auto"/>
                <w:sz w:val="24"/>
                <w:szCs w:val="24"/>
                <w:highlight w:val="none"/>
                <w:lang w:val="en-US" w:eastAsia="zh-CN"/>
              </w:rPr>
              <w:t>制定</w:t>
            </w:r>
            <w:r>
              <w:rPr>
                <w:rFonts w:hint="default" w:ascii="Times New Roman" w:hAnsi="Times New Roman" w:eastAsia="宋体" w:cs="Times New Roman"/>
                <w:b w:val="0"/>
                <w:bCs w:val="0"/>
                <w:color w:val="auto"/>
                <w:sz w:val="24"/>
                <w:szCs w:val="24"/>
                <w:highlight w:val="none"/>
                <w:lang w:val="en-US" w:eastAsia="zh-CN"/>
              </w:rPr>
              <w:t>应急</w:t>
            </w:r>
            <w:r>
              <w:rPr>
                <w:rFonts w:hint="eastAsia" w:ascii="Times New Roman" w:hAnsi="Times New Roman" w:eastAsia="宋体" w:cs="Times New Roman"/>
                <w:b w:val="0"/>
                <w:bCs w:val="0"/>
                <w:color w:val="auto"/>
                <w:sz w:val="24"/>
                <w:szCs w:val="24"/>
                <w:highlight w:val="none"/>
                <w:lang w:val="en-US" w:eastAsia="zh-CN"/>
              </w:rPr>
              <w:t>保障方案</w:t>
            </w:r>
            <w:r>
              <w:rPr>
                <w:rFonts w:hint="default" w:ascii="Times New Roman" w:hAnsi="Times New Roman" w:eastAsia="宋体" w:cs="Times New Roman"/>
                <w:b w:val="0"/>
                <w:bCs w:val="0"/>
                <w:color w:val="auto"/>
                <w:sz w:val="24"/>
                <w:szCs w:val="24"/>
                <w:highlight w:val="none"/>
                <w:lang w:val="en-US" w:eastAsia="zh-CN"/>
              </w:rPr>
              <w:t>。</w:t>
            </w:r>
          </w:p>
          <w:p w14:paraId="263B4E83">
            <w:pPr>
              <w:pStyle w:val="25"/>
              <w:keepNext w:val="0"/>
              <w:keepLines w:val="0"/>
              <w:pageBreakBefore w:val="0"/>
              <w:numPr>
                <w:ilvl w:val="-1"/>
                <w:numId w:val="0"/>
              </w:numPr>
              <w:kinsoku/>
              <w:wordWrap/>
              <w:overflowPunct/>
              <w:topLinePunct w:val="0"/>
              <w:autoSpaceDE/>
              <w:autoSpaceDN/>
              <w:bidi w:val="0"/>
              <w:adjustRightInd/>
              <w:snapToGrid/>
              <w:spacing w:after="0" w:line="400" w:lineRule="exact"/>
              <w:ind w:right="-21" w:rightChars="-10" w:firstLine="0"/>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①方案完善，应急响应时间安排合理，应急设备及应急服务人员配备充足，突发情况应急处理控制措施完整可行，得 5 分；</w:t>
            </w:r>
          </w:p>
          <w:p w14:paraId="7DB36769">
            <w:pPr>
              <w:pStyle w:val="25"/>
              <w:keepNext w:val="0"/>
              <w:keepLines w:val="0"/>
              <w:pageBreakBefore w:val="0"/>
              <w:numPr>
                <w:ilvl w:val="-1"/>
                <w:numId w:val="0"/>
              </w:numPr>
              <w:kinsoku/>
              <w:wordWrap/>
              <w:overflowPunct/>
              <w:topLinePunct w:val="0"/>
              <w:autoSpaceDE/>
              <w:autoSpaceDN/>
              <w:bidi w:val="0"/>
              <w:adjustRightInd/>
              <w:snapToGrid/>
              <w:spacing w:after="0" w:line="400" w:lineRule="exact"/>
              <w:ind w:right="-21" w:rightChars="-10" w:firstLine="0"/>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②方案合理，应急响应时间安排合理，应急设备及应急服务人员配备可行，可以完成突发情况应急处理，得 4 分；</w:t>
            </w:r>
          </w:p>
          <w:p w14:paraId="18B9178A">
            <w:pPr>
              <w:pStyle w:val="25"/>
              <w:keepNext w:val="0"/>
              <w:keepLines w:val="0"/>
              <w:pageBreakBefore w:val="0"/>
              <w:numPr>
                <w:ilvl w:val="-1"/>
                <w:numId w:val="0"/>
              </w:numPr>
              <w:kinsoku/>
              <w:wordWrap/>
              <w:overflowPunct/>
              <w:topLinePunct w:val="0"/>
              <w:autoSpaceDE/>
              <w:autoSpaceDN/>
              <w:bidi w:val="0"/>
              <w:adjustRightInd/>
              <w:snapToGrid/>
              <w:spacing w:after="0" w:line="400" w:lineRule="exact"/>
              <w:ind w:right="-21" w:rightChars="-10" w:firstLine="0"/>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③方案简单，应急响应时间、应急设备及应急服务人员配备勉强满足项目需求且出现非专门针对本项目特性内容，方案有待改善，得 3 分；</w:t>
            </w:r>
          </w:p>
          <w:p w14:paraId="496D20C3">
            <w:pPr>
              <w:pStyle w:val="25"/>
              <w:keepNext w:val="0"/>
              <w:keepLines w:val="0"/>
              <w:pageBreakBefore w:val="0"/>
              <w:numPr>
                <w:ilvl w:val="-1"/>
                <w:numId w:val="0"/>
              </w:numPr>
              <w:kinsoku/>
              <w:wordWrap/>
              <w:overflowPunct/>
              <w:topLinePunct w:val="0"/>
              <w:autoSpaceDE/>
              <w:autoSpaceDN/>
              <w:bidi w:val="0"/>
              <w:adjustRightInd/>
              <w:snapToGrid/>
              <w:spacing w:after="0" w:line="400" w:lineRule="exact"/>
              <w:ind w:right="-21" w:rightChars="-10" w:firstLine="0"/>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④方案、应急响应时间安排不合理，应急设备及应急服务人员实施有矛盾，有逻辑漏洞、常识性错误的情形，得 2 分；</w:t>
            </w:r>
          </w:p>
          <w:p w14:paraId="188E29D0">
            <w:pPr>
              <w:pStyle w:val="25"/>
              <w:keepNext w:val="0"/>
              <w:keepLines w:val="0"/>
              <w:pageBreakBefore w:val="0"/>
              <w:numPr>
                <w:ilvl w:val="-1"/>
                <w:numId w:val="0"/>
              </w:numPr>
              <w:kinsoku/>
              <w:wordWrap/>
              <w:overflowPunct/>
              <w:topLinePunct w:val="0"/>
              <w:autoSpaceDE/>
              <w:autoSpaceDN/>
              <w:bidi w:val="0"/>
              <w:adjustRightInd/>
              <w:snapToGrid/>
              <w:spacing w:after="0" w:line="400" w:lineRule="exact"/>
              <w:ind w:right="-21" w:rightChars="-10" w:firstLine="0"/>
              <w:textAlignment w:val="auto"/>
              <w:rPr>
                <w:rFonts w:hint="eastAsia" w:ascii="Times New Roman" w:hAnsi="Times New Roman" w:eastAsia="宋体" w:cs="Times New Roman"/>
                <w:b w:val="0"/>
                <w:bCs w:val="0"/>
                <w:color w:val="auto"/>
                <w:spacing w:val="4"/>
                <w:kern w:val="2"/>
                <w:sz w:val="24"/>
                <w:szCs w:val="24"/>
                <w:highlight w:val="none"/>
                <w:lang w:val="en-US" w:eastAsia="zh-CN" w:bidi="ar-SA"/>
              </w:rPr>
            </w:pPr>
            <w:r>
              <w:rPr>
                <w:rFonts w:hint="eastAsia" w:ascii="Times New Roman" w:hAnsi="Times New Roman" w:eastAsia="宋体" w:cs="Times New Roman"/>
                <w:b w:val="0"/>
                <w:bCs w:val="0"/>
                <w:color w:val="auto"/>
                <w:sz w:val="24"/>
                <w:szCs w:val="24"/>
                <w:highlight w:val="none"/>
                <w:lang w:val="en-US" w:eastAsia="zh-CN"/>
              </w:rPr>
              <w:t>⑤未提供不得分。</w:t>
            </w:r>
          </w:p>
        </w:tc>
        <w:tc>
          <w:tcPr>
            <w:tcW w:w="2467" w:type="dxa"/>
            <w:tcBorders>
              <w:top w:val="single" w:color="auto" w:sz="4" w:space="0"/>
              <w:left w:val="single" w:color="auto" w:sz="4" w:space="0"/>
              <w:bottom w:val="single" w:color="auto" w:sz="4" w:space="0"/>
              <w:right w:val="single" w:color="auto" w:sz="4" w:space="0"/>
            </w:tcBorders>
            <w:vAlign w:val="center"/>
          </w:tcPr>
          <w:p w14:paraId="5234402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0-5分</w:t>
            </w:r>
          </w:p>
          <w:p w14:paraId="7EF01E68">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p>
        </w:tc>
      </w:tr>
      <w:tr w14:paraId="00C1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8" w:hRule="atLeast"/>
          <w:jc w:val="center"/>
        </w:trPr>
        <w:tc>
          <w:tcPr>
            <w:tcW w:w="1086" w:type="dxa"/>
            <w:tcBorders>
              <w:left w:val="single" w:color="auto" w:sz="4" w:space="0"/>
              <w:right w:val="single" w:color="auto" w:sz="4" w:space="0"/>
            </w:tcBorders>
            <w:vAlign w:val="center"/>
          </w:tcPr>
          <w:p w14:paraId="12DC527D">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p>
        </w:tc>
        <w:tc>
          <w:tcPr>
            <w:tcW w:w="2214" w:type="dxa"/>
            <w:tcBorders>
              <w:top w:val="single" w:color="auto" w:sz="4" w:space="0"/>
              <w:left w:val="single" w:color="auto" w:sz="4" w:space="0"/>
              <w:bottom w:val="single" w:color="auto" w:sz="4" w:space="0"/>
              <w:right w:val="single" w:color="auto" w:sz="4" w:space="0"/>
            </w:tcBorders>
            <w:shd w:val="clear" w:color="auto" w:fill="auto"/>
            <w:vAlign w:val="center"/>
          </w:tcPr>
          <w:p w14:paraId="3246A516">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10.人员管理</w:t>
            </w:r>
            <w:r>
              <w:rPr>
                <w:rFonts w:hint="default" w:ascii="Times New Roman" w:hAnsi="Times New Roman" w:eastAsia="宋体" w:cs="Times New Roman"/>
                <w:b w:val="0"/>
                <w:bCs w:val="0"/>
                <w:color w:val="auto"/>
                <w:sz w:val="24"/>
                <w:szCs w:val="24"/>
                <w:highlight w:val="none"/>
                <w:lang w:val="en-US" w:eastAsia="zh-CN"/>
              </w:rPr>
              <w:t>方案</w:t>
            </w:r>
          </w:p>
        </w:tc>
        <w:tc>
          <w:tcPr>
            <w:tcW w:w="4020" w:type="dxa"/>
            <w:tcBorders>
              <w:top w:val="single" w:color="auto" w:sz="4" w:space="0"/>
              <w:left w:val="single" w:color="auto" w:sz="4" w:space="0"/>
              <w:bottom w:val="single" w:color="auto" w:sz="4" w:space="0"/>
              <w:right w:val="single" w:color="auto" w:sz="4" w:space="0"/>
            </w:tcBorders>
            <w:shd w:val="clear" w:color="auto" w:fill="auto"/>
            <w:vAlign w:val="center"/>
          </w:tcPr>
          <w:p w14:paraId="33C6F084">
            <w:pPr>
              <w:pStyle w:val="25"/>
              <w:keepNext w:val="0"/>
              <w:keepLines w:val="0"/>
              <w:pageBreakBefore w:val="0"/>
              <w:numPr>
                <w:ilvl w:val="-1"/>
                <w:numId w:val="0"/>
              </w:numPr>
              <w:kinsoku/>
              <w:wordWrap/>
              <w:overflowPunct/>
              <w:topLinePunct w:val="0"/>
              <w:autoSpaceDE/>
              <w:autoSpaceDN/>
              <w:bidi w:val="0"/>
              <w:adjustRightInd/>
              <w:snapToGrid/>
              <w:spacing w:after="0" w:line="400" w:lineRule="exact"/>
              <w:ind w:right="-21" w:rightChars="-10" w:firstLine="0"/>
              <w:textAlignment w:val="auto"/>
              <w:rPr>
                <w:rFonts w:hint="eastAsia" w:ascii="宋体" w:hAnsi="宋体" w:eastAsia="宋体" w:cs="宋体"/>
                <w:color w:val="auto"/>
                <w:spacing w:val="1"/>
                <w:kern w:val="0"/>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eastAsia="zh-CN"/>
              </w:rPr>
              <w:t>针对</w:t>
            </w:r>
            <w:r>
              <w:rPr>
                <w:rFonts w:hint="eastAsia" w:ascii="Times New Roman" w:hAnsi="Times New Roman" w:eastAsia="宋体" w:cs="Times New Roman"/>
                <w:b w:val="0"/>
                <w:bCs w:val="0"/>
                <w:color w:val="auto"/>
                <w:sz w:val="24"/>
                <w:szCs w:val="24"/>
                <w:highlight w:val="none"/>
                <w:lang w:val="en-US" w:eastAsia="zh-CN"/>
              </w:rPr>
              <w:t>供应商提供的人员管理</w:t>
            </w:r>
            <w:r>
              <w:rPr>
                <w:rFonts w:hint="default" w:ascii="Times New Roman" w:hAnsi="Times New Roman" w:eastAsia="宋体" w:cs="Times New Roman"/>
                <w:b w:val="0"/>
                <w:bCs w:val="0"/>
                <w:color w:val="auto"/>
                <w:sz w:val="24"/>
                <w:szCs w:val="24"/>
                <w:highlight w:val="none"/>
                <w:lang w:val="en-US" w:eastAsia="zh-CN"/>
              </w:rPr>
              <w:t>方案</w:t>
            </w:r>
            <w:r>
              <w:rPr>
                <w:rFonts w:hint="eastAsia" w:ascii="Times New Roman" w:hAnsi="Times New Roman" w:eastAsia="宋体" w:cs="Times New Roman"/>
                <w:b w:val="0"/>
                <w:bCs w:val="0"/>
                <w:color w:val="auto"/>
                <w:sz w:val="24"/>
                <w:szCs w:val="24"/>
                <w:highlight w:val="none"/>
                <w:lang w:eastAsia="zh-CN"/>
              </w:rPr>
              <w:t>进行评审。</w:t>
            </w:r>
            <w:r>
              <w:rPr>
                <w:rFonts w:hint="default" w:ascii="Times New Roman" w:hAnsi="Times New Roman" w:eastAsia="宋体" w:cs="Times New Roman"/>
                <w:b w:val="0"/>
                <w:bCs w:val="0"/>
                <w:strike w:val="0"/>
                <w:dstrike w:val="0"/>
                <w:color w:val="auto"/>
                <w:sz w:val="24"/>
                <w:szCs w:val="24"/>
                <w:highlight w:val="none"/>
                <w:lang w:val="en-US" w:eastAsia="zh-CN"/>
              </w:rPr>
              <w:t>包含但不限于</w:t>
            </w:r>
            <w:r>
              <w:rPr>
                <w:rFonts w:hint="eastAsia" w:ascii="Times New Roman" w:hAnsi="Times New Roman" w:eastAsia="宋体" w:cs="Times New Roman"/>
                <w:b w:val="0"/>
                <w:bCs w:val="0"/>
                <w:strike w:val="0"/>
                <w:dstrike w:val="0"/>
                <w:color w:val="auto"/>
                <w:sz w:val="24"/>
                <w:szCs w:val="24"/>
                <w:highlight w:val="none"/>
                <w:lang w:val="en-US" w:eastAsia="zh-CN"/>
              </w:rPr>
              <w:t>人员分工安排、排班安排、</w:t>
            </w:r>
            <w:r>
              <w:rPr>
                <w:rFonts w:hint="eastAsia" w:ascii="宋体" w:hAnsi="宋体" w:eastAsia="宋体" w:cs="宋体"/>
                <w:color w:val="auto"/>
                <w:spacing w:val="1"/>
                <w:kern w:val="0"/>
                <w:sz w:val="24"/>
                <w:szCs w:val="24"/>
                <w:highlight w:val="none"/>
                <w:lang w:val="en-US" w:eastAsia="zh-CN" w:bidi="ar-SA"/>
              </w:rPr>
              <w:t>岗位考核制度、工作纪律制度、人员培训制度等。</w:t>
            </w:r>
          </w:p>
          <w:p w14:paraId="5EBE4812">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strike w:val="0"/>
                <w:dstrike w:val="0"/>
                <w:color w:val="auto"/>
                <w:kern w:val="2"/>
                <w:sz w:val="24"/>
                <w:szCs w:val="24"/>
                <w:highlight w:val="none"/>
                <w:lang w:val="en-US" w:eastAsia="zh-CN" w:bidi="ar-SA"/>
              </w:rPr>
            </w:pPr>
            <w:r>
              <w:rPr>
                <w:rFonts w:hint="eastAsia" w:ascii="Times New Roman" w:hAnsi="Times New Roman" w:eastAsia="宋体" w:cs="Times New Roman"/>
                <w:b w:val="0"/>
                <w:bCs w:val="0"/>
                <w:strike w:val="0"/>
                <w:dstrike w:val="0"/>
                <w:color w:val="auto"/>
                <w:kern w:val="2"/>
                <w:sz w:val="24"/>
                <w:szCs w:val="24"/>
                <w:highlight w:val="none"/>
                <w:lang w:val="en-US" w:eastAsia="zh-CN" w:bidi="ar-SA"/>
              </w:rPr>
              <w:t>①人员分工安排、岗位考核制度、工作纪律制度、人员培训制度等切合实际情况，各部分有深入的表述，解决方案合理、有具体切实可行的保障措施的得 5分；</w:t>
            </w:r>
          </w:p>
          <w:p w14:paraId="3AF02895">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strike w:val="0"/>
                <w:dstrike w:val="0"/>
                <w:color w:val="auto"/>
                <w:kern w:val="2"/>
                <w:sz w:val="24"/>
                <w:szCs w:val="24"/>
                <w:highlight w:val="none"/>
                <w:lang w:val="en-US" w:eastAsia="zh-CN" w:bidi="ar-SA"/>
              </w:rPr>
            </w:pPr>
            <w:r>
              <w:rPr>
                <w:rFonts w:hint="eastAsia" w:ascii="Times New Roman" w:hAnsi="Times New Roman" w:eastAsia="宋体" w:cs="Times New Roman"/>
                <w:b w:val="0"/>
                <w:bCs w:val="0"/>
                <w:strike w:val="0"/>
                <w:dstrike w:val="0"/>
                <w:color w:val="auto"/>
                <w:kern w:val="2"/>
                <w:sz w:val="24"/>
                <w:szCs w:val="24"/>
                <w:highlight w:val="none"/>
                <w:lang w:val="en-US" w:eastAsia="zh-CN" w:bidi="ar-SA"/>
              </w:rPr>
              <w:t>②人员分工安排、岗位考核制度、工作纪律制度、人员培训制度符合实际情况，内容完整、表述清晰，有保障措施，措施实施内容具体可行的得 4 分；</w:t>
            </w:r>
          </w:p>
          <w:p w14:paraId="1ED2B698">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strike w:val="0"/>
                <w:dstrike w:val="0"/>
                <w:color w:val="auto"/>
                <w:kern w:val="2"/>
                <w:sz w:val="24"/>
                <w:szCs w:val="24"/>
                <w:highlight w:val="none"/>
                <w:lang w:val="en-US" w:eastAsia="zh-CN" w:bidi="ar-SA"/>
              </w:rPr>
            </w:pPr>
            <w:r>
              <w:rPr>
                <w:rFonts w:hint="eastAsia" w:ascii="Times New Roman" w:hAnsi="Times New Roman" w:eastAsia="宋体" w:cs="Times New Roman"/>
                <w:b w:val="0"/>
                <w:bCs w:val="0"/>
                <w:strike w:val="0"/>
                <w:dstrike w:val="0"/>
                <w:color w:val="auto"/>
                <w:kern w:val="2"/>
                <w:sz w:val="24"/>
                <w:szCs w:val="24"/>
                <w:highlight w:val="none"/>
                <w:lang w:val="en-US" w:eastAsia="zh-CN" w:bidi="ar-SA"/>
              </w:rPr>
              <w:t>③人员分工安排、岗位考核制度、工作纪律制度、人员培训制度方案满足项目要求，内容完整，考虑了保障措施，保障措施及解决方案出现非专门针对本项目内容的得 3分；</w:t>
            </w:r>
          </w:p>
          <w:p w14:paraId="7B8C38C9">
            <w:pPr>
              <w:keepNext w:val="0"/>
              <w:keepLines w:val="0"/>
              <w:pageBreakBefore w:val="0"/>
              <w:kinsoku/>
              <w:wordWrap/>
              <w:overflowPunct/>
              <w:topLinePunct w:val="0"/>
              <w:autoSpaceDE/>
              <w:autoSpaceDN/>
              <w:bidi w:val="0"/>
              <w:snapToGrid/>
              <w:spacing w:line="400" w:lineRule="exact"/>
              <w:jc w:val="left"/>
              <w:textAlignment w:val="auto"/>
              <w:rPr>
                <w:rFonts w:hint="eastAsia" w:ascii="Times New Roman" w:hAnsi="Times New Roman" w:eastAsia="宋体" w:cs="Times New Roman"/>
                <w:b w:val="0"/>
                <w:bCs w:val="0"/>
                <w:strike w:val="0"/>
                <w:dstrike w:val="0"/>
                <w:color w:val="auto"/>
                <w:kern w:val="2"/>
                <w:sz w:val="24"/>
                <w:szCs w:val="24"/>
                <w:highlight w:val="none"/>
                <w:lang w:val="en-US" w:eastAsia="zh-CN" w:bidi="ar-SA"/>
              </w:rPr>
            </w:pPr>
            <w:r>
              <w:rPr>
                <w:rFonts w:hint="eastAsia" w:ascii="Times New Roman" w:hAnsi="Times New Roman" w:eastAsia="宋体" w:cs="Times New Roman"/>
                <w:b w:val="0"/>
                <w:bCs w:val="0"/>
                <w:strike w:val="0"/>
                <w:dstrike w:val="0"/>
                <w:color w:val="auto"/>
                <w:kern w:val="2"/>
                <w:sz w:val="24"/>
                <w:szCs w:val="24"/>
                <w:highlight w:val="none"/>
                <w:lang w:val="en-US" w:eastAsia="zh-CN" w:bidi="ar-SA"/>
              </w:rPr>
              <w:t>④人员分工安排、岗位考核制度、工作纪律制度、人员培训制度方案满足项目要求但有矛盾点、可行性受影响，对各个环节的保障措施、解决方案等缺项或关键点缺失的得 2分；</w:t>
            </w:r>
          </w:p>
          <w:p w14:paraId="263B029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highlight w:val="none"/>
                <w:lang w:eastAsia="zh-CN"/>
              </w:rPr>
            </w:pPr>
            <w:r>
              <w:rPr>
                <w:rFonts w:hint="eastAsia" w:ascii="Times New Roman" w:hAnsi="Times New Roman" w:eastAsia="宋体" w:cs="Times New Roman"/>
                <w:b w:val="0"/>
                <w:bCs w:val="0"/>
                <w:strike w:val="0"/>
                <w:dstrike w:val="0"/>
                <w:color w:val="auto"/>
                <w:kern w:val="2"/>
                <w:sz w:val="24"/>
                <w:szCs w:val="24"/>
                <w:highlight w:val="none"/>
                <w:lang w:val="en-US" w:eastAsia="zh-CN" w:bidi="ar-SA"/>
              </w:rPr>
              <w:t>⑤未提供的，不得分。</w:t>
            </w:r>
          </w:p>
        </w:tc>
        <w:tc>
          <w:tcPr>
            <w:tcW w:w="2467" w:type="dxa"/>
            <w:tcBorders>
              <w:top w:val="single" w:color="auto" w:sz="4" w:space="0"/>
              <w:left w:val="single" w:color="auto" w:sz="4" w:space="0"/>
              <w:bottom w:val="single" w:color="auto" w:sz="4" w:space="0"/>
              <w:right w:val="single" w:color="auto" w:sz="4" w:space="0"/>
            </w:tcBorders>
            <w:vAlign w:val="center"/>
          </w:tcPr>
          <w:p w14:paraId="1D489DAE">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strike w:val="0"/>
                <w:dstrike w:val="0"/>
                <w:color w:val="auto"/>
                <w:kern w:val="2"/>
                <w:sz w:val="24"/>
                <w:szCs w:val="24"/>
                <w:highlight w:val="none"/>
                <w:lang w:val="en-US" w:eastAsia="zh-CN" w:bidi="ar-SA"/>
              </w:rPr>
            </w:pPr>
            <w:r>
              <w:rPr>
                <w:rFonts w:hint="default" w:ascii="Times New Roman" w:hAnsi="Times New Roman" w:eastAsia="宋体" w:cs="Times New Roman"/>
                <w:b w:val="0"/>
                <w:bCs w:val="0"/>
                <w:strike w:val="0"/>
                <w:dstrike w:val="0"/>
                <w:color w:val="auto"/>
                <w:kern w:val="2"/>
                <w:sz w:val="24"/>
                <w:szCs w:val="24"/>
                <w:highlight w:val="none"/>
                <w:lang w:val="en-US" w:eastAsia="zh-CN" w:bidi="ar-SA"/>
              </w:rPr>
              <w:t>0-5分</w:t>
            </w:r>
          </w:p>
        </w:tc>
      </w:tr>
      <w:tr w14:paraId="5C30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7" w:hRule="atLeast"/>
          <w:jc w:val="center"/>
        </w:trPr>
        <w:tc>
          <w:tcPr>
            <w:tcW w:w="1086" w:type="dxa"/>
            <w:tcBorders>
              <w:left w:val="single" w:color="auto" w:sz="4" w:space="0"/>
              <w:right w:val="single" w:color="auto" w:sz="4" w:space="0"/>
            </w:tcBorders>
            <w:vAlign w:val="center"/>
          </w:tcPr>
          <w:p w14:paraId="12CBCFF5">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p>
        </w:tc>
        <w:tc>
          <w:tcPr>
            <w:tcW w:w="2214" w:type="dxa"/>
            <w:tcBorders>
              <w:top w:val="single" w:color="auto" w:sz="4" w:space="0"/>
              <w:left w:val="single" w:color="auto" w:sz="4" w:space="0"/>
              <w:bottom w:val="single" w:color="auto" w:sz="4" w:space="0"/>
              <w:right w:val="single" w:color="auto" w:sz="4" w:space="0"/>
            </w:tcBorders>
            <w:shd w:val="clear" w:color="auto" w:fill="auto"/>
            <w:vAlign w:val="center"/>
          </w:tcPr>
          <w:p w14:paraId="4FFF301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11.创新服务方案</w:t>
            </w:r>
          </w:p>
        </w:tc>
        <w:tc>
          <w:tcPr>
            <w:tcW w:w="4020" w:type="dxa"/>
            <w:tcBorders>
              <w:top w:val="single" w:color="auto" w:sz="4" w:space="0"/>
              <w:left w:val="single" w:color="auto" w:sz="4" w:space="0"/>
              <w:bottom w:val="single" w:color="auto" w:sz="4" w:space="0"/>
              <w:right w:val="single" w:color="auto" w:sz="4" w:space="0"/>
            </w:tcBorders>
            <w:shd w:val="clear" w:color="auto" w:fill="auto"/>
            <w:vAlign w:val="center"/>
          </w:tcPr>
          <w:p w14:paraId="4EDC93D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eastAsia="zh-CN"/>
              </w:rPr>
            </w:pPr>
            <w:r>
              <w:rPr>
                <w:rFonts w:hint="default" w:ascii="Times New Roman" w:hAnsi="Times New Roman" w:eastAsia="宋体" w:cs="Times New Roman"/>
                <w:b w:val="0"/>
                <w:bCs w:val="0"/>
                <w:color w:val="auto"/>
                <w:sz w:val="24"/>
                <w:szCs w:val="24"/>
                <w:highlight w:val="none"/>
                <w:lang w:eastAsia="zh-CN"/>
              </w:rPr>
              <w:t>针对</w:t>
            </w:r>
            <w:r>
              <w:rPr>
                <w:rFonts w:hint="eastAsia" w:ascii="Times New Roman" w:hAnsi="Times New Roman" w:eastAsia="宋体" w:cs="Times New Roman"/>
                <w:b w:val="0"/>
                <w:bCs w:val="0"/>
                <w:color w:val="auto"/>
                <w:sz w:val="24"/>
                <w:szCs w:val="24"/>
                <w:highlight w:val="none"/>
                <w:lang w:val="en-US" w:eastAsia="zh-CN"/>
              </w:rPr>
              <w:t>供应商提供的创新服务方案</w:t>
            </w:r>
            <w:r>
              <w:rPr>
                <w:rFonts w:hint="default" w:ascii="Times New Roman" w:hAnsi="Times New Roman" w:eastAsia="宋体" w:cs="Times New Roman"/>
                <w:b w:val="0"/>
                <w:bCs w:val="0"/>
                <w:color w:val="auto"/>
                <w:sz w:val="24"/>
                <w:szCs w:val="24"/>
                <w:highlight w:val="none"/>
              </w:rPr>
              <w:t>进行评审</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strike w:val="0"/>
                <w:dstrike w:val="0"/>
                <w:color w:val="auto"/>
                <w:sz w:val="24"/>
                <w:szCs w:val="24"/>
                <w:highlight w:val="none"/>
                <w:lang w:val="en-US" w:eastAsia="zh-CN"/>
              </w:rPr>
              <w:t>包含但不限于</w:t>
            </w:r>
            <w:r>
              <w:rPr>
                <w:rFonts w:ascii="宋体" w:hAnsi="宋体" w:eastAsia="宋体" w:cs="宋体"/>
                <w:color w:val="auto"/>
                <w:sz w:val="24"/>
                <w:szCs w:val="24"/>
                <w:highlight w:val="none"/>
              </w:rPr>
              <w:t>整体创新服务思路</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创新服务举措</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运维管理模式创新方案</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创新服务体系</w:t>
            </w:r>
            <w:r>
              <w:rPr>
                <w:rFonts w:hint="eastAsia" w:ascii="宋体" w:hAnsi="宋体" w:eastAsia="宋体" w:cs="宋体"/>
                <w:color w:val="auto"/>
                <w:sz w:val="24"/>
                <w:szCs w:val="24"/>
                <w:highlight w:val="none"/>
                <w:lang w:eastAsia="zh-CN"/>
              </w:rPr>
              <w:t>、能够提供的</w:t>
            </w:r>
            <w:r>
              <w:rPr>
                <w:rFonts w:ascii="宋体" w:hAnsi="宋体" w:eastAsia="宋体" w:cs="宋体"/>
                <w:color w:val="auto"/>
                <w:sz w:val="24"/>
                <w:szCs w:val="24"/>
                <w:highlight w:val="none"/>
              </w:rPr>
              <w:t>特色增值创新服务</w:t>
            </w:r>
            <w:r>
              <w:rPr>
                <w:rFonts w:hint="eastAsia" w:ascii="宋体" w:hAnsi="宋体" w:eastAsia="宋体" w:cs="宋体"/>
                <w:color w:val="auto"/>
                <w:sz w:val="24"/>
                <w:szCs w:val="24"/>
                <w:highlight w:val="none"/>
                <w:lang w:eastAsia="zh-CN"/>
              </w:rPr>
              <w:t>等。</w:t>
            </w:r>
          </w:p>
          <w:p w14:paraId="17EA35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①方案编制全面，对项目理解准确、符合程度高、分析透彻、完整、科学合理、思路清晰明了、充分满足项目实施要求的得 5 分；</w:t>
            </w:r>
          </w:p>
          <w:p w14:paraId="70C6AEA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②方案编制内容完整、思路清晰、满足项目采购需求、满足项目实施要求的得4分；</w:t>
            </w:r>
          </w:p>
          <w:p w14:paraId="211BD7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③方案编制内容简单、思路无明显逻辑错误、尚可实施但存在与项目要求不贴合或矛盾的地方的得 3分；</w:t>
            </w:r>
          </w:p>
          <w:p w14:paraId="7BD6775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④方案编制内容缺失、实施流程混乱、存在前后不一致或与本项目无关的内容的得2分；</w:t>
            </w:r>
          </w:p>
          <w:p w14:paraId="702CC2D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⑤未提供的不得分。</w:t>
            </w:r>
          </w:p>
        </w:tc>
        <w:tc>
          <w:tcPr>
            <w:tcW w:w="2467" w:type="dxa"/>
            <w:tcBorders>
              <w:top w:val="single" w:color="auto" w:sz="4" w:space="0"/>
              <w:left w:val="single" w:color="auto" w:sz="4" w:space="0"/>
              <w:bottom w:val="single" w:color="auto" w:sz="4" w:space="0"/>
              <w:right w:val="single" w:color="auto" w:sz="4" w:space="0"/>
            </w:tcBorders>
            <w:vAlign w:val="center"/>
          </w:tcPr>
          <w:p w14:paraId="20163F5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0-5分</w:t>
            </w:r>
          </w:p>
          <w:p w14:paraId="17592E09">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val="0"/>
                <w:color w:val="auto"/>
                <w:sz w:val="24"/>
                <w:szCs w:val="24"/>
                <w:highlight w:val="none"/>
                <w:lang w:val="en-US" w:eastAsia="zh-CN"/>
              </w:rPr>
            </w:pPr>
          </w:p>
        </w:tc>
      </w:tr>
      <w:tr w14:paraId="6389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tcBorders>
              <w:left w:val="single" w:color="auto" w:sz="4" w:space="0"/>
              <w:right w:val="single" w:color="auto" w:sz="4" w:space="0"/>
            </w:tcBorders>
            <w:vAlign w:val="center"/>
          </w:tcPr>
          <w:p w14:paraId="04E72D6B">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价格分</w:t>
            </w:r>
          </w:p>
          <w:p w14:paraId="61F0A908">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w:t>
            </w:r>
            <w:r>
              <w:rPr>
                <w:rFonts w:hint="eastAsia" w:ascii="Times New Roman" w:hAnsi="Times New Roman" w:eastAsia="宋体" w:cs="Times New Roman"/>
                <w:b w:val="0"/>
                <w:bCs w:val="0"/>
                <w:color w:val="auto"/>
                <w:sz w:val="24"/>
                <w:szCs w:val="24"/>
                <w:highlight w:val="none"/>
                <w:u w:val="single"/>
                <w:lang w:val="en-US" w:eastAsia="zh-CN"/>
              </w:rPr>
              <w:t>21</w:t>
            </w:r>
            <w:r>
              <w:rPr>
                <w:rFonts w:hint="default" w:ascii="Times New Roman" w:hAnsi="Times New Roman" w:eastAsia="宋体" w:cs="Times New Roman"/>
                <w:b w:val="0"/>
                <w:bCs w:val="0"/>
                <w:color w:val="auto"/>
                <w:sz w:val="24"/>
                <w:szCs w:val="24"/>
                <w:highlight w:val="none"/>
              </w:rPr>
              <w:t>分）</w:t>
            </w:r>
          </w:p>
        </w:tc>
        <w:tc>
          <w:tcPr>
            <w:tcW w:w="8701" w:type="dxa"/>
            <w:gridSpan w:val="3"/>
            <w:tcBorders>
              <w:top w:val="single" w:color="auto" w:sz="4" w:space="0"/>
              <w:left w:val="single" w:color="auto" w:sz="4" w:space="0"/>
              <w:bottom w:val="single" w:color="auto" w:sz="4" w:space="0"/>
              <w:right w:val="single" w:color="auto" w:sz="4" w:space="0"/>
            </w:tcBorders>
            <w:vAlign w:val="center"/>
          </w:tcPr>
          <w:p w14:paraId="32BFBEBA">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价格分统一采用低价优先法，即满足招标文件要求且投标价格最低的投标报价为评标基准价，其价格分为满分</w:t>
            </w:r>
            <w:r>
              <w:rPr>
                <w:rFonts w:hint="eastAsia" w:ascii="Times New Roman" w:hAnsi="Times New Roman" w:eastAsia="宋体" w:cs="Times New Roman"/>
                <w:b w:val="0"/>
                <w:bCs w:val="0"/>
                <w:color w:val="auto"/>
                <w:sz w:val="24"/>
                <w:szCs w:val="24"/>
                <w:highlight w:val="none"/>
                <w:u w:val="single"/>
                <w:lang w:val="en-US" w:eastAsia="zh-CN"/>
              </w:rPr>
              <w:t>21</w:t>
            </w:r>
            <w:r>
              <w:rPr>
                <w:rFonts w:hint="default" w:ascii="Times New Roman" w:hAnsi="Times New Roman" w:eastAsia="宋体" w:cs="Times New Roman"/>
                <w:b w:val="0"/>
                <w:bCs w:val="0"/>
                <w:color w:val="auto"/>
                <w:sz w:val="24"/>
                <w:szCs w:val="24"/>
                <w:highlight w:val="none"/>
              </w:rPr>
              <w:t>分。其他</w:t>
            </w:r>
            <w:r>
              <w:rPr>
                <w:rFonts w:hint="default" w:ascii="Times New Roman" w:hAnsi="Times New Roman" w:eastAsia="宋体" w:cs="Times New Roman"/>
                <w:b w:val="0"/>
                <w:bCs w:val="0"/>
                <w:color w:val="auto"/>
                <w:sz w:val="24"/>
                <w:szCs w:val="24"/>
                <w:highlight w:val="none"/>
                <w:lang w:eastAsia="zh-CN"/>
              </w:rPr>
              <w:t>供应商</w:t>
            </w:r>
            <w:r>
              <w:rPr>
                <w:rFonts w:hint="default" w:ascii="Times New Roman" w:hAnsi="Times New Roman" w:eastAsia="宋体" w:cs="Times New Roman"/>
                <w:b w:val="0"/>
                <w:bCs w:val="0"/>
                <w:color w:val="auto"/>
                <w:sz w:val="24"/>
                <w:szCs w:val="24"/>
                <w:highlight w:val="none"/>
              </w:rPr>
              <w:t>的价格分统一按照下列公式计算：</w:t>
            </w:r>
          </w:p>
          <w:p w14:paraId="0964EC1D">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投标报价得分＝（评标基准价/投标报价）×</w:t>
            </w:r>
            <w:r>
              <w:rPr>
                <w:rFonts w:hint="eastAsia" w:ascii="Times New Roman" w:hAnsi="Times New Roman" w:eastAsia="宋体" w:cs="Times New Roman"/>
                <w:b w:val="0"/>
                <w:bCs w:val="0"/>
                <w:color w:val="auto"/>
                <w:sz w:val="24"/>
                <w:szCs w:val="24"/>
                <w:highlight w:val="none"/>
                <w:u w:val="single"/>
                <w:lang w:val="en-US" w:eastAsia="zh-CN"/>
              </w:rPr>
              <w:t>21</w:t>
            </w:r>
            <w:r>
              <w:rPr>
                <w:rFonts w:hint="default" w:ascii="Times New Roman" w:hAnsi="Times New Roman" w:eastAsia="宋体" w:cs="Times New Roman"/>
                <w:b w:val="0"/>
                <w:bCs w:val="0"/>
                <w:color w:val="auto"/>
                <w:sz w:val="24"/>
                <w:szCs w:val="24"/>
                <w:highlight w:val="none"/>
              </w:rPr>
              <w:t>％×100</w:t>
            </w:r>
          </w:p>
        </w:tc>
      </w:tr>
    </w:tbl>
    <w:p w14:paraId="12792502">
      <w:pPr>
        <w:numPr>
          <w:ilvl w:val="0"/>
          <w:numId w:val="0"/>
        </w:numPr>
        <w:spacing w:line="360" w:lineRule="auto"/>
        <w:ind w:leftChars="0"/>
        <w:rPr>
          <w:rFonts w:hint="eastAsia"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注：投标总价报价</w:t>
      </w:r>
      <w:r>
        <w:rPr>
          <w:rFonts w:hint="eastAsia" w:ascii="宋体" w:hAnsi="宋体" w:eastAsia="宋体"/>
          <w:color w:val="auto"/>
          <w:sz w:val="24"/>
          <w:highlight w:val="none"/>
          <w:lang w:val="en-US" w:eastAsia="zh-CN"/>
        </w:rPr>
        <w:t>精确到小数点后两位，第三位四舍五入（例：1.126，即为1.13）。</w:t>
      </w:r>
    </w:p>
    <w:p w14:paraId="5D45254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3AEAE3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3B78B13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p w14:paraId="2FCC6605">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三、无效投标条款</w:t>
      </w:r>
    </w:p>
    <w:p w14:paraId="79C0E48C">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3.1投标文件有下列情形之一的,其投标文件拒收:</w:t>
      </w:r>
    </w:p>
    <w:p w14:paraId="1B0400BF">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(1)未在</w:t>
      </w:r>
      <w:r>
        <w:rPr>
          <w:rFonts w:hint="eastAsia" w:ascii="宋体" w:hAnsi="宋体" w:eastAsia="宋体" w:cs="宋体"/>
          <w:color w:val="auto"/>
          <w:sz w:val="24"/>
          <w:highlight w:val="none"/>
          <w:lang w:val="en-US" w:eastAsia="zh-CN"/>
        </w:rPr>
        <w:t>投</w:t>
      </w:r>
      <w:r>
        <w:rPr>
          <w:rFonts w:hint="eastAsia" w:ascii="宋体" w:hAnsi="宋体" w:eastAsia="宋体" w:cs="宋体"/>
          <w:color w:val="auto"/>
          <w:sz w:val="24"/>
          <w:highlight w:val="none"/>
        </w:rPr>
        <w:t>标截止时间前通过网上招标投标系统递交有效电子投标文件的，开标系统不予接收，投标将被拒绝。</w:t>
      </w:r>
    </w:p>
    <w:p w14:paraId="3507033C">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企业接到远程解密指令后，须在规定时间内解密。因投标人自身原因导致投标文件在规定时间内未能解密、解密失败或解密超时，投标文件无效；解密时间：从本项目解密程序开始时计时，至完成投标文件解密时间，不得超过60分钟，否则投标文件将被拒绝。</w:t>
      </w:r>
    </w:p>
    <w:p w14:paraId="621ECB0F">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3.2投标人有下列情形之一的,资格审查后其投标作无效投标处理：</w:t>
      </w:r>
    </w:p>
    <w:p w14:paraId="60EDF8B1">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(1)投标人为本项目提供招标代理服务的；</w:t>
      </w:r>
    </w:p>
    <w:p w14:paraId="16ABA839">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(2)投标人与在本项目代理机构存在相互任职或工作的；</w:t>
      </w:r>
    </w:p>
    <w:p w14:paraId="651FE2F3">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(3)招标公告写明专门面向中小企业采购，投标人提供的货物非中小企业制造的；</w:t>
      </w:r>
    </w:p>
    <w:p w14:paraId="270A0C17">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(4)要求供应商以联合体形式参加采购活动，投标人非联合体或者联合协议中中小企业合同金额未达到应当达到的比例；</w:t>
      </w:r>
    </w:p>
    <w:p w14:paraId="1F173A9C">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(5)要求获得采购合同的供应商向中小企业分包，投标人未提供分包意向协议或者分包意向协议中中小企业合同金额未达到应当达到的比例；</w:t>
      </w:r>
    </w:p>
    <w:p w14:paraId="39943FA8">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(6)评标专家无法查看并检验电子投标文件中相关资料的；</w:t>
      </w:r>
    </w:p>
    <w:p w14:paraId="15C66F04">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(7)联合体投标未提交联合体协议的；</w:t>
      </w:r>
    </w:p>
    <w:p w14:paraId="5950BB19">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(8)责令停产停业的；</w:t>
      </w:r>
    </w:p>
    <w:p w14:paraId="53D3C17A">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(9)暂停或者取消参与政府采购项目资格的；</w:t>
      </w:r>
    </w:p>
    <w:p w14:paraId="111A6F2E">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(10)投标人单位负责人为同一人或者存在（直接）控股、管理关系的不同单位的；</w:t>
      </w:r>
    </w:p>
    <w:p w14:paraId="16759FF0">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(11)投标人基本资格条件和特定资格条件中有一项及以上不符合要求的；</w:t>
      </w:r>
    </w:p>
    <w:p w14:paraId="3E5CE5E2">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79720508">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(13)其它情形，经评标委员会委提出按无效投标处理，并经公共资源交易监督部门核准的；</w:t>
      </w:r>
    </w:p>
    <w:p w14:paraId="1D134A22">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(14)投标人投标MAC地址或投标人联系人或联系电话相同的，由评标委员会否决其投标，并报告监管部门作不良行为处理和进一步调查；</w:t>
      </w:r>
    </w:p>
    <w:p w14:paraId="2AC923B1">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(15)投标人单方面出现其他投标人材料的；</w:t>
      </w:r>
    </w:p>
    <w:p w14:paraId="2E0BC986">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(16)招标公告未写明允许采购进口产品，投标人所投产品为进口产品的；</w:t>
      </w:r>
    </w:p>
    <w:p w14:paraId="048052F7">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(17)招标文件规定的其它无效投标情形。</w:t>
      </w:r>
    </w:p>
    <w:p w14:paraId="7BA11560">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3.3投标人有下列情形之一的,符合性审查后其投标按无效投标处理：</w:t>
      </w:r>
    </w:p>
    <w:p w14:paraId="76955525">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(1)投标文件签字、盖章不全，经评标委员会一致认定对开评标内容有实质性影响并经公共资源交易监督部门核准的；</w:t>
      </w:r>
    </w:p>
    <w:p w14:paraId="32FF90FA">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(2)未按规定的格式填写导致实质性内容不全以及实质上不响应，或者关键字迹模糊、无法辨认;经公共资源交易监督部门核准的；</w:t>
      </w:r>
    </w:p>
    <w:p w14:paraId="3BF80CEF">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(3)同一投标人提交两个以上不同的投标文件或者投标报价，但招标文件规定提交备选方案的除外；</w:t>
      </w:r>
    </w:p>
    <w:p w14:paraId="458DFF6A">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(4)投标文件没有对招标文件的实质性要求和条件作出响应;</w:t>
      </w:r>
    </w:p>
    <w:p w14:paraId="03DF330F">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(5)投标报价超出规定的投标限价或公布的采购预算的或投标人的投标报价各项单价高于招标文件给定的单价最高限价；</w:t>
      </w:r>
    </w:p>
    <w:p w14:paraId="592051AD">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(6)不按评标委员会要求澄清、说明或补正的，或者评标委员会根据招标文件的规定对投标文件的计算错误进行修正后，投标人不接受修正的投标报价的。</w:t>
      </w:r>
    </w:p>
    <w:p w14:paraId="3383E678">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(7)其它情形，经评标委员会委提出按无效投标处理，并经公共资源交易监督部门核准的；</w:t>
      </w:r>
    </w:p>
    <w:p w14:paraId="7DB07B8F">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(8)投标文件含有采购人不能接受的附加条件的；</w:t>
      </w:r>
    </w:p>
    <w:p w14:paraId="42784612">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(9)招标文件规定的其它无效投标情形。</w:t>
      </w:r>
    </w:p>
    <w:p w14:paraId="0B59A6D6">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3.4投标人有下列情形之一的,详细评审后其投标按无效投标处理：</w:t>
      </w:r>
    </w:p>
    <w:p w14:paraId="636FEA40">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(1)投标产品不符合必须强制执行的国家标准的；</w:t>
      </w:r>
    </w:p>
    <w:p w14:paraId="5E185F16">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(2)投标人有串通投标、弄虚作假、行贿等违法行为；</w:t>
      </w:r>
    </w:p>
    <w:p w14:paraId="72F85846">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(3)投标文件含有违反国家法律、法规的内容，或附有采购人不能接受的条件的；</w:t>
      </w:r>
    </w:p>
    <w:p w14:paraId="124E4214">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(4)报价明显低于其他投标人，且不能证明报价合理性的投标无效；</w:t>
      </w:r>
    </w:p>
    <w:p w14:paraId="6D9F9849">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(5)拒不确认评标委员会评审修正的投标无效；</w:t>
      </w:r>
    </w:p>
    <w:p w14:paraId="2B875AE6">
      <w:pPr>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(6)其它情形，经评标委员会委提出按无效投标处理，并经公共资源交易监督部门核准的；</w:t>
      </w:r>
    </w:p>
    <w:p w14:paraId="4469B2D0">
      <w:pPr>
        <w:spacing w:line="500" w:lineRule="exact"/>
        <w:ind w:firstLine="437"/>
        <w:jc w:val="left"/>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(7)招标文件规定的其它无效投标情形。</w:t>
      </w:r>
    </w:p>
    <w:p w14:paraId="17F3CB75">
      <w:pPr>
        <w:spacing w:line="500" w:lineRule="exact"/>
        <w:ind w:firstLine="437"/>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(6)其它情形，经评标委员会委提出按无效投标处理，并经公共资源交易监督部门核准的；</w:t>
      </w:r>
    </w:p>
    <w:p w14:paraId="031BEC83">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(7)招标文件规定的其它无效投标情形</w:t>
      </w:r>
      <w:r>
        <w:rPr>
          <w:rFonts w:hint="eastAsia" w:ascii="宋体" w:hAnsi="宋体" w:eastAsia="宋体" w:cs="宋体"/>
          <w:color w:val="auto"/>
          <w:sz w:val="24"/>
          <w:szCs w:val="24"/>
          <w:highlight w:val="none"/>
          <w:lang w:eastAsia="zh-CN"/>
        </w:rPr>
        <w:t>。</w:t>
      </w:r>
      <w:r>
        <w:rPr>
          <w:rFonts w:asciiTheme="minorEastAsia" w:hAnsiTheme="minorEastAsia" w:eastAsiaTheme="minorEastAsia"/>
          <w:color w:val="auto"/>
          <w:sz w:val="24"/>
          <w:highlight w:val="none"/>
        </w:rPr>
        <w:br w:type="page"/>
      </w:r>
    </w:p>
    <w:p w14:paraId="7A04E521">
      <w:pPr>
        <w:spacing w:line="360" w:lineRule="auto"/>
        <w:jc w:val="center"/>
        <w:outlineLvl w:val="0"/>
        <w:rPr>
          <w:rFonts w:hint="eastAsia" w:asciiTheme="minorEastAsia" w:hAnsiTheme="minorEastAsia" w:eastAsiaTheme="minorEastAsia"/>
          <w:b/>
          <w:color w:val="auto"/>
          <w:sz w:val="28"/>
          <w:highlight w:val="none"/>
          <w:lang w:eastAsia="zh-CN"/>
        </w:rPr>
      </w:pPr>
      <w:bookmarkStart w:id="68" w:name="_Toc20405"/>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68"/>
    </w:p>
    <w:p w14:paraId="045CD849">
      <w:pPr>
        <w:spacing w:line="480" w:lineRule="auto"/>
        <w:jc w:val="center"/>
        <w:outlineLvl w:val="9"/>
        <w:rPr>
          <w:rFonts w:cs="Times New Roman" w:asciiTheme="minorEastAsia" w:hAnsiTheme="minorEastAsia" w:eastAsiaTheme="minorEastAsia"/>
          <w:b/>
          <w:color w:val="auto"/>
          <w:sz w:val="28"/>
          <w:szCs w:val="28"/>
          <w:highlight w:val="none"/>
        </w:rPr>
      </w:pPr>
      <w:bookmarkStart w:id="69" w:name="_Toc331685784"/>
    </w:p>
    <w:p w14:paraId="1D746327">
      <w:pPr>
        <w:spacing w:line="480" w:lineRule="auto"/>
        <w:jc w:val="center"/>
        <w:outlineLvl w:val="9"/>
        <w:rPr>
          <w:rFonts w:cs="Times New Roman" w:asciiTheme="minorEastAsia" w:hAnsiTheme="minorEastAsia" w:eastAsiaTheme="minorEastAsia"/>
          <w:b/>
          <w:color w:val="auto"/>
          <w:sz w:val="28"/>
          <w:szCs w:val="28"/>
          <w:highlight w:val="none"/>
        </w:rPr>
      </w:pPr>
    </w:p>
    <w:p w14:paraId="37C41905">
      <w:pPr>
        <w:pStyle w:val="9"/>
        <w:rPr>
          <w:color w:val="auto"/>
          <w:highlight w:val="none"/>
        </w:rPr>
      </w:pPr>
    </w:p>
    <w:p w14:paraId="1D98AAA3">
      <w:pPr>
        <w:spacing w:line="480" w:lineRule="auto"/>
        <w:jc w:val="center"/>
        <w:outlineLvl w:val="1"/>
        <w:rPr>
          <w:rFonts w:cs="Times New Roman" w:asciiTheme="minorEastAsia" w:hAnsiTheme="minorEastAsia" w:eastAsiaTheme="minorEastAsia"/>
          <w:b/>
          <w:color w:val="auto"/>
          <w:sz w:val="28"/>
          <w:szCs w:val="28"/>
          <w:highlight w:val="none"/>
        </w:rPr>
      </w:pPr>
      <w:bookmarkStart w:id="70" w:name="_Toc3714"/>
      <w:r>
        <w:rPr>
          <w:rFonts w:cs="Times New Roman" w:asciiTheme="minorEastAsia" w:hAnsiTheme="minorEastAsia" w:eastAsiaTheme="minorEastAsia"/>
          <w:b/>
          <w:color w:val="auto"/>
          <w:sz w:val="28"/>
          <w:szCs w:val="28"/>
          <w:highlight w:val="none"/>
        </w:rPr>
        <w:t>政府采购合同</w:t>
      </w:r>
      <w:r>
        <w:rPr>
          <w:rFonts w:hint="eastAsia" w:cs="Times New Roman" w:asciiTheme="minorEastAsia" w:hAnsiTheme="minorEastAsia" w:eastAsiaTheme="minorEastAsia"/>
          <w:b/>
          <w:color w:val="auto"/>
          <w:sz w:val="28"/>
          <w:szCs w:val="28"/>
          <w:highlight w:val="none"/>
        </w:rPr>
        <w:t>参考范本</w:t>
      </w:r>
      <w:bookmarkEnd w:id="70"/>
    </w:p>
    <w:p w14:paraId="3C54C5FE">
      <w:pPr>
        <w:spacing w:line="480" w:lineRule="auto"/>
        <w:jc w:val="center"/>
        <w:outlineLvl w:val="1"/>
        <w:rPr>
          <w:rFonts w:cs="Times New Roman" w:asciiTheme="minorEastAsia" w:hAnsiTheme="minorEastAsia" w:eastAsiaTheme="minorEastAsia"/>
          <w:b/>
          <w:color w:val="auto"/>
          <w:sz w:val="28"/>
          <w:szCs w:val="28"/>
          <w:highlight w:val="none"/>
        </w:rPr>
      </w:pPr>
      <w:bookmarkStart w:id="71" w:name="_Toc8560"/>
      <w:r>
        <w:rPr>
          <w:rFonts w:hint="eastAsia" w:cs="Times New Roman" w:asciiTheme="minorEastAsia" w:hAnsiTheme="minorEastAsia" w:eastAsiaTheme="minorEastAsia"/>
          <w:b/>
          <w:color w:val="auto"/>
          <w:sz w:val="28"/>
          <w:szCs w:val="28"/>
          <w:highlight w:val="none"/>
        </w:rPr>
        <w:t>（服务类）</w:t>
      </w:r>
      <w:bookmarkEnd w:id="71"/>
    </w:p>
    <w:p w14:paraId="5B7D7CEA">
      <w:pPr>
        <w:spacing w:line="480" w:lineRule="auto"/>
        <w:jc w:val="center"/>
        <w:rPr>
          <w:rFonts w:cs="Times New Roman" w:asciiTheme="minorEastAsia" w:hAnsiTheme="minorEastAsia" w:eastAsiaTheme="minorEastAsia"/>
          <w:b/>
          <w:color w:val="auto"/>
          <w:sz w:val="24"/>
          <w:szCs w:val="24"/>
          <w:highlight w:val="none"/>
        </w:rPr>
      </w:pPr>
    </w:p>
    <w:p w14:paraId="7813424B">
      <w:pPr>
        <w:spacing w:line="480" w:lineRule="auto"/>
        <w:jc w:val="center"/>
        <w:rPr>
          <w:rFonts w:cs="Times New Roman" w:asciiTheme="minorEastAsia" w:hAnsiTheme="minorEastAsia" w:eastAsiaTheme="minorEastAsia"/>
          <w:b/>
          <w:color w:val="auto"/>
          <w:sz w:val="24"/>
          <w:szCs w:val="24"/>
          <w:highlight w:val="none"/>
        </w:rPr>
      </w:pPr>
    </w:p>
    <w:p w14:paraId="71C4DF86">
      <w:pPr>
        <w:spacing w:line="480" w:lineRule="auto"/>
        <w:jc w:val="center"/>
        <w:rPr>
          <w:rFonts w:cs="Times New Roman" w:asciiTheme="minorEastAsia" w:hAnsiTheme="minorEastAsia" w:eastAsiaTheme="minorEastAsia"/>
          <w:b/>
          <w:color w:val="auto"/>
          <w:sz w:val="24"/>
          <w:szCs w:val="24"/>
          <w:highlight w:val="none"/>
        </w:rPr>
      </w:pPr>
    </w:p>
    <w:p w14:paraId="17815A86">
      <w:pPr>
        <w:spacing w:line="360" w:lineRule="auto"/>
        <w:jc w:val="center"/>
        <w:outlineLvl w:val="1"/>
        <w:rPr>
          <w:rFonts w:asciiTheme="minorEastAsia" w:hAnsiTheme="minorEastAsia" w:eastAsiaTheme="minorEastAsia"/>
          <w:b/>
          <w:color w:val="auto"/>
          <w:sz w:val="24"/>
          <w:highlight w:val="none"/>
        </w:rPr>
      </w:pPr>
      <w:bookmarkStart w:id="72" w:name="_Toc2449"/>
      <w:r>
        <w:rPr>
          <w:rFonts w:hint="eastAsia" w:asciiTheme="minorEastAsia" w:hAnsiTheme="minorEastAsia" w:eastAsiaTheme="minorEastAsia"/>
          <w:b/>
          <w:color w:val="auto"/>
          <w:sz w:val="24"/>
          <w:highlight w:val="none"/>
        </w:rPr>
        <w:t>第一部分 合同书</w:t>
      </w:r>
      <w:bookmarkEnd w:id="72"/>
    </w:p>
    <w:p w14:paraId="2B651D48">
      <w:pPr>
        <w:spacing w:line="480" w:lineRule="auto"/>
        <w:jc w:val="center"/>
        <w:rPr>
          <w:rFonts w:cs="Times New Roman" w:asciiTheme="minorEastAsia" w:hAnsiTheme="minorEastAsia" w:eastAsiaTheme="minorEastAsia"/>
          <w:b/>
          <w:color w:val="auto"/>
          <w:sz w:val="24"/>
          <w:szCs w:val="24"/>
          <w:highlight w:val="none"/>
        </w:rPr>
      </w:pPr>
    </w:p>
    <w:p w14:paraId="53A83355">
      <w:pPr>
        <w:spacing w:line="480" w:lineRule="auto"/>
        <w:jc w:val="center"/>
        <w:rPr>
          <w:rFonts w:cs="Times New Roman" w:asciiTheme="minorEastAsia" w:hAnsiTheme="minorEastAsia" w:eastAsiaTheme="minorEastAsia"/>
          <w:b/>
          <w:color w:val="auto"/>
          <w:sz w:val="24"/>
          <w:szCs w:val="24"/>
          <w:highlight w:val="none"/>
        </w:rPr>
      </w:pPr>
    </w:p>
    <w:p w14:paraId="36FFA834">
      <w:pPr>
        <w:pStyle w:val="9"/>
        <w:rPr>
          <w:color w:val="auto"/>
          <w:highlight w:val="none"/>
        </w:rPr>
      </w:pPr>
    </w:p>
    <w:p w14:paraId="76F4AF4D">
      <w:pPr>
        <w:pStyle w:val="9"/>
        <w:rPr>
          <w:color w:val="auto"/>
          <w:highlight w:val="none"/>
        </w:rPr>
      </w:pPr>
    </w:p>
    <w:p w14:paraId="7611F8F6">
      <w:pPr>
        <w:spacing w:before="120" w:line="480" w:lineRule="auto"/>
        <w:ind w:left="960"/>
        <w:rPr>
          <w:rFonts w:hint="default" w:cs="Times New Roman" w:asciiTheme="minorEastAsia" w:hAnsiTheme="minorEastAsia" w:eastAsiaTheme="minorEastAsia"/>
          <w:color w:val="auto"/>
          <w:sz w:val="24"/>
          <w:szCs w:val="24"/>
          <w:highlight w:val="none"/>
          <w:u w:val="single"/>
          <w:lang w:val="en-US" w:eastAsia="zh-CN"/>
        </w:rPr>
      </w:pPr>
      <w:r>
        <w:rPr>
          <w:rFonts w:hint="eastAsia" w:cs="Times New Roman" w:asciiTheme="minorEastAsia" w:hAnsiTheme="minorEastAsia" w:eastAsiaTheme="minorEastAsia"/>
          <w:color w:val="auto"/>
          <w:sz w:val="24"/>
          <w:szCs w:val="24"/>
          <w:highlight w:val="none"/>
        </w:rPr>
        <w:t>项目名称：</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eastAsia="zh-CN"/>
        </w:rPr>
        <w:t>滁州市城市生命线安全工程建设项目（一期）运维服务项目</w:t>
      </w:r>
      <w:r>
        <w:rPr>
          <w:rFonts w:hint="eastAsia" w:cs="Times New Roman" w:asciiTheme="minorEastAsia" w:hAnsiTheme="minorEastAsia" w:eastAsiaTheme="minorEastAsia"/>
          <w:color w:val="auto"/>
          <w:sz w:val="24"/>
          <w:szCs w:val="24"/>
          <w:highlight w:val="none"/>
          <w:u w:val="single"/>
          <w:lang w:val="en-US" w:eastAsia="zh-CN"/>
        </w:rPr>
        <w:t xml:space="preserve">  </w:t>
      </w:r>
    </w:p>
    <w:p w14:paraId="685AA158">
      <w:pPr>
        <w:spacing w:before="120" w:line="480" w:lineRule="auto"/>
        <w:ind w:left="960"/>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项目编号：</w:t>
      </w:r>
      <w:r>
        <w:rPr>
          <w:rFonts w:hint="eastAsia" w:cs="Times New Roman" w:asciiTheme="minorEastAsia" w:hAnsiTheme="minorEastAsia" w:eastAsiaTheme="minorEastAsia"/>
          <w:color w:val="auto"/>
          <w:sz w:val="24"/>
          <w:szCs w:val="24"/>
          <w:highlight w:val="none"/>
          <w:u w:val="single"/>
        </w:rPr>
        <w:t xml:space="preserve">        </w:t>
      </w:r>
    </w:p>
    <w:p w14:paraId="4C6203EE">
      <w:pPr>
        <w:spacing w:before="120" w:line="480" w:lineRule="auto"/>
        <w:ind w:left="960"/>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甲方（采购人）：</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eastAsia="zh-CN"/>
        </w:rPr>
        <w:t>滁州市城市建设档案馆（滁州市住房和城乡建设信息中心、滁州市城市生命线工程安全运行监测中心）</w:t>
      </w:r>
      <w:r>
        <w:rPr>
          <w:rFonts w:hint="eastAsia" w:cs="Times New Roman" w:asciiTheme="minorEastAsia" w:hAnsiTheme="minorEastAsia" w:eastAsiaTheme="minorEastAsia"/>
          <w:color w:val="auto"/>
          <w:sz w:val="24"/>
          <w:szCs w:val="24"/>
          <w:highlight w:val="none"/>
          <w:u w:val="single"/>
        </w:rPr>
        <w:t xml:space="preserve">     </w:t>
      </w:r>
    </w:p>
    <w:p w14:paraId="2BEEB08F">
      <w:pPr>
        <w:spacing w:before="120" w:line="480" w:lineRule="auto"/>
        <w:ind w:left="960"/>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乙方（中标人）：</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rPr>
        <w:t xml:space="preserve">                  </w:t>
      </w:r>
    </w:p>
    <w:p w14:paraId="4B2597A2">
      <w:pPr>
        <w:spacing w:before="120" w:line="480" w:lineRule="auto"/>
        <w:ind w:firstLine="960" w:firstLineChars="400"/>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签订地：</w:t>
      </w:r>
      <w:r>
        <w:rPr>
          <w:rFonts w:hint="eastAsia" w:cs="Times New Roman" w:asciiTheme="minorEastAsia" w:hAnsiTheme="minorEastAsia" w:eastAsiaTheme="minorEastAsia"/>
          <w:color w:val="auto"/>
          <w:sz w:val="24"/>
          <w:szCs w:val="24"/>
          <w:highlight w:val="none"/>
          <w:u w:val="single"/>
        </w:rPr>
        <w:t xml:space="preserve">                                     </w:t>
      </w:r>
    </w:p>
    <w:p w14:paraId="062B5843">
      <w:pPr>
        <w:spacing w:before="120" w:line="480" w:lineRule="auto"/>
        <w:ind w:firstLine="960" w:firstLineChars="400"/>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签订日期：</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年</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月</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日</w:t>
      </w:r>
    </w:p>
    <w:p w14:paraId="6542EE3D">
      <w:pPr>
        <w:widowControl/>
        <w:jc w:val="left"/>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br w:type="page"/>
      </w:r>
    </w:p>
    <w:p w14:paraId="420700B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eastAsia="zh-CN"/>
        </w:rPr>
        <w:t>滁州市城市建设档案馆（滁州市住房和城乡建设信息中心、滁州市城市生命线工程安全运行监测中心）</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以下简称：甲方</w:t>
      </w:r>
      <w:r>
        <w:rPr>
          <w:rFonts w:hint="eastAsia" w:ascii="宋体" w:hAnsi="宋体" w:eastAsia="宋体" w:cs="宋体"/>
          <w:color w:val="auto"/>
          <w:sz w:val="24"/>
          <w:szCs w:val="24"/>
          <w:highlight w:val="none"/>
        </w:rPr>
        <w:t>）通过</w:t>
      </w:r>
      <w:r>
        <w:rPr>
          <w:rFonts w:hint="eastAsia" w:ascii="宋体" w:hAnsi="宋体" w:eastAsia="宋体" w:cs="宋体"/>
          <w:color w:val="auto"/>
          <w:sz w:val="24"/>
          <w:szCs w:val="24"/>
          <w:highlight w:val="none"/>
          <w:u w:val="single"/>
          <w:lang w:val="en-US" w:eastAsia="zh-CN"/>
        </w:rPr>
        <w:t>滁州市政府采购中心</w:t>
      </w:r>
      <w:r>
        <w:rPr>
          <w:rFonts w:hint="eastAsia" w:asciiTheme="minorEastAsia" w:hAnsiTheme="minorEastAsia" w:eastAsiaTheme="minorEastAsia"/>
          <w:color w:val="auto"/>
          <w:sz w:val="24"/>
          <w:highlight w:val="none"/>
        </w:rPr>
        <w:t>组织的</w:t>
      </w:r>
      <w:r>
        <w:rPr>
          <w:rFonts w:hint="eastAsia" w:asciiTheme="minorEastAsia" w:hAnsiTheme="minorEastAsia" w:eastAsiaTheme="minorEastAsia"/>
          <w:color w:val="auto"/>
          <w:sz w:val="24"/>
          <w:highlight w:val="none"/>
          <w:u w:val="single"/>
        </w:rPr>
        <w:t>公开招标</w:t>
      </w:r>
      <w:r>
        <w:rPr>
          <w:rFonts w:hint="eastAsia" w:asciiTheme="minorEastAsia" w:hAnsiTheme="minorEastAsia" w:eastAsiaTheme="minorEastAsia"/>
          <w:color w:val="auto"/>
          <w:sz w:val="24"/>
          <w:highlight w:val="none"/>
        </w:rPr>
        <w:t>方式采购活动，经</w:t>
      </w:r>
      <w:r>
        <w:rPr>
          <w:rFonts w:hint="eastAsia" w:asciiTheme="minorEastAsia" w:hAnsiTheme="minorEastAsia" w:eastAsiaTheme="minorEastAsia"/>
          <w:color w:val="auto"/>
          <w:sz w:val="24"/>
          <w:highlight w:val="none"/>
          <w:u w:val="single"/>
        </w:rPr>
        <w:t>评标委员会</w:t>
      </w:r>
      <w:r>
        <w:rPr>
          <w:rFonts w:hint="eastAsia" w:asciiTheme="minorEastAsia" w:hAnsiTheme="minorEastAsia" w:eastAsiaTheme="minorEastAsia"/>
          <w:color w:val="auto"/>
          <w:sz w:val="24"/>
          <w:highlight w:val="none"/>
        </w:rPr>
        <w:t>评定，</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sz w:val="24"/>
          <w:szCs w:val="24"/>
          <w:highlight w:val="none"/>
          <w:lang w:val="zh-CN"/>
        </w:rPr>
        <w:t>以下简称：乙方</w:t>
      </w:r>
      <w:r>
        <w:rPr>
          <w:rFonts w:hint="eastAsia" w:asciiTheme="minorEastAsia" w:hAnsiTheme="minorEastAsia" w:eastAsiaTheme="minorEastAsia"/>
          <w:color w:val="auto"/>
          <w:sz w:val="24"/>
          <w:highlight w:val="none"/>
        </w:rPr>
        <w:t>）为本项目中标人，现</w:t>
      </w:r>
      <w:r>
        <w:rPr>
          <w:rFonts w:hint="eastAsia" w:cs="Times New Roman" w:asciiTheme="minorEastAsia" w:hAnsiTheme="minorEastAsia" w:eastAsiaTheme="minorEastAsia"/>
          <w:color w:val="auto"/>
          <w:sz w:val="24"/>
          <w:szCs w:val="24"/>
          <w:highlight w:val="none"/>
        </w:rPr>
        <w:t>按照采购文件确定的事项签订本合同。</w:t>
      </w:r>
    </w:p>
    <w:p w14:paraId="23A3199C">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asciiTheme="minorEastAsia" w:hAnsiTheme="minorEastAsia" w:eastAsiaTheme="minorEastAsia"/>
          <w:color w:val="auto"/>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16A1AB60">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3" w:name="_Toc2232"/>
      <w:bookmarkStart w:id="74" w:name="_Toc24059"/>
      <w:bookmarkStart w:id="75" w:name="_Toc3029"/>
      <w:r>
        <w:rPr>
          <w:rFonts w:hint="eastAsia" w:cs="Times New Roman" w:asciiTheme="minorEastAsia" w:hAnsiTheme="minorEastAsia" w:eastAsiaTheme="minorEastAsia"/>
          <w:b/>
          <w:bCs/>
          <w:color w:val="auto"/>
          <w:sz w:val="24"/>
          <w:szCs w:val="24"/>
          <w:highlight w:val="none"/>
          <w:lang w:val="zh-CN"/>
        </w:rPr>
        <w:t>1.1</w:t>
      </w:r>
      <w:r>
        <w:rPr>
          <w:rFonts w:cs="Times New Roman" w:asciiTheme="minorEastAsia" w:hAnsiTheme="minorEastAsia" w:eastAsiaTheme="minorEastAsia"/>
          <w:b/>
          <w:bCs/>
          <w:color w:val="auto"/>
          <w:sz w:val="24"/>
          <w:szCs w:val="24"/>
          <w:highlight w:val="none"/>
          <w:lang w:val="zh-CN"/>
        </w:rPr>
        <w:t xml:space="preserve"> </w:t>
      </w:r>
      <w:r>
        <w:rPr>
          <w:rFonts w:hint="eastAsia" w:cs="Times New Roman" w:asciiTheme="minorEastAsia" w:hAnsiTheme="minorEastAsia" w:eastAsiaTheme="minorEastAsia"/>
          <w:b/>
          <w:bCs/>
          <w:color w:val="auto"/>
          <w:sz w:val="24"/>
          <w:szCs w:val="24"/>
          <w:highlight w:val="none"/>
          <w:lang w:val="zh-CN"/>
        </w:rPr>
        <w:t>合同组成部分</w:t>
      </w:r>
      <w:bookmarkEnd w:id="73"/>
      <w:bookmarkEnd w:id="74"/>
      <w:bookmarkEnd w:id="75"/>
    </w:p>
    <w:p w14:paraId="066849F9">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74F45FCC">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1.1.1本合同及其补充合同、变更协议；</w:t>
      </w:r>
    </w:p>
    <w:p w14:paraId="43B3CE59">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1.1.2中标通知书；</w:t>
      </w:r>
    </w:p>
    <w:p w14:paraId="085DE8F6">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1.1.3投标文件（含澄清或者说明文件）；</w:t>
      </w:r>
    </w:p>
    <w:p w14:paraId="4CA604E9">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1.1.4招标文件（含澄清或者修改文件）；</w:t>
      </w:r>
    </w:p>
    <w:p w14:paraId="20B799B0">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1.1.5其他相关采购文件。</w:t>
      </w:r>
    </w:p>
    <w:p w14:paraId="4E34A786">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6" w:name="_Toc18585"/>
      <w:bookmarkStart w:id="77" w:name="_Toc22185"/>
      <w:bookmarkStart w:id="78" w:name="_Toc2918"/>
      <w:bookmarkStart w:id="79" w:name="_Toc6311"/>
      <w:bookmarkStart w:id="80" w:name="_Toc6773"/>
      <w:r>
        <w:rPr>
          <w:rFonts w:hint="eastAsia" w:cs="Times New Roman" w:asciiTheme="minorEastAsia" w:hAnsiTheme="minorEastAsia" w:eastAsiaTheme="minorEastAsia"/>
          <w:b/>
          <w:bCs/>
          <w:color w:val="auto"/>
          <w:sz w:val="24"/>
          <w:szCs w:val="24"/>
          <w:highlight w:val="none"/>
          <w:lang w:val="zh-CN"/>
        </w:rPr>
        <w:t xml:space="preserve">1.2 </w:t>
      </w:r>
      <w:bookmarkEnd w:id="76"/>
      <w:bookmarkEnd w:id="77"/>
      <w:bookmarkEnd w:id="78"/>
      <w:bookmarkEnd w:id="79"/>
      <w:bookmarkEnd w:id="80"/>
      <w:r>
        <w:rPr>
          <w:rFonts w:hint="eastAsia" w:cs="Times New Roman" w:asciiTheme="minorEastAsia" w:hAnsiTheme="minorEastAsia" w:eastAsiaTheme="minorEastAsia"/>
          <w:b/>
          <w:bCs/>
          <w:color w:val="auto"/>
          <w:sz w:val="24"/>
          <w:szCs w:val="24"/>
          <w:highlight w:val="none"/>
          <w:lang w:val="zh-CN"/>
        </w:rPr>
        <w:t>服务</w:t>
      </w:r>
    </w:p>
    <w:p w14:paraId="6C79A3F5">
      <w:pPr>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1.2.1服务</w:t>
      </w:r>
      <w:r>
        <w:rPr>
          <w:rFonts w:cs="Times New Roman" w:asciiTheme="minorEastAsia" w:hAnsiTheme="minorEastAsia" w:eastAsiaTheme="minorEastAsia"/>
          <w:color w:val="auto"/>
          <w:sz w:val="24"/>
          <w:szCs w:val="24"/>
          <w:highlight w:val="none"/>
        </w:rPr>
        <w:t>名称：</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4ECD4686">
      <w:pPr>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1.2.2服务内容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3167789F">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1.2.3服务质量：</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288D754C">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81" w:name="_Toc21631"/>
      <w:bookmarkStart w:id="82" w:name="_Toc23292"/>
      <w:bookmarkStart w:id="83" w:name="_Toc21551"/>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 xml:space="preserve">3 </w:t>
      </w:r>
      <w:r>
        <w:rPr>
          <w:rFonts w:hint="eastAsia" w:cs="Times New Roman" w:asciiTheme="minorEastAsia" w:hAnsiTheme="minorEastAsia" w:eastAsiaTheme="minorEastAsia"/>
          <w:b/>
          <w:bCs/>
          <w:color w:val="auto"/>
          <w:sz w:val="24"/>
          <w:szCs w:val="24"/>
          <w:highlight w:val="none"/>
          <w:lang w:val="zh-CN"/>
        </w:rPr>
        <w:t>价款</w:t>
      </w:r>
      <w:bookmarkEnd w:id="81"/>
      <w:bookmarkEnd w:id="82"/>
      <w:bookmarkEnd w:id="83"/>
    </w:p>
    <w:p w14:paraId="6E0CAE0B">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本合同总价为</w:t>
      </w:r>
      <w:r>
        <w:rPr>
          <w:rFonts w:hint="eastAsia"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rPr>
        <w:t>元</w:t>
      </w:r>
      <w:r>
        <w:rPr>
          <w:rFonts w:hint="eastAsia" w:cs="Times New Roman" w:asciiTheme="minorEastAsia" w:hAnsiTheme="minorEastAsia" w:eastAsiaTheme="minorEastAsia"/>
          <w:color w:val="auto"/>
          <w:sz w:val="24"/>
          <w:szCs w:val="24"/>
          <w:highlight w:val="none"/>
        </w:rPr>
        <w:t>（大写：人民币</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元）</w:t>
      </w:r>
      <w:r>
        <w:rPr>
          <w:rFonts w:cs="Times New Roman" w:asciiTheme="minorEastAsia" w:hAnsiTheme="minorEastAsia" w:eastAsiaTheme="minorEastAsia"/>
          <w:color w:val="auto"/>
          <w:sz w:val="24"/>
          <w:szCs w:val="24"/>
          <w:highlight w:val="none"/>
        </w:rPr>
        <w:t>。</w:t>
      </w:r>
    </w:p>
    <w:p w14:paraId="6C4582B5">
      <w:pPr>
        <w:spacing w:line="360" w:lineRule="auto"/>
        <w:ind w:firstLine="435"/>
        <w:rPr>
          <w:rFonts w:cs="Times New Roman" w:asciiTheme="minorEastAsia" w:hAnsiTheme="minorEastAsia" w:eastAsiaTheme="minorEastAsia"/>
          <w:color w:val="auto"/>
          <w:sz w:val="24"/>
          <w:szCs w:val="24"/>
          <w:highlight w:val="none"/>
          <w:u w:val="single"/>
        </w:rPr>
      </w:pPr>
      <w:r>
        <w:rPr>
          <w:rFonts w:cs="Times New Roman" w:asciiTheme="minorEastAsia" w:hAnsiTheme="minorEastAsia" w:eastAsiaTheme="minorEastAsia"/>
          <w:color w:val="auto"/>
          <w:sz w:val="24"/>
          <w:szCs w:val="24"/>
          <w:highlight w:val="none"/>
        </w:rPr>
        <w:t>分项价格：</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1692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1D5C6C7A">
            <w:pPr>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序号</w:t>
            </w:r>
          </w:p>
        </w:tc>
        <w:tc>
          <w:tcPr>
            <w:tcW w:w="4316" w:type="dxa"/>
            <w:vAlign w:val="center"/>
          </w:tcPr>
          <w:p w14:paraId="266BBF97">
            <w:pPr>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分项名称</w:t>
            </w:r>
          </w:p>
        </w:tc>
        <w:tc>
          <w:tcPr>
            <w:tcW w:w="3237" w:type="dxa"/>
            <w:gridSpan w:val="2"/>
            <w:vAlign w:val="center"/>
          </w:tcPr>
          <w:p w14:paraId="3B3CAC46">
            <w:pPr>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分项价格</w:t>
            </w:r>
          </w:p>
        </w:tc>
      </w:tr>
      <w:tr w14:paraId="252FB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391027C2">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w:t>
            </w:r>
          </w:p>
        </w:tc>
        <w:tc>
          <w:tcPr>
            <w:tcW w:w="4316" w:type="dxa"/>
            <w:vAlign w:val="center"/>
          </w:tcPr>
          <w:p w14:paraId="16784604">
            <w:pPr>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19379B09">
            <w:pPr>
              <w:ind w:firstLine="200"/>
              <w:jc w:val="center"/>
              <w:rPr>
                <w:rFonts w:cs="Times New Roman" w:asciiTheme="minorEastAsia" w:hAnsiTheme="minorEastAsia" w:eastAsiaTheme="minorEastAsia"/>
                <w:color w:val="auto"/>
                <w:sz w:val="24"/>
                <w:szCs w:val="24"/>
                <w:highlight w:val="none"/>
              </w:rPr>
            </w:pPr>
          </w:p>
        </w:tc>
      </w:tr>
      <w:tr w14:paraId="7DEC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6272E257">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2</w:t>
            </w:r>
          </w:p>
        </w:tc>
        <w:tc>
          <w:tcPr>
            <w:tcW w:w="4316" w:type="dxa"/>
            <w:vAlign w:val="center"/>
          </w:tcPr>
          <w:p w14:paraId="0FF04268">
            <w:pPr>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7A2AA626">
            <w:pPr>
              <w:ind w:firstLine="200"/>
              <w:jc w:val="center"/>
              <w:rPr>
                <w:rFonts w:cs="Times New Roman" w:asciiTheme="minorEastAsia" w:hAnsiTheme="minorEastAsia" w:eastAsiaTheme="minorEastAsia"/>
                <w:color w:val="auto"/>
                <w:sz w:val="24"/>
                <w:szCs w:val="24"/>
                <w:highlight w:val="none"/>
              </w:rPr>
            </w:pPr>
          </w:p>
        </w:tc>
      </w:tr>
      <w:tr w14:paraId="08B0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19424DA4">
            <w:pPr>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3</w:t>
            </w:r>
          </w:p>
        </w:tc>
        <w:tc>
          <w:tcPr>
            <w:tcW w:w="4316" w:type="dxa"/>
            <w:vAlign w:val="center"/>
          </w:tcPr>
          <w:p w14:paraId="7532E318">
            <w:pPr>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0B1D3890">
            <w:pPr>
              <w:ind w:firstLine="200"/>
              <w:jc w:val="center"/>
              <w:rPr>
                <w:rFonts w:cs="Times New Roman" w:asciiTheme="minorEastAsia" w:hAnsiTheme="minorEastAsia" w:eastAsiaTheme="minorEastAsia"/>
                <w:color w:val="auto"/>
                <w:sz w:val="24"/>
                <w:szCs w:val="24"/>
                <w:highlight w:val="none"/>
              </w:rPr>
            </w:pPr>
          </w:p>
        </w:tc>
      </w:tr>
      <w:tr w14:paraId="7207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1260D430">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w:t>
            </w:r>
          </w:p>
        </w:tc>
        <w:tc>
          <w:tcPr>
            <w:tcW w:w="4316" w:type="dxa"/>
            <w:vAlign w:val="center"/>
          </w:tcPr>
          <w:p w14:paraId="563A2863">
            <w:pPr>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5BF075AA">
            <w:pPr>
              <w:ind w:firstLine="200"/>
              <w:jc w:val="center"/>
              <w:rPr>
                <w:rFonts w:cs="Times New Roman" w:asciiTheme="minorEastAsia" w:hAnsiTheme="minorEastAsia" w:eastAsiaTheme="minorEastAsia"/>
                <w:color w:val="auto"/>
                <w:sz w:val="24"/>
                <w:szCs w:val="24"/>
                <w:highlight w:val="none"/>
              </w:rPr>
            </w:pPr>
          </w:p>
        </w:tc>
      </w:tr>
      <w:tr w14:paraId="4124E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2FB3F866">
            <w:pPr>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总价</w:t>
            </w:r>
          </w:p>
        </w:tc>
        <w:tc>
          <w:tcPr>
            <w:tcW w:w="3237" w:type="dxa"/>
            <w:gridSpan w:val="2"/>
            <w:vAlign w:val="center"/>
          </w:tcPr>
          <w:p w14:paraId="18EE9731">
            <w:pPr>
              <w:ind w:firstLine="200"/>
              <w:jc w:val="center"/>
              <w:rPr>
                <w:rFonts w:cs="Times New Roman" w:asciiTheme="minorEastAsia" w:hAnsiTheme="minorEastAsia" w:eastAsiaTheme="minorEastAsia"/>
                <w:color w:val="auto"/>
                <w:sz w:val="24"/>
                <w:szCs w:val="24"/>
                <w:highlight w:val="none"/>
              </w:rPr>
            </w:pPr>
          </w:p>
        </w:tc>
      </w:tr>
    </w:tbl>
    <w:p w14:paraId="61A25B1F">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84" w:name="_Toc10340"/>
      <w:bookmarkStart w:id="85" w:name="_Toc1814"/>
      <w:bookmarkStart w:id="86" w:name="_Toc22618"/>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4 付款方式和发票开具方式</w:t>
      </w:r>
      <w:bookmarkEnd w:id="84"/>
      <w:bookmarkEnd w:id="85"/>
      <w:bookmarkEnd w:id="86"/>
    </w:p>
    <w:p w14:paraId="5350C087">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1.4.1</w:t>
      </w:r>
      <w:r>
        <w:rPr>
          <w:rFonts w:cs="Times New Roman" w:asciiTheme="minorEastAsia" w:hAnsiTheme="minorEastAsia" w:eastAsiaTheme="minorEastAsia"/>
          <w:color w:val="auto"/>
          <w:sz w:val="24"/>
          <w:szCs w:val="24"/>
          <w:highlight w:val="none"/>
        </w:rPr>
        <w:t>付款方式：</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11FD5423">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1.4.2发票开具方式：</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289B0052">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87" w:name="_Toc32071"/>
      <w:bookmarkStart w:id="88" w:name="_Toc2846"/>
      <w:bookmarkStart w:id="89" w:name="_Toc19304"/>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 xml:space="preserve">5 </w:t>
      </w:r>
      <w:r>
        <w:rPr>
          <w:rFonts w:hint="eastAsia" w:cs="Times New Roman" w:asciiTheme="minorEastAsia" w:hAnsiTheme="minorEastAsia" w:eastAsiaTheme="minorEastAsia"/>
          <w:b/>
          <w:bCs/>
          <w:color w:val="auto"/>
          <w:sz w:val="24"/>
          <w:szCs w:val="24"/>
          <w:highlight w:val="none"/>
          <w:lang w:val="zh-CN"/>
        </w:rPr>
        <w:t>服务</w:t>
      </w:r>
      <w:r>
        <w:rPr>
          <w:rFonts w:cs="Times New Roman" w:asciiTheme="minorEastAsia" w:hAnsiTheme="minorEastAsia" w:eastAsiaTheme="minorEastAsia"/>
          <w:b/>
          <w:bCs/>
          <w:color w:val="auto"/>
          <w:sz w:val="24"/>
          <w:szCs w:val="24"/>
          <w:highlight w:val="none"/>
          <w:lang w:val="zh-CN"/>
        </w:rPr>
        <w:t>期限</w:t>
      </w:r>
      <w:r>
        <w:rPr>
          <w:rFonts w:hint="eastAsia" w:cs="Times New Roman" w:asciiTheme="minorEastAsia" w:hAnsiTheme="minorEastAsia" w:eastAsiaTheme="minorEastAsia"/>
          <w:b/>
          <w:bCs/>
          <w:color w:val="auto"/>
          <w:sz w:val="24"/>
          <w:szCs w:val="24"/>
          <w:highlight w:val="none"/>
          <w:lang w:val="zh-CN"/>
        </w:rPr>
        <w:t>、地点和方式</w:t>
      </w:r>
      <w:bookmarkEnd w:id="87"/>
      <w:bookmarkEnd w:id="88"/>
      <w:bookmarkEnd w:id="89"/>
    </w:p>
    <w:p w14:paraId="5E98EF61">
      <w:pPr>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1.5.1服务期限</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695F9294">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1.5.2服务地点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68FDC002">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1.5.3服务方式：</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08098B67">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90" w:name="_Toc19554"/>
      <w:bookmarkStart w:id="91" w:name="_Toc27250"/>
      <w:bookmarkStart w:id="92" w:name="_Toc21423"/>
      <w:r>
        <w:rPr>
          <w:rFonts w:hint="eastAsia" w:cs="Times New Roman" w:asciiTheme="minorEastAsia" w:hAnsiTheme="minorEastAsia" w:eastAsiaTheme="minorEastAsia"/>
          <w:b/>
          <w:bCs/>
          <w:color w:val="auto"/>
          <w:sz w:val="24"/>
          <w:szCs w:val="24"/>
          <w:highlight w:val="none"/>
          <w:lang w:val="zh-CN"/>
        </w:rPr>
        <w:t>1.6 违约责任</w:t>
      </w:r>
      <w:bookmarkEnd w:id="90"/>
      <w:bookmarkEnd w:id="91"/>
      <w:bookmarkEnd w:id="92"/>
    </w:p>
    <w:p w14:paraId="51978788">
      <w:pPr>
        <w:spacing w:line="440" w:lineRule="exact"/>
        <w:ind w:firstLine="435"/>
        <w:rPr>
          <w:rFonts w:hint="eastAsia" w:cs="Times New Roman" w:asciiTheme="minorEastAsia" w:hAnsiTheme="minorEastAsia" w:eastAsiaTheme="minorEastAsia"/>
          <w:color w:val="auto"/>
          <w:sz w:val="24"/>
          <w:szCs w:val="24"/>
          <w:highlight w:val="none"/>
          <w:lang w:eastAsia="zh-CN"/>
        </w:rPr>
      </w:pPr>
      <w:bookmarkStart w:id="93" w:name="_Toc16021"/>
      <w:bookmarkStart w:id="94" w:name="_Toc15583"/>
      <w:bookmarkStart w:id="95" w:name="_Toc28375"/>
      <w:r>
        <w:rPr>
          <w:rFonts w:hint="eastAsia" w:cs="Times New Roman" w:asciiTheme="minorEastAsia" w:hAnsiTheme="minorEastAsia" w:eastAsiaTheme="minorEastAsia"/>
          <w:color w:val="auto"/>
          <w:sz w:val="24"/>
          <w:szCs w:val="24"/>
          <w:highlight w:val="none"/>
        </w:rPr>
        <w:t>1.6.1</w:t>
      </w:r>
      <w:r>
        <w:rPr>
          <w:rFonts w:hint="eastAsia" w:asciiTheme="minorEastAsia" w:hAnsiTheme="minorEastAsia" w:eastAsiaTheme="minorEastAsia"/>
          <w:color w:val="auto"/>
          <w:sz w:val="24"/>
          <w:highlight w:val="none"/>
        </w:rPr>
        <w:t>除不可抗力外，如果乙方没有按照本合同约定的期限、地点和方式履行，那么甲方可要求乙方支付违约金，违约金按每迟延履行一日的应提供而未提供服务价格的</w:t>
      </w:r>
      <w:r>
        <w:rPr>
          <w:rFonts w:hint="eastAsia" w:asciiTheme="minorEastAsia" w:hAnsiTheme="minorEastAsia" w:eastAsiaTheme="minorEastAsia"/>
          <w:color w:val="auto"/>
          <w:sz w:val="24"/>
          <w:highlight w:val="none"/>
          <w:u w:val="single"/>
          <w:lang w:val="en-US" w:eastAsia="zh-CN"/>
        </w:rPr>
        <w:t>1</w:t>
      </w:r>
      <w:r>
        <w:rPr>
          <w:rFonts w:asciiTheme="minorEastAsia" w:hAnsiTheme="minorEastAsia" w:eastAsiaTheme="minorEastAsia"/>
          <w:color w:val="auto"/>
          <w:sz w:val="24"/>
          <w:highlight w:val="none"/>
        </w:rPr>
        <w:t>%计算</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最高限额为</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合同总价的</w:t>
      </w:r>
      <w:r>
        <w:rPr>
          <w:rFonts w:hint="eastAsia" w:asciiTheme="minorEastAsia" w:hAnsiTheme="minorEastAsia" w:eastAsiaTheme="minorEastAsia"/>
          <w:color w:val="auto"/>
          <w:sz w:val="24"/>
          <w:highlight w:val="none"/>
          <w:u w:val="single"/>
        </w:rPr>
        <w:t xml:space="preserve"> 10 </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；迟延履行的违约金计算数额达到前述最高限额之日起，甲方有权在要求乙方支付违约金的同时，书面通知乙方解除本合同</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违约金从当季工程进度款中扣除）</w:t>
      </w:r>
      <w:r>
        <w:rPr>
          <w:rFonts w:hint="eastAsia" w:asciiTheme="minorEastAsia" w:hAnsiTheme="minorEastAsia" w:eastAsiaTheme="minorEastAsia"/>
          <w:color w:val="auto"/>
          <w:sz w:val="24"/>
          <w:highlight w:val="none"/>
        </w:rPr>
        <w:t>；</w:t>
      </w:r>
    </w:p>
    <w:p w14:paraId="44BB95A3">
      <w:pPr>
        <w:spacing w:line="440" w:lineRule="exact"/>
        <w:ind w:firstLine="435"/>
        <w:rPr>
          <w:rFonts w:hint="eastAsia"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1.6.2除不可抗力外，如果甲方没有按照本合同约定的付款方式付款，那么乙方可要求甲方支付违约金，违约金按每迟延付款一日的应付而未付款的0.1 %计算，最高限额为本合同总价的1%；迟延付款的违约金计算数额达到前述最高限额之日起，乙方有权在要求甲方支付违约金的同时，书面通知甲方解除本合同；</w:t>
      </w:r>
    </w:p>
    <w:p w14:paraId="04E31DD9">
      <w:pPr>
        <w:spacing w:line="440" w:lineRule="exact"/>
        <w:ind w:firstLine="435"/>
        <w:rPr>
          <w:rFonts w:hint="eastAsia"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DAB5EDB">
      <w:pPr>
        <w:spacing w:line="440" w:lineRule="exact"/>
        <w:ind w:firstLine="435"/>
        <w:rPr>
          <w:rFonts w:hint="eastAsia"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507156B">
      <w:pPr>
        <w:spacing w:line="440" w:lineRule="exact"/>
        <w:ind w:firstLine="435"/>
        <w:rPr>
          <w:rFonts w:hint="eastAsia"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319AFD1">
      <w:pPr>
        <w:spacing w:line="440" w:lineRule="exact"/>
        <w:ind w:firstLine="435"/>
        <w:rPr>
          <w:rFonts w:hint="eastAsia"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73DB95C4">
      <w:pPr>
        <w:spacing w:line="440" w:lineRule="exact"/>
        <w:ind w:firstLine="435"/>
        <w:rPr>
          <w:rFonts w:hint="eastAsia"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1.6.7因甲方未按合同约定支付价款、未按合同约定受领标的物、擅自解除合同</w:t>
      </w:r>
      <w:r>
        <w:rPr>
          <w:rFonts w:hint="eastAsia" w:cs="Times New Roman" w:asciiTheme="minorEastAsia" w:hAnsiTheme="minorEastAsia" w:eastAsiaTheme="minorEastAsia"/>
          <w:color w:val="auto"/>
          <w:sz w:val="24"/>
          <w:szCs w:val="24"/>
          <w:highlight w:val="none"/>
        </w:rPr>
        <w:t>、逾期退还履约保证金</w:t>
      </w:r>
      <w:r>
        <w:rPr>
          <w:rFonts w:cs="Times New Roman" w:asciiTheme="minorEastAsia" w:hAnsiTheme="minorEastAsia" w:eastAsiaTheme="minorEastAsia"/>
          <w:color w:val="auto"/>
          <w:sz w:val="24"/>
          <w:szCs w:val="24"/>
          <w:highlight w:val="none"/>
        </w:rPr>
        <w:t>导致乙方遭受的直接损失，乙方可向甲方申请赔偿，赔偿金额由双方协商一致；</w:t>
      </w:r>
      <w:r>
        <w:rPr>
          <w:rFonts w:hint="eastAsia" w:cs="Times New Roman" w:asciiTheme="minorEastAsia" w:hAnsiTheme="minorEastAsia" w:eastAsiaTheme="minorEastAsia"/>
          <w:color w:val="auto"/>
          <w:sz w:val="24"/>
          <w:szCs w:val="24"/>
          <w:highlight w:val="none"/>
        </w:rPr>
        <w:t>针对因政策变化等原因不能签订合同或解除合同时，造成乙方合法利益受损的情形，可以给予乙方合理补偿，补偿金额不得超过乙方的直接损失。</w:t>
      </w:r>
    </w:p>
    <w:p w14:paraId="1097ED37">
      <w:pPr>
        <w:spacing w:line="360" w:lineRule="auto"/>
        <w:ind w:firstLine="437"/>
        <w:outlineLvl w:val="2"/>
        <w:rPr>
          <w:rFonts w:cs="Times New Roman" w:asciiTheme="minorEastAsia" w:hAnsiTheme="minorEastAsia" w:eastAsiaTheme="minorEastAsia"/>
          <w:b/>
          <w:bCs/>
          <w:color w:val="auto"/>
          <w:sz w:val="24"/>
          <w:szCs w:val="24"/>
          <w:highlight w:val="none"/>
          <w:lang w:val="zh-CN"/>
        </w:rPr>
      </w:pPr>
      <w:r>
        <w:rPr>
          <w:rFonts w:hint="eastAsia" w:cs="Times New Roman" w:asciiTheme="minorEastAsia" w:hAnsiTheme="minorEastAsia" w:eastAsiaTheme="minorEastAsia"/>
          <w:b/>
          <w:bCs/>
          <w:color w:val="auto"/>
          <w:sz w:val="24"/>
          <w:szCs w:val="24"/>
          <w:highlight w:val="none"/>
          <w:lang w:val="zh-CN"/>
        </w:rPr>
        <w:t>1.7</w:t>
      </w:r>
      <w:r>
        <w:rPr>
          <w:rFonts w:cs="Times New Roman" w:asciiTheme="minorEastAsia" w:hAnsiTheme="minorEastAsia" w:eastAsiaTheme="minorEastAsia"/>
          <w:b/>
          <w:bCs/>
          <w:color w:val="auto"/>
          <w:sz w:val="24"/>
          <w:szCs w:val="24"/>
          <w:highlight w:val="none"/>
          <w:lang w:val="zh-CN"/>
        </w:rPr>
        <w:t xml:space="preserve"> </w:t>
      </w:r>
      <w:r>
        <w:rPr>
          <w:rFonts w:hint="eastAsia" w:cs="Times New Roman" w:asciiTheme="minorEastAsia" w:hAnsiTheme="minorEastAsia" w:eastAsiaTheme="minorEastAsia"/>
          <w:b/>
          <w:bCs/>
          <w:color w:val="auto"/>
          <w:sz w:val="24"/>
          <w:szCs w:val="24"/>
          <w:highlight w:val="none"/>
          <w:lang w:val="zh-CN"/>
        </w:rPr>
        <w:t>合同</w:t>
      </w:r>
      <w:r>
        <w:rPr>
          <w:rFonts w:cs="Times New Roman" w:asciiTheme="minorEastAsia" w:hAnsiTheme="minorEastAsia" w:eastAsiaTheme="minorEastAsia"/>
          <w:b/>
          <w:bCs/>
          <w:color w:val="auto"/>
          <w:sz w:val="24"/>
          <w:szCs w:val="24"/>
          <w:highlight w:val="none"/>
          <w:lang w:val="zh-CN"/>
        </w:rPr>
        <w:t>争议的解决</w:t>
      </w:r>
      <w:bookmarkEnd w:id="93"/>
      <w:bookmarkEnd w:id="94"/>
      <w:bookmarkEnd w:id="95"/>
    </w:p>
    <w:p w14:paraId="3452DE71">
      <w:pPr>
        <w:spacing w:line="440" w:lineRule="exact"/>
        <w:ind w:firstLine="435"/>
        <w:rPr>
          <w:rFonts w:hint="eastAsia" w:cs="Times New Roman" w:asciiTheme="minorEastAsia" w:hAnsiTheme="minorEastAsia" w:eastAsiaTheme="minorEastAsia"/>
          <w:color w:val="auto"/>
          <w:sz w:val="24"/>
          <w:szCs w:val="24"/>
          <w:highlight w:val="none"/>
        </w:rPr>
      </w:pPr>
      <w:bookmarkStart w:id="96" w:name="_Toc7245"/>
      <w:bookmarkStart w:id="97" w:name="_Toc11173"/>
      <w:bookmarkStart w:id="98" w:name="_Toc15322"/>
      <w:r>
        <w:rPr>
          <w:rFonts w:hint="eastAsia" w:cs="Times New Roman" w:asciiTheme="minorEastAsia" w:hAnsiTheme="minorEastAsia" w:eastAsiaTheme="minorEastAsia"/>
          <w:color w:val="auto"/>
          <w:sz w:val="24"/>
          <w:szCs w:val="24"/>
          <w:highlight w:val="none"/>
        </w:rPr>
        <w:t>本合同履行过程中发生的任何争议，双方当事人均可通过和解或者调解解决；不愿和解、调解或者和解、调解不成的，可以选择下列第</w:t>
      </w:r>
      <w:r>
        <w:rPr>
          <w:rFonts w:hint="eastAsia" w:cs="Times New Roman" w:asciiTheme="minorEastAsia" w:hAnsiTheme="minorEastAsia" w:eastAsiaTheme="minorEastAsia"/>
          <w:color w:val="auto"/>
          <w:sz w:val="24"/>
          <w:szCs w:val="24"/>
          <w:highlight w:val="none"/>
          <w:u w:val="single"/>
        </w:rPr>
        <w:t xml:space="preserve">  1  </w:t>
      </w:r>
      <w:r>
        <w:rPr>
          <w:rFonts w:hint="eastAsia" w:cs="Times New Roman" w:asciiTheme="minorEastAsia" w:hAnsiTheme="minorEastAsia" w:eastAsiaTheme="minorEastAsia"/>
          <w:color w:val="auto"/>
          <w:sz w:val="24"/>
          <w:szCs w:val="24"/>
          <w:highlight w:val="none"/>
        </w:rPr>
        <w:t>种方式解决：</w:t>
      </w:r>
    </w:p>
    <w:p w14:paraId="617F10D4">
      <w:pPr>
        <w:spacing w:line="440" w:lineRule="exact"/>
        <w:ind w:firstLine="435"/>
        <w:rPr>
          <w:rFonts w:hint="eastAsia"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（1）将争议提交</w:t>
      </w:r>
      <w:r>
        <w:rPr>
          <w:rFonts w:hint="eastAsia" w:cs="Times New Roman" w:asciiTheme="minorEastAsia" w:hAnsiTheme="minorEastAsia" w:eastAsiaTheme="minorEastAsia"/>
          <w:color w:val="auto"/>
          <w:sz w:val="24"/>
          <w:szCs w:val="24"/>
          <w:highlight w:val="none"/>
          <w:u w:val="single"/>
        </w:rPr>
        <w:t xml:space="preserve">  滁州    </w:t>
      </w:r>
      <w:r>
        <w:rPr>
          <w:rFonts w:hint="eastAsia" w:cs="Times New Roman" w:asciiTheme="minorEastAsia" w:hAnsiTheme="minorEastAsia" w:eastAsiaTheme="minorEastAsia"/>
          <w:color w:val="auto"/>
          <w:sz w:val="24"/>
          <w:szCs w:val="24"/>
          <w:highlight w:val="none"/>
        </w:rPr>
        <w:t>仲裁委员会依申请仲裁时其现行有效的仲裁规则裁决；</w:t>
      </w:r>
    </w:p>
    <w:p w14:paraId="6F168747">
      <w:pPr>
        <w:spacing w:line="440" w:lineRule="exact"/>
        <w:ind w:firstLine="435"/>
        <w:rPr>
          <w:rFonts w:hint="eastAsia"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（2）向</w:t>
      </w:r>
      <w:r>
        <w:rPr>
          <w:rFonts w:hint="eastAsia" w:cs="Times New Roman" w:asciiTheme="minorEastAsia" w:hAnsiTheme="minorEastAsia" w:eastAsiaTheme="minorEastAsia"/>
          <w:color w:val="auto"/>
          <w:sz w:val="24"/>
          <w:szCs w:val="24"/>
          <w:highlight w:val="none"/>
          <w:u w:val="single"/>
        </w:rPr>
        <w:t xml:space="preserve">  /  </w:t>
      </w:r>
      <w:r>
        <w:rPr>
          <w:rFonts w:hint="eastAsia" w:cs="Times New Roman" w:asciiTheme="minorEastAsia" w:hAnsiTheme="minorEastAsia" w:eastAsiaTheme="minorEastAsia"/>
          <w:color w:val="auto"/>
          <w:sz w:val="24"/>
          <w:szCs w:val="24"/>
          <w:highlight w:val="none"/>
        </w:rPr>
        <w:t>人民法院起诉。</w:t>
      </w:r>
    </w:p>
    <w:p w14:paraId="22B64E7A">
      <w:pPr>
        <w:spacing w:line="360" w:lineRule="auto"/>
        <w:ind w:firstLine="437"/>
        <w:outlineLvl w:val="2"/>
        <w:rPr>
          <w:rFonts w:cs="Times New Roman" w:asciiTheme="minorEastAsia" w:hAnsiTheme="minorEastAsia" w:eastAsiaTheme="minorEastAsia"/>
          <w:b/>
          <w:bCs/>
          <w:color w:val="auto"/>
          <w:sz w:val="24"/>
          <w:szCs w:val="24"/>
          <w:highlight w:val="none"/>
          <w:lang w:val="zh-CN"/>
        </w:rPr>
      </w:pPr>
      <w:r>
        <w:rPr>
          <w:rFonts w:hint="eastAsia" w:cs="Times New Roman" w:asciiTheme="minorEastAsia" w:hAnsiTheme="minorEastAsia" w:eastAsiaTheme="minorEastAsia"/>
          <w:b/>
          <w:bCs/>
          <w:color w:val="auto"/>
          <w:sz w:val="24"/>
          <w:szCs w:val="24"/>
          <w:highlight w:val="none"/>
          <w:lang w:val="zh-CN"/>
        </w:rPr>
        <w:t>1.8</w:t>
      </w:r>
      <w:r>
        <w:rPr>
          <w:rFonts w:cs="Times New Roman" w:asciiTheme="minorEastAsia" w:hAnsiTheme="minorEastAsia" w:eastAsiaTheme="minorEastAsia"/>
          <w:b/>
          <w:bCs/>
          <w:color w:val="auto"/>
          <w:sz w:val="24"/>
          <w:szCs w:val="24"/>
          <w:highlight w:val="none"/>
          <w:lang w:val="zh-CN"/>
        </w:rPr>
        <w:t xml:space="preserve"> 合同生效</w:t>
      </w:r>
      <w:bookmarkEnd w:id="96"/>
      <w:bookmarkEnd w:id="97"/>
      <w:bookmarkEnd w:id="98"/>
    </w:p>
    <w:p w14:paraId="7817B442">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本合同自</w:t>
      </w:r>
      <w:r>
        <w:rPr>
          <w:rFonts w:hint="eastAsia" w:cs="Times New Roman" w:asciiTheme="minorEastAsia" w:hAnsiTheme="minorEastAsia" w:eastAsiaTheme="minorEastAsia"/>
          <w:color w:val="auto"/>
          <w:sz w:val="24"/>
          <w:szCs w:val="24"/>
          <w:highlight w:val="none"/>
        </w:rPr>
        <w:t>双方当事人盖章时</w:t>
      </w:r>
      <w:r>
        <w:rPr>
          <w:rFonts w:cs="Times New Roman" w:asciiTheme="minorEastAsia" w:hAnsiTheme="minorEastAsia" w:eastAsiaTheme="minorEastAsia"/>
          <w:color w:val="auto"/>
          <w:sz w:val="24"/>
          <w:szCs w:val="24"/>
          <w:highlight w:val="none"/>
        </w:rPr>
        <w:t>生效。</w:t>
      </w:r>
    </w:p>
    <w:p w14:paraId="28F55F7E">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p>
    <w:p w14:paraId="6443AF89">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p>
    <w:p w14:paraId="54FC3CEF">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p>
    <w:p w14:paraId="653880DD">
      <w:pPr>
        <w:autoSpaceDE w:val="0"/>
        <w:autoSpaceDN w:val="0"/>
        <w:adjustRightInd w:val="0"/>
        <w:spacing w:line="560" w:lineRule="exact"/>
        <w:rPr>
          <w:rFonts w:cs="Times New Roman" w:asciiTheme="minorEastAsia" w:hAnsiTheme="minorEastAsia" w:eastAsiaTheme="minorEastAsia"/>
          <w:bCs/>
          <w:color w:val="auto"/>
          <w:sz w:val="24"/>
          <w:szCs w:val="24"/>
          <w:highlight w:val="none"/>
          <w:lang w:val="zh-CN"/>
        </w:rPr>
      </w:pPr>
      <w:r>
        <w:rPr>
          <w:rFonts w:hint="eastAsia" w:cs="Times New Roman" w:asciiTheme="minorEastAsia" w:hAnsiTheme="minorEastAsia" w:eastAsiaTheme="minorEastAsia"/>
          <w:bCs/>
          <w:color w:val="auto"/>
          <w:sz w:val="24"/>
          <w:szCs w:val="24"/>
          <w:highlight w:val="none"/>
          <w:lang w:val="zh-CN"/>
        </w:rPr>
        <w:t xml:space="preserve">甲 </w:t>
      </w:r>
      <w:r>
        <w:rPr>
          <w:rFonts w:cs="Times New Roman" w:asciiTheme="minorEastAsia" w:hAnsiTheme="minorEastAsia" w:eastAsiaTheme="minorEastAsia"/>
          <w:bCs/>
          <w:color w:val="auto"/>
          <w:sz w:val="24"/>
          <w:szCs w:val="24"/>
          <w:highlight w:val="none"/>
          <w:lang w:val="zh-CN"/>
        </w:rPr>
        <w:t xml:space="preserve">   </w:t>
      </w:r>
      <w:r>
        <w:rPr>
          <w:rFonts w:hint="eastAsia" w:cs="Times New Roman" w:asciiTheme="minorEastAsia" w:hAnsiTheme="minorEastAsia" w:eastAsiaTheme="minorEastAsia"/>
          <w:bCs/>
          <w:color w:val="auto"/>
          <w:sz w:val="24"/>
          <w:szCs w:val="24"/>
          <w:highlight w:val="none"/>
          <w:lang w:val="zh-CN"/>
        </w:rPr>
        <w:t>方：</w:t>
      </w:r>
      <w:r>
        <w:rPr>
          <w:rFonts w:hint="eastAsia" w:cs="Times New Roman" w:asciiTheme="minorEastAsia" w:hAnsiTheme="minorEastAsia" w:eastAsiaTheme="minorEastAsia"/>
          <w:bCs/>
          <w:color w:val="auto"/>
          <w:sz w:val="24"/>
          <w:szCs w:val="24"/>
          <w:highlight w:val="none"/>
          <w:u w:val="single"/>
          <w:lang w:val="zh-CN"/>
        </w:rPr>
        <w:t xml:space="preserve">    （单位盖章）     </w:t>
      </w:r>
      <w:r>
        <w:rPr>
          <w:rFonts w:hint="eastAsia" w:cs="Times New Roman" w:asciiTheme="minorEastAsia" w:hAnsiTheme="minorEastAsia" w:eastAsiaTheme="minorEastAsia"/>
          <w:bCs/>
          <w:color w:val="auto"/>
          <w:sz w:val="24"/>
          <w:szCs w:val="24"/>
          <w:highlight w:val="none"/>
          <w:lang w:val="zh-CN"/>
        </w:rPr>
        <w:t xml:space="preserve">          乙方：</w:t>
      </w:r>
      <w:r>
        <w:rPr>
          <w:rFonts w:hint="eastAsia" w:cs="Times New Roman" w:asciiTheme="minorEastAsia" w:hAnsiTheme="minorEastAsia" w:eastAsiaTheme="minorEastAsia"/>
          <w:bCs/>
          <w:color w:val="auto"/>
          <w:sz w:val="24"/>
          <w:szCs w:val="24"/>
          <w:highlight w:val="none"/>
          <w:u w:val="single"/>
          <w:lang w:val="zh-CN"/>
        </w:rPr>
        <w:t xml:space="preserve">    （单位盖章）     </w:t>
      </w:r>
    </w:p>
    <w:p w14:paraId="24E98A86">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 xml:space="preserve">法定代表人                             </w:t>
      </w:r>
      <w:r>
        <w:rPr>
          <w:rFonts w:cs="Times New Roman" w:asciiTheme="minorEastAsia" w:hAnsiTheme="minorEastAsia" w:eastAsiaTheme="minorEastAsia"/>
          <w:color w:val="auto"/>
          <w:sz w:val="24"/>
          <w:szCs w:val="24"/>
          <w:highlight w:val="none"/>
          <w:lang w:val="zh-CN"/>
        </w:rPr>
        <w:t xml:space="preserve">  </w:t>
      </w:r>
      <w:r>
        <w:rPr>
          <w:rFonts w:hint="eastAsia" w:cs="Times New Roman" w:asciiTheme="minorEastAsia" w:hAnsiTheme="minorEastAsia" w:eastAsiaTheme="minorEastAsia"/>
          <w:color w:val="auto"/>
          <w:sz w:val="24"/>
          <w:szCs w:val="24"/>
          <w:highlight w:val="none"/>
          <w:lang w:val="zh-CN"/>
        </w:rPr>
        <w:t>法定代表人</w:t>
      </w:r>
    </w:p>
    <w:p w14:paraId="5408796B">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或授权代表（签字）：                      或授权代表（签字）：</w:t>
      </w:r>
    </w:p>
    <w:p w14:paraId="57C844F7">
      <w:pPr>
        <w:widowControl/>
        <w:spacing w:line="560" w:lineRule="exact"/>
        <w:jc w:val="left"/>
        <w:rPr>
          <w:rFonts w:cs="Times New Roman" w:asciiTheme="minorEastAsia" w:hAnsiTheme="minorEastAsia" w:eastAsiaTheme="minorEastAsia"/>
          <w:bCs/>
          <w:color w:val="auto"/>
          <w:sz w:val="24"/>
          <w:szCs w:val="24"/>
          <w:highlight w:val="none"/>
        </w:rPr>
      </w:pPr>
      <w:bookmarkStart w:id="99" w:name="_Toc331685783"/>
      <w:r>
        <w:rPr>
          <w:rFonts w:hint="eastAsia" w:cs="Times New Roman" w:asciiTheme="minorEastAsia" w:hAnsiTheme="minorEastAsia" w:eastAsiaTheme="minorEastAsia"/>
          <w:bCs/>
          <w:color w:val="auto"/>
          <w:sz w:val="24"/>
          <w:szCs w:val="24"/>
          <w:highlight w:val="none"/>
        </w:rPr>
        <w:t>时间：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日               时间：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日</w:t>
      </w:r>
    </w:p>
    <w:p w14:paraId="496386AD">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w:t>
      </w:r>
      <w:bookmarkStart w:id="100" w:name="_Hlk110099149"/>
      <w:r>
        <w:rPr>
          <w:rFonts w:hint="eastAsia" w:ascii="宋体" w:hAnsi="宋体" w:eastAsia="宋体"/>
          <w:color w:val="auto"/>
          <w:sz w:val="24"/>
          <w:szCs w:val="24"/>
          <w:highlight w:val="none"/>
        </w:rPr>
        <w:t>乙方账户信息</w:t>
      </w:r>
    </w:p>
    <w:p w14:paraId="1264566C">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户名：</w:t>
      </w:r>
      <w:r>
        <w:rPr>
          <w:rFonts w:hint="eastAsia" w:ascii="宋体" w:hAnsi="宋体" w:eastAsia="宋体"/>
          <w:color w:val="auto"/>
          <w:sz w:val="24"/>
          <w:szCs w:val="24"/>
          <w:highlight w:val="none"/>
          <w:u w:val="single"/>
        </w:rPr>
        <w:t xml:space="preserve">            </w:t>
      </w:r>
    </w:p>
    <w:p w14:paraId="58365E19">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账号：</w:t>
      </w:r>
      <w:r>
        <w:rPr>
          <w:rFonts w:hint="eastAsia" w:ascii="宋体" w:hAnsi="宋体" w:eastAsia="宋体"/>
          <w:color w:val="auto"/>
          <w:sz w:val="24"/>
          <w:szCs w:val="24"/>
          <w:highlight w:val="none"/>
          <w:u w:val="single"/>
        </w:rPr>
        <w:t xml:space="preserve">            </w:t>
      </w:r>
    </w:p>
    <w:p w14:paraId="51E3F255">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开户银行：</w:t>
      </w:r>
      <w:r>
        <w:rPr>
          <w:rFonts w:hint="eastAsia" w:ascii="宋体" w:hAnsi="宋体" w:eastAsia="宋体"/>
          <w:color w:val="auto"/>
          <w:sz w:val="24"/>
          <w:szCs w:val="24"/>
          <w:highlight w:val="none"/>
          <w:u w:val="single"/>
        </w:rPr>
        <w:t xml:space="preserve">        </w:t>
      </w:r>
    </w:p>
    <w:bookmarkEnd w:id="100"/>
    <w:p w14:paraId="6F69CE9D">
      <w:pPr>
        <w:widowControl/>
        <w:jc w:val="left"/>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br w:type="page"/>
      </w:r>
    </w:p>
    <w:p w14:paraId="56337CE8">
      <w:pPr>
        <w:spacing w:line="360" w:lineRule="auto"/>
        <w:jc w:val="center"/>
        <w:outlineLvl w:val="1"/>
        <w:rPr>
          <w:rFonts w:asciiTheme="minorEastAsia" w:hAnsiTheme="minorEastAsia" w:eastAsiaTheme="minorEastAsia"/>
          <w:b/>
          <w:color w:val="auto"/>
          <w:sz w:val="24"/>
          <w:highlight w:val="none"/>
        </w:rPr>
      </w:pPr>
      <w:bookmarkStart w:id="101" w:name="_Toc415"/>
      <w:r>
        <w:rPr>
          <w:rFonts w:hint="eastAsia" w:asciiTheme="minorEastAsia" w:hAnsiTheme="minorEastAsia" w:eastAsiaTheme="minorEastAsia"/>
          <w:b/>
          <w:color w:val="auto"/>
          <w:sz w:val="24"/>
          <w:highlight w:val="none"/>
        </w:rPr>
        <w:t>第二部分</w:t>
      </w:r>
      <w:r>
        <w:rPr>
          <w:rFonts w:asciiTheme="minorEastAsia" w:hAnsiTheme="minorEastAsia" w:eastAsiaTheme="minorEastAsia"/>
          <w:b/>
          <w:color w:val="auto"/>
          <w:sz w:val="24"/>
          <w:highlight w:val="none"/>
        </w:rPr>
        <w:t xml:space="preserve"> </w:t>
      </w:r>
      <w:r>
        <w:rPr>
          <w:rFonts w:hint="eastAsia" w:asciiTheme="minorEastAsia" w:hAnsiTheme="minorEastAsia" w:eastAsiaTheme="minorEastAsia"/>
          <w:b/>
          <w:color w:val="auto"/>
          <w:sz w:val="24"/>
          <w:highlight w:val="none"/>
        </w:rPr>
        <w:t>合同一般条款</w:t>
      </w:r>
      <w:bookmarkEnd w:id="99"/>
      <w:bookmarkEnd w:id="101"/>
    </w:p>
    <w:p w14:paraId="507EB3BB">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02" w:name="_Toc28763"/>
      <w:bookmarkStart w:id="103" w:name="_Ref467379225"/>
      <w:bookmarkStart w:id="104" w:name="_Ref467379101"/>
      <w:bookmarkStart w:id="105" w:name="_Toc279701240"/>
      <w:bookmarkStart w:id="106" w:name="_Ref467379109"/>
      <w:bookmarkStart w:id="107" w:name="_Toc259093669"/>
      <w:bookmarkStart w:id="108" w:name="_Ref467378499"/>
      <w:bookmarkStart w:id="109" w:name="_Ref467379094"/>
      <w:bookmarkStart w:id="110" w:name="_Ref467379195"/>
      <w:bookmarkStart w:id="111" w:name="_Toc19614"/>
      <w:bookmarkStart w:id="112" w:name="_Ref467379214"/>
      <w:bookmarkStart w:id="113" w:name="_Ref467378463"/>
      <w:bookmarkStart w:id="114" w:name="_Ref467379205"/>
      <w:bookmarkStart w:id="115" w:name="_Toc16917"/>
      <w:bookmarkStart w:id="116" w:name="_Toc487900349"/>
      <w:bookmarkStart w:id="117" w:name="_Ref467378404"/>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 xml:space="preserve"> 定义</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7497A69E">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本合同中的下列</w:t>
      </w:r>
      <w:r>
        <w:rPr>
          <w:rFonts w:hint="eastAsia" w:cs="Times New Roman" w:asciiTheme="minorEastAsia" w:hAnsiTheme="minorEastAsia" w:eastAsiaTheme="minorEastAsia"/>
          <w:color w:val="auto"/>
          <w:sz w:val="24"/>
          <w:szCs w:val="24"/>
          <w:highlight w:val="none"/>
        </w:rPr>
        <w:t>词</w:t>
      </w:r>
      <w:r>
        <w:rPr>
          <w:rFonts w:cs="Times New Roman" w:asciiTheme="minorEastAsia" w:hAnsiTheme="minorEastAsia" w:eastAsiaTheme="minorEastAsia"/>
          <w:color w:val="auto"/>
          <w:sz w:val="24"/>
          <w:szCs w:val="24"/>
          <w:highlight w:val="none"/>
        </w:rPr>
        <w:t>语应</w:t>
      </w:r>
      <w:r>
        <w:rPr>
          <w:rFonts w:hint="eastAsia" w:cs="Times New Roman" w:asciiTheme="minorEastAsia" w:hAnsiTheme="minorEastAsia" w:eastAsiaTheme="minorEastAsia"/>
          <w:color w:val="auto"/>
          <w:sz w:val="24"/>
          <w:szCs w:val="24"/>
          <w:highlight w:val="none"/>
        </w:rPr>
        <w:t>按以下内容进行</w:t>
      </w:r>
      <w:r>
        <w:rPr>
          <w:rFonts w:cs="Times New Roman" w:asciiTheme="minorEastAsia" w:hAnsiTheme="minorEastAsia" w:eastAsiaTheme="minorEastAsia"/>
          <w:color w:val="auto"/>
          <w:sz w:val="24"/>
          <w:szCs w:val="24"/>
          <w:highlight w:val="none"/>
        </w:rPr>
        <w:t>解释：</w:t>
      </w:r>
    </w:p>
    <w:p w14:paraId="546B2274">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.1</w:t>
      </w:r>
      <w:r>
        <w:rPr>
          <w:rFonts w:cs="Times New Roman" w:asciiTheme="minorEastAsia" w:hAnsiTheme="minorEastAsia" w:eastAsiaTheme="minorEastAsia"/>
          <w:color w:val="auto"/>
          <w:sz w:val="24"/>
          <w:szCs w:val="24"/>
          <w:highlight w:val="none"/>
        </w:rPr>
        <w:t>“合同”系指采购人和中标人签订的载明双方当事人所达成的协议，并包括所有的附件、附录和构成合同的其他文件。</w:t>
      </w:r>
    </w:p>
    <w:p w14:paraId="02E92599">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1.2“合同价”系指根据合同约定，中标人在完全履行合同义务后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采购人应支付给中标人的价格。</w:t>
      </w:r>
    </w:p>
    <w:p w14:paraId="5CA432E4">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1.3“</w:t>
      </w:r>
      <w:r>
        <w:rPr>
          <w:rFonts w:hint="eastAsia" w:cs="Times New Roman" w:asciiTheme="minorEastAsia" w:hAnsiTheme="minorEastAsia" w:eastAsiaTheme="minorEastAsia"/>
          <w:color w:val="auto"/>
          <w:sz w:val="24"/>
          <w:szCs w:val="24"/>
          <w:highlight w:val="none"/>
        </w:rPr>
        <w:t>服务</w:t>
      </w:r>
      <w:r>
        <w:rPr>
          <w:rFonts w:cs="Times New Roman" w:asciiTheme="minorEastAsia" w:hAnsiTheme="minorEastAsia" w:eastAsiaTheme="minorEastAsia"/>
          <w:color w:val="auto"/>
          <w:sz w:val="24"/>
          <w:szCs w:val="24"/>
          <w:highlight w:val="none"/>
        </w:rPr>
        <w:t>”系指</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根据合同约定应向采购人</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w:t>
      </w:r>
      <w:r>
        <w:rPr>
          <w:rFonts w:hint="eastAsia" w:cs="Times New Roman" w:asciiTheme="minorEastAsia" w:hAnsiTheme="minorEastAsia" w:eastAsiaTheme="minorEastAsia"/>
          <w:color w:val="auto"/>
          <w:sz w:val="24"/>
          <w:szCs w:val="24"/>
          <w:highlight w:val="none"/>
        </w:rPr>
        <w:t>除货物和工程以外的其他政府采购对象，包括采购人自身需要的服务和向社会公众提供的公共服务。</w:t>
      </w:r>
    </w:p>
    <w:p w14:paraId="4A9111D2">
      <w:pPr>
        <w:spacing w:line="360" w:lineRule="auto"/>
        <w:ind w:firstLine="435"/>
        <w:rPr>
          <w:rFonts w:cs="Times New Roman" w:asciiTheme="minorEastAsia" w:hAnsiTheme="minorEastAsia" w:eastAsiaTheme="minorEastAsia"/>
          <w:color w:val="auto"/>
          <w:sz w:val="24"/>
          <w:szCs w:val="24"/>
          <w:highlight w:val="none"/>
        </w:rPr>
      </w:pPr>
      <w:bookmarkStart w:id="118" w:name="_Ref46737884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甲方</w:t>
      </w:r>
      <w:r>
        <w:rPr>
          <w:rFonts w:cs="Times New Roman" w:asciiTheme="minorEastAsia" w:hAnsiTheme="minorEastAsia" w:eastAsiaTheme="minorEastAsia"/>
          <w:color w:val="auto"/>
          <w:sz w:val="24"/>
          <w:szCs w:val="24"/>
          <w:highlight w:val="none"/>
        </w:rPr>
        <w:t>”系指与</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签署合同的采购人</w:t>
      </w:r>
      <w:bookmarkEnd w:id="118"/>
      <w:r>
        <w:rPr>
          <w:rFonts w:hint="eastAsia" w:cs="Times New Roman" w:asciiTheme="minorEastAsia" w:hAnsiTheme="minorEastAsia" w:eastAsiaTheme="minorEastAsia"/>
          <w:color w:val="auto"/>
          <w:sz w:val="24"/>
          <w:szCs w:val="24"/>
          <w:highlight w:val="none"/>
        </w:rPr>
        <w:t>；采购人委托采购代理机构代表其与乙方签订合同的，采购人的授权委托书作为合同附件。</w:t>
      </w:r>
    </w:p>
    <w:p w14:paraId="65E2E012">
      <w:pPr>
        <w:spacing w:line="360" w:lineRule="auto"/>
        <w:ind w:firstLine="435"/>
        <w:rPr>
          <w:rFonts w:cs="Times New Roman" w:asciiTheme="minorEastAsia" w:hAnsiTheme="minorEastAsia" w:eastAsiaTheme="minorEastAsia"/>
          <w:color w:val="auto"/>
          <w:sz w:val="24"/>
          <w:szCs w:val="24"/>
          <w:highlight w:val="none"/>
        </w:rPr>
      </w:pPr>
      <w:bookmarkStart w:id="119" w:name="_Ref46737940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“乙方”系指根据合同约定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的中标人</w:t>
      </w:r>
      <w:bookmarkEnd w:id="119"/>
      <w:r>
        <w:rPr>
          <w:rFonts w:hint="eastAsia" w:cs="Times New Roman" w:asciiTheme="minorEastAsia" w:hAnsiTheme="minorEastAsia" w:eastAsiaTheme="minorEastAsia"/>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2F0511BD">
      <w:pPr>
        <w:spacing w:line="360" w:lineRule="auto"/>
        <w:ind w:firstLine="435"/>
        <w:rPr>
          <w:rFonts w:cs="Times New Roman" w:asciiTheme="minorEastAsia" w:hAnsiTheme="minorEastAsia" w:eastAsiaTheme="minorEastAsia"/>
          <w:color w:val="auto"/>
          <w:sz w:val="24"/>
          <w:szCs w:val="24"/>
          <w:highlight w:val="none"/>
        </w:rPr>
      </w:pPr>
      <w:bookmarkStart w:id="120" w:name="_Ref467379436"/>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6</w:t>
      </w:r>
      <w:r>
        <w:rPr>
          <w:rFonts w:cs="Times New Roman" w:asciiTheme="minorEastAsia" w:hAnsiTheme="minorEastAsia" w:eastAsiaTheme="minorEastAsia"/>
          <w:color w:val="auto"/>
          <w:sz w:val="24"/>
          <w:szCs w:val="24"/>
          <w:highlight w:val="none"/>
        </w:rPr>
        <w:t>“现场”系指合同约定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的地点。</w:t>
      </w:r>
      <w:bookmarkEnd w:id="120"/>
    </w:p>
    <w:p w14:paraId="620AD3C4">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21" w:name="_Toc259093670"/>
      <w:bookmarkStart w:id="122" w:name="_Toc32504"/>
      <w:bookmarkStart w:id="123" w:name="_Toc279701241"/>
      <w:bookmarkStart w:id="124" w:name="_Toc13336"/>
      <w:bookmarkStart w:id="125" w:name="_Toc27635"/>
      <w:bookmarkStart w:id="126" w:name="_Toc487900350"/>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2 技术规范</w:t>
      </w:r>
      <w:bookmarkEnd w:id="121"/>
      <w:bookmarkEnd w:id="122"/>
      <w:bookmarkEnd w:id="123"/>
      <w:bookmarkEnd w:id="124"/>
      <w:bookmarkEnd w:id="125"/>
      <w:bookmarkEnd w:id="126"/>
    </w:p>
    <w:p w14:paraId="39F0BE09">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货物所应遵守的技术规范应与采购文件规定的技术规范和技术规范附件(如果有的话)及其技术规范偏差表(如果被甲方接受的话)相一致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如果采购文件中没有技术规范的相应说明，那么应以国家有关部门最新颁布的相应标准</w:t>
      </w:r>
      <w:r>
        <w:rPr>
          <w:rFonts w:hint="eastAsia" w:cs="Times New Roman" w:asciiTheme="minorEastAsia" w:hAnsiTheme="minorEastAsia" w:eastAsiaTheme="minorEastAsia"/>
          <w:color w:val="auto"/>
          <w:sz w:val="24"/>
          <w:szCs w:val="24"/>
          <w:highlight w:val="none"/>
        </w:rPr>
        <w:t>和</w:t>
      </w:r>
      <w:r>
        <w:rPr>
          <w:rFonts w:cs="Times New Roman" w:asciiTheme="minorEastAsia" w:hAnsiTheme="minorEastAsia" w:eastAsiaTheme="minorEastAsia"/>
          <w:color w:val="auto"/>
          <w:sz w:val="24"/>
          <w:szCs w:val="24"/>
          <w:highlight w:val="none"/>
        </w:rPr>
        <w:t>规范为准。</w:t>
      </w:r>
    </w:p>
    <w:p w14:paraId="5F039EA9">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27" w:name="_Toc9829"/>
      <w:bookmarkStart w:id="128" w:name="_Toc487900351"/>
      <w:bookmarkStart w:id="129" w:name="_Toc27853"/>
      <w:bookmarkStart w:id="130" w:name="_Toc279701242"/>
      <w:bookmarkStart w:id="131" w:name="_Toc259093671"/>
      <w:bookmarkStart w:id="132" w:name="_Toc3163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3 知识产权</w:t>
      </w:r>
      <w:bookmarkEnd w:id="127"/>
      <w:bookmarkEnd w:id="128"/>
      <w:bookmarkEnd w:id="129"/>
      <w:bookmarkEnd w:id="130"/>
      <w:bookmarkEnd w:id="131"/>
      <w:bookmarkEnd w:id="132"/>
    </w:p>
    <w:p w14:paraId="659BE898">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2.3.1乙</w:t>
      </w:r>
      <w:r>
        <w:rPr>
          <w:rFonts w:cs="Times New Roman" w:asciiTheme="minorEastAsia" w:hAnsiTheme="minorEastAsia" w:eastAsiaTheme="minorEastAsia"/>
          <w:color w:val="auto"/>
          <w:sz w:val="24"/>
          <w:szCs w:val="24"/>
          <w:highlight w:val="none"/>
        </w:rPr>
        <w:t>方应保证</w:t>
      </w:r>
      <w:r>
        <w:rPr>
          <w:rFonts w:hint="eastAsia" w:cs="Times New Roman" w:asciiTheme="minorEastAsia" w:hAnsiTheme="minorEastAsia" w:eastAsiaTheme="minorEastAsia"/>
          <w:color w:val="auto"/>
          <w:sz w:val="24"/>
          <w:szCs w:val="24"/>
          <w:highlight w:val="none"/>
        </w:rPr>
        <w:t>其提供的服务</w:t>
      </w:r>
      <w:r>
        <w:rPr>
          <w:rFonts w:cs="Times New Roman" w:asciiTheme="minorEastAsia" w:hAnsiTheme="minorEastAsia" w:eastAsiaTheme="minorEastAsia"/>
          <w:color w:val="auto"/>
          <w:sz w:val="24"/>
          <w:szCs w:val="24"/>
          <w:highlight w:val="none"/>
        </w:rPr>
        <w:t>不受任何第三方提出的侵犯其著作权、商标权、专利权等知识产权方面的起诉</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如果任何第三方提出侵权</w:t>
      </w:r>
      <w:r>
        <w:rPr>
          <w:rFonts w:hint="eastAsia" w:cs="Times New Roman" w:asciiTheme="minorEastAsia" w:hAnsiTheme="minorEastAsia" w:eastAsiaTheme="minorEastAsia"/>
          <w:color w:val="auto"/>
          <w:sz w:val="24"/>
          <w:szCs w:val="24"/>
          <w:highlight w:val="none"/>
        </w:rPr>
        <w:t>指控</w:t>
      </w:r>
      <w:r>
        <w:rPr>
          <w:rFonts w:cs="Times New Roman" w:asciiTheme="minorEastAsia" w:hAnsiTheme="minorEastAsia" w:eastAsiaTheme="minorEastAsia"/>
          <w:color w:val="auto"/>
          <w:sz w:val="24"/>
          <w:szCs w:val="24"/>
          <w:highlight w:val="none"/>
        </w:rPr>
        <w:t>，那么乙方须与该第三方交涉并承担由此发生的一切责任、费用和赔偿</w:t>
      </w:r>
      <w:r>
        <w:rPr>
          <w:rFonts w:hint="eastAsia" w:cs="Times New Roman" w:asciiTheme="minorEastAsia" w:hAnsiTheme="minorEastAsia" w:eastAsiaTheme="minorEastAsia"/>
          <w:color w:val="auto"/>
          <w:sz w:val="24"/>
          <w:szCs w:val="24"/>
          <w:highlight w:val="none"/>
        </w:rPr>
        <w:t>；</w:t>
      </w:r>
    </w:p>
    <w:p w14:paraId="31B671A8">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2.3.2具有知识产权的计算机软件等货物的知识产权归属，</w:t>
      </w: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6C8D1B72">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33" w:name="_Ref467379542"/>
      <w:bookmarkStart w:id="134" w:name="_Ref467378591"/>
      <w:bookmarkStart w:id="135" w:name="_Toc259093674"/>
      <w:bookmarkStart w:id="136" w:name="_Ref467378541"/>
      <w:bookmarkStart w:id="137" w:name="_Ref467379527"/>
      <w:bookmarkStart w:id="138" w:name="_Toc487900354"/>
      <w:bookmarkStart w:id="139" w:name="_Toc279701245"/>
      <w:bookmarkStart w:id="140" w:name="_Ref467379536"/>
      <w:bookmarkStart w:id="141" w:name="_Toc19074"/>
      <w:bookmarkStart w:id="142" w:name="_Toc30272"/>
      <w:bookmarkStart w:id="143" w:name="_Toc26182"/>
      <w:r>
        <w:rPr>
          <w:rFonts w:hint="eastAsia" w:cs="Times New Roman" w:asciiTheme="minorEastAsia" w:hAnsiTheme="minorEastAsia" w:eastAsiaTheme="minorEastAsia"/>
          <w:b/>
          <w:bCs/>
          <w:color w:val="auto"/>
          <w:sz w:val="24"/>
          <w:szCs w:val="24"/>
          <w:highlight w:val="none"/>
          <w:lang w:val="zh-CN"/>
        </w:rPr>
        <w:t>2.</w:t>
      </w:r>
      <w:bookmarkEnd w:id="133"/>
      <w:bookmarkEnd w:id="134"/>
      <w:bookmarkEnd w:id="135"/>
      <w:bookmarkEnd w:id="136"/>
      <w:bookmarkEnd w:id="137"/>
      <w:bookmarkEnd w:id="138"/>
      <w:bookmarkEnd w:id="139"/>
      <w:bookmarkEnd w:id="140"/>
      <w:r>
        <w:rPr>
          <w:rFonts w:cs="Times New Roman" w:asciiTheme="minorEastAsia" w:hAnsiTheme="minorEastAsia" w:eastAsiaTheme="minorEastAsia"/>
          <w:b/>
          <w:bCs/>
          <w:color w:val="auto"/>
          <w:sz w:val="24"/>
          <w:szCs w:val="24"/>
          <w:highlight w:val="none"/>
          <w:lang w:val="zh-CN"/>
        </w:rPr>
        <w:t xml:space="preserve">4 </w:t>
      </w:r>
      <w:r>
        <w:rPr>
          <w:rFonts w:hint="eastAsia" w:cs="Times New Roman" w:asciiTheme="minorEastAsia" w:hAnsiTheme="minorEastAsia" w:eastAsiaTheme="minorEastAsia"/>
          <w:b/>
          <w:bCs/>
          <w:color w:val="auto"/>
          <w:sz w:val="24"/>
          <w:szCs w:val="24"/>
          <w:highlight w:val="none"/>
          <w:lang w:val="zh-CN"/>
        </w:rPr>
        <w:t>履约检查和问题反馈</w:t>
      </w:r>
      <w:bookmarkEnd w:id="141"/>
      <w:bookmarkEnd w:id="142"/>
      <w:bookmarkEnd w:id="143"/>
    </w:p>
    <w:p w14:paraId="12A3A865">
      <w:pPr>
        <w:spacing w:line="360" w:lineRule="auto"/>
        <w:ind w:firstLine="435"/>
        <w:rPr>
          <w:rFonts w:cs="Times New Roman" w:asciiTheme="minorEastAsia" w:hAnsiTheme="minorEastAsia" w:eastAsiaTheme="minorEastAsia"/>
          <w:color w:val="auto"/>
          <w:sz w:val="24"/>
          <w:szCs w:val="24"/>
          <w:highlight w:val="none"/>
        </w:rPr>
      </w:pPr>
      <w:bookmarkStart w:id="144" w:name="_Toc186431854"/>
      <w:bookmarkStart w:id="145" w:name="_Ref467379807"/>
      <w:bookmarkStart w:id="146" w:name="_Ref467379793"/>
      <w:bookmarkStart w:id="147" w:name="_Toc487900357"/>
      <w:bookmarkStart w:id="148" w:name="_Toc259093676"/>
      <w:bookmarkStart w:id="149" w:name="_Toc279701247"/>
      <w:r>
        <w:rPr>
          <w:rFonts w:hint="eastAsia" w:cs="Times New Roman" w:asciiTheme="minorEastAsia" w:hAnsiTheme="minorEastAsia" w:eastAsiaTheme="minorEastAsia"/>
          <w:color w:val="auto"/>
          <w:sz w:val="24"/>
          <w:szCs w:val="24"/>
          <w:highlight w:val="none"/>
        </w:rPr>
        <w:t>2.4</w:t>
      </w:r>
      <w:r>
        <w:rPr>
          <w:rFonts w:cs="Times New Roman" w:asciiTheme="minorEastAsia" w:hAnsiTheme="minorEastAsia" w:eastAsiaTheme="minorEastAsia"/>
          <w:color w:val="auto"/>
          <w:sz w:val="24"/>
          <w:szCs w:val="24"/>
          <w:highlight w:val="none"/>
        </w:rPr>
        <w:t>.1甲方</w:t>
      </w:r>
      <w:r>
        <w:rPr>
          <w:rFonts w:hint="eastAsia" w:cs="Times New Roman" w:asciiTheme="minorEastAsia" w:hAnsiTheme="minorEastAsia" w:eastAsiaTheme="minorEastAsia"/>
          <w:color w:val="auto"/>
          <w:sz w:val="24"/>
          <w:szCs w:val="24"/>
          <w:highlight w:val="none"/>
        </w:rPr>
        <w:t>有权</w:t>
      </w:r>
      <w:r>
        <w:rPr>
          <w:rFonts w:cs="Times New Roman" w:asciiTheme="minorEastAsia" w:hAnsiTheme="minorEastAsia" w:eastAsiaTheme="minorEastAsia"/>
          <w:color w:val="auto"/>
          <w:sz w:val="24"/>
          <w:szCs w:val="24"/>
          <w:highlight w:val="none"/>
        </w:rPr>
        <w:t>在其认为必要时</w:t>
      </w:r>
      <w:r>
        <w:rPr>
          <w:rFonts w:hint="eastAsia" w:cs="Times New Roman" w:asciiTheme="minorEastAsia" w:hAnsiTheme="minorEastAsia" w:eastAsiaTheme="minorEastAsia"/>
          <w:color w:val="auto"/>
          <w:sz w:val="24"/>
          <w:szCs w:val="24"/>
          <w:highlight w:val="none"/>
        </w:rPr>
        <w:t>，对乙方是否能够按照合同约定提供服务进行履约检查，以确保乙方所提供的服务能够依约满足甲方项目需求，但不得因履约检查妨碍乙方的正常工作，乙方应予积极配合；</w:t>
      </w:r>
    </w:p>
    <w:p w14:paraId="1DE04D49">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.2合同履行期间，甲方有权将履行过程中出现的问题反馈给乙方，双方当事人应以书面形式约定需要完善和改进的内容</w:t>
      </w:r>
      <w:bookmarkEnd w:id="144"/>
      <w:bookmarkStart w:id="150" w:name="_Toc186431855"/>
      <w:r>
        <w:rPr>
          <w:rFonts w:hint="eastAsia" w:cs="Times New Roman" w:asciiTheme="minorEastAsia" w:hAnsiTheme="minorEastAsia" w:eastAsiaTheme="minorEastAsia"/>
          <w:color w:val="auto"/>
          <w:sz w:val="24"/>
          <w:szCs w:val="24"/>
          <w:highlight w:val="none"/>
        </w:rPr>
        <w:t>。</w:t>
      </w:r>
    </w:p>
    <w:bookmarkEnd w:id="150"/>
    <w:p w14:paraId="693C2EE2">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1" w:name="_Toc7836"/>
      <w:bookmarkStart w:id="152" w:name="_Toc28451"/>
      <w:bookmarkStart w:id="153" w:name="_Toc19219"/>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结算方式和付款条件</w:t>
      </w:r>
      <w:bookmarkEnd w:id="145"/>
      <w:bookmarkEnd w:id="146"/>
      <w:bookmarkEnd w:id="147"/>
      <w:bookmarkEnd w:id="148"/>
      <w:bookmarkEnd w:id="149"/>
      <w:bookmarkEnd w:id="151"/>
      <w:bookmarkEnd w:id="152"/>
      <w:bookmarkEnd w:id="153"/>
    </w:p>
    <w:p w14:paraId="57EB375C">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5331AB43">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4" w:name="_Ref467379863"/>
      <w:bookmarkStart w:id="155" w:name="_Ref467379852"/>
      <w:bookmarkStart w:id="156" w:name="_Toc487900358"/>
      <w:bookmarkStart w:id="157" w:name="_Toc279701248"/>
      <w:bookmarkStart w:id="158" w:name="_Toc259093677"/>
      <w:bookmarkStart w:id="159" w:name="_Ref467379923"/>
      <w:bookmarkStart w:id="160" w:name="_Toc774"/>
      <w:bookmarkStart w:id="161" w:name="_Toc3225"/>
      <w:bookmarkStart w:id="162" w:name="_Toc16110"/>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6</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技术资料</w:t>
      </w:r>
      <w:bookmarkEnd w:id="154"/>
      <w:bookmarkEnd w:id="155"/>
      <w:bookmarkEnd w:id="156"/>
      <w:bookmarkEnd w:id="157"/>
      <w:bookmarkEnd w:id="158"/>
      <w:bookmarkEnd w:id="159"/>
      <w:r>
        <w:rPr>
          <w:rFonts w:cs="Times New Roman" w:asciiTheme="minorEastAsia" w:hAnsiTheme="minorEastAsia" w:eastAsiaTheme="minorEastAsia"/>
          <w:b/>
          <w:bCs/>
          <w:color w:val="auto"/>
          <w:sz w:val="24"/>
          <w:szCs w:val="24"/>
          <w:highlight w:val="none"/>
          <w:lang w:val="zh-CN"/>
        </w:rPr>
        <w:t>和保密义务</w:t>
      </w:r>
      <w:bookmarkEnd w:id="160"/>
      <w:bookmarkEnd w:id="161"/>
      <w:bookmarkEnd w:id="162"/>
    </w:p>
    <w:p w14:paraId="75E118BF">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6.1</w:t>
      </w:r>
      <w:r>
        <w:rPr>
          <w:rFonts w:hint="eastAsia" w:cs="Times New Roman" w:asciiTheme="minorEastAsia" w:hAnsiTheme="minorEastAsia" w:eastAsiaTheme="minorEastAsia"/>
          <w:color w:val="auto"/>
          <w:sz w:val="24"/>
          <w:szCs w:val="24"/>
          <w:highlight w:val="none"/>
        </w:rPr>
        <w:t>乙方有权依据合同约定和项目需要，向甲方了解有关情况，调阅有关资料等，甲方应予积极配合；</w:t>
      </w:r>
    </w:p>
    <w:p w14:paraId="60405302">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.2乙方有义务妥善保管和保护由甲方提供的前款信息和资料等；</w:t>
      </w:r>
    </w:p>
    <w:p w14:paraId="0713DD83">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cs="Times New Roman" w:asciiTheme="minorEastAsia" w:hAnsiTheme="minorEastAsia" w:eastAsiaTheme="minorEastAsia"/>
          <w:color w:val="auto"/>
          <w:sz w:val="24"/>
          <w:szCs w:val="24"/>
          <w:highlight w:val="none"/>
        </w:rPr>
        <w:t>技术情报</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技术资料</w:t>
      </w:r>
      <w:r>
        <w:rPr>
          <w:rFonts w:hint="eastAsia" w:cs="Times New Roman" w:asciiTheme="minorEastAsia" w:hAnsiTheme="minorEastAsia" w:eastAsiaTheme="minorEastAsia"/>
          <w:color w:val="auto"/>
          <w:sz w:val="24"/>
          <w:szCs w:val="24"/>
          <w:highlight w:val="none"/>
        </w:rPr>
        <w:t>、商业秘密和商业信息等，并采取一切合理和必要措施和方式防止任何第三方接触到对方当事人的上述保密信息和资料。</w:t>
      </w:r>
    </w:p>
    <w:p w14:paraId="121BFC02">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3" w:name="_Toc7860"/>
      <w:r>
        <w:rPr>
          <w:rFonts w:cs="Times New Roman" w:asciiTheme="minorEastAsia" w:hAnsiTheme="minorEastAsia" w:eastAsiaTheme="minorEastAsia"/>
          <w:b/>
          <w:bCs/>
          <w:color w:val="auto"/>
          <w:sz w:val="24"/>
          <w:szCs w:val="24"/>
          <w:highlight w:val="none"/>
          <w:lang w:val="zh-CN"/>
        </w:rPr>
        <w:t>2.7 质量保证</w:t>
      </w:r>
      <w:bookmarkEnd w:id="163"/>
    </w:p>
    <w:p w14:paraId="61E5A264">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.1乙方应建立和完善履行合同的内部质量保证体系，并提供相关内部规章制度给甲方，以便甲方进行监督检查；</w:t>
      </w:r>
    </w:p>
    <w:p w14:paraId="59B4E582">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.2乙方应保证履行合同的人员数量和素质、软件和硬件设备的配置、场地、环境和设施等满足全面履行合同的要求，并应接受甲方的监督检查。</w:t>
      </w:r>
    </w:p>
    <w:p w14:paraId="2868F5CD">
      <w:pPr>
        <w:spacing w:line="360" w:lineRule="auto"/>
        <w:ind w:firstLine="437"/>
        <w:outlineLvl w:val="2"/>
        <w:rPr>
          <w:rFonts w:cs="Times New Roman" w:asciiTheme="minorEastAsia" w:hAnsiTheme="minorEastAsia" w:eastAsiaTheme="minorEastAsia"/>
          <w:b/>
          <w:color w:val="auto"/>
          <w:sz w:val="24"/>
          <w:szCs w:val="24"/>
          <w:highlight w:val="none"/>
        </w:rPr>
      </w:pPr>
      <w:bookmarkStart w:id="164" w:name="_Toc22267"/>
      <w:r>
        <w:rPr>
          <w:rFonts w:hint="eastAsia" w:cs="Times New Roman" w:asciiTheme="minorEastAsia" w:hAnsiTheme="minorEastAsia" w:eastAsiaTheme="minorEastAsia"/>
          <w:b/>
          <w:color w:val="auto"/>
          <w:sz w:val="24"/>
          <w:szCs w:val="24"/>
          <w:highlight w:val="none"/>
        </w:rPr>
        <w:t>2.8 延迟履行</w:t>
      </w:r>
      <w:bookmarkEnd w:id="164"/>
    </w:p>
    <w:p w14:paraId="1F9BDB5D">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在合同履行过程中，如果乙方遇到不能按时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的情况，应及时以书面形式将不能按时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的理由、预期延误时间通知甲方</w:t>
      </w:r>
      <w:r>
        <w:rPr>
          <w:rFonts w:hint="eastAsia" w:cs="Times New Roman" w:asciiTheme="minorEastAsia" w:hAnsiTheme="minorEastAsia" w:eastAsiaTheme="minorEastAsia"/>
          <w:color w:val="auto"/>
          <w:sz w:val="24"/>
          <w:szCs w:val="24"/>
          <w:highlight w:val="none"/>
        </w:rPr>
        <w:t>；甲</w:t>
      </w:r>
      <w:r>
        <w:rPr>
          <w:rFonts w:cs="Times New Roman" w:asciiTheme="minorEastAsia" w:hAnsiTheme="minorEastAsia" w:eastAsiaTheme="minorEastAsia"/>
          <w:color w:val="auto"/>
          <w:sz w:val="24"/>
          <w:szCs w:val="24"/>
          <w:highlight w:val="none"/>
        </w:rPr>
        <w:t>方收到乙方通知后，认为其理由正当的，可以书面形式酌情同意乙方可以延长</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的具体时间。</w:t>
      </w:r>
    </w:p>
    <w:p w14:paraId="315153DF">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5" w:name="_Toc7502"/>
      <w:bookmarkStart w:id="166" w:name="_Ref467378121"/>
      <w:bookmarkStart w:id="167" w:name="_Toc487900364"/>
      <w:bookmarkStart w:id="168" w:name="_Toc279701254"/>
      <w:bookmarkStart w:id="169" w:name="_Toc259093683"/>
      <w:r>
        <w:rPr>
          <w:rFonts w:cs="Times New Roman" w:asciiTheme="minorEastAsia" w:hAnsiTheme="minorEastAsia" w:eastAsiaTheme="minorEastAsia"/>
          <w:b/>
          <w:bCs/>
          <w:color w:val="auto"/>
          <w:sz w:val="24"/>
          <w:szCs w:val="24"/>
          <w:highlight w:val="none"/>
          <w:lang w:val="zh-CN"/>
        </w:rPr>
        <w:t>2.9 合同变更</w:t>
      </w:r>
      <w:bookmarkEnd w:id="165"/>
    </w:p>
    <w:p w14:paraId="02B29871">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.1双方当事人协商一致，可以签订书面补充合同的形式变更合同，但不得违背采购文件确定的事项；</w:t>
      </w:r>
    </w:p>
    <w:p w14:paraId="75F7EE4F">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.2合同继续履行将损害国家利益和社会公共利益的，双方当事人应当以书面形式变更合同。有过错的一方应当承担赔偿责任，双方当事人都有过错的，各自承担相应的责任。</w:t>
      </w:r>
      <w:bookmarkStart w:id="170" w:name="_Toc279701259"/>
      <w:bookmarkStart w:id="171" w:name="_Toc259093688"/>
      <w:bookmarkStart w:id="172" w:name="_Toc487900369"/>
    </w:p>
    <w:p w14:paraId="0E75C4B3">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73" w:name="_Toc10366"/>
      <w:bookmarkStart w:id="174" w:name="_Toc22955"/>
      <w:bookmarkStart w:id="175" w:name="_Toc15237"/>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0</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合同转让</w:t>
      </w:r>
      <w:bookmarkEnd w:id="170"/>
      <w:bookmarkEnd w:id="171"/>
      <w:bookmarkEnd w:id="172"/>
      <w:r>
        <w:rPr>
          <w:rFonts w:cs="Times New Roman" w:asciiTheme="minorEastAsia" w:hAnsiTheme="minorEastAsia" w:eastAsiaTheme="minorEastAsia"/>
          <w:b/>
          <w:bCs/>
          <w:color w:val="auto"/>
          <w:sz w:val="24"/>
          <w:szCs w:val="24"/>
          <w:highlight w:val="none"/>
          <w:lang w:val="zh-CN"/>
        </w:rPr>
        <w:t>和分包</w:t>
      </w:r>
      <w:bookmarkEnd w:id="173"/>
      <w:bookmarkEnd w:id="174"/>
      <w:bookmarkEnd w:id="175"/>
    </w:p>
    <w:p w14:paraId="7689BA59">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合同的权利义务依法不</w:t>
      </w:r>
      <w:r>
        <w:rPr>
          <w:rFonts w:hint="eastAsia" w:cs="Times New Roman" w:asciiTheme="minorEastAsia" w:hAnsiTheme="minorEastAsia" w:eastAsiaTheme="minorEastAsia"/>
          <w:color w:val="auto"/>
          <w:sz w:val="24"/>
          <w:szCs w:val="24"/>
          <w:highlight w:val="none"/>
        </w:rPr>
        <w:t>得</w:t>
      </w:r>
      <w:r>
        <w:rPr>
          <w:rFonts w:cs="Times New Roman" w:asciiTheme="minorEastAsia" w:hAnsiTheme="minorEastAsia" w:eastAsiaTheme="minorEastAsia"/>
          <w:color w:val="auto"/>
          <w:sz w:val="24"/>
          <w:szCs w:val="24"/>
          <w:highlight w:val="none"/>
        </w:rPr>
        <w:t>转让</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但经甲方</w:t>
      </w:r>
      <w:r>
        <w:rPr>
          <w:rFonts w:hint="eastAsia" w:cs="Times New Roman" w:asciiTheme="minorEastAsia" w:hAnsiTheme="minorEastAsia" w:eastAsiaTheme="minorEastAsia"/>
          <w:color w:val="auto"/>
          <w:sz w:val="24"/>
          <w:szCs w:val="24"/>
          <w:highlight w:val="none"/>
        </w:rPr>
        <w:t>同意，乙方可以依法采取分包方式履行合同，即：依法可以</w:t>
      </w:r>
      <w:r>
        <w:rPr>
          <w:rFonts w:cs="Times New Roman" w:asciiTheme="minorEastAsia" w:hAnsiTheme="minorEastAsia" w:eastAsiaTheme="minorEastAsia"/>
          <w:color w:val="auto"/>
          <w:sz w:val="24"/>
          <w:szCs w:val="24"/>
          <w:highlight w:val="none"/>
        </w:rPr>
        <w:t>将合同项下的部分非主体、非关键性工作分包给他人完成</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接受分包的人应当具备相应的资格条件，并不得再次分包</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且乙方应就分包项目向甲方负责</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并</w:t>
      </w:r>
      <w:r>
        <w:rPr>
          <w:rFonts w:hint="eastAsia" w:cs="Times New Roman" w:asciiTheme="minorEastAsia" w:hAnsiTheme="minorEastAsia" w:eastAsiaTheme="minorEastAsia"/>
          <w:color w:val="auto"/>
          <w:sz w:val="24"/>
          <w:szCs w:val="24"/>
          <w:highlight w:val="none"/>
        </w:rPr>
        <w:t>与分包供应商就分包项目向甲方承担连带责任。</w:t>
      </w:r>
    </w:p>
    <w:p w14:paraId="572F50DE">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76" w:name="_Toc13566"/>
      <w:bookmarkStart w:id="177" w:name="_Toc14066"/>
      <w:bookmarkStart w:id="178" w:name="_Toc16508"/>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1 不可抗力</w:t>
      </w:r>
      <w:bookmarkEnd w:id="176"/>
      <w:bookmarkEnd w:id="177"/>
      <w:bookmarkEnd w:id="178"/>
    </w:p>
    <w:p w14:paraId="3E899B0B">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1.1如果任何一方遭遇法律规定的不可抗力，致使合同履行受阻时，履行合同的期限应予延长，延长的期限应相当于不可抗力所影响的时间</w:t>
      </w:r>
      <w:r>
        <w:rPr>
          <w:rFonts w:hint="eastAsia" w:cs="Times New Roman" w:asciiTheme="minorEastAsia" w:hAnsiTheme="minorEastAsia" w:eastAsiaTheme="minorEastAsia"/>
          <w:color w:val="auto"/>
          <w:sz w:val="24"/>
          <w:szCs w:val="24"/>
          <w:highlight w:val="none"/>
        </w:rPr>
        <w:t>；</w:t>
      </w:r>
    </w:p>
    <w:p w14:paraId="7A3F2EC5">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.2因不可抗力致使不能实现合同目的的，当事人可以解除合同；</w:t>
      </w:r>
    </w:p>
    <w:p w14:paraId="7FBF3D7A">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.3因</w:t>
      </w:r>
      <w:r>
        <w:rPr>
          <w:rFonts w:cs="Times New Roman" w:asciiTheme="minorEastAsia" w:hAnsiTheme="minorEastAsia" w:eastAsiaTheme="minorEastAsia"/>
          <w:color w:val="auto"/>
          <w:sz w:val="24"/>
          <w:szCs w:val="24"/>
          <w:highlight w:val="none"/>
        </w:rPr>
        <w:t>不可抗力致使合同有变更必要的，双方当事人应在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约定时间内以书面形式变更合同</w:t>
      </w:r>
      <w:r>
        <w:rPr>
          <w:rFonts w:hint="eastAsia" w:cs="Times New Roman" w:asciiTheme="minorEastAsia" w:hAnsiTheme="minorEastAsia" w:eastAsiaTheme="minorEastAsia"/>
          <w:color w:val="auto"/>
          <w:sz w:val="24"/>
          <w:szCs w:val="24"/>
          <w:highlight w:val="none"/>
        </w:rPr>
        <w:t>；</w:t>
      </w:r>
    </w:p>
    <w:p w14:paraId="0D6600DA">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受</w:t>
      </w:r>
      <w:r>
        <w:rPr>
          <w:rFonts w:hint="eastAsia" w:cs="Times New Roman" w:asciiTheme="minorEastAsia" w:hAnsiTheme="minorEastAsia" w:eastAsiaTheme="minorEastAsia"/>
          <w:color w:val="auto"/>
          <w:sz w:val="24"/>
          <w:szCs w:val="24"/>
          <w:highlight w:val="none"/>
        </w:rPr>
        <w:t>不可抗力</w:t>
      </w:r>
      <w:r>
        <w:rPr>
          <w:rFonts w:cs="Times New Roman" w:asciiTheme="minorEastAsia" w:hAnsiTheme="minorEastAsia" w:eastAsiaTheme="minorEastAsia"/>
          <w:color w:val="auto"/>
          <w:sz w:val="24"/>
          <w:szCs w:val="24"/>
          <w:highlight w:val="none"/>
        </w:rPr>
        <w:t>影响的一方在不可抗力发生后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约定时间内以书面形式通知</w:t>
      </w:r>
      <w:r>
        <w:rPr>
          <w:rFonts w:hint="eastAsia" w:cs="Times New Roman" w:asciiTheme="minorEastAsia" w:hAnsiTheme="minorEastAsia" w:eastAsiaTheme="minorEastAsia"/>
          <w:color w:val="auto"/>
          <w:sz w:val="24"/>
          <w:szCs w:val="24"/>
          <w:highlight w:val="none"/>
        </w:rPr>
        <w:t>对</w:t>
      </w:r>
      <w:r>
        <w:rPr>
          <w:rFonts w:cs="Times New Roman" w:asciiTheme="minorEastAsia" w:hAnsiTheme="minorEastAsia" w:eastAsiaTheme="minorEastAsia"/>
          <w:color w:val="auto"/>
          <w:sz w:val="24"/>
          <w:szCs w:val="24"/>
          <w:highlight w:val="none"/>
        </w:rPr>
        <w:t>方当事人，并在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约定时间内，将有关部门出具的证明文件送达</w:t>
      </w:r>
      <w:r>
        <w:rPr>
          <w:rFonts w:hint="eastAsia" w:cs="Times New Roman" w:asciiTheme="minorEastAsia" w:hAnsiTheme="minorEastAsia" w:eastAsiaTheme="minorEastAsia"/>
          <w:color w:val="auto"/>
          <w:sz w:val="24"/>
          <w:szCs w:val="24"/>
          <w:highlight w:val="none"/>
        </w:rPr>
        <w:t>对方当事人</w:t>
      </w:r>
      <w:r>
        <w:rPr>
          <w:rFonts w:cs="Times New Roman" w:asciiTheme="minorEastAsia" w:hAnsiTheme="minorEastAsia" w:eastAsiaTheme="minorEastAsia"/>
          <w:color w:val="auto"/>
          <w:sz w:val="24"/>
          <w:szCs w:val="24"/>
          <w:highlight w:val="none"/>
        </w:rPr>
        <w:t>。</w:t>
      </w:r>
    </w:p>
    <w:p w14:paraId="175D85B2">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79" w:name="_Toc6969"/>
      <w:bookmarkStart w:id="180" w:name="_Toc487900365"/>
      <w:bookmarkStart w:id="181" w:name="_Toc689"/>
      <w:bookmarkStart w:id="182" w:name="_Toc259093684"/>
      <w:bookmarkStart w:id="183" w:name="_Toc30676"/>
      <w:bookmarkStart w:id="184" w:name="_Toc279701255"/>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12</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税费</w:t>
      </w:r>
      <w:bookmarkEnd w:id="179"/>
      <w:bookmarkEnd w:id="180"/>
      <w:bookmarkEnd w:id="181"/>
      <w:bookmarkEnd w:id="182"/>
      <w:bookmarkEnd w:id="183"/>
      <w:bookmarkEnd w:id="184"/>
    </w:p>
    <w:p w14:paraId="76F6BAD4">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与合同有关的一切税费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均按照中华人民共和国法律的相关规定</w:t>
      </w:r>
      <w:r>
        <w:rPr>
          <w:rFonts w:hint="eastAsia" w:cs="Times New Roman" w:asciiTheme="minorEastAsia" w:hAnsiTheme="minorEastAsia" w:eastAsiaTheme="minorEastAsia"/>
          <w:color w:val="auto"/>
          <w:sz w:val="24"/>
          <w:szCs w:val="24"/>
          <w:highlight w:val="none"/>
        </w:rPr>
        <w:t>缴纳</w:t>
      </w:r>
      <w:r>
        <w:rPr>
          <w:rFonts w:cs="Times New Roman" w:asciiTheme="minorEastAsia" w:hAnsiTheme="minorEastAsia" w:eastAsiaTheme="minorEastAsia"/>
          <w:color w:val="auto"/>
          <w:sz w:val="24"/>
          <w:szCs w:val="24"/>
          <w:highlight w:val="none"/>
        </w:rPr>
        <w:t>。</w:t>
      </w:r>
    </w:p>
    <w:p w14:paraId="0FA37650">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85" w:name="_Toc7102"/>
      <w:bookmarkStart w:id="186" w:name="_Toc8298"/>
      <w:bookmarkStart w:id="187" w:name="_Toc16959"/>
      <w:bookmarkStart w:id="188" w:name="_Toc259093687"/>
      <w:bookmarkStart w:id="189" w:name="_Toc487900368"/>
      <w:bookmarkStart w:id="190" w:name="_Toc279701258"/>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13</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乙方破产</w:t>
      </w:r>
      <w:bookmarkEnd w:id="185"/>
      <w:bookmarkEnd w:id="186"/>
      <w:bookmarkEnd w:id="187"/>
      <w:bookmarkEnd w:id="188"/>
      <w:bookmarkEnd w:id="189"/>
      <w:bookmarkEnd w:id="190"/>
    </w:p>
    <w:p w14:paraId="6CFA06ED">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如果乙方破产导致合同无法履行时，甲方可以书面形式通知乙方终止合同且不给予乙方任何补偿和赔偿</w:t>
      </w:r>
      <w:r>
        <w:rPr>
          <w:rFonts w:hint="eastAsia" w:cs="Times New Roman" w:asciiTheme="minorEastAsia" w:hAnsiTheme="minorEastAsia" w:eastAsiaTheme="minorEastAsia"/>
          <w:color w:val="auto"/>
          <w:sz w:val="24"/>
          <w:szCs w:val="24"/>
          <w:highlight w:val="none"/>
        </w:rPr>
        <w:t>，但合同的</w:t>
      </w:r>
      <w:r>
        <w:rPr>
          <w:rFonts w:cs="Times New Roman" w:asciiTheme="minorEastAsia" w:hAnsiTheme="minorEastAsia" w:eastAsiaTheme="minorEastAsia"/>
          <w:color w:val="auto"/>
          <w:sz w:val="24"/>
          <w:szCs w:val="24"/>
          <w:highlight w:val="none"/>
        </w:rPr>
        <w:t>终止不损害或不影响甲方已经采取或将要采取的任何要求乙方支付违约金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赔偿损失等的行动或补救措施的权利</w:t>
      </w:r>
      <w:r>
        <w:rPr>
          <w:rFonts w:hint="eastAsia" w:cs="Times New Roman" w:asciiTheme="minorEastAsia" w:hAnsiTheme="minorEastAsia" w:eastAsiaTheme="minorEastAsia"/>
          <w:color w:val="auto"/>
          <w:sz w:val="24"/>
          <w:szCs w:val="24"/>
          <w:highlight w:val="none"/>
        </w:rPr>
        <w:t>。</w:t>
      </w:r>
    </w:p>
    <w:p w14:paraId="7962F61D">
      <w:pPr>
        <w:spacing w:line="360" w:lineRule="auto"/>
        <w:ind w:firstLine="437"/>
        <w:outlineLvl w:val="2"/>
        <w:rPr>
          <w:rFonts w:cs="Times New Roman" w:asciiTheme="minorEastAsia" w:hAnsiTheme="minorEastAsia" w:eastAsiaTheme="minorEastAsia"/>
          <w:b/>
          <w:color w:val="auto"/>
          <w:sz w:val="24"/>
          <w:szCs w:val="24"/>
          <w:highlight w:val="none"/>
        </w:rPr>
      </w:pPr>
      <w:bookmarkStart w:id="191" w:name="_Toc6134"/>
      <w:bookmarkStart w:id="192" w:name="_Toc15387"/>
      <w:bookmarkStart w:id="193" w:name="_Toc29333"/>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4</w:t>
      </w:r>
      <w:r>
        <w:rPr>
          <w:rFonts w:hint="eastAsia" w:cs="Times New Roman" w:asciiTheme="minorEastAsia" w:hAnsiTheme="minorEastAsia" w:eastAsiaTheme="minorEastAsia"/>
          <w:b/>
          <w:bCs/>
          <w:color w:val="auto"/>
          <w:sz w:val="24"/>
          <w:szCs w:val="24"/>
          <w:highlight w:val="none"/>
          <w:lang w:val="zh-CN"/>
        </w:rPr>
        <w:t xml:space="preserve"> 合同中止、终止</w:t>
      </w:r>
      <w:bookmarkEnd w:id="191"/>
      <w:bookmarkEnd w:id="192"/>
      <w:bookmarkEnd w:id="193"/>
    </w:p>
    <w:p w14:paraId="3312FC75">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.1双方当事人不得擅自中止或者终止合同；</w:t>
      </w:r>
    </w:p>
    <w:p w14:paraId="46AE3046">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.2合同继续履行将损害国家利益和社会公共利益的，双方当事人应当中止或者终止合同。有过错的一方应当承担赔偿责任，双方当事人都有过错的，各自承担相应的责任。</w:t>
      </w:r>
    </w:p>
    <w:p w14:paraId="30E3C752">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94" w:name="_Toc1125"/>
      <w:bookmarkStart w:id="195" w:name="_Toc6596"/>
      <w:bookmarkStart w:id="196" w:name="_Toc14563"/>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 xml:space="preserve"> 检验和验收</w:t>
      </w:r>
      <w:bookmarkEnd w:id="194"/>
      <w:bookmarkEnd w:id="195"/>
      <w:bookmarkEnd w:id="196"/>
    </w:p>
    <w:p w14:paraId="1304F7BD">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1乙方按照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定期提交服务报告</w:t>
      </w:r>
      <w:r>
        <w:rPr>
          <w:rFonts w:hint="eastAsia" w:cs="Times New Roman" w:asciiTheme="minorEastAsia" w:hAnsiTheme="minorEastAsia" w:eastAsiaTheme="minorEastAsia"/>
          <w:color w:val="auto"/>
          <w:sz w:val="24"/>
          <w:szCs w:val="24"/>
          <w:highlight w:val="none"/>
        </w:rPr>
        <w:t>，甲方按照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的约定进行定期验收</w:t>
      </w:r>
      <w:r>
        <w:rPr>
          <w:rFonts w:hint="eastAsia" w:cs="Times New Roman" w:asciiTheme="minorEastAsia" w:hAnsiTheme="minorEastAsia" w:eastAsiaTheme="minorEastAsia"/>
          <w:color w:val="auto"/>
          <w:sz w:val="24"/>
          <w:szCs w:val="24"/>
          <w:highlight w:val="none"/>
        </w:rPr>
        <w:t>；</w:t>
      </w:r>
    </w:p>
    <w:p w14:paraId="394049EB">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3FAA561E">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2.15.3检验和验收标准、程序等具体内容以及前述验收书的效力详见</w:t>
      </w:r>
      <w:r>
        <w:rPr>
          <w:rFonts w:cs="Times New Roman" w:asciiTheme="minorEastAsia" w:hAnsiTheme="minorEastAsia" w:eastAsiaTheme="minorEastAsia"/>
          <w:b/>
          <w:i/>
          <w:color w:val="auto"/>
          <w:sz w:val="24"/>
          <w:szCs w:val="24"/>
          <w:highlight w:val="none"/>
          <w:u w:val="single"/>
        </w:rPr>
        <w:t>合同专用条款</w:t>
      </w:r>
      <w:r>
        <w:rPr>
          <w:rFonts w:hint="eastAsia" w:cs="Times New Roman" w:asciiTheme="minorEastAsia" w:hAnsiTheme="minorEastAsia" w:eastAsiaTheme="minorEastAsia"/>
          <w:i/>
          <w:color w:val="auto"/>
          <w:sz w:val="24"/>
          <w:szCs w:val="24"/>
          <w:highlight w:val="none"/>
        </w:rPr>
        <w:t>。</w:t>
      </w:r>
    </w:p>
    <w:bookmarkEnd w:id="166"/>
    <w:bookmarkEnd w:id="167"/>
    <w:bookmarkEnd w:id="168"/>
    <w:bookmarkEnd w:id="169"/>
    <w:p w14:paraId="169BE626">
      <w:pPr>
        <w:spacing w:line="360" w:lineRule="auto"/>
        <w:ind w:firstLine="437"/>
        <w:outlineLvl w:val="2"/>
        <w:rPr>
          <w:rFonts w:cs="Times New Roman" w:asciiTheme="minorEastAsia" w:hAnsiTheme="minorEastAsia" w:eastAsiaTheme="minorEastAsia"/>
          <w:b/>
          <w:bCs/>
          <w:color w:val="auto"/>
          <w:sz w:val="24"/>
          <w:szCs w:val="24"/>
          <w:highlight w:val="none"/>
        </w:rPr>
      </w:pPr>
      <w:bookmarkStart w:id="197" w:name="_Toc487900373"/>
      <w:bookmarkStart w:id="198" w:name="_Toc12773"/>
      <w:bookmarkStart w:id="199" w:name="_Toc10330"/>
      <w:bookmarkStart w:id="200" w:name="_Toc18567"/>
      <w:bookmarkStart w:id="201" w:name="_Toc279701263"/>
      <w:bookmarkStart w:id="202" w:name="_Toc259093692"/>
      <w:r>
        <w:rPr>
          <w:rFonts w:hint="eastAsia" w:cs="Times New Roman" w:asciiTheme="minorEastAsia" w:hAnsiTheme="minorEastAsia" w:eastAsiaTheme="minorEastAsia"/>
          <w:b/>
          <w:bCs/>
          <w:color w:val="auto"/>
          <w:sz w:val="24"/>
          <w:szCs w:val="24"/>
          <w:highlight w:val="none"/>
        </w:rPr>
        <w:t>2.</w:t>
      </w:r>
      <w:r>
        <w:rPr>
          <w:rFonts w:cs="Times New Roman" w:asciiTheme="minorEastAsia" w:hAnsiTheme="minorEastAsia" w:eastAsiaTheme="minorEastAsia"/>
          <w:b/>
          <w:bCs/>
          <w:color w:val="auto"/>
          <w:sz w:val="24"/>
          <w:szCs w:val="24"/>
          <w:highlight w:val="none"/>
        </w:rPr>
        <w:t>16</w:t>
      </w:r>
      <w:r>
        <w:rPr>
          <w:rFonts w:hint="eastAsia" w:cs="Times New Roman" w:asciiTheme="minorEastAsia" w:hAnsiTheme="minorEastAsia" w:eastAsiaTheme="minorEastAsia"/>
          <w:b/>
          <w:bCs/>
          <w:color w:val="auto"/>
          <w:sz w:val="24"/>
          <w:szCs w:val="24"/>
          <w:highlight w:val="none"/>
        </w:rPr>
        <w:t xml:space="preserve"> </w:t>
      </w:r>
      <w:r>
        <w:rPr>
          <w:rFonts w:hint="eastAsia" w:cs="Times New Roman" w:asciiTheme="minorEastAsia" w:hAnsiTheme="minorEastAsia" w:eastAsiaTheme="minorEastAsia"/>
          <w:b/>
          <w:bCs/>
          <w:color w:val="auto"/>
          <w:sz w:val="24"/>
          <w:szCs w:val="24"/>
          <w:highlight w:val="none"/>
          <w:lang w:val="zh-CN"/>
        </w:rPr>
        <w:t>合同使用的文字和</w:t>
      </w:r>
      <w:r>
        <w:rPr>
          <w:rFonts w:cs="Times New Roman" w:asciiTheme="minorEastAsia" w:hAnsiTheme="minorEastAsia" w:eastAsiaTheme="minorEastAsia"/>
          <w:b/>
          <w:bCs/>
          <w:color w:val="auto"/>
          <w:sz w:val="24"/>
          <w:szCs w:val="24"/>
          <w:highlight w:val="none"/>
          <w:lang w:val="zh-CN"/>
        </w:rPr>
        <w:t>适用的法律</w:t>
      </w:r>
      <w:bookmarkEnd w:id="197"/>
      <w:bookmarkEnd w:id="198"/>
      <w:bookmarkEnd w:id="199"/>
      <w:bookmarkEnd w:id="200"/>
      <w:bookmarkEnd w:id="201"/>
      <w:bookmarkEnd w:id="202"/>
    </w:p>
    <w:p w14:paraId="4BB2EEE0">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16.1合同使用汉语书就</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变更和解释</w:t>
      </w:r>
      <w:r>
        <w:rPr>
          <w:rFonts w:hint="eastAsia" w:cs="Times New Roman" w:asciiTheme="minorEastAsia" w:hAnsiTheme="minorEastAsia" w:eastAsiaTheme="minorEastAsia"/>
          <w:color w:val="auto"/>
          <w:sz w:val="24"/>
          <w:szCs w:val="24"/>
          <w:highlight w:val="none"/>
        </w:rPr>
        <w:t>；</w:t>
      </w:r>
    </w:p>
    <w:p w14:paraId="299DE32E">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w:t>
      </w:r>
      <w:r>
        <w:rPr>
          <w:rFonts w:hint="eastAsia" w:cs="Times New Roman" w:asciiTheme="minorEastAsia" w:hAnsiTheme="minorEastAsia" w:eastAsiaTheme="minorEastAsia"/>
          <w:color w:val="auto"/>
          <w:sz w:val="24"/>
          <w:szCs w:val="24"/>
          <w:highlight w:val="none"/>
        </w:rPr>
        <w:t>.2合同适用</w:t>
      </w:r>
      <w:r>
        <w:rPr>
          <w:rFonts w:cs="Times New Roman" w:asciiTheme="minorEastAsia" w:hAnsiTheme="minorEastAsia" w:eastAsiaTheme="minorEastAsia"/>
          <w:color w:val="auto"/>
          <w:sz w:val="24"/>
          <w:szCs w:val="24"/>
          <w:highlight w:val="none"/>
        </w:rPr>
        <w:t>中华人民共和国法律。</w:t>
      </w:r>
    </w:p>
    <w:p w14:paraId="1282AC42">
      <w:pPr>
        <w:spacing w:line="360" w:lineRule="auto"/>
        <w:ind w:firstLine="437"/>
        <w:outlineLvl w:val="2"/>
        <w:rPr>
          <w:rFonts w:cs="Times New Roman" w:asciiTheme="minorEastAsia" w:hAnsiTheme="minorEastAsia" w:eastAsiaTheme="minorEastAsia"/>
          <w:b/>
          <w:color w:val="auto"/>
          <w:sz w:val="24"/>
          <w:szCs w:val="24"/>
          <w:highlight w:val="none"/>
        </w:rPr>
      </w:pPr>
      <w:bookmarkStart w:id="203" w:name="_Toc16673"/>
      <w:bookmarkStart w:id="204" w:name="_Toc279701264"/>
      <w:bookmarkStart w:id="205" w:name="_Toc3148"/>
      <w:bookmarkStart w:id="206" w:name="_Toc259093693"/>
      <w:bookmarkStart w:id="207" w:name="_Toc12004"/>
      <w:bookmarkStart w:id="208" w:name="_Toc48790037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17</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履约保证金</w:t>
      </w:r>
      <w:bookmarkEnd w:id="203"/>
      <w:bookmarkEnd w:id="204"/>
      <w:bookmarkEnd w:id="205"/>
      <w:bookmarkEnd w:id="206"/>
      <w:bookmarkEnd w:id="207"/>
    </w:p>
    <w:p w14:paraId="466BCB07">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.1采购文件要求乙方提交履约保证金的，乙方</w:t>
      </w:r>
      <w:r>
        <w:rPr>
          <w:rFonts w:cs="Times New Roman" w:asciiTheme="minorEastAsia" w:hAnsiTheme="minorEastAsia" w:eastAsiaTheme="minorEastAsia"/>
          <w:color w:val="auto"/>
          <w:sz w:val="24"/>
          <w:szCs w:val="24"/>
          <w:highlight w:val="none"/>
        </w:rPr>
        <w:t>应按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约定的方式</w:t>
      </w:r>
      <w:r>
        <w:rPr>
          <w:rFonts w:hint="eastAsia" w:cs="Times New Roman" w:asciiTheme="minorEastAsia" w:hAnsiTheme="minorEastAsia" w:eastAsiaTheme="minorEastAsia"/>
          <w:color w:val="auto"/>
          <w:sz w:val="24"/>
          <w:szCs w:val="24"/>
          <w:highlight w:val="none"/>
        </w:rPr>
        <w:t>，以支票、汇票、本票或者金融机构、担保机构出具的保函等非现金形式提交；</w:t>
      </w:r>
    </w:p>
    <w:p w14:paraId="59037367">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17.2履约保证金在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约定期间内不予退还或者应完全有效</w:t>
      </w:r>
      <w:r>
        <w:rPr>
          <w:rFonts w:hint="eastAsia" w:cs="Times New Roman" w:asciiTheme="minorEastAsia" w:hAnsiTheme="minorEastAsia" w:eastAsiaTheme="minorEastAsia"/>
          <w:color w:val="auto"/>
          <w:sz w:val="24"/>
          <w:szCs w:val="24"/>
          <w:highlight w:val="none"/>
        </w:rPr>
        <w:t>，前述约定期间届满</w:t>
      </w:r>
      <w:r>
        <w:rPr>
          <w:rFonts w:cs="Times New Roman" w:asciiTheme="minorEastAsia" w:hAnsiTheme="minorEastAsia" w:eastAsiaTheme="minorEastAsia"/>
          <w:color w:val="auto"/>
          <w:sz w:val="24"/>
          <w:szCs w:val="24"/>
          <w:highlight w:val="none"/>
        </w:rPr>
        <w:t>之日起</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个</w:t>
      </w:r>
      <w:r>
        <w:rPr>
          <w:rFonts w:cs="Times New Roman" w:asciiTheme="minorEastAsia" w:hAnsiTheme="minorEastAsia" w:eastAsiaTheme="minorEastAsia"/>
          <w:color w:val="auto"/>
          <w:sz w:val="24"/>
          <w:szCs w:val="24"/>
          <w:highlight w:val="none"/>
        </w:rPr>
        <w:t>工作日内，甲方应将履约保证金退还乙方</w:t>
      </w:r>
      <w:r>
        <w:rPr>
          <w:rFonts w:hint="eastAsia" w:cs="Times New Roman" w:asciiTheme="minorEastAsia" w:hAnsiTheme="minorEastAsia" w:eastAsiaTheme="minorEastAsia"/>
          <w:color w:val="auto"/>
          <w:sz w:val="24"/>
          <w:szCs w:val="24"/>
          <w:highlight w:val="none"/>
          <w:lang w:eastAsia="zh-CN"/>
        </w:rPr>
        <w:t>，</w:t>
      </w:r>
      <w:r>
        <w:rPr>
          <w:rFonts w:hint="eastAsia" w:cs="Times New Roman" w:asciiTheme="minorEastAsia" w:hAnsiTheme="minorEastAsia" w:eastAsiaTheme="minorEastAsia"/>
          <w:color w:val="auto"/>
          <w:sz w:val="24"/>
          <w:szCs w:val="24"/>
          <w:highlight w:val="none"/>
          <w:lang w:val="en-US" w:eastAsia="zh-CN"/>
        </w:rPr>
        <w:t>甲方</w:t>
      </w:r>
      <w:r>
        <w:rPr>
          <w:rFonts w:hint="eastAsia" w:cs="Times New Roman" w:asciiTheme="minorEastAsia" w:hAnsiTheme="minorEastAsia" w:eastAsiaTheme="minorEastAsia"/>
          <w:color w:val="auto"/>
          <w:sz w:val="24"/>
          <w:szCs w:val="24"/>
          <w:highlight w:val="none"/>
        </w:rPr>
        <w:t>逾期退还履约保证金</w:t>
      </w:r>
      <w:r>
        <w:rPr>
          <w:rFonts w:hint="eastAsia" w:cs="Times New Roman" w:asciiTheme="minorEastAsia" w:hAnsiTheme="minorEastAsia" w:eastAsiaTheme="minorEastAsia"/>
          <w:color w:val="auto"/>
          <w:sz w:val="24"/>
          <w:szCs w:val="24"/>
          <w:highlight w:val="none"/>
          <w:lang w:val="en-US" w:eastAsia="zh-CN"/>
        </w:rPr>
        <w:t>应承担违约责任。</w:t>
      </w:r>
    </w:p>
    <w:p w14:paraId="6F6053DC">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.3</w:t>
      </w:r>
      <w:r>
        <w:rPr>
          <w:rFonts w:cs="Times New Roman" w:asciiTheme="minorEastAsia" w:hAnsiTheme="minorEastAsia" w:eastAsiaTheme="minorEastAsia"/>
          <w:color w:val="auto"/>
          <w:sz w:val="24"/>
          <w:szCs w:val="24"/>
          <w:highlight w:val="none"/>
        </w:rPr>
        <w:t>如果乙方不履行合同</w:t>
      </w:r>
      <w:r>
        <w:rPr>
          <w:rFonts w:hint="eastAsia" w:cs="Times New Roman" w:asciiTheme="minorEastAsia" w:hAnsiTheme="minorEastAsia" w:eastAsiaTheme="minorEastAsia"/>
          <w:color w:val="auto"/>
          <w:sz w:val="24"/>
          <w:szCs w:val="24"/>
          <w:highlight w:val="none"/>
        </w:rPr>
        <w:t>，履约保证金不予退还；如果乙方</w:t>
      </w:r>
      <w:r>
        <w:rPr>
          <w:rFonts w:cs="Times New Roman" w:asciiTheme="minorEastAsia" w:hAnsiTheme="minorEastAsia" w:eastAsiaTheme="minorEastAsia"/>
          <w:color w:val="auto"/>
          <w:sz w:val="24"/>
          <w:szCs w:val="24"/>
          <w:highlight w:val="none"/>
        </w:rPr>
        <w:t>未能按合同</w:t>
      </w:r>
      <w:r>
        <w:rPr>
          <w:rFonts w:hint="eastAsia" w:cs="Times New Roman" w:asciiTheme="minorEastAsia" w:hAnsiTheme="minorEastAsia" w:eastAsiaTheme="minorEastAsia"/>
          <w:color w:val="auto"/>
          <w:sz w:val="24"/>
          <w:szCs w:val="24"/>
          <w:highlight w:val="none"/>
        </w:rPr>
        <w:t>约</w:t>
      </w:r>
      <w:r>
        <w:rPr>
          <w:rFonts w:cs="Times New Roman" w:asciiTheme="minorEastAsia" w:hAnsiTheme="minorEastAsia" w:eastAsiaTheme="minorEastAsia"/>
          <w:color w:val="auto"/>
          <w:sz w:val="24"/>
          <w:szCs w:val="24"/>
          <w:highlight w:val="none"/>
        </w:rPr>
        <w:t>定全面履行义务，那么甲方有权从履约保证金中取得补偿或赔偿</w:t>
      </w:r>
      <w:r>
        <w:rPr>
          <w:rFonts w:hint="eastAsia" w:cs="Times New Roman" w:asciiTheme="minorEastAsia" w:hAnsiTheme="minorEastAsia" w:eastAsiaTheme="minorEastAsia"/>
          <w:color w:val="auto"/>
          <w:sz w:val="24"/>
          <w:szCs w:val="24"/>
          <w:highlight w:val="none"/>
        </w:rPr>
        <w:t>，同时不影响甲方要求乙方承担合同约定的超过履约保证金的违约责任的权利。</w:t>
      </w:r>
    </w:p>
    <w:bookmarkEnd w:id="208"/>
    <w:p w14:paraId="3A4F4F5A">
      <w:pPr>
        <w:spacing w:line="360" w:lineRule="auto"/>
        <w:ind w:firstLine="437"/>
        <w:outlineLvl w:val="2"/>
        <w:rPr>
          <w:rFonts w:cs="Times New Roman" w:asciiTheme="minorEastAsia" w:hAnsiTheme="minorEastAsia" w:eastAsiaTheme="minorEastAsia"/>
          <w:b/>
          <w:color w:val="auto"/>
          <w:sz w:val="24"/>
          <w:szCs w:val="24"/>
          <w:highlight w:val="none"/>
        </w:rPr>
      </w:pPr>
      <w:bookmarkStart w:id="209" w:name="_Toc6885"/>
      <w:bookmarkStart w:id="210" w:name="_Toc19890"/>
      <w:bookmarkStart w:id="211" w:name="_Toc14001"/>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18</w:t>
      </w:r>
      <w:r>
        <w:rPr>
          <w:rFonts w:hint="eastAsia" w:cs="Times New Roman" w:asciiTheme="minorEastAsia" w:hAnsiTheme="minorEastAsia" w:eastAsiaTheme="minorEastAsia"/>
          <w:b/>
          <w:bCs/>
          <w:color w:val="auto"/>
          <w:sz w:val="24"/>
          <w:szCs w:val="24"/>
          <w:highlight w:val="none"/>
          <w:lang w:val="zh-CN"/>
        </w:rPr>
        <w:t xml:space="preserve"> 合同份数</w:t>
      </w:r>
      <w:bookmarkEnd w:id="209"/>
      <w:bookmarkEnd w:id="210"/>
      <w:bookmarkEnd w:id="211"/>
    </w:p>
    <w:p w14:paraId="530AB3A3">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合同份数按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规定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每份均具有同等法律效力</w:t>
      </w:r>
      <w:r>
        <w:rPr>
          <w:rFonts w:hint="eastAsia" w:cs="Times New Roman" w:asciiTheme="minorEastAsia" w:hAnsiTheme="minorEastAsia" w:eastAsiaTheme="minorEastAsia"/>
          <w:color w:val="auto"/>
          <w:sz w:val="24"/>
          <w:szCs w:val="24"/>
          <w:highlight w:val="none"/>
        </w:rPr>
        <w:t>。</w:t>
      </w:r>
    </w:p>
    <w:p w14:paraId="583A02A0">
      <w:pPr>
        <w:spacing w:line="360" w:lineRule="auto"/>
        <w:jc w:val="center"/>
        <w:outlineLvl w:val="1"/>
        <w:rPr>
          <w:rFonts w:asciiTheme="minorEastAsia" w:hAnsiTheme="minorEastAsia" w:eastAsiaTheme="minorEastAsia"/>
          <w:b/>
          <w:color w:val="auto"/>
          <w:sz w:val="24"/>
          <w:highlight w:val="none"/>
        </w:rPr>
      </w:pPr>
      <w:r>
        <w:rPr>
          <w:rFonts w:cs="Times New Roman" w:asciiTheme="minorEastAsia" w:hAnsiTheme="minorEastAsia" w:eastAsiaTheme="minorEastAsia"/>
          <w:color w:val="auto"/>
          <w:sz w:val="24"/>
          <w:szCs w:val="24"/>
          <w:highlight w:val="none"/>
        </w:rPr>
        <w:br w:type="page"/>
      </w:r>
      <w:bookmarkStart w:id="212" w:name="_Toc3736"/>
      <w:r>
        <w:rPr>
          <w:rFonts w:hint="eastAsia" w:asciiTheme="minorEastAsia" w:hAnsiTheme="minorEastAsia" w:eastAsiaTheme="minorEastAsia"/>
          <w:b/>
          <w:color w:val="auto"/>
          <w:sz w:val="24"/>
          <w:highlight w:val="none"/>
        </w:rPr>
        <w:t>第三部分</w:t>
      </w:r>
      <w:r>
        <w:rPr>
          <w:rFonts w:asciiTheme="minorEastAsia" w:hAnsiTheme="minorEastAsia" w:eastAsiaTheme="minorEastAsia"/>
          <w:b/>
          <w:color w:val="auto"/>
          <w:sz w:val="24"/>
          <w:highlight w:val="none"/>
        </w:rPr>
        <w:t xml:space="preserve"> </w:t>
      </w:r>
      <w:r>
        <w:rPr>
          <w:rFonts w:hint="eastAsia" w:asciiTheme="minorEastAsia" w:hAnsiTheme="minorEastAsia" w:eastAsiaTheme="minorEastAsia"/>
          <w:b/>
          <w:color w:val="auto"/>
          <w:sz w:val="24"/>
          <w:highlight w:val="none"/>
        </w:rPr>
        <w:t>合同专用条款</w:t>
      </w:r>
      <w:bookmarkEnd w:id="212"/>
    </w:p>
    <w:p w14:paraId="18A0C98A">
      <w:pPr>
        <w:spacing w:line="360" w:lineRule="auto"/>
        <w:ind w:firstLine="435"/>
        <w:rPr>
          <w:color w:val="auto"/>
          <w:highlight w:val="none"/>
        </w:rPr>
      </w:pPr>
      <w:r>
        <w:rPr>
          <w:rFonts w:hint="eastAsia" w:cs="Times New Roman" w:asciiTheme="minorEastAsia" w:hAnsiTheme="minorEastAsia" w:eastAsiaTheme="minorEastAsia"/>
          <w:color w:val="auto"/>
          <w:sz w:val="24"/>
          <w:szCs w:val="24"/>
          <w:highlight w:val="none"/>
        </w:rPr>
        <w:t>本部分</w:t>
      </w:r>
      <w:r>
        <w:rPr>
          <w:rFonts w:cs="Times New Roman" w:asciiTheme="minorEastAsia" w:hAnsiTheme="minorEastAsia" w:eastAsiaTheme="minorEastAsia"/>
          <w:color w:val="auto"/>
          <w:sz w:val="24"/>
          <w:szCs w:val="24"/>
          <w:highlight w:val="none"/>
        </w:rPr>
        <w:t>是对</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部分的补充和修改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部分和本部分的约定不一致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应以本部分的约定为准</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本部分的条款号应与</w:t>
      </w:r>
      <w:r>
        <w:rPr>
          <w:rFonts w:hint="eastAsia" w:cs="Times New Roman" w:asciiTheme="minorEastAsia" w:hAnsiTheme="minorEastAsia" w:eastAsiaTheme="minorEastAsia"/>
          <w:color w:val="auto"/>
          <w:sz w:val="24"/>
          <w:szCs w:val="24"/>
          <w:highlight w:val="none"/>
        </w:rPr>
        <w:t>前两部分</w:t>
      </w:r>
      <w:r>
        <w:rPr>
          <w:rFonts w:cs="Times New Roman" w:asciiTheme="minorEastAsia" w:hAnsiTheme="minorEastAsia" w:eastAsiaTheme="minorEastAsia"/>
          <w:color w:val="auto"/>
          <w:sz w:val="24"/>
          <w:szCs w:val="24"/>
          <w:highlight w:val="none"/>
        </w:rPr>
        <w:t>的条款号保持对应</w:t>
      </w:r>
      <w:r>
        <w:rPr>
          <w:rFonts w:hint="eastAsia" w:cs="Times New Roman" w:asciiTheme="minorEastAsia" w:hAnsiTheme="minorEastAsia" w:eastAsiaTheme="minorEastAsia"/>
          <w:color w:val="auto"/>
          <w:sz w:val="24"/>
          <w:szCs w:val="24"/>
          <w:highlight w:val="none"/>
        </w:rPr>
        <w:t>；与前两部分</w:t>
      </w:r>
      <w:r>
        <w:rPr>
          <w:rFonts w:cs="Times New Roman" w:asciiTheme="minorEastAsia" w:hAnsiTheme="minorEastAsia" w:eastAsiaTheme="minorEastAsia"/>
          <w:color w:val="auto"/>
          <w:sz w:val="24"/>
          <w:szCs w:val="24"/>
          <w:highlight w:val="none"/>
        </w:rPr>
        <w:t>无对应关系的内容可另行编制条款号</w:t>
      </w:r>
      <w:r>
        <w:rPr>
          <w:rFonts w:hint="eastAsia" w:cs="Times New Roman" w:asciiTheme="minorEastAsia" w:hAnsiTheme="minorEastAsia" w:eastAsiaTheme="minorEastAsia"/>
          <w:color w:val="auto"/>
          <w:sz w:val="24"/>
          <w:szCs w:val="24"/>
          <w:highlight w:val="none"/>
        </w:rPr>
        <w:t>。</w:t>
      </w:r>
    </w:p>
    <w:tbl>
      <w:tblPr>
        <w:tblStyle w:val="27"/>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14:paraId="1D7886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14:paraId="058ECCAF">
            <w:pPr>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条款号</w:t>
            </w:r>
          </w:p>
        </w:tc>
        <w:tc>
          <w:tcPr>
            <w:tcW w:w="7568" w:type="dxa"/>
            <w:vAlign w:val="center"/>
          </w:tcPr>
          <w:p w14:paraId="0D8CEC04">
            <w:pPr>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约定内容</w:t>
            </w:r>
          </w:p>
        </w:tc>
      </w:tr>
      <w:tr w14:paraId="53E6CB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1E2F78B5">
            <w:pPr>
              <w:spacing w:line="440" w:lineRule="exact"/>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2.11.3</w:t>
            </w:r>
          </w:p>
        </w:tc>
        <w:tc>
          <w:tcPr>
            <w:tcW w:w="7568" w:type="dxa"/>
            <w:vAlign w:val="center"/>
          </w:tcPr>
          <w:p w14:paraId="4433AAB0">
            <w:pPr>
              <w:spacing w:line="440" w:lineRule="exact"/>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因不可抗力致使合同有变更必要的，双方当事人应在不可抗力发生的3个工作日内以书面形式变更合同</w:t>
            </w:r>
          </w:p>
        </w:tc>
      </w:tr>
      <w:tr w14:paraId="074D0C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309488DC">
            <w:pPr>
              <w:spacing w:line="440" w:lineRule="exact"/>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2.11.4</w:t>
            </w:r>
          </w:p>
        </w:tc>
        <w:tc>
          <w:tcPr>
            <w:tcW w:w="7568" w:type="dxa"/>
            <w:vAlign w:val="center"/>
          </w:tcPr>
          <w:p w14:paraId="656FE64B">
            <w:pPr>
              <w:spacing w:line="440" w:lineRule="exact"/>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受不可抗力影响的一方在不可抗力发生后，应在不可抗力发生的1个工作日内以书面形式通知对方当事人，并在1个工作日内，将有关部门出具的证明文件送达对方当事人</w:t>
            </w:r>
          </w:p>
        </w:tc>
      </w:tr>
      <w:tr w14:paraId="1C47BD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1744F7A5">
            <w:pPr>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2.15</w:t>
            </w:r>
          </w:p>
        </w:tc>
        <w:tc>
          <w:tcPr>
            <w:tcW w:w="7568" w:type="dxa"/>
            <w:vAlign w:val="center"/>
          </w:tcPr>
          <w:p w14:paraId="44A3349A">
            <w:pPr>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乙方须接受甲方对项目执行情况、服务质量等的监督、检查和验收，甲方有权查看与项目直接相关的凭证和资料，乙方应予以配合。</w:t>
            </w:r>
          </w:p>
        </w:tc>
      </w:tr>
      <w:tr w14:paraId="6B968A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54196A3E">
            <w:pPr>
              <w:spacing w:line="56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olor w:val="auto"/>
                <w:sz w:val="24"/>
                <w:highlight w:val="none"/>
              </w:rPr>
              <w:t>2.17</w:t>
            </w:r>
          </w:p>
        </w:tc>
        <w:tc>
          <w:tcPr>
            <w:tcW w:w="7568" w:type="dxa"/>
            <w:vAlign w:val="center"/>
          </w:tcPr>
          <w:p w14:paraId="1D79F75E">
            <w:pPr>
              <w:spacing w:line="440" w:lineRule="exact"/>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本项目免收</w:t>
            </w:r>
            <w:r>
              <w:rPr>
                <w:rFonts w:hint="eastAsia" w:cs="Times New Roman" w:asciiTheme="minorEastAsia" w:hAnsiTheme="minorEastAsia" w:eastAsiaTheme="minorEastAsia"/>
                <w:color w:val="auto"/>
                <w:sz w:val="24"/>
                <w:szCs w:val="24"/>
                <w:highlight w:val="none"/>
                <w:lang w:val="zh-CN"/>
              </w:rPr>
              <w:t>履约保证金。</w:t>
            </w:r>
          </w:p>
        </w:tc>
      </w:tr>
      <w:tr w14:paraId="2184BE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35B81A69">
            <w:pPr>
              <w:spacing w:line="440" w:lineRule="exact"/>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2.18</w:t>
            </w:r>
          </w:p>
        </w:tc>
        <w:tc>
          <w:tcPr>
            <w:tcW w:w="7568" w:type="dxa"/>
            <w:vAlign w:val="center"/>
          </w:tcPr>
          <w:p w14:paraId="2B14A565">
            <w:pPr>
              <w:spacing w:line="440" w:lineRule="exact"/>
              <w:rPr>
                <w:rFonts w:cs="Times New Roman" w:asciiTheme="minorEastAsia" w:hAnsiTheme="minorEastAsia" w:eastAsiaTheme="minorEastAsia"/>
                <w:color w:val="auto"/>
                <w:sz w:val="24"/>
                <w:szCs w:val="24"/>
                <w:highlight w:val="none"/>
                <w:u w:val="single"/>
              </w:rPr>
            </w:pPr>
            <w:r>
              <w:rPr>
                <w:rFonts w:hint="eastAsia" w:ascii="宋体" w:hAnsi="宋体" w:eastAsia="宋体" w:cs="宋体"/>
                <w:color w:val="auto"/>
                <w:sz w:val="24"/>
                <w:highlight w:val="none"/>
              </w:rPr>
              <w:t>合同一式陆份，甲乙双方各执叁份。</w:t>
            </w:r>
          </w:p>
        </w:tc>
      </w:tr>
      <w:tr w14:paraId="585EFF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328F0FA4">
            <w:pPr>
              <w:spacing w:line="440" w:lineRule="exact"/>
              <w:jc w:val="center"/>
              <w:rPr>
                <w:rFonts w:cs="Times New Roman" w:asciiTheme="minorEastAsia" w:hAnsiTheme="minorEastAsia" w:eastAsiaTheme="minorEastAsia"/>
                <w:color w:val="auto"/>
                <w:sz w:val="24"/>
                <w:szCs w:val="24"/>
                <w:highlight w:val="none"/>
              </w:rPr>
            </w:pPr>
          </w:p>
        </w:tc>
        <w:tc>
          <w:tcPr>
            <w:tcW w:w="7568" w:type="dxa"/>
            <w:vAlign w:val="center"/>
          </w:tcPr>
          <w:p w14:paraId="446CF1FF">
            <w:pPr>
              <w:spacing w:line="440" w:lineRule="exact"/>
              <w:rPr>
                <w:rFonts w:cs="Times New Roman" w:asciiTheme="minorEastAsia" w:hAnsiTheme="minorEastAsia" w:eastAsiaTheme="minorEastAsia"/>
                <w:color w:val="auto"/>
                <w:sz w:val="24"/>
                <w:szCs w:val="24"/>
                <w:highlight w:val="none"/>
                <w:u w:val="single"/>
              </w:rPr>
            </w:pPr>
            <w:r>
              <w:rPr>
                <w:rFonts w:hint="eastAsia" w:ascii="宋体" w:hAnsi="宋体" w:eastAsia="宋体" w:cs="宋体"/>
                <w:color w:val="auto"/>
                <w:sz w:val="24"/>
                <w:szCs w:val="24"/>
                <w:highlight w:val="none"/>
              </w:rPr>
              <w:t>（签订合同时可补充）</w:t>
            </w:r>
          </w:p>
        </w:tc>
      </w:tr>
      <w:tr w14:paraId="1C13FD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5D926579">
            <w:pPr>
              <w:spacing w:line="560" w:lineRule="exact"/>
              <w:rPr>
                <w:rFonts w:hint="default" w:cs="Times New Roman" w:asciiTheme="minorEastAsia" w:hAnsiTheme="minorEastAsia" w:eastAsiaTheme="minorEastAsia"/>
                <w:color w:val="auto"/>
                <w:sz w:val="24"/>
                <w:szCs w:val="24"/>
                <w:highlight w:val="none"/>
                <w:lang w:val="en-US" w:eastAsia="zh-CN"/>
              </w:rPr>
            </w:pPr>
          </w:p>
        </w:tc>
        <w:tc>
          <w:tcPr>
            <w:tcW w:w="7568" w:type="dxa"/>
            <w:vAlign w:val="center"/>
          </w:tcPr>
          <w:p w14:paraId="2DFB8DD8">
            <w:pPr>
              <w:numPr>
                <w:ilvl w:val="-1"/>
                <w:numId w:val="0"/>
              </w:numPr>
              <w:spacing w:line="560" w:lineRule="exact"/>
              <w:rPr>
                <w:rFonts w:hint="eastAsia"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0"/>
                <w:highlight w:val="none"/>
              </w:rPr>
              <w:t>乙方应要求进入甲方工作场所的人员知悉其必须承担的保密义务和责任，遵守国家保密法律、法规，自觉遵守工作纪律和规章制度，不做任何窃取或泄漏国家秘密、商业秘密和个人秘密的行为。乙方须将有关人员的情况（姓名、 性别、身份证号码、家庭住址、联系方式）及签订的保密协议书面报甲方备案。</w:t>
            </w:r>
          </w:p>
        </w:tc>
      </w:tr>
      <w:tr w14:paraId="484D2B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52B65D87">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724D95A5">
            <w:pPr>
              <w:spacing w:line="560" w:lineRule="exact"/>
              <w:rPr>
                <w:rFonts w:cs="Times New Roman" w:asciiTheme="minorEastAsia" w:hAnsiTheme="minorEastAsia" w:eastAsiaTheme="minorEastAsia"/>
                <w:color w:val="auto"/>
                <w:sz w:val="24"/>
                <w:szCs w:val="24"/>
                <w:highlight w:val="none"/>
              </w:rPr>
            </w:pPr>
          </w:p>
        </w:tc>
      </w:tr>
      <w:tr w14:paraId="4A5409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0F71606">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376C1F21">
            <w:pPr>
              <w:spacing w:line="560" w:lineRule="exact"/>
              <w:rPr>
                <w:rFonts w:cs="Times New Roman" w:asciiTheme="minorEastAsia" w:hAnsiTheme="minorEastAsia" w:eastAsiaTheme="minorEastAsia"/>
                <w:color w:val="auto"/>
                <w:sz w:val="24"/>
                <w:szCs w:val="24"/>
                <w:highlight w:val="none"/>
              </w:rPr>
            </w:pPr>
          </w:p>
        </w:tc>
      </w:tr>
      <w:tr w14:paraId="6DEEB9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206BDCF9">
            <w:pPr>
              <w:spacing w:line="560" w:lineRule="exact"/>
              <w:rPr>
                <w:rFonts w:cs="Times New Roman" w:asciiTheme="minorEastAsia" w:hAnsiTheme="minorEastAsia" w:eastAsiaTheme="minorEastAsia"/>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vAlign w:val="center"/>
          </w:tcPr>
          <w:p w14:paraId="640F5510">
            <w:pPr>
              <w:spacing w:line="560" w:lineRule="exact"/>
              <w:rPr>
                <w:rFonts w:cs="Times New Roman" w:asciiTheme="minorEastAsia" w:hAnsiTheme="minorEastAsia" w:eastAsiaTheme="minorEastAsia"/>
                <w:color w:val="auto"/>
                <w:sz w:val="24"/>
                <w:szCs w:val="24"/>
                <w:highlight w:val="none"/>
              </w:rPr>
            </w:pPr>
          </w:p>
        </w:tc>
      </w:tr>
      <w:tr w14:paraId="44860B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5C7683B0">
            <w:pPr>
              <w:spacing w:line="560" w:lineRule="exact"/>
              <w:rPr>
                <w:rFonts w:cs="Times New Roman" w:asciiTheme="minorEastAsia" w:hAnsiTheme="minorEastAsia" w:eastAsiaTheme="minorEastAsia"/>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vAlign w:val="center"/>
          </w:tcPr>
          <w:p w14:paraId="7AB5EBA6">
            <w:pPr>
              <w:spacing w:line="560" w:lineRule="exact"/>
              <w:rPr>
                <w:rFonts w:cs="Times New Roman" w:asciiTheme="minorEastAsia" w:hAnsiTheme="minorEastAsia" w:eastAsiaTheme="minorEastAsia"/>
                <w:color w:val="auto"/>
                <w:sz w:val="24"/>
                <w:szCs w:val="24"/>
                <w:highlight w:val="none"/>
              </w:rPr>
            </w:pPr>
          </w:p>
        </w:tc>
      </w:tr>
    </w:tbl>
    <w:p w14:paraId="73FC6515">
      <w:pPr>
        <w:spacing w:line="360" w:lineRule="auto"/>
        <w:rPr>
          <w:rFonts w:asciiTheme="minorEastAsia" w:hAnsiTheme="minorEastAsia" w:eastAsiaTheme="minorEastAsia"/>
          <w:color w:val="auto"/>
          <w:sz w:val="24"/>
          <w:highlight w:val="none"/>
        </w:rPr>
      </w:pPr>
    </w:p>
    <w:p w14:paraId="48F8AE9D">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5648FF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eastAsia="宋体" w:cs="@仿宋_GB2312"/>
          <w:b w:val="0"/>
          <w:bCs w:val="0"/>
          <w:color w:val="auto"/>
          <w:kern w:val="2"/>
          <w:sz w:val="24"/>
          <w:szCs w:val="20"/>
          <w:highlight w:val="none"/>
          <w:lang w:val="en-US" w:eastAsia="zh-CN" w:bidi="ar-SA"/>
        </w:rPr>
      </w:pPr>
      <w:r>
        <w:rPr>
          <w:rFonts w:hint="eastAsia" w:ascii="宋体" w:hAnsi="宋体" w:eastAsia="宋体" w:cs="@仿宋_GB2312"/>
          <w:b w:val="0"/>
          <w:bCs w:val="0"/>
          <w:color w:val="auto"/>
          <w:kern w:val="2"/>
          <w:sz w:val="24"/>
          <w:szCs w:val="20"/>
          <w:highlight w:val="none"/>
          <w:lang w:val="en-US" w:eastAsia="zh-CN" w:bidi="ar-SA"/>
        </w:rPr>
        <w:t>附：滁州市城市生命线工程建设项目（一期）运维服务项目考核细则</w:t>
      </w:r>
    </w:p>
    <w:p w14:paraId="0F4D0E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_GBK" w:hAnsi="方正小标宋_GBK" w:eastAsia="方正小标宋_GBK" w:cs="方正小标宋_GBK"/>
          <w:b w:val="0"/>
          <w:bCs w:val="0"/>
          <w:color w:val="auto"/>
          <w:sz w:val="22"/>
          <w:szCs w:val="22"/>
          <w:highlight w:val="none"/>
          <w:lang w:val="en-US" w:eastAsia="zh-CN"/>
        </w:rPr>
      </w:pPr>
    </w:p>
    <w:tbl>
      <w:tblPr>
        <w:tblStyle w:val="28"/>
        <w:tblW w:w="9018" w:type="dxa"/>
        <w:tblInd w:w="-5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
        <w:gridCol w:w="1048"/>
        <w:gridCol w:w="2491"/>
        <w:gridCol w:w="2565"/>
        <w:gridCol w:w="1815"/>
        <w:gridCol w:w="594"/>
      </w:tblGrid>
      <w:tr w14:paraId="4A52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05" w:type="dxa"/>
            <w:noWrap w:val="0"/>
            <w:vAlign w:val="center"/>
          </w:tcPr>
          <w:p w14:paraId="30804FB1">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sz w:val="24"/>
                <w:szCs w:val="24"/>
                <w:highlight w:val="none"/>
                <w:vertAlign w:val="baseline"/>
                <w:lang w:val="en-US" w:eastAsia="zh-CN"/>
              </w:rPr>
            </w:pPr>
            <w:r>
              <w:rPr>
                <w:rFonts w:hint="eastAsia" w:ascii="黑体" w:hAnsi="黑体" w:eastAsia="黑体" w:cs="黑体"/>
                <w:color w:val="auto"/>
                <w:sz w:val="24"/>
                <w:szCs w:val="24"/>
                <w:highlight w:val="none"/>
                <w:vertAlign w:val="baseline"/>
                <w:lang w:val="en-US" w:eastAsia="zh-CN"/>
              </w:rPr>
              <w:t>序号</w:t>
            </w:r>
          </w:p>
        </w:tc>
        <w:tc>
          <w:tcPr>
            <w:tcW w:w="1048" w:type="dxa"/>
            <w:noWrap w:val="0"/>
            <w:vAlign w:val="center"/>
          </w:tcPr>
          <w:p w14:paraId="1470FC91">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sz w:val="24"/>
                <w:szCs w:val="24"/>
                <w:highlight w:val="none"/>
                <w:vertAlign w:val="baseline"/>
                <w:lang w:val="en-US" w:eastAsia="zh-CN"/>
              </w:rPr>
            </w:pPr>
            <w:r>
              <w:rPr>
                <w:rFonts w:hint="eastAsia" w:ascii="黑体" w:hAnsi="黑体" w:eastAsia="黑体" w:cs="黑体"/>
                <w:color w:val="auto"/>
                <w:sz w:val="24"/>
                <w:szCs w:val="24"/>
                <w:highlight w:val="none"/>
                <w:vertAlign w:val="baseline"/>
                <w:lang w:val="en-US" w:eastAsia="zh-CN"/>
              </w:rPr>
              <w:t>考核</w:t>
            </w:r>
          </w:p>
          <w:p w14:paraId="05676621">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sz w:val="24"/>
                <w:szCs w:val="24"/>
                <w:highlight w:val="none"/>
                <w:vertAlign w:val="baseline"/>
                <w:lang w:val="en-US" w:eastAsia="zh-CN"/>
              </w:rPr>
            </w:pPr>
            <w:r>
              <w:rPr>
                <w:rFonts w:hint="eastAsia" w:ascii="黑体" w:hAnsi="黑体" w:eastAsia="黑体" w:cs="黑体"/>
                <w:color w:val="auto"/>
                <w:sz w:val="24"/>
                <w:szCs w:val="24"/>
                <w:highlight w:val="none"/>
                <w:vertAlign w:val="baseline"/>
                <w:lang w:val="en-US" w:eastAsia="zh-CN"/>
              </w:rPr>
              <w:t>项目</w:t>
            </w:r>
          </w:p>
        </w:tc>
        <w:tc>
          <w:tcPr>
            <w:tcW w:w="2491" w:type="dxa"/>
            <w:noWrap w:val="0"/>
            <w:vAlign w:val="center"/>
          </w:tcPr>
          <w:p w14:paraId="6C7B7EA1">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sz w:val="24"/>
                <w:szCs w:val="24"/>
                <w:highlight w:val="none"/>
                <w:vertAlign w:val="baseline"/>
                <w:lang w:val="en-US" w:eastAsia="zh-CN"/>
              </w:rPr>
            </w:pPr>
            <w:r>
              <w:rPr>
                <w:rFonts w:hint="eastAsia" w:ascii="黑体" w:hAnsi="黑体" w:eastAsia="黑体" w:cs="黑体"/>
                <w:color w:val="auto"/>
                <w:sz w:val="24"/>
                <w:szCs w:val="24"/>
                <w:highlight w:val="none"/>
                <w:vertAlign w:val="baseline"/>
                <w:lang w:val="en-US" w:eastAsia="zh-CN"/>
              </w:rPr>
              <w:t>考核内容</w:t>
            </w:r>
          </w:p>
        </w:tc>
        <w:tc>
          <w:tcPr>
            <w:tcW w:w="2565" w:type="dxa"/>
            <w:noWrap w:val="0"/>
            <w:vAlign w:val="center"/>
          </w:tcPr>
          <w:p w14:paraId="1773B81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sz w:val="24"/>
                <w:szCs w:val="24"/>
                <w:highlight w:val="none"/>
                <w:vertAlign w:val="baseline"/>
                <w:lang w:val="en-US" w:eastAsia="zh-CN"/>
              </w:rPr>
            </w:pPr>
            <w:r>
              <w:rPr>
                <w:rFonts w:hint="eastAsia" w:ascii="黑体" w:hAnsi="黑体" w:eastAsia="黑体" w:cs="黑体"/>
                <w:color w:val="auto"/>
                <w:sz w:val="24"/>
                <w:szCs w:val="24"/>
                <w:highlight w:val="none"/>
                <w:vertAlign w:val="baseline"/>
                <w:lang w:val="en-US" w:eastAsia="zh-CN"/>
              </w:rPr>
              <w:t>检查标准</w:t>
            </w:r>
          </w:p>
        </w:tc>
        <w:tc>
          <w:tcPr>
            <w:tcW w:w="1815" w:type="dxa"/>
            <w:noWrap w:val="0"/>
            <w:vAlign w:val="center"/>
          </w:tcPr>
          <w:p w14:paraId="3319C16A">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sz w:val="24"/>
                <w:szCs w:val="24"/>
                <w:highlight w:val="none"/>
                <w:vertAlign w:val="baseline"/>
                <w:lang w:val="en-US" w:eastAsia="zh-CN"/>
              </w:rPr>
            </w:pPr>
            <w:r>
              <w:rPr>
                <w:rFonts w:hint="eastAsia" w:ascii="黑体" w:hAnsi="黑体" w:eastAsia="黑体" w:cs="黑体"/>
                <w:color w:val="auto"/>
                <w:sz w:val="24"/>
                <w:szCs w:val="24"/>
                <w:highlight w:val="none"/>
                <w:vertAlign w:val="baseline"/>
                <w:lang w:val="en-US" w:eastAsia="zh-CN"/>
              </w:rPr>
              <w:t>评分标准</w:t>
            </w:r>
          </w:p>
        </w:tc>
        <w:tc>
          <w:tcPr>
            <w:tcW w:w="594" w:type="dxa"/>
            <w:noWrap w:val="0"/>
            <w:vAlign w:val="center"/>
          </w:tcPr>
          <w:p w14:paraId="36005B2B">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sz w:val="24"/>
                <w:szCs w:val="24"/>
                <w:highlight w:val="none"/>
                <w:vertAlign w:val="baseline"/>
                <w:lang w:val="en-US" w:eastAsia="zh-CN"/>
              </w:rPr>
            </w:pPr>
            <w:r>
              <w:rPr>
                <w:rFonts w:hint="eastAsia" w:ascii="黑体" w:hAnsi="黑体" w:eastAsia="黑体" w:cs="黑体"/>
                <w:color w:val="auto"/>
                <w:sz w:val="24"/>
                <w:szCs w:val="24"/>
                <w:highlight w:val="none"/>
                <w:vertAlign w:val="baseline"/>
                <w:lang w:val="en-US" w:eastAsia="zh-CN"/>
              </w:rPr>
              <w:t>分值</w:t>
            </w:r>
          </w:p>
        </w:tc>
      </w:tr>
      <w:tr w14:paraId="29358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05" w:type="dxa"/>
            <w:vMerge w:val="restart"/>
            <w:noWrap w:val="0"/>
            <w:vAlign w:val="center"/>
          </w:tcPr>
          <w:p w14:paraId="4B1B24F7">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一</w:t>
            </w:r>
          </w:p>
        </w:tc>
        <w:tc>
          <w:tcPr>
            <w:tcW w:w="1048" w:type="dxa"/>
            <w:vMerge w:val="restart"/>
            <w:noWrap w:val="0"/>
            <w:vAlign w:val="center"/>
          </w:tcPr>
          <w:p w14:paraId="41059466">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系统运行情况</w:t>
            </w:r>
          </w:p>
          <w:p w14:paraId="6A6E0B00">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kern w:val="2"/>
                <w:sz w:val="21"/>
                <w:szCs w:val="21"/>
                <w:highlight w:val="none"/>
                <w:vertAlign w:val="baseline"/>
                <w:lang w:val="en-US" w:eastAsia="zh-CN" w:bidi="ar-SA"/>
              </w:rPr>
            </w:pPr>
            <w:r>
              <w:rPr>
                <w:rFonts w:hint="eastAsia" w:ascii="仿宋_GB2312" w:hAnsi="仿宋_GB2312" w:eastAsia="仿宋_GB2312" w:cs="仿宋_GB2312"/>
                <w:color w:val="auto"/>
                <w:sz w:val="21"/>
                <w:szCs w:val="21"/>
                <w:highlight w:val="none"/>
                <w:vertAlign w:val="baseline"/>
                <w:lang w:val="en-US" w:eastAsia="zh-CN"/>
              </w:rPr>
              <w:t>（1</w:t>
            </w:r>
            <w:r>
              <w:rPr>
                <w:rFonts w:hint="eastAsia" w:ascii="仿宋_GB2312" w:hAnsi="仿宋_GB2312" w:cs="仿宋_GB2312"/>
                <w:color w:val="auto"/>
                <w:sz w:val="21"/>
                <w:szCs w:val="21"/>
                <w:highlight w:val="none"/>
                <w:vertAlign w:val="baseline"/>
                <w:lang w:val="en-US" w:eastAsia="zh-CN"/>
              </w:rPr>
              <w:t>5</w:t>
            </w:r>
            <w:r>
              <w:rPr>
                <w:rFonts w:hint="eastAsia" w:ascii="仿宋_GB2312" w:hAnsi="仿宋_GB2312" w:eastAsia="仿宋_GB2312" w:cs="仿宋_GB2312"/>
                <w:color w:val="auto"/>
                <w:sz w:val="21"/>
                <w:szCs w:val="21"/>
                <w:highlight w:val="none"/>
                <w:vertAlign w:val="baseline"/>
                <w:lang w:val="en-US" w:eastAsia="zh-CN"/>
              </w:rPr>
              <w:t>分）</w:t>
            </w:r>
          </w:p>
        </w:tc>
        <w:tc>
          <w:tcPr>
            <w:tcW w:w="2491" w:type="dxa"/>
            <w:vMerge w:val="restart"/>
            <w:noWrap w:val="0"/>
            <w:vAlign w:val="center"/>
          </w:tcPr>
          <w:p w14:paraId="0F0B1753">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1.自建设备在线率</w:t>
            </w:r>
          </w:p>
          <w:p w14:paraId="55B18570">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结合安徽省地方标准《城市生命线工程安全运行监测技术标准（DB34/T4021-2021）》要求</w:t>
            </w:r>
          </w:p>
        </w:tc>
        <w:tc>
          <w:tcPr>
            <w:tcW w:w="2565" w:type="dxa"/>
            <w:noWrap w:val="0"/>
            <w:vAlign w:val="center"/>
          </w:tcPr>
          <w:p w14:paraId="3AC45F65">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①燃气专项≥96%</w:t>
            </w:r>
          </w:p>
        </w:tc>
        <w:tc>
          <w:tcPr>
            <w:tcW w:w="1815" w:type="dxa"/>
            <w:vMerge w:val="restart"/>
            <w:noWrap w:val="0"/>
            <w:vAlign w:val="center"/>
          </w:tcPr>
          <w:p w14:paraId="3B070DF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以省厅每月考核通报结果为准</w:t>
            </w:r>
          </w:p>
          <w:p w14:paraId="33F3804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每低于一次扣0.5分，</w:t>
            </w:r>
          </w:p>
          <w:p w14:paraId="46F521F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扣完为止</w:t>
            </w:r>
          </w:p>
        </w:tc>
        <w:tc>
          <w:tcPr>
            <w:tcW w:w="594" w:type="dxa"/>
            <w:vMerge w:val="restart"/>
            <w:noWrap w:val="0"/>
            <w:vAlign w:val="center"/>
          </w:tcPr>
          <w:p w14:paraId="4F78660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kern w:val="2"/>
                <w:sz w:val="21"/>
                <w:szCs w:val="21"/>
                <w:highlight w:val="none"/>
                <w:vertAlign w:val="baseline"/>
                <w:lang w:val="en-US" w:eastAsia="zh-CN" w:bidi="ar-SA"/>
              </w:rPr>
              <w:t>15</w:t>
            </w:r>
          </w:p>
        </w:tc>
      </w:tr>
      <w:tr w14:paraId="0C5D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05" w:type="dxa"/>
            <w:vMerge w:val="continue"/>
            <w:noWrap w:val="0"/>
            <w:vAlign w:val="center"/>
          </w:tcPr>
          <w:p w14:paraId="5DEDC678">
            <w:pPr>
              <w:keepNext w:val="0"/>
              <w:keepLines w:val="0"/>
              <w:pageBreakBefore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1048" w:type="dxa"/>
            <w:vMerge w:val="continue"/>
            <w:noWrap w:val="0"/>
            <w:vAlign w:val="center"/>
          </w:tcPr>
          <w:p w14:paraId="271C6F83">
            <w:pPr>
              <w:keepNext w:val="0"/>
              <w:keepLines w:val="0"/>
              <w:pageBreakBefore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2491" w:type="dxa"/>
            <w:vMerge w:val="continue"/>
            <w:noWrap w:val="0"/>
            <w:vAlign w:val="center"/>
          </w:tcPr>
          <w:p w14:paraId="78F0817A">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sz w:val="21"/>
                <w:szCs w:val="21"/>
                <w:highlight w:val="none"/>
              </w:rPr>
            </w:pPr>
          </w:p>
        </w:tc>
        <w:tc>
          <w:tcPr>
            <w:tcW w:w="2565" w:type="dxa"/>
            <w:noWrap w:val="0"/>
            <w:vAlign w:val="center"/>
          </w:tcPr>
          <w:p w14:paraId="2595254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②供水专项≥96%</w:t>
            </w:r>
          </w:p>
        </w:tc>
        <w:tc>
          <w:tcPr>
            <w:tcW w:w="1815" w:type="dxa"/>
            <w:vMerge w:val="continue"/>
            <w:noWrap w:val="0"/>
            <w:vAlign w:val="center"/>
          </w:tcPr>
          <w:p w14:paraId="344738B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594" w:type="dxa"/>
            <w:vMerge w:val="continue"/>
            <w:noWrap w:val="0"/>
            <w:vAlign w:val="center"/>
          </w:tcPr>
          <w:p w14:paraId="556510ED">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p>
        </w:tc>
      </w:tr>
      <w:tr w14:paraId="28E99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05" w:type="dxa"/>
            <w:vMerge w:val="continue"/>
            <w:noWrap w:val="0"/>
            <w:vAlign w:val="center"/>
          </w:tcPr>
          <w:p w14:paraId="02C9C91E">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1048" w:type="dxa"/>
            <w:vMerge w:val="continue"/>
            <w:noWrap w:val="0"/>
            <w:vAlign w:val="center"/>
          </w:tcPr>
          <w:p w14:paraId="1A0F82F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2491" w:type="dxa"/>
            <w:vMerge w:val="continue"/>
            <w:noWrap w:val="0"/>
            <w:vAlign w:val="center"/>
          </w:tcPr>
          <w:p w14:paraId="4A42099B">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华文仿宋" w:hAnsi="华文仿宋" w:eastAsia="华文仿宋" w:cs="华文仿宋"/>
                <w:color w:val="auto"/>
                <w:sz w:val="21"/>
                <w:szCs w:val="21"/>
                <w:highlight w:val="none"/>
                <w:vertAlign w:val="baseline"/>
                <w:lang w:val="en-US" w:eastAsia="zh-CN"/>
              </w:rPr>
            </w:pPr>
          </w:p>
        </w:tc>
        <w:tc>
          <w:tcPr>
            <w:tcW w:w="2565" w:type="dxa"/>
            <w:noWrap w:val="0"/>
            <w:vAlign w:val="center"/>
          </w:tcPr>
          <w:p w14:paraId="5C04E5E3">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③排水专项≥96%</w:t>
            </w:r>
          </w:p>
        </w:tc>
        <w:tc>
          <w:tcPr>
            <w:tcW w:w="1815" w:type="dxa"/>
            <w:vMerge w:val="continue"/>
            <w:noWrap w:val="0"/>
            <w:vAlign w:val="center"/>
          </w:tcPr>
          <w:p w14:paraId="1541312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594" w:type="dxa"/>
            <w:vMerge w:val="continue"/>
            <w:noWrap w:val="0"/>
            <w:vAlign w:val="center"/>
          </w:tcPr>
          <w:p w14:paraId="07F5063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p>
        </w:tc>
      </w:tr>
      <w:tr w14:paraId="1C0D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05" w:type="dxa"/>
            <w:vMerge w:val="continue"/>
            <w:noWrap w:val="0"/>
            <w:vAlign w:val="center"/>
          </w:tcPr>
          <w:p w14:paraId="1AB32150">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1048" w:type="dxa"/>
            <w:vMerge w:val="continue"/>
            <w:noWrap w:val="0"/>
            <w:vAlign w:val="center"/>
          </w:tcPr>
          <w:p w14:paraId="0B8014E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2491" w:type="dxa"/>
            <w:vMerge w:val="continue"/>
            <w:noWrap w:val="0"/>
            <w:vAlign w:val="center"/>
          </w:tcPr>
          <w:p w14:paraId="67515DFA">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华文仿宋" w:hAnsi="华文仿宋" w:eastAsia="华文仿宋" w:cs="华文仿宋"/>
                <w:color w:val="auto"/>
                <w:sz w:val="21"/>
                <w:szCs w:val="21"/>
                <w:highlight w:val="none"/>
                <w:vertAlign w:val="baseline"/>
                <w:lang w:val="en-US" w:eastAsia="zh-CN"/>
              </w:rPr>
            </w:pPr>
          </w:p>
        </w:tc>
        <w:tc>
          <w:tcPr>
            <w:tcW w:w="2565" w:type="dxa"/>
            <w:noWrap w:val="0"/>
            <w:vAlign w:val="center"/>
          </w:tcPr>
          <w:p w14:paraId="75A510A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④桥梁专项≥96%</w:t>
            </w:r>
          </w:p>
        </w:tc>
        <w:tc>
          <w:tcPr>
            <w:tcW w:w="1815" w:type="dxa"/>
            <w:vMerge w:val="continue"/>
            <w:noWrap w:val="0"/>
            <w:vAlign w:val="center"/>
          </w:tcPr>
          <w:p w14:paraId="139E49B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594" w:type="dxa"/>
            <w:vMerge w:val="continue"/>
            <w:noWrap w:val="0"/>
            <w:vAlign w:val="center"/>
          </w:tcPr>
          <w:p w14:paraId="2FB4EB3C">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p>
        </w:tc>
      </w:tr>
      <w:tr w14:paraId="0E2A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1" w:hRule="atLeast"/>
        </w:trPr>
        <w:tc>
          <w:tcPr>
            <w:tcW w:w="505" w:type="dxa"/>
            <w:vMerge w:val="continue"/>
            <w:noWrap w:val="0"/>
            <w:vAlign w:val="center"/>
          </w:tcPr>
          <w:p w14:paraId="27B36EEF">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1048" w:type="dxa"/>
            <w:vMerge w:val="continue"/>
            <w:noWrap w:val="0"/>
            <w:vAlign w:val="center"/>
          </w:tcPr>
          <w:p w14:paraId="322DC2CF">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2491" w:type="dxa"/>
            <w:vMerge w:val="continue"/>
            <w:noWrap w:val="0"/>
            <w:vAlign w:val="center"/>
          </w:tcPr>
          <w:p w14:paraId="3FD2367E">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华文仿宋" w:hAnsi="华文仿宋" w:eastAsia="华文仿宋" w:cs="华文仿宋"/>
                <w:color w:val="auto"/>
                <w:sz w:val="21"/>
                <w:szCs w:val="21"/>
                <w:highlight w:val="none"/>
                <w:vertAlign w:val="baseline"/>
                <w:lang w:val="en-US" w:eastAsia="zh-CN"/>
              </w:rPr>
            </w:pPr>
          </w:p>
        </w:tc>
        <w:tc>
          <w:tcPr>
            <w:tcW w:w="2565" w:type="dxa"/>
            <w:noWrap w:val="0"/>
            <w:vAlign w:val="center"/>
          </w:tcPr>
          <w:p w14:paraId="2E132FBC">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中宋" w:hAnsi="华文中宋" w:eastAsia="华文中宋" w:cs="华文中宋"/>
                <w:color w:val="auto"/>
                <w:sz w:val="21"/>
                <w:szCs w:val="21"/>
                <w:highlight w:val="none"/>
                <w:vertAlign w:val="baseline"/>
                <w:lang w:val="en-US" w:eastAsia="zh-CN"/>
              </w:rPr>
              <w:t>⑤</w:t>
            </w:r>
            <w:r>
              <w:rPr>
                <w:rFonts w:hint="eastAsia" w:ascii="华文仿宋" w:hAnsi="华文仿宋" w:eastAsia="华文仿宋" w:cs="华文仿宋"/>
                <w:color w:val="auto"/>
                <w:sz w:val="21"/>
                <w:szCs w:val="21"/>
                <w:highlight w:val="none"/>
                <w:vertAlign w:val="baseline"/>
                <w:lang w:val="en-US" w:eastAsia="zh-CN"/>
              </w:rPr>
              <w:t>系统各模块基础数据准确性，系统功能完备、顺畅</w:t>
            </w:r>
          </w:p>
        </w:tc>
        <w:tc>
          <w:tcPr>
            <w:tcW w:w="1815" w:type="dxa"/>
            <w:noWrap w:val="0"/>
            <w:vAlign w:val="center"/>
          </w:tcPr>
          <w:p w14:paraId="3BBE6DA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每发现一处数据不准或空白情况以及系统功能漏洞或缺陷扣0.5分，扣完为止</w:t>
            </w:r>
          </w:p>
        </w:tc>
        <w:tc>
          <w:tcPr>
            <w:tcW w:w="594" w:type="dxa"/>
            <w:vMerge w:val="continue"/>
            <w:noWrap w:val="0"/>
            <w:vAlign w:val="center"/>
          </w:tcPr>
          <w:p w14:paraId="67CA94E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p>
        </w:tc>
      </w:tr>
      <w:tr w14:paraId="1E5A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505" w:type="dxa"/>
            <w:vMerge w:val="restart"/>
            <w:noWrap w:val="0"/>
            <w:vAlign w:val="center"/>
          </w:tcPr>
          <w:p w14:paraId="5CC8981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二</w:t>
            </w:r>
          </w:p>
        </w:tc>
        <w:tc>
          <w:tcPr>
            <w:tcW w:w="1048" w:type="dxa"/>
            <w:vMerge w:val="restart"/>
            <w:noWrap w:val="0"/>
            <w:vAlign w:val="center"/>
          </w:tcPr>
          <w:p w14:paraId="076549A3">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监测值守服务</w:t>
            </w:r>
          </w:p>
          <w:p w14:paraId="4FDFA830">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（20分）</w:t>
            </w:r>
          </w:p>
        </w:tc>
        <w:tc>
          <w:tcPr>
            <w:tcW w:w="2491" w:type="dxa"/>
            <w:vMerge w:val="restart"/>
            <w:noWrap w:val="0"/>
            <w:vAlign w:val="center"/>
          </w:tcPr>
          <w:p w14:paraId="5775B0FC">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2.系统报警信息的审核、发布、跟踪、解除闭环完成情况</w:t>
            </w:r>
          </w:p>
        </w:tc>
        <w:tc>
          <w:tcPr>
            <w:tcW w:w="2565" w:type="dxa"/>
            <w:noWrap w:val="0"/>
            <w:vAlign w:val="center"/>
          </w:tcPr>
          <w:p w14:paraId="1194A52F">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①预警审核、发布是否及时</w:t>
            </w:r>
          </w:p>
        </w:tc>
        <w:tc>
          <w:tcPr>
            <w:tcW w:w="1815" w:type="dxa"/>
            <w:vMerge w:val="restart"/>
            <w:noWrap w:val="0"/>
            <w:vAlign w:val="center"/>
          </w:tcPr>
          <w:p w14:paraId="285EC15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每出现1次不符合要求扣2分，</w:t>
            </w:r>
          </w:p>
          <w:p w14:paraId="16B0AF5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扣完为止</w:t>
            </w:r>
          </w:p>
        </w:tc>
        <w:tc>
          <w:tcPr>
            <w:tcW w:w="594" w:type="dxa"/>
            <w:noWrap w:val="0"/>
            <w:vAlign w:val="center"/>
          </w:tcPr>
          <w:p w14:paraId="776CBFE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kern w:val="2"/>
                <w:sz w:val="21"/>
                <w:szCs w:val="21"/>
                <w:highlight w:val="none"/>
                <w:vertAlign w:val="baseline"/>
                <w:lang w:val="en-US" w:eastAsia="zh-CN" w:bidi="ar-SA"/>
              </w:rPr>
              <w:t>4</w:t>
            </w:r>
          </w:p>
        </w:tc>
      </w:tr>
      <w:tr w14:paraId="15AC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05" w:type="dxa"/>
            <w:vMerge w:val="continue"/>
            <w:noWrap w:val="0"/>
            <w:vAlign w:val="center"/>
          </w:tcPr>
          <w:p w14:paraId="2BCE50CE">
            <w:pPr>
              <w:keepNext w:val="0"/>
              <w:keepLines w:val="0"/>
              <w:pageBreakBefore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1048" w:type="dxa"/>
            <w:vMerge w:val="continue"/>
            <w:noWrap w:val="0"/>
            <w:vAlign w:val="center"/>
          </w:tcPr>
          <w:p w14:paraId="0C489EF2">
            <w:pPr>
              <w:keepNext w:val="0"/>
              <w:keepLines w:val="0"/>
              <w:pageBreakBefore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2491" w:type="dxa"/>
            <w:vMerge w:val="continue"/>
            <w:noWrap w:val="0"/>
            <w:vAlign w:val="center"/>
          </w:tcPr>
          <w:p w14:paraId="2612CB9B">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sz w:val="21"/>
                <w:szCs w:val="21"/>
                <w:highlight w:val="none"/>
              </w:rPr>
            </w:pPr>
          </w:p>
        </w:tc>
        <w:tc>
          <w:tcPr>
            <w:tcW w:w="2565" w:type="dxa"/>
            <w:noWrap w:val="0"/>
            <w:vAlign w:val="center"/>
          </w:tcPr>
          <w:p w14:paraId="145A0D2C">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②未完成预警是否及时进行督促</w:t>
            </w:r>
          </w:p>
        </w:tc>
        <w:tc>
          <w:tcPr>
            <w:tcW w:w="1815" w:type="dxa"/>
            <w:vMerge w:val="continue"/>
            <w:noWrap w:val="0"/>
            <w:vAlign w:val="center"/>
          </w:tcPr>
          <w:p w14:paraId="7C97837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594" w:type="dxa"/>
            <w:noWrap w:val="0"/>
            <w:vAlign w:val="center"/>
          </w:tcPr>
          <w:p w14:paraId="37B053E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3</w:t>
            </w:r>
          </w:p>
        </w:tc>
      </w:tr>
      <w:tr w14:paraId="6A9B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505" w:type="dxa"/>
            <w:vMerge w:val="continue"/>
            <w:noWrap w:val="0"/>
            <w:vAlign w:val="center"/>
          </w:tcPr>
          <w:p w14:paraId="099461BB">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1048" w:type="dxa"/>
            <w:vMerge w:val="continue"/>
            <w:noWrap w:val="0"/>
            <w:vAlign w:val="center"/>
          </w:tcPr>
          <w:p w14:paraId="1FB7BFBB">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2491" w:type="dxa"/>
            <w:vMerge w:val="continue"/>
            <w:noWrap w:val="0"/>
            <w:vAlign w:val="center"/>
          </w:tcPr>
          <w:p w14:paraId="0044AC29">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华文仿宋" w:hAnsi="华文仿宋" w:eastAsia="华文仿宋" w:cs="华文仿宋"/>
                <w:color w:val="auto"/>
                <w:sz w:val="21"/>
                <w:szCs w:val="21"/>
                <w:highlight w:val="none"/>
                <w:vertAlign w:val="baseline"/>
                <w:lang w:val="en-US" w:eastAsia="zh-CN"/>
              </w:rPr>
            </w:pPr>
          </w:p>
        </w:tc>
        <w:tc>
          <w:tcPr>
            <w:tcW w:w="2565" w:type="dxa"/>
            <w:noWrap w:val="0"/>
            <w:vAlign w:val="center"/>
          </w:tcPr>
          <w:p w14:paraId="635E43B0">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③预警闭环是否及时准确</w:t>
            </w:r>
          </w:p>
        </w:tc>
        <w:tc>
          <w:tcPr>
            <w:tcW w:w="1815" w:type="dxa"/>
            <w:vMerge w:val="continue"/>
            <w:noWrap w:val="0"/>
            <w:vAlign w:val="center"/>
          </w:tcPr>
          <w:p w14:paraId="6486DFEF">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594" w:type="dxa"/>
            <w:noWrap w:val="0"/>
            <w:vAlign w:val="center"/>
          </w:tcPr>
          <w:p w14:paraId="7DBB3FC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3</w:t>
            </w:r>
          </w:p>
        </w:tc>
      </w:tr>
      <w:tr w14:paraId="6F2F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505" w:type="dxa"/>
            <w:vMerge w:val="continue"/>
            <w:noWrap w:val="0"/>
            <w:vAlign w:val="center"/>
          </w:tcPr>
          <w:p w14:paraId="6C6DE9D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p>
        </w:tc>
        <w:tc>
          <w:tcPr>
            <w:tcW w:w="1048" w:type="dxa"/>
            <w:vMerge w:val="continue"/>
            <w:noWrap w:val="0"/>
            <w:vAlign w:val="center"/>
          </w:tcPr>
          <w:p w14:paraId="2F3F773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p>
        </w:tc>
        <w:tc>
          <w:tcPr>
            <w:tcW w:w="2491" w:type="dxa"/>
            <w:vMerge w:val="restart"/>
            <w:noWrap w:val="0"/>
            <w:vAlign w:val="center"/>
          </w:tcPr>
          <w:p w14:paraId="52853A34">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3.监测系统7×24小时值守情况</w:t>
            </w:r>
          </w:p>
        </w:tc>
        <w:tc>
          <w:tcPr>
            <w:tcW w:w="2565" w:type="dxa"/>
            <w:noWrap w:val="0"/>
            <w:vAlign w:val="center"/>
          </w:tcPr>
          <w:p w14:paraId="1E3F774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①值守记录是否完整、真实</w:t>
            </w:r>
          </w:p>
        </w:tc>
        <w:tc>
          <w:tcPr>
            <w:tcW w:w="1815" w:type="dxa"/>
            <w:vMerge w:val="restart"/>
            <w:noWrap w:val="0"/>
            <w:vAlign w:val="center"/>
          </w:tcPr>
          <w:p w14:paraId="06185C7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每发现缺少1个班次记录</w:t>
            </w:r>
          </w:p>
          <w:p w14:paraId="31C2D99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或人员脱岗，</w:t>
            </w:r>
          </w:p>
          <w:p w14:paraId="2564C1E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扣0.5分，扣完为止</w:t>
            </w:r>
          </w:p>
        </w:tc>
        <w:tc>
          <w:tcPr>
            <w:tcW w:w="594" w:type="dxa"/>
            <w:noWrap w:val="0"/>
            <w:vAlign w:val="center"/>
          </w:tcPr>
          <w:p w14:paraId="3D0C81E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kern w:val="2"/>
                <w:sz w:val="21"/>
                <w:szCs w:val="21"/>
                <w:highlight w:val="none"/>
                <w:vertAlign w:val="baseline"/>
                <w:lang w:val="en-US" w:eastAsia="zh-CN" w:bidi="ar-SA"/>
              </w:rPr>
              <w:t>4</w:t>
            </w:r>
          </w:p>
        </w:tc>
      </w:tr>
      <w:tr w14:paraId="3F1F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trPr>
        <w:tc>
          <w:tcPr>
            <w:tcW w:w="505" w:type="dxa"/>
            <w:vMerge w:val="continue"/>
            <w:noWrap w:val="0"/>
            <w:vAlign w:val="center"/>
          </w:tcPr>
          <w:p w14:paraId="6B7104BE">
            <w:pPr>
              <w:keepNext w:val="0"/>
              <w:keepLines w:val="0"/>
              <w:pageBreakBefore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1048" w:type="dxa"/>
            <w:vMerge w:val="continue"/>
            <w:noWrap w:val="0"/>
            <w:vAlign w:val="center"/>
          </w:tcPr>
          <w:p w14:paraId="45B6BE85">
            <w:pPr>
              <w:keepNext w:val="0"/>
              <w:keepLines w:val="0"/>
              <w:pageBreakBefore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2491" w:type="dxa"/>
            <w:vMerge w:val="continue"/>
            <w:noWrap w:val="0"/>
            <w:vAlign w:val="center"/>
          </w:tcPr>
          <w:p w14:paraId="00F6BD07">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sz w:val="21"/>
                <w:szCs w:val="21"/>
                <w:highlight w:val="none"/>
              </w:rPr>
            </w:pPr>
          </w:p>
        </w:tc>
        <w:tc>
          <w:tcPr>
            <w:tcW w:w="2565" w:type="dxa"/>
            <w:noWrap w:val="0"/>
            <w:vAlign w:val="center"/>
          </w:tcPr>
          <w:p w14:paraId="234DF5AE">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②值班人员是否真实在岗</w:t>
            </w:r>
          </w:p>
        </w:tc>
        <w:tc>
          <w:tcPr>
            <w:tcW w:w="1815" w:type="dxa"/>
            <w:vMerge w:val="continue"/>
            <w:noWrap w:val="0"/>
            <w:vAlign w:val="center"/>
          </w:tcPr>
          <w:p w14:paraId="0EE5922A">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594" w:type="dxa"/>
            <w:noWrap w:val="0"/>
            <w:vAlign w:val="center"/>
          </w:tcPr>
          <w:p w14:paraId="5A7B027E">
            <w:pPr>
              <w:keepNext w:val="0"/>
              <w:keepLines w:val="0"/>
              <w:pageBreakBefore w:val="0"/>
              <w:tabs>
                <w:tab w:val="left" w:pos="350"/>
              </w:tabs>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3</w:t>
            </w:r>
          </w:p>
        </w:tc>
      </w:tr>
      <w:tr w14:paraId="4E91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505" w:type="dxa"/>
            <w:vMerge w:val="continue"/>
            <w:noWrap w:val="0"/>
            <w:vAlign w:val="center"/>
          </w:tcPr>
          <w:p w14:paraId="0F96628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p>
        </w:tc>
        <w:tc>
          <w:tcPr>
            <w:tcW w:w="1048" w:type="dxa"/>
            <w:vMerge w:val="continue"/>
            <w:noWrap w:val="0"/>
            <w:vAlign w:val="center"/>
          </w:tcPr>
          <w:p w14:paraId="0BAF459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p>
        </w:tc>
        <w:tc>
          <w:tcPr>
            <w:tcW w:w="2491" w:type="dxa"/>
            <w:vMerge w:val="restart"/>
            <w:noWrap w:val="0"/>
            <w:vAlign w:val="center"/>
          </w:tcPr>
          <w:p w14:paraId="7A1EFEDC">
            <w:pPr>
              <w:pStyle w:val="89"/>
              <w:keepNext w:val="0"/>
              <w:keepLines w:val="0"/>
              <w:pageBreakBefore w:val="0"/>
              <w:widowControl w:val="0"/>
              <w:kinsoku/>
              <w:wordWrap/>
              <w:overflowPunct/>
              <w:topLinePunct w:val="0"/>
              <w:autoSpaceDE/>
              <w:autoSpaceDN/>
              <w:bidi w:val="0"/>
              <w:adjustRightInd/>
              <w:snapToGrid/>
              <w:spacing w:before="3" w:line="300" w:lineRule="exact"/>
              <w:ind w:right="98" w:rightChars="0"/>
              <w:jc w:val="both"/>
              <w:textAlignment w:val="auto"/>
              <w:rPr>
                <w:rFonts w:hint="eastAsia" w:ascii="华文仿宋" w:hAnsi="华文仿宋" w:eastAsia="华文仿宋" w:cs="华文仿宋"/>
                <w:color w:val="auto"/>
                <w:kern w:val="2"/>
                <w:sz w:val="21"/>
                <w:szCs w:val="21"/>
                <w:highlight w:val="none"/>
                <w:vertAlign w:val="baseline"/>
                <w:lang w:val="en-US" w:eastAsia="zh-CN" w:bidi="zh-CN"/>
              </w:rPr>
            </w:pPr>
            <w:r>
              <w:rPr>
                <w:rFonts w:hint="eastAsia" w:ascii="华文仿宋" w:hAnsi="华文仿宋" w:eastAsia="华文仿宋" w:cs="华文仿宋"/>
                <w:color w:val="auto"/>
                <w:kern w:val="2"/>
                <w:sz w:val="21"/>
                <w:szCs w:val="21"/>
                <w:highlight w:val="none"/>
                <w:vertAlign w:val="baseline"/>
                <w:lang w:val="en-US" w:eastAsia="zh-CN" w:bidi="ar-SA"/>
              </w:rPr>
              <w:t>4.值班室软硬件设备及设施配备。包括电脑、门禁、值守工装等标准化配套设备</w:t>
            </w:r>
          </w:p>
        </w:tc>
        <w:tc>
          <w:tcPr>
            <w:tcW w:w="2565" w:type="dxa"/>
            <w:noWrap w:val="0"/>
            <w:vAlign w:val="center"/>
          </w:tcPr>
          <w:p w14:paraId="1223579F">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①值班电脑是否可以正常使用，满足工作需要</w:t>
            </w:r>
          </w:p>
        </w:tc>
        <w:tc>
          <w:tcPr>
            <w:tcW w:w="1815" w:type="dxa"/>
            <w:vMerge w:val="restart"/>
            <w:noWrap w:val="0"/>
            <w:vAlign w:val="center"/>
          </w:tcPr>
          <w:p w14:paraId="289ABA7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每发现1次缺少项，</w:t>
            </w:r>
          </w:p>
          <w:p w14:paraId="107450D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扣1分，扣完为止</w:t>
            </w:r>
          </w:p>
        </w:tc>
        <w:tc>
          <w:tcPr>
            <w:tcW w:w="594" w:type="dxa"/>
            <w:noWrap w:val="0"/>
            <w:vAlign w:val="center"/>
          </w:tcPr>
          <w:p w14:paraId="5F35806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kern w:val="2"/>
                <w:sz w:val="21"/>
                <w:szCs w:val="21"/>
                <w:highlight w:val="none"/>
                <w:vertAlign w:val="baseline"/>
                <w:lang w:val="en-US" w:eastAsia="zh-CN" w:bidi="ar-SA"/>
              </w:rPr>
              <w:t>1</w:t>
            </w:r>
          </w:p>
        </w:tc>
      </w:tr>
      <w:tr w14:paraId="0B61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505" w:type="dxa"/>
            <w:vMerge w:val="continue"/>
            <w:noWrap w:val="0"/>
            <w:vAlign w:val="center"/>
          </w:tcPr>
          <w:p w14:paraId="707A062F">
            <w:pPr>
              <w:keepNext w:val="0"/>
              <w:keepLines w:val="0"/>
              <w:pageBreakBefore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1048" w:type="dxa"/>
            <w:vMerge w:val="continue"/>
            <w:noWrap w:val="0"/>
            <w:vAlign w:val="center"/>
          </w:tcPr>
          <w:p w14:paraId="28EEBBD5">
            <w:pPr>
              <w:keepNext w:val="0"/>
              <w:keepLines w:val="0"/>
              <w:pageBreakBefore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2491" w:type="dxa"/>
            <w:vMerge w:val="continue"/>
            <w:noWrap w:val="0"/>
            <w:vAlign w:val="center"/>
          </w:tcPr>
          <w:p w14:paraId="48E69CC6">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sz w:val="21"/>
                <w:szCs w:val="21"/>
                <w:highlight w:val="none"/>
              </w:rPr>
            </w:pPr>
          </w:p>
        </w:tc>
        <w:tc>
          <w:tcPr>
            <w:tcW w:w="2565" w:type="dxa"/>
            <w:noWrap w:val="0"/>
            <w:vAlign w:val="center"/>
          </w:tcPr>
          <w:p w14:paraId="6052EFD1">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②值班室门禁是否好用，无人期间是否及时关闭</w:t>
            </w:r>
          </w:p>
        </w:tc>
        <w:tc>
          <w:tcPr>
            <w:tcW w:w="1815" w:type="dxa"/>
            <w:vMerge w:val="continue"/>
            <w:noWrap w:val="0"/>
            <w:vAlign w:val="center"/>
          </w:tcPr>
          <w:p w14:paraId="21E0B39B">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594" w:type="dxa"/>
            <w:noWrap w:val="0"/>
            <w:vAlign w:val="center"/>
          </w:tcPr>
          <w:p w14:paraId="553A78F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1</w:t>
            </w:r>
          </w:p>
        </w:tc>
      </w:tr>
      <w:tr w14:paraId="0B61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505" w:type="dxa"/>
            <w:vMerge w:val="continue"/>
            <w:noWrap w:val="0"/>
            <w:vAlign w:val="center"/>
          </w:tcPr>
          <w:p w14:paraId="2578EA4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1048" w:type="dxa"/>
            <w:vMerge w:val="continue"/>
            <w:noWrap w:val="0"/>
            <w:vAlign w:val="center"/>
          </w:tcPr>
          <w:p w14:paraId="6AC17021">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2491" w:type="dxa"/>
            <w:vMerge w:val="continue"/>
            <w:noWrap w:val="0"/>
            <w:vAlign w:val="center"/>
          </w:tcPr>
          <w:p w14:paraId="238DF1A6">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华文仿宋" w:hAnsi="华文仿宋" w:eastAsia="华文仿宋" w:cs="华文仿宋"/>
                <w:color w:val="auto"/>
                <w:sz w:val="21"/>
                <w:szCs w:val="21"/>
                <w:highlight w:val="none"/>
                <w:vertAlign w:val="baseline"/>
                <w:lang w:val="en-US" w:eastAsia="zh-CN"/>
              </w:rPr>
            </w:pPr>
          </w:p>
        </w:tc>
        <w:tc>
          <w:tcPr>
            <w:tcW w:w="2565" w:type="dxa"/>
            <w:noWrap w:val="0"/>
            <w:vAlign w:val="center"/>
          </w:tcPr>
          <w:p w14:paraId="74CB05F8">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③人员着装是否标准规范</w:t>
            </w:r>
          </w:p>
        </w:tc>
        <w:tc>
          <w:tcPr>
            <w:tcW w:w="1815" w:type="dxa"/>
            <w:vMerge w:val="continue"/>
            <w:noWrap w:val="0"/>
            <w:vAlign w:val="center"/>
          </w:tcPr>
          <w:p w14:paraId="60C5B12A">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594" w:type="dxa"/>
            <w:noWrap w:val="0"/>
            <w:vAlign w:val="center"/>
          </w:tcPr>
          <w:p w14:paraId="462D91E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1</w:t>
            </w:r>
          </w:p>
        </w:tc>
      </w:tr>
      <w:tr w14:paraId="0650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05" w:type="dxa"/>
            <w:vMerge w:val="restart"/>
            <w:noWrap w:val="0"/>
            <w:vAlign w:val="center"/>
          </w:tcPr>
          <w:p w14:paraId="790DACF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三</w:t>
            </w:r>
          </w:p>
        </w:tc>
        <w:tc>
          <w:tcPr>
            <w:tcW w:w="1048" w:type="dxa"/>
            <w:vMerge w:val="restart"/>
            <w:noWrap w:val="0"/>
            <w:vAlign w:val="center"/>
          </w:tcPr>
          <w:p w14:paraId="6566931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运维服务</w:t>
            </w:r>
          </w:p>
          <w:p w14:paraId="2377F136">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（30分）</w:t>
            </w:r>
          </w:p>
        </w:tc>
        <w:tc>
          <w:tcPr>
            <w:tcW w:w="2491" w:type="dxa"/>
            <w:vMerge w:val="restart"/>
            <w:noWrap w:val="0"/>
            <w:vAlign w:val="center"/>
          </w:tcPr>
          <w:p w14:paraId="1F4CD85E">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5.对系统和设备进行每月巡查并形成记录</w:t>
            </w:r>
          </w:p>
        </w:tc>
        <w:tc>
          <w:tcPr>
            <w:tcW w:w="2565" w:type="dxa"/>
            <w:noWrap w:val="0"/>
            <w:vAlign w:val="center"/>
          </w:tcPr>
          <w:p w14:paraId="458286A8">
            <w:pPr>
              <w:keepNext w:val="0"/>
              <w:keepLines w:val="0"/>
              <w:pageBreakBefore w:val="0"/>
              <w:widowControl w:val="0"/>
              <w:suppressLineNumbers w:val="0"/>
              <w:kinsoku/>
              <w:wordWrap/>
              <w:overflowPunct/>
              <w:topLinePunct w:val="0"/>
              <w:autoSpaceDE/>
              <w:autoSpaceDN/>
              <w:bidi w:val="0"/>
              <w:adjustRightInd/>
              <w:snapToGrid/>
              <w:spacing w:line="300" w:lineRule="exact"/>
              <w:jc w:val="left"/>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①各专项前端感知设备巡检记录是否完整</w:t>
            </w:r>
          </w:p>
        </w:tc>
        <w:tc>
          <w:tcPr>
            <w:tcW w:w="1815" w:type="dxa"/>
            <w:vMerge w:val="restart"/>
            <w:noWrap w:val="0"/>
            <w:vAlign w:val="center"/>
          </w:tcPr>
          <w:p w14:paraId="00A9324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每缺失1次扣0.5分，</w:t>
            </w:r>
          </w:p>
          <w:p w14:paraId="3BDA148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扣完为止</w:t>
            </w:r>
          </w:p>
        </w:tc>
        <w:tc>
          <w:tcPr>
            <w:tcW w:w="594" w:type="dxa"/>
            <w:noWrap w:val="0"/>
            <w:vAlign w:val="center"/>
          </w:tcPr>
          <w:p w14:paraId="13FC3A6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kern w:val="2"/>
                <w:sz w:val="21"/>
                <w:szCs w:val="21"/>
                <w:highlight w:val="none"/>
                <w:vertAlign w:val="baseline"/>
                <w:lang w:val="en-US" w:eastAsia="zh-CN" w:bidi="ar-SA"/>
              </w:rPr>
              <w:t>3</w:t>
            </w:r>
          </w:p>
        </w:tc>
      </w:tr>
      <w:tr w14:paraId="547FD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505" w:type="dxa"/>
            <w:vMerge w:val="continue"/>
            <w:noWrap w:val="0"/>
            <w:vAlign w:val="center"/>
          </w:tcPr>
          <w:p w14:paraId="46DE1988">
            <w:pPr>
              <w:keepNext w:val="0"/>
              <w:keepLines w:val="0"/>
              <w:pageBreakBefore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1048" w:type="dxa"/>
            <w:vMerge w:val="continue"/>
            <w:noWrap w:val="0"/>
            <w:vAlign w:val="center"/>
          </w:tcPr>
          <w:p w14:paraId="25B425BF">
            <w:pPr>
              <w:keepNext w:val="0"/>
              <w:keepLines w:val="0"/>
              <w:pageBreakBefore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2491" w:type="dxa"/>
            <w:vMerge w:val="continue"/>
            <w:noWrap w:val="0"/>
            <w:vAlign w:val="center"/>
          </w:tcPr>
          <w:p w14:paraId="2892DEBC">
            <w:pPr>
              <w:keepNext w:val="0"/>
              <w:keepLines w:val="0"/>
              <w:pageBreakBefore w:val="0"/>
              <w:kinsoku/>
              <w:wordWrap/>
              <w:overflowPunct/>
              <w:topLinePunct w:val="0"/>
              <w:autoSpaceDE/>
              <w:autoSpaceDN/>
              <w:bidi w:val="0"/>
              <w:adjustRightInd/>
              <w:snapToGrid/>
              <w:spacing w:line="300" w:lineRule="exact"/>
              <w:jc w:val="both"/>
              <w:textAlignment w:val="auto"/>
              <w:rPr>
                <w:color w:val="auto"/>
                <w:sz w:val="21"/>
                <w:szCs w:val="21"/>
                <w:highlight w:val="none"/>
              </w:rPr>
            </w:pPr>
          </w:p>
        </w:tc>
        <w:tc>
          <w:tcPr>
            <w:tcW w:w="2565" w:type="dxa"/>
            <w:noWrap w:val="0"/>
            <w:vAlign w:val="center"/>
          </w:tcPr>
          <w:p w14:paraId="49BCF93B">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②系统巡检记录是否完整</w:t>
            </w:r>
          </w:p>
        </w:tc>
        <w:tc>
          <w:tcPr>
            <w:tcW w:w="1815" w:type="dxa"/>
            <w:vMerge w:val="continue"/>
            <w:noWrap w:val="0"/>
            <w:vAlign w:val="center"/>
          </w:tcPr>
          <w:p w14:paraId="500FCEB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p>
        </w:tc>
        <w:tc>
          <w:tcPr>
            <w:tcW w:w="594" w:type="dxa"/>
            <w:noWrap w:val="0"/>
            <w:vAlign w:val="center"/>
          </w:tcPr>
          <w:p w14:paraId="11BDB7B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2</w:t>
            </w:r>
          </w:p>
        </w:tc>
      </w:tr>
      <w:tr w14:paraId="6574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05" w:type="dxa"/>
            <w:vMerge w:val="continue"/>
            <w:noWrap w:val="0"/>
            <w:vAlign w:val="center"/>
          </w:tcPr>
          <w:p w14:paraId="7CFD74D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kern w:val="2"/>
                <w:sz w:val="21"/>
                <w:szCs w:val="21"/>
                <w:highlight w:val="none"/>
                <w:vertAlign w:val="baseline"/>
                <w:lang w:val="en-US" w:eastAsia="zh-CN" w:bidi="ar-SA"/>
              </w:rPr>
            </w:pPr>
          </w:p>
        </w:tc>
        <w:tc>
          <w:tcPr>
            <w:tcW w:w="1048" w:type="dxa"/>
            <w:vMerge w:val="continue"/>
            <w:noWrap w:val="0"/>
            <w:vAlign w:val="center"/>
          </w:tcPr>
          <w:p w14:paraId="165A71CA">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p>
        </w:tc>
        <w:tc>
          <w:tcPr>
            <w:tcW w:w="2491" w:type="dxa"/>
            <w:vMerge w:val="restart"/>
            <w:noWrap w:val="0"/>
            <w:vAlign w:val="center"/>
          </w:tcPr>
          <w:p w14:paraId="6D88CCA6">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6.日常运维记录清晰、完整、符合标准要求</w:t>
            </w:r>
          </w:p>
        </w:tc>
        <w:tc>
          <w:tcPr>
            <w:tcW w:w="2565" w:type="dxa"/>
            <w:noWrap w:val="0"/>
            <w:vAlign w:val="center"/>
          </w:tcPr>
          <w:p w14:paraId="47DE5660">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①设备维修记录是否清晰可查</w:t>
            </w:r>
          </w:p>
        </w:tc>
        <w:tc>
          <w:tcPr>
            <w:tcW w:w="1815" w:type="dxa"/>
            <w:vMerge w:val="restart"/>
            <w:noWrap w:val="0"/>
            <w:vAlign w:val="center"/>
          </w:tcPr>
          <w:p w14:paraId="5DFDAFD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每发生1次不符合要求扣0.5分，</w:t>
            </w:r>
          </w:p>
          <w:p w14:paraId="7BB988A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扣完为止</w:t>
            </w:r>
          </w:p>
        </w:tc>
        <w:tc>
          <w:tcPr>
            <w:tcW w:w="594" w:type="dxa"/>
            <w:noWrap w:val="0"/>
            <w:vAlign w:val="center"/>
          </w:tcPr>
          <w:p w14:paraId="5D6FA02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kern w:val="2"/>
                <w:sz w:val="21"/>
                <w:szCs w:val="21"/>
                <w:highlight w:val="none"/>
                <w:vertAlign w:val="baseline"/>
                <w:lang w:val="en-US" w:eastAsia="zh-CN" w:bidi="ar-SA"/>
              </w:rPr>
              <w:t>3</w:t>
            </w:r>
          </w:p>
        </w:tc>
      </w:tr>
      <w:tr w14:paraId="5958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05" w:type="dxa"/>
            <w:vMerge w:val="continue"/>
            <w:noWrap w:val="0"/>
            <w:vAlign w:val="center"/>
          </w:tcPr>
          <w:p w14:paraId="668CDF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1048" w:type="dxa"/>
            <w:vMerge w:val="continue"/>
            <w:noWrap w:val="0"/>
            <w:vAlign w:val="center"/>
          </w:tcPr>
          <w:p w14:paraId="7D2218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2491" w:type="dxa"/>
            <w:vMerge w:val="continue"/>
            <w:noWrap w:val="0"/>
            <w:vAlign w:val="center"/>
          </w:tcPr>
          <w:p w14:paraId="54BE452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auto"/>
              <w:rPr>
                <w:color w:val="auto"/>
                <w:sz w:val="21"/>
                <w:szCs w:val="21"/>
                <w:highlight w:val="none"/>
              </w:rPr>
            </w:pPr>
          </w:p>
        </w:tc>
        <w:tc>
          <w:tcPr>
            <w:tcW w:w="2565" w:type="dxa"/>
            <w:noWrap w:val="0"/>
            <w:vAlign w:val="center"/>
          </w:tcPr>
          <w:p w14:paraId="48AC9B1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②运维工单记录是否及时且完整准确</w:t>
            </w:r>
          </w:p>
        </w:tc>
        <w:tc>
          <w:tcPr>
            <w:tcW w:w="1815" w:type="dxa"/>
            <w:vMerge w:val="continue"/>
            <w:noWrap w:val="0"/>
            <w:vAlign w:val="center"/>
          </w:tcPr>
          <w:p w14:paraId="3E1E6D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594" w:type="dxa"/>
            <w:noWrap w:val="0"/>
            <w:vAlign w:val="center"/>
          </w:tcPr>
          <w:p w14:paraId="507DA4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2</w:t>
            </w:r>
          </w:p>
        </w:tc>
      </w:tr>
      <w:tr w14:paraId="60B4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505" w:type="dxa"/>
            <w:vMerge w:val="continue"/>
            <w:noWrap w:val="0"/>
            <w:vAlign w:val="center"/>
          </w:tcPr>
          <w:p w14:paraId="3A55978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p>
        </w:tc>
        <w:tc>
          <w:tcPr>
            <w:tcW w:w="1048" w:type="dxa"/>
            <w:vMerge w:val="continue"/>
            <w:noWrap w:val="0"/>
            <w:vAlign w:val="center"/>
          </w:tcPr>
          <w:p w14:paraId="5D59A04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p>
        </w:tc>
        <w:tc>
          <w:tcPr>
            <w:tcW w:w="2491" w:type="dxa"/>
            <w:vMerge w:val="restart"/>
            <w:noWrap w:val="0"/>
            <w:vAlign w:val="center"/>
          </w:tcPr>
          <w:p w14:paraId="5B240108">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7.做好设备台账，储备备品备件</w:t>
            </w:r>
          </w:p>
        </w:tc>
        <w:tc>
          <w:tcPr>
            <w:tcW w:w="2565" w:type="dxa"/>
            <w:noWrap w:val="0"/>
            <w:vAlign w:val="center"/>
          </w:tcPr>
          <w:p w14:paraId="57CFC06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①设备台账是否记录清晰</w:t>
            </w:r>
          </w:p>
        </w:tc>
        <w:tc>
          <w:tcPr>
            <w:tcW w:w="1815" w:type="dxa"/>
            <w:vMerge w:val="continue"/>
            <w:noWrap w:val="0"/>
            <w:vAlign w:val="center"/>
          </w:tcPr>
          <w:p w14:paraId="0FC5556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p>
        </w:tc>
        <w:tc>
          <w:tcPr>
            <w:tcW w:w="594" w:type="dxa"/>
            <w:noWrap w:val="0"/>
            <w:vAlign w:val="center"/>
          </w:tcPr>
          <w:p w14:paraId="05503FF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kern w:val="2"/>
                <w:sz w:val="21"/>
                <w:szCs w:val="21"/>
                <w:highlight w:val="none"/>
                <w:vertAlign w:val="baseline"/>
                <w:lang w:val="en-US" w:eastAsia="zh-CN" w:bidi="ar-SA"/>
              </w:rPr>
              <w:t>2</w:t>
            </w:r>
          </w:p>
        </w:tc>
      </w:tr>
      <w:tr w14:paraId="0F74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505" w:type="dxa"/>
            <w:vMerge w:val="continue"/>
            <w:noWrap w:val="0"/>
            <w:vAlign w:val="center"/>
          </w:tcPr>
          <w:p w14:paraId="10F8345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1048" w:type="dxa"/>
            <w:vMerge w:val="continue"/>
            <w:noWrap w:val="0"/>
            <w:vAlign w:val="center"/>
          </w:tcPr>
          <w:p w14:paraId="1EFCD4B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2491" w:type="dxa"/>
            <w:vMerge w:val="continue"/>
            <w:noWrap w:val="0"/>
            <w:vAlign w:val="center"/>
          </w:tcPr>
          <w:p w14:paraId="5DBF0440">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sz w:val="21"/>
                <w:szCs w:val="21"/>
                <w:highlight w:val="none"/>
              </w:rPr>
            </w:pPr>
          </w:p>
        </w:tc>
        <w:tc>
          <w:tcPr>
            <w:tcW w:w="2565" w:type="dxa"/>
            <w:noWrap w:val="0"/>
            <w:vAlign w:val="center"/>
          </w:tcPr>
          <w:p w14:paraId="75A0F8AC">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②是否储备备品备件，满足设备使用要求</w:t>
            </w:r>
          </w:p>
        </w:tc>
        <w:tc>
          <w:tcPr>
            <w:tcW w:w="1815" w:type="dxa"/>
            <w:vMerge w:val="continue"/>
            <w:noWrap w:val="0"/>
            <w:vAlign w:val="center"/>
          </w:tcPr>
          <w:p w14:paraId="0171BD0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594" w:type="dxa"/>
            <w:noWrap w:val="0"/>
            <w:vAlign w:val="center"/>
          </w:tcPr>
          <w:p w14:paraId="4BD1437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3</w:t>
            </w:r>
          </w:p>
        </w:tc>
      </w:tr>
      <w:tr w14:paraId="598F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505" w:type="dxa"/>
            <w:vMerge w:val="continue"/>
            <w:noWrap w:val="0"/>
            <w:vAlign w:val="center"/>
          </w:tcPr>
          <w:p w14:paraId="72E6DAD8">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p>
        </w:tc>
        <w:tc>
          <w:tcPr>
            <w:tcW w:w="1048" w:type="dxa"/>
            <w:vMerge w:val="continue"/>
            <w:noWrap w:val="0"/>
            <w:vAlign w:val="center"/>
          </w:tcPr>
          <w:p w14:paraId="14C607C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kern w:val="2"/>
                <w:sz w:val="21"/>
                <w:szCs w:val="21"/>
                <w:highlight w:val="none"/>
                <w:vertAlign w:val="baseline"/>
                <w:lang w:val="en-US" w:eastAsia="zh-CN" w:bidi="ar-SA"/>
              </w:rPr>
            </w:pPr>
          </w:p>
        </w:tc>
        <w:tc>
          <w:tcPr>
            <w:tcW w:w="2491" w:type="dxa"/>
            <w:vMerge w:val="restart"/>
            <w:noWrap w:val="0"/>
            <w:vAlign w:val="center"/>
          </w:tcPr>
          <w:p w14:paraId="5448C69E">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8.生命线系统平台无法访问，24小时内提供处置措施</w:t>
            </w:r>
          </w:p>
        </w:tc>
        <w:tc>
          <w:tcPr>
            <w:tcW w:w="2565" w:type="dxa"/>
            <w:noWrap w:val="0"/>
            <w:vAlign w:val="center"/>
          </w:tcPr>
          <w:p w14:paraId="7E49111B">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①是否及时采取处置措施</w:t>
            </w:r>
          </w:p>
        </w:tc>
        <w:tc>
          <w:tcPr>
            <w:tcW w:w="1815" w:type="dxa"/>
            <w:vMerge w:val="restart"/>
            <w:noWrap w:val="0"/>
            <w:vAlign w:val="center"/>
          </w:tcPr>
          <w:p w14:paraId="3F3B1D5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每发生1次/项扣0.5分，</w:t>
            </w:r>
          </w:p>
          <w:p w14:paraId="05C660C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扣完为止</w:t>
            </w:r>
          </w:p>
        </w:tc>
        <w:tc>
          <w:tcPr>
            <w:tcW w:w="594" w:type="dxa"/>
            <w:noWrap w:val="0"/>
            <w:vAlign w:val="center"/>
          </w:tcPr>
          <w:p w14:paraId="5B9CBA3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3</w:t>
            </w:r>
          </w:p>
        </w:tc>
      </w:tr>
      <w:tr w14:paraId="1BD0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505" w:type="dxa"/>
            <w:vMerge w:val="continue"/>
            <w:noWrap w:val="0"/>
            <w:vAlign w:val="center"/>
          </w:tcPr>
          <w:p w14:paraId="3F1D979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1048" w:type="dxa"/>
            <w:vMerge w:val="continue"/>
            <w:noWrap w:val="0"/>
            <w:vAlign w:val="center"/>
          </w:tcPr>
          <w:p w14:paraId="6206B49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2491" w:type="dxa"/>
            <w:vMerge w:val="continue"/>
            <w:noWrap w:val="0"/>
            <w:vAlign w:val="center"/>
          </w:tcPr>
          <w:p w14:paraId="4430DD7E">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color w:val="auto"/>
                <w:sz w:val="21"/>
                <w:szCs w:val="21"/>
                <w:highlight w:val="none"/>
              </w:rPr>
            </w:pPr>
          </w:p>
        </w:tc>
        <w:tc>
          <w:tcPr>
            <w:tcW w:w="2565" w:type="dxa"/>
            <w:noWrap w:val="0"/>
            <w:vAlign w:val="center"/>
          </w:tcPr>
          <w:p w14:paraId="1020080C">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②因外力导致未恢复，正在紧急处置中，是否及时提供说明</w:t>
            </w:r>
          </w:p>
        </w:tc>
        <w:tc>
          <w:tcPr>
            <w:tcW w:w="1815" w:type="dxa"/>
            <w:vMerge w:val="continue"/>
            <w:noWrap w:val="0"/>
            <w:vAlign w:val="center"/>
          </w:tcPr>
          <w:p w14:paraId="3C4AF3B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594" w:type="dxa"/>
            <w:noWrap w:val="0"/>
            <w:vAlign w:val="center"/>
          </w:tcPr>
          <w:p w14:paraId="5D3A341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2</w:t>
            </w:r>
          </w:p>
        </w:tc>
      </w:tr>
      <w:tr w14:paraId="0D99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05" w:type="dxa"/>
            <w:vMerge w:val="continue"/>
            <w:noWrap w:val="0"/>
            <w:vAlign w:val="center"/>
          </w:tcPr>
          <w:p w14:paraId="1813C8D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kern w:val="2"/>
                <w:sz w:val="21"/>
                <w:szCs w:val="21"/>
                <w:highlight w:val="none"/>
                <w:vertAlign w:val="baseline"/>
                <w:lang w:val="en-US" w:eastAsia="zh-CN" w:bidi="ar-SA"/>
              </w:rPr>
            </w:pPr>
          </w:p>
        </w:tc>
        <w:tc>
          <w:tcPr>
            <w:tcW w:w="1048" w:type="dxa"/>
            <w:vMerge w:val="continue"/>
            <w:noWrap w:val="0"/>
            <w:vAlign w:val="center"/>
          </w:tcPr>
          <w:p w14:paraId="3E3848F3">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2491" w:type="dxa"/>
            <w:vMerge w:val="restart"/>
            <w:noWrap w:val="0"/>
            <w:vAlign w:val="center"/>
          </w:tcPr>
          <w:p w14:paraId="55F85165">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9.各监测子系统软件平台无法访问，24小时内提供处置措施</w:t>
            </w:r>
          </w:p>
        </w:tc>
        <w:tc>
          <w:tcPr>
            <w:tcW w:w="2565" w:type="dxa"/>
            <w:noWrap w:val="0"/>
            <w:vAlign w:val="center"/>
          </w:tcPr>
          <w:p w14:paraId="693B8F49">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①是否及时采取具体处置措施的</w:t>
            </w:r>
          </w:p>
        </w:tc>
        <w:tc>
          <w:tcPr>
            <w:tcW w:w="1815" w:type="dxa"/>
            <w:vMerge w:val="continue"/>
            <w:noWrap w:val="0"/>
            <w:vAlign w:val="center"/>
          </w:tcPr>
          <w:p w14:paraId="2F39839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p>
        </w:tc>
        <w:tc>
          <w:tcPr>
            <w:tcW w:w="594" w:type="dxa"/>
            <w:noWrap w:val="0"/>
            <w:vAlign w:val="center"/>
          </w:tcPr>
          <w:p w14:paraId="3A1E77B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3</w:t>
            </w:r>
          </w:p>
        </w:tc>
      </w:tr>
      <w:tr w14:paraId="166C8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505" w:type="dxa"/>
            <w:vMerge w:val="continue"/>
            <w:noWrap w:val="0"/>
            <w:vAlign w:val="center"/>
          </w:tcPr>
          <w:p w14:paraId="17E068E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1048" w:type="dxa"/>
            <w:vMerge w:val="continue"/>
            <w:noWrap w:val="0"/>
            <w:vAlign w:val="center"/>
          </w:tcPr>
          <w:p w14:paraId="4162DFB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2491" w:type="dxa"/>
            <w:vMerge w:val="continue"/>
            <w:noWrap w:val="0"/>
            <w:vAlign w:val="center"/>
          </w:tcPr>
          <w:p w14:paraId="38092150">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color w:val="auto"/>
                <w:sz w:val="21"/>
                <w:szCs w:val="21"/>
                <w:highlight w:val="none"/>
              </w:rPr>
            </w:pPr>
          </w:p>
        </w:tc>
        <w:tc>
          <w:tcPr>
            <w:tcW w:w="2565" w:type="dxa"/>
            <w:noWrap w:val="0"/>
            <w:vAlign w:val="center"/>
          </w:tcPr>
          <w:p w14:paraId="3BF5DBB1">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②因外力导致未恢复，正在紧急处置中，是否及时提供说明。</w:t>
            </w:r>
          </w:p>
        </w:tc>
        <w:tc>
          <w:tcPr>
            <w:tcW w:w="1815" w:type="dxa"/>
            <w:vMerge w:val="continue"/>
            <w:noWrap w:val="0"/>
            <w:vAlign w:val="center"/>
          </w:tcPr>
          <w:p w14:paraId="466C6F1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p>
        </w:tc>
        <w:tc>
          <w:tcPr>
            <w:tcW w:w="594" w:type="dxa"/>
            <w:noWrap w:val="0"/>
            <w:vAlign w:val="center"/>
          </w:tcPr>
          <w:p w14:paraId="11E37FA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2</w:t>
            </w:r>
          </w:p>
        </w:tc>
      </w:tr>
      <w:tr w14:paraId="2C98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05" w:type="dxa"/>
            <w:vMerge w:val="continue"/>
            <w:noWrap w:val="0"/>
            <w:vAlign w:val="center"/>
          </w:tcPr>
          <w:p w14:paraId="577A27F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kern w:val="2"/>
                <w:sz w:val="21"/>
                <w:szCs w:val="21"/>
                <w:highlight w:val="none"/>
                <w:vertAlign w:val="baseline"/>
                <w:lang w:val="en-US" w:eastAsia="zh-CN" w:bidi="ar-SA"/>
              </w:rPr>
            </w:pPr>
          </w:p>
        </w:tc>
        <w:tc>
          <w:tcPr>
            <w:tcW w:w="1048" w:type="dxa"/>
            <w:vMerge w:val="continue"/>
            <w:noWrap w:val="0"/>
            <w:vAlign w:val="center"/>
          </w:tcPr>
          <w:p w14:paraId="31BC65C7">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2491" w:type="dxa"/>
            <w:vMerge w:val="restart"/>
            <w:noWrap w:val="0"/>
            <w:vAlign w:val="center"/>
          </w:tcPr>
          <w:p w14:paraId="28D564B4">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10.前端设备硬件故障，及时提供处置措施</w:t>
            </w:r>
          </w:p>
        </w:tc>
        <w:tc>
          <w:tcPr>
            <w:tcW w:w="2565" w:type="dxa"/>
            <w:noWrap w:val="0"/>
            <w:vAlign w:val="center"/>
          </w:tcPr>
          <w:p w14:paraId="0A542952">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①是否及时采取具体处置措施的</w:t>
            </w:r>
          </w:p>
        </w:tc>
        <w:tc>
          <w:tcPr>
            <w:tcW w:w="1815" w:type="dxa"/>
            <w:vMerge w:val="continue"/>
            <w:noWrap w:val="0"/>
            <w:vAlign w:val="center"/>
          </w:tcPr>
          <w:p w14:paraId="045C0A3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p>
        </w:tc>
        <w:tc>
          <w:tcPr>
            <w:tcW w:w="594" w:type="dxa"/>
            <w:noWrap w:val="0"/>
            <w:vAlign w:val="center"/>
          </w:tcPr>
          <w:p w14:paraId="273D780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3</w:t>
            </w:r>
          </w:p>
        </w:tc>
      </w:tr>
      <w:tr w14:paraId="022F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505" w:type="dxa"/>
            <w:vMerge w:val="continue"/>
            <w:noWrap w:val="0"/>
            <w:vAlign w:val="center"/>
          </w:tcPr>
          <w:p w14:paraId="42DA3AC3">
            <w:pPr>
              <w:keepNext w:val="0"/>
              <w:keepLines w:val="0"/>
              <w:pageBreakBefore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1048" w:type="dxa"/>
            <w:vMerge w:val="continue"/>
            <w:noWrap w:val="0"/>
            <w:vAlign w:val="center"/>
          </w:tcPr>
          <w:p w14:paraId="654C698A">
            <w:pPr>
              <w:keepNext w:val="0"/>
              <w:keepLines w:val="0"/>
              <w:pageBreakBefore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2491" w:type="dxa"/>
            <w:vMerge w:val="continue"/>
            <w:noWrap w:val="0"/>
            <w:vAlign w:val="center"/>
          </w:tcPr>
          <w:p w14:paraId="60ADACB9">
            <w:pPr>
              <w:keepNext w:val="0"/>
              <w:keepLines w:val="0"/>
              <w:pageBreakBefore w:val="0"/>
              <w:kinsoku/>
              <w:wordWrap/>
              <w:overflowPunct/>
              <w:topLinePunct w:val="0"/>
              <w:autoSpaceDE/>
              <w:autoSpaceDN/>
              <w:bidi w:val="0"/>
              <w:adjustRightInd/>
              <w:snapToGrid/>
              <w:spacing w:line="300" w:lineRule="exact"/>
              <w:ind w:firstLine="0" w:firstLineChars="0"/>
              <w:jc w:val="both"/>
              <w:textAlignment w:val="auto"/>
              <w:rPr>
                <w:color w:val="auto"/>
                <w:sz w:val="21"/>
                <w:szCs w:val="21"/>
                <w:highlight w:val="none"/>
              </w:rPr>
            </w:pPr>
          </w:p>
        </w:tc>
        <w:tc>
          <w:tcPr>
            <w:tcW w:w="2565" w:type="dxa"/>
            <w:noWrap w:val="0"/>
            <w:vAlign w:val="center"/>
          </w:tcPr>
          <w:p w14:paraId="0B0B7376">
            <w:pPr>
              <w:keepNext w:val="0"/>
              <w:keepLines w:val="0"/>
              <w:pageBreakBefore w:val="0"/>
              <w:kinsoku/>
              <w:wordWrap/>
              <w:overflowPunct/>
              <w:topLinePunct w:val="0"/>
              <w:autoSpaceDE/>
              <w:autoSpaceDN/>
              <w:bidi w:val="0"/>
              <w:adjustRightInd/>
              <w:snapToGrid/>
              <w:spacing w:line="300" w:lineRule="exact"/>
              <w:ind w:firstLine="0" w:firstLineChars="0"/>
              <w:jc w:val="left"/>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②因外力导致未及时恢复的，正按计划处置中，是否及时提供说明。</w:t>
            </w:r>
          </w:p>
        </w:tc>
        <w:tc>
          <w:tcPr>
            <w:tcW w:w="1815" w:type="dxa"/>
            <w:vMerge w:val="continue"/>
            <w:noWrap w:val="0"/>
            <w:vAlign w:val="center"/>
          </w:tcPr>
          <w:p w14:paraId="42E0DB0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594" w:type="dxa"/>
            <w:noWrap w:val="0"/>
            <w:vAlign w:val="center"/>
          </w:tcPr>
          <w:p w14:paraId="6C9359A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2</w:t>
            </w:r>
          </w:p>
        </w:tc>
      </w:tr>
      <w:tr w14:paraId="0D98C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505" w:type="dxa"/>
            <w:vMerge w:val="restart"/>
            <w:noWrap w:val="0"/>
            <w:vAlign w:val="center"/>
          </w:tcPr>
          <w:p w14:paraId="0500F38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四</w:t>
            </w:r>
          </w:p>
        </w:tc>
        <w:tc>
          <w:tcPr>
            <w:tcW w:w="1048" w:type="dxa"/>
            <w:vMerge w:val="restart"/>
            <w:noWrap w:val="0"/>
            <w:vAlign w:val="center"/>
          </w:tcPr>
          <w:p w14:paraId="218BE321">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监测数据</w:t>
            </w:r>
          </w:p>
          <w:p w14:paraId="31B203B8">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分析服务</w:t>
            </w:r>
          </w:p>
          <w:p w14:paraId="6E5F42E8">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（20分）</w:t>
            </w:r>
          </w:p>
        </w:tc>
        <w:tc>
          <w:tcPr>
            <w:tcW w:w="2491" w:type="dxa"/>
            <w:vMerge w:val="restart"/>
            <w:noWrap w:val="0"/>
            <w:vAlign w:val="center"/>
          </w:tcPr>
          <w:p w14:paraId="40FEFD52">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11.监测周报、月报、年报，要求完整、准确、及时、清晰、符合标准要求</w:t>
            </w:r>
          </w:p>
        </w:tc>
        <w:tc>
          <w:tcPr>
            <w:tcW w:w="2565" w:type="dxa"/>
            <w:noWrap w:val="0"/>
            <w:vAlign w:val="center"/>
          </w:tcPr>
          <w:p w14:paraId="7E13B201">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①周报监测报告是否按时提供，且满足要求</w:t>
            </w:r>
          </w:p>
        </w:tc>
        <w:tc>
          <w:tcPr>
            <w:tcW w:w="1815" w:type="dxa"/>
            <w:vMerge w:val="restart"/>
            <w:noWrap w:val="0"/>
            <w:vAlign w:val="center"/>
          </w:tcPr>
          <w:p w14:paraId="0640B40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每发生1次不符合要求扣1分，</w:t>
            </w:r>
          </w:p>
          <w:p w14:paraId="5B56DCE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扣完为止</w:t>
            </w:r>
          </w:p>
        </w:tc>
        <w:tc>
          <w:tcPr>
            <w:tcW w:w="594" w:type="dxa"/>
            <w:noWrap w:val="0"/>
            <w:vAlign w:val="center"/>
          </w:tcPr>
          <w:p w14:paraId="65477089">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3</w:t>
            </w:r>
          </w:p>
        </w:tc>
      </w:tr>
      <w:tr w14:paraId="06F8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505" w:type="dxa"/>
            <w:vMerge w:val="continue"/>
            <w:noWrap w:val="0"/>
            <w:vAlign w:val="center"/>
          </w:tcPr>
          <w:p w14:paraId="0F4EF2C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1048" w:type="dxa"/>
            <w:vMerge w:val="continue"/>
            <w:noWrap w:val="0"/>
            <w:vAlign w:val="center"/>
          </w:tcPr>
          <w:p w14:paraId="6EA5EC5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2491" w:type="dxa"/>
            <w:vMerge w:val="continue"/>
            <w:noWrap w:val="0"/>
            <w:vAlign w:val="center"/>
          </w:tcPr>
          <w:p w14:paraId="735C5BF6">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sz w:val="21"/>
                <w:szCs w:val="21"/>
                <w:highlight w:val="none"/>
              </w:rPr>
            </w:pPr>
          </w:p>
        </w:tc>
        <w:tc>
          <w:tcPr>
            <w:tcW w:w="2565" w:type="dxa"/>
            <w:noWrap w:val="0"/>
            <w:vAlign w:val="center"/>
          </w:tcPr>
          <w:p w14:paraId="2459C0C9">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②月报监测报告是否按时提供，且满足要求</w:t>
            </w:r>
          </w:p>
        </w:tc>
        <w:tc>
          <w:tcPr>
            <w:tcW w:w="1815" w:type="dxa"/>
            <w:vMerge w:val="continue"/>
            <w:noWrap w:val="0"/>
            <w:vAlign w:val="center"/>
          </w:tcPr>
          <w:p w14:paraId="631464C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594" w:type="dxa"/>
            <w:noWrap w:val="0"/>
            <w:vAlign w:val="center"/>
          </w:tcPr>
          <w:p w14:paraId="1D252D1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3</w:t>
            </w:r>
          </w:p>
        </w:tc>
      </w:tr>
      <w:tr w14:paraId="77842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505" w:type="dxa"/>
            <w:vMerge w:val="continue"/>
            <w:noWrap w:val="0"/>
            <w:vAlign w:val="center"/>
          </w:tcPr>
          <w:p w14:paraId="798BB52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1048" w:type="dxa"/>
            <w:vMerge w:val="continue"/>
            <w:noWrap w:val="0"/>
            <w:vAlign w:val="center"/>
          </w:tcPr>
          <w:p w14:paraId="059D064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2491" w:type="dxa"/>
            <w:vMerge w:val="continue"/>
            <w:noWrap w:val="0"/>
            <w:vAlign w:val="center"/>
          </w:tcPr>
          <w:p w14:paraId="0B62825F">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sz w:val="21"/>
                <w:szCs w:val="21"/>
                <w:highlight w:val="none"/>
              </w:rPr>
            </w:pPr>
          </w:p>
        </w:tc>
        <w:tc>
          <w:tcPr>
            <w:tcW w:w="2565" w:type="dxa"/>
            <w:noWrap w:val="0"/>
            <w:vAlign w:val="center"/>
          </w:tcPr>
          <w:p w14:paraId="7DC7A46E">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③年报监测报告是否按时提供，且满足要求</w:t>
            </w:r>
          </w:p>
        </w:tc>
        <w:tc>
          <w:tcPr>
            <w:tcW w:w="1815" w:type="dxa"/>
            <w:vMerge w:val="continue"/>
            <w:noWrap w:val="0"/>
            <w:vAlign w:val="center"/>
          </w:tcPr>
          <w:p w14:paraId="04B40C5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594" w:type="dxa"/>
            <w:noWrap w:val="0"/>
            <w:vAlign w:val="center"/>
          </w:tcPr>
          <w:p w14:paraId="60E6F42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3</w:t>
            </w:r>
          </w:p>
        </w:tc>
      </w:tr>
      <w:tr w14:paraId="5373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05" w:type="dxa"/>
            <w:vMerge w:val="continue"/>
            <w:noWrap w:val="0"/>
            <w:vAlign w:val="center"/>
          </w:tcPr>
          <w:p w14:paraId="69D4997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kern w:val="2"/>
                <w:sz w:val="21"/>
                <w:szCs w:val="21"/>
                <w:highlight w:val="none"/>
                <w:vertAlign w:val="baseline"/>
                <w:lang w:val="en-US" w:eastAsia="zh-CN" w:bidi="ar-SA"/>
              </w:rPr>
            </w:pPr>
          </w:p>
        </w:tc>
        <w:tc>
          <w:tcPr>
            <w:tcW w:w="1048" w:type="dxa"/>
            <w:vMerge w:val="continue"/>
            <w:noWrap w:val="0"/>
            <w:vAlign w:val="center"/>
          </w:tcPr>
          <w:p w14:paraId="7C92267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2491" w:type="dxa"/>
            <w:vMerge w:val="restart"/>
            <w:noWrap w:val="0"/>
            <w:vAlign w:val="center"/>
          </w:tcPr>
          <w:p w14:paraId="0A4F52F0">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eastAsia" w:ascii="华文仿宋" w:hAnsi="华文仿宋" w:eastAsia="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12.各专项的监测数据分析服务保障，包括风险预警辅助决策服务、健康运行分析等</w:t>
            </w:r>
          </w:p>
        </w:tc>
        <w:tc>
          <w:tcPr>
            <w:tcW w:w="2565" w:type="dxa"/>
            <w:noWrap w:val="0"/>
            <w:vAlign w:val="center"/>
          </w:tcPr>
          <w:p w14:paraId="5BCA5AA9">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①是否对预警案件提供辅助决策</w:t>
            </w:r>
          </w:p>
        </w:tc>
        <w:tc>
          <w:tcPr>
            <w:tcW w:w="1815" w:type="dxa"/>
            <w:vMerge w:val="restart"/>
            <w:noWrap w:val="0"/>
            <w:vAlign w:val="center"/>
          </w:tcPr>
          <w:p w14:paraId="518E970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每发生1次不符合要求扣2分，</w:t>
            </w:r>
          </w:p>
          <w:p w14:paraId="2DEDD6D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扣完为止</w:t>
            </w:r>
          </w:p>
        </w:tc>
        <w:tc>
          <w:tcPr>
            <w:tcW w:w="594" w:type="dxa"/>
            <w:noWrap w:val="0"/>
            <w:vAlign w:val="center"/>
          </w:tcPr>
          <w:p w14:paraId="057BE921">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kern w:val="2"/>
                <w:sz w:val="21"/>
                <w:szCs w:val="21"/>
                <w:highlight w:val="none"/>
                <w:vertAlign w:val="baseline"/>
                <w:lang w:val="en-US" w:eastAsia="zh-CN" w:bidi="ar-SA"/>
              </w:rPr>
              <w:t>6</w:t>
            </w:r>
          </w:p>
        </w:tc>
      </w:tr>
      <w:tr w14:paraId="123E8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505" w:type="dxa"/>
            <w:vMerge w:val="continue"/>
            <w:noWrap w:val="0"/>
            <w:vAlign w:val="center"/>
          </w:tcPr>
          <w:p w14:paraId="17E7A17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1048" w:type="dxa"/>
            <w:vMerge w:val="continue"/>
            <w:noWrap w:val="0"/>
            <w:vAlign w:val="center"/>
          </w:tcPr>
          <w:p w14:paraId="6A2FA4F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2491" w:type="dxa"/>
            <w:vMerge w:val="continue"/>
            <w:noWrap w:val="0"/>
            <w:vAlign w:val="center"/>
          </w:tcPr>
          <w:p w14:paraId="01825E55">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color w:val="auto"/>
                <w:sz w:val="21"/>
                <w:szCs w:val="21"/>
                <w:highlight w:val="none"/>
              </w:rPr>
            </w:pPr>
          </w:p>
        </w:tc>
        <w:tc>
          <w:tcPr>
            <w:tcW w:w="2565" w:type="dxa"/>
            <w:noWrap w:val="0"/>
            <w:vAlign w:val="center"/>
          </w:tcPr>
          <w:p w14:paraId="62797212">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②是否按合同等约定提供相关专项专业分析服务</w:t>
            </w:r>
          </w:p>
        </w:tc>
        <w:tc>
          <w:tcPr>
            <w:tcW w:w="1815" w:type="dxa"/>
            <w:vMerge w:val="continue"/>
            <w:noWrap w:val="0"/>
            <w:vAlign w:val="center"/>
          </w:tcPr>
          <w:p w14:paraId="1F22433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594" w:type="dxa"/>
            <w:noWrap w:val="0"/>
            <w:vAlign w:val="center"/>
          </w:tcPr>
          <w:p w14:paraId="3DA6A1C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5</w:t>
            </w:r>
          </w:p>
        </w:tc>
      </w:tr>
      <w:tr w14:paraId="1D378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05" w:type="dxa"/>
            <w:vMerge w:val="restart"/>
            <w:noWrap w:val="0"/>
            <w:vAlign w:val="center"/>
          </w:tcPr>
          <w:p w14:paraId="46DC621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五</w:t>
            </w:r>
          </w:p>
        </w:tc>
        <w:tc>
          <w:tcPr>
            <w:tcW w:w="1048" w:type="dxa"/>
            <w:vMerge w:val="restart"/>
            <w:noWrap w:val="0"/>
            <w:vAlign w:val="center"/>
          </w:tcPr>
          <w:p w14:paraId="764D9D50">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安全应急保障</w:t>
            </w:r>
          </w:p>
          <w:p w14:paraId="1BB2D06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（10分）</w:t>
            </w:r>
          </w:p>
        </w:tc>
        <w:tc>
          <w:tcPr>
            <w:tcW w:w="2491" w:type="dxa"/>
            <w:vMerge w:val="restart"/>
            <w:noWrap w:val="0"/>
            <w:vAlign w:val="center"/>
          </w:tcPr>
          <w:p w14:paraId="2BFE033A">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13.应急事件处置、重大活动配合</w:t>
            </w:r>
          </w:p>
        </w:tc>
        <w:tc>
          <w:tcPr>
            <w:tcW w:w="2565" w:type="dxa"/>
            <w:noWrap w:val="0"/>
            <w:vAlign w:val="center"/>
          </w:tcPr>
          <w:p w14:paraId="70EEF6AC">
            <w:pPr>
              <w:keepNext w:val="0"/>
              <w:keepLines w:val="0"/>
              <w:pageBreakBefore w:val="0"/>
              <w:kinsoku/>
              <w:wordWrap/>
              <w:overflowPunct/>
              <w:topLinePunct w:val="0"/>
              <w:autoSpaceDE/>
              <w:autoSpaceDN/>
              <w:bidi w:val="0"/>
              <w:adjustRightInd/>
              <w:snapToGrid/>
              <w:spacing w:line="300" w:lineRule="exact"/>
              <w:ind w:firstLine="0" w:firstLineChars="0"/>
              <w:jc w:val="left"/>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①应急事件发生时，是否积极响应配合</w:t>
            </w:r>
          </w:p>
        </w:tc>
        <w:tc>
          <w:tcPr>
            <w:tcW w:w="1815" w:type="dxa"/>
            <w:vMerge w:val="restart"/>
            <w:noWrap w:val="0"/>
            <w:vAlign w:val="center"/>
          </w:tcPr>
          <w:p w14:paraId="57555F7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不符合标准要求不得分，</w:t>
            </w:r>
          </w:p>
          <w:p w14:paraId="738A3EF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符合不扣分</w:t>
            </w:r>
          </w:p>
        </w:tc>
        <w:tc>
          <w:tcPr>
            <w:tcW w:w="594" w:type="dxa"/>
            <w:noWrap w:val="0"/>
            <w:vAlign w:val="center"/>
          </w:tcPr>
          <w:p w14:paraId="5DDB914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3</w:t>
            </w:r>
          </w:p>
        </w:tc>
      </w:tr>
      <w:tr w14:paraId="275D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05" w:type="dxa"/>
            <w:vMerge w:val="continue"/>
            <w:noWrap w:val="0"/>
            <w:vAlign w:val="center"/>
          </w:tcPr>
          <w:p w14:paraId="67605AF6">
            <w:pPr>
              <w:keepNext w:val="0"/>
              <w:keepLines w:val="0"/>
              <w:pageBreakBefore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1048" w:type="dxa"/>
            <w:vMerge w:val="continue"/>
            <w:noWrap w:val="0"/>
            <w:vAlign w:val="center"/>
          </w:tcPr>
          <w:p w14:paraId="7DE4702F">
            <w:pPr>
              <w:keepNext w:val="0"/>
              <w:keepLines w:val="0"/>
              <w:pageBreakBefore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2491" w:type="dxa"/>
            <w:vMerge w:val="continue"/>
            <w:noWrap w:val="0"/>
            <w:vAlign w:val="center"/>
          </w:tcPr>
          <w:p w14:paraId="7FC8E22A">
            <w:pPr>
              <w:keepNext w:val="0"/>
              <w:keepLines w:val="0"/>
              <w:pageBreakBefore w:val="0"/>
              <w:kinsoku/>
              <w:wordWrap/>
              <w:overflowPunct/>
              <w:topLinePunct w:val="0"/>
              <w:autoSpaceDE/>
              <w:autoSpaceDN/>
              <w:bidi w:val="0"/>
              <w:adjustRightInd/>
              <w:snapToGrid/>
              <w:spacing w:line="300" w:lineRule="exact"/>
              <w:ind w:firstLine="0" w:firstLineChars="0"/>
              <w:jc w:val="both"/>
              <w:textAlignment w:val="auto"/>
              <w:rPr>
                <w:color w:val="auto"/>
                <w:sz w:val="21"/>
                <w:szCs w:val="21"/>
                <w:highlight w:val="none"/>
              </w:rPr>
            </w:pPr>
          </w:p>
        </w:tc>
        <w:tc>
          <w:tcPr>
            <w:tcW w:w="2565" w:type="dxa"/>
            <w:noWrap w:val="0"/>
            <w:vAlign w:val="center"/>
          </w:tcPr>
          <w:p w14:paraId="14C8513F">
            <w:pPr>
              <w:keepNext w:val="0"/>
              <w:keepLines w:val="0"/>
              <w:pageBreakBefore w:val="0"/>
              <w:kinsoku/>
              <w:wordWrap/>
              <w:overflowPunct/>
              <w:topLinePunct w:val="0"/>
              <w:autoSpaceDE/>
              <w:autoSpaceDN/>
              <w:bidi w:val="0"/>
              <w:adjustRightInd/>
              <w:snapToGrid/>
              <w:spacing w:line="300" w:lineRule="exact"/>
              <w:ind w:firstLine="0" w:firstLineChars="0"/>
              <w:jc w:val="left"/>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②重大活动及接待发生时，是否配合参与</w:t>
            </w:r>
          </w:p>
        </w:tc>
        <w:tc>
          <w:tcPr>
            <w:tcW w:w="1815" w:type="dxa"/>
            <w:vMerge w:val="continue"/>
            <w:noWrap w:val="0"/>
            <w:vAlign w:val="center"/>
          </w:tcPr>
          <w:p w14:paraId="25C2592E">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594" w:type="dxa"/>
            <w:noWrap w:val="0"/>
            <w:vAlign w:val="center"/>
          </w:tcPr>
          <w:p w14:paraId="2FF9CE7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2</w:t>
            </w:r>
          </w:p>
        </w:tc>
      </w:tr>
      <w:tr w14:paraId="724C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05" w:type="dxa"/>
            <w:vMerge w:val="continue"/>
            <w:noWrap w:val="0"/>
            <w:vAlign w:val="center"/>
          </w:tcPr>
          <w:p w14:paraId="2189649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kern w:val="2"/>
                <w:sz w:val="21"/>
                <w:szCs w:val="21"/>
                <w:highlight w:val="none"/>
                <w:vertAlign w:val="baseline"/>
                <w:lang w:val="en-US" w:eastAsia="zh-CN" w:bidi="ar-SA"/>
              </w:rPr>
            </w:pPr>
          </w:p>
        </w:tc>
        <w:tc>
          <w:tcPr>
            <w:tcW w:w="1048" w:type="dxa"/>
            <w:vMerge w:val="continue"/>
            <w:noWrap w:val="0"/>
            <w:vAlign w:val="center"/>
          </w:tcPr>
          <w:p w14:paraId="47B36ABB">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2491" w:type="dxa"/>
            <w:vMerge w:val="restart"/>
            <w:noWrap w:val="0"/>
            <w:vAlign w:val="center"/>
          </w:tcPr>
          <w:p w14:paraId="0F26738F">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eastAsia"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14.安全施工、安全教育、事故安全处理、消防安全等保障</w:t>
            </w:r>
          </w:p>
        </w:tc>
        <w:tc>
          <w:tcPr>
            <w:tcW w:w="2565" w:type="dxa"/>
            <w:noWrap w:val="0"/>
            <w:vAlign w:val="center"/>
          </w:tcPr>
          <w:p w14:paraId="6312605F">
            <w:pPr>
              <w:keepNext w:val="0"/>
              <w:keepLines w:val="0"/>
              <w:pageBreakBefore w:val="0"/>
              <w:kinsoku/>
              <w:wordWrap/>
              <w:overflowPunct/>
              <w:topLinePunct w:val="0"/>
              <w:autoSpaceDE/>
              <w:autoSpaceDN/>
              <w:bidi w:val="0"/>
              <w:adjustRightInd/>
              <w:snapToGrid/>
              <w:spacing w:line="300" w:lineRule="exact"/>
              <w:ind w:firstLine="0" w:firstLineChars="0"/>
              <w:jc w:val="left"/>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①运维人员处理相关事件是否及时</w:t>
            </w:r>
          </w:p>
        </w:tc>
        <w:tc>
          <w:tcPr>
            <w:tcW w:w="1815" w:type="dxa"/>
            <w:vMerge w:val="continue"/>
            <w:noWrap w:val="0"/>
            <w:vAlign w:val="center"/>
          </w:tcPr>
          <w:p w14:paraId="6427F8D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华文仿宋" w:hAnsi="华文仿宋" w:eastAsia="华文仿宋" w:cs="华文仿宋"/>
                <w:color w:val="auto"/>
                <w:kern w:val="2"/>
                <w:sz w:val="21"/>
                <w:szCs w:val="21"/>
                <w:highlight w:val="none"/>
                <w:vertAlign w:val="baseline"/>
                <w:lang w:val="en-US" w:eastAsia="zh-CN" w:bidi="ar-SA"/>
              </w:rPr>
            </w:pPr>
          </w:p>
        </w:tc>
        <w:tc>
          <w:tcPr>
            <w:tcW w:w="594" w:type="dxa"/>
            <w:noWrap w:val="0"/>
            <w:vAlign w:val="center"/>
          </w:tcPr>
          <w:p w14:paraId="4E162E3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kern w:val="2"/>
                <w:sz w:val="21"/>
                <w:szCs w:val="21"/>
                <w:highlight w:val="none"/>
                <w:vertAlign w:val="baseline"/>
                <w:lang w:val="en-US" w:eastAsia="zh-CN" w:bidi="ar-SA"/>
              </w:rPr>
            </w:pPr>
            <w:r>
              <w:rPr>
                <w:rFonts w:hint="eastAsia" w:ascii="华文仿宋" w:hAnsi="华文仿宋" w:eastAsia="华文仿宋" w:cs="华文仿宋"/>
                <w:color w:val="auto"/>
                <w:sz w:val="21"/>
                <w:szCs w:val="21"/>
                <w:highlight w:val="none"/>
                <w:vertAlign w:val="baseline"/>
                <w:lang w:val="en-US" w:eastAsia="zh-CN"/>
              </w:rPr>
              <w:t>3</w:t>
            </w:r>
          </w:p>
        </w:tc>
      </w:tr>
      <w:tr w14:paraId="5F17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05" w:type="dxa"/>
            <w:vMerge w:val="continue"/>
            <w:noWrap w:val="0"/>
            <w:vAlign w:val="center"/>
          </w:tcPr>
          <w:p w14:paraId="738B2B81">
            <w:pPr>
              <w:keepNext w:val="0"/>
              <w:keepLines w:val="0"/>
              <w:pageBreakBefore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1048" w:type="dxa"/>
            <w:vMerge w:val="continue"/>
            <w:noWrap w:val="0"/>
            <w:vAlign w:val="center"/>
          </w:tcPr>
          <w:p w14:paraId="1F1FD9A9">
            <w:pPr>
              <w:keepNext w:val="0"/>
              <w:keepLines w:val="0"/>
              <w:pageBreakBefore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2491" w:type="dxa"/>
            <w:vMerge w:val="continue"/>
            <w:noWrap w:val="0"/>
            <w:vAlign w:val="center"/>
          </w:tcPr>
          <w:p w14:paraId="28CF2E38">
            <w:pPr>
              <w:keepNext w:val="0"/>
              <w:keepLines w:val="0"/>
              <w:pageBreakBefore w:val="0"/>
              <w:kinsoku/>
              <w:wordWrap/>
              <w:overflowPunct/>
              <w:topLinePunct w:val="0"/>
              <w:autoSpaceDE/>
              <w:autoSpaceDN/>
              <w:bidi w:val="0"/>
              <w:adjustRightInd/>
              <w:snapToGrid/>
              <w:spacing w:line="300" w:lineRule="exact"/>
              <w:jc w:val="center"/>
              <w:textAlignment w:val="auto"/>
              <w:rPr>
                <w:color w:val="auto"/>
                <w:sz w:val="21"/>
                <w:szCs w:val="21"/>
                <w:highlight w:val="none"/>
              </w:rPr>
            </w:pPr>
          </w:p>
        </w:tc>
        <w:tc>
          <w:tcPr>
            <w:tcW w:w="2565" w:type="dxa"/>
            <w:noWrap w:val="0"/>
            <w:vAlign w:val="center"/>
          </w:tcPr>
          <w:p w14:paraId="7B5FB1E2">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②是否有计划并按期落实相关培训</w:t>
            </w:r>
          </w:p>
        </w:tc>
        <w:tc>
          <w:tcPr>
            <w:tcW w:w="1815" w:type="dxa"/>
            <w:vMerge w:val="continue"/>
            <w:noWrap w:val="0"/>
            <w:vAlign w:val="center"/>
          </w:tcPr>
          <w:p w14:paraId="6013653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p>
        </w:tc>
        <w:tc>
          <w:tcPr>
            <w:tcW w:w="594" w:type="dxa"/>
            <w:noWrap w:val="0"/>
            <w:vAlign w:val="center"/>
          </w:tcPr>
          <w:p w14:paraId="335F0D9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2</w:t>
            </w:r>
          </w:p>
        </w:tc>
      </w:tr>
      <w:tr w14:paraId="0969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505" w:type="dxa"/>
            <w:noWrap w:val="0"/>
            <w:vAlign w:val="center"/>
          </w:tcPr>
          <w:p w14:paraId="367FEDB7">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eastAsia="仿宋_GB2312"/>
                <w:color w:val="auto"/>
                <w:sz w:val="21"/>
                <w:szCs w:val="21"/>
                <w:highlight w:val="none"/>
                <w:lang w:val="en-US" w:eastAsia="zh-CN"/>
              </w:rPr>
            </w:pPr>
            <w:r>
              <w:rPr>
                <w:rFonts w:hint="eastAsia" w:ascii="华文仿宋" w:hAnsi="华文仿宋" w:eastAsia="华文仿宋" w:cs="华文仿宋"/>
                <w:color w:val="auto"/>
                <w:sz w:val="21"/>
                <w:szCs w:val="21"/>
                <w:highlight w:val="none"/>
                <w:lang w:val="en-US" w:eastAsia="zh-CN"/>
              </w:rPr>
              <w:t>六</w:t>
            </w:r>
          </w:p>
        </w:tc>
        <w:tc>
          <w:tcPr>
            <w:tcW w:w="1048" w:type="dxa"/>
            <w:noWrap w:val="0"/>
            <w:vAlign w:val="center"/>
          </w:tcPr>
          <w:p w14:paraId="05CC00CA">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lang w:val="en-US" w:eastAsia="zh-CN"/>
              </w:rPr>
            </w:pPr>
            <w:r>
              <w:rPr>
                <w:rFonts w:hint="eastAsia" w:ascii="华文仿宋" w:hAnsi="华文仿宋" w:eastAsia="华文仿宋" w:cs="华文仿宋"/>
                <w:color w:val="auto"/>
                <w:sz w:val="21"/>
                <w:szCs w:val="21"/>
                <w:highlight w:val="none"/>
                <w:lang w:val="en-US" w:eastAsia="zh-CN"/>
              </w:rPr>
              <w:t>服务评价</w:t>
            </w:r>
          </w:p>
          <w:p w14:paraId="2854248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color w:val="auto"/>
                <w:sz w:val="21"/>
                <w:szCs w:val="21"/>
                <w:highlight w:val="none"/>
                <w:lang w:val="en-US" w:eastAsia="zh-CN"/>
              </w:rPr>
            </w:pPr>
            <w:r>
              <w:rPr>
                <w:rFonts w:hint="eastAsia" w:ascii="华文仿宋" w:hAnsi="华文仿宋" w:eastAsia="华文仿宋" w:cs="华文仿宋"/>
                <w:color w:val="auto"/>
                <w:sz w:val="21"/>
                <w:szCs w:val="21"/>
                <w:highlight w:val="none"/>
                <w:lang w:val="en-US" w:eastAsia="zh-CN"/>
              </w:rPr>
              <w:t>（5分）</w:t>
            </w:r>
          </w:p>
        </w:tc>
        <w:tc>
          <w:tcPr>
            <w:tcW w:w="2491" w:type="dxa"/>
            <w:noWrap w:val="0"/>
            <w:vAlign w:val="center"/>
          </w:tcPr>
          <w:p w14:paraId="3BFD5B79">
            <w:pPr>
              <w:keepNext w:val="0"/>
              <w:keepLines w:val="0"/>
              <w:pageBreakBefore w:val="0"/>
              <w:kinsoku/>
              <w:wordWrap/>
              <w:overflowPunct/>
              <w:topLinePunct w:val="0"/>
              <w:autoSpaceDE/>
              <w:autoSpaceDN/>
              <w:bidi w:val="0"/>
              <w:adjustRightInd/>
              <w:snapToGrid/>
              <w:spacing w:line="300" w:lineRule="exact"/>
              <w:jc w:val="left"/>
              <w:textAlignment w:val="auto"/>
              <w:rPr>
                <w:rFonts w:hint="default" w:eastAsia="仿宋_GB2312"/>
                <w:color w:val="auto"/>
                <w:sz w:val="21"/>
                <w:szCs w:val="21"/>
                <w:highlight w:val="none"/>
                <w:lang w:val="en-US" w:eastAsia="zh-CN"/>
              </w:rPr>
            </w:pPr>
            <w:r>
              <w:rPr>
                <w:rFonts w:hint="eastAsia" w:ascii="华文仿宋" w:hAnsi="华文仿宋" w:eastAsia="华文仿宋" w:cs="华文仿宋"/>
                <w:color w:val="auto"/>
                <w:sz w:val="21"/>
                <w:szCs w:val="21"/>
                <w:highlight w:val="none"/>
                <w:lang w:val="en-US" w:eastAsia="zh-CN"/>
              </w:rPr>
              <w:t>15.服务满意度</w:t>
            </w:r>
          </w:p>
        </w:tc>
        <w:tc>
          <w:tcPr>
            <w:tcW w:w="2565" w:type="dxa"/>
            <w:noWrap w:val="0"/>
            <w:vAlign w:val="center"/>
          </w:tcPr>
          <w:p w14:paraId="1E8899D0">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①根据合同履行、应急处置、日常工作，相关部门进行满意度评分</w:t>
            </w:r>
          </w:p>
        </w:tc>
        <w:tc>
          <w:tcPr>
            <w:tcW w:w="1815" w:type="dxa"/>
            <w:noWrap w:val="0"/>
            <w:vAlign w:val="center"/>
          </w:tcPr>
          <w:p w14:paraId="3ED5D0F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综合全年评估</w:t>
            </w:r>
          </w:p>
        </w:tc>
        <w:tc>
          <w:tcPr>
            <w:tcW w:w="594" w:type="dxa"/>
            <w:noWrap w:val="0"/>
            <w:vAlign w:val="center"/>
          </w:tcPr>
          <w:p w14:paraId="1C474BE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color w:val="auto"/>
                <w:sz w:val="21"/>
                <w:szCs w:val="21"/>
                <w:highlight w:val="none"/>
                <w:vertAlign w:val="baseline"/>
                <w:lang w:val="en-US" w:eastAsia="zh-CN"/>
              </w:rPr>
              <w:t>5</w:t>
            </w:r>
          </w:p>
        </w:tc>
      </w:tr>
      <w:tr w14:paraId="7CE67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9018" w:type="dxa"/>
            <w:gridSpan w:val="6"/>
            <w:noWrap w:val="0"/>
            <w:vAlign w:val="center"/>
          </w:tcPr>
          <w:p w14:paraId="4DBCEA53">
            <w:pPr>
              <w:keepNext w:val="0"/>
              <w:keepLines w:val="0"/>
              <w:pageBreakBefore w:val="0"/>
              <w:kinsoku/>
              <w:wordWrap/>
              <w:overflowPunct/>
              <w:topLinePunct w:val="0"/>
              <w:autoSpaceDE/>
              <w:autoSpaceDN/>
              <w:bidi w:val="0"/>
              <w:adjustRightInd/>
              <w:snapToGrid/>
              <w:spacing w:line="300" w:lineRule="exact"/>
              <w:jc w:val="both"/>
              <w:textAlignment w:val="auto"/>
              <w:rPr>
                <w:rFonts w:hint="eastAsia" w:ascii="华文仿宋" w:hAnsi="华文仿宋" w:eastAsia="华文仿宋" w:cs="华文仿宋"/>
                <w:color w:val="auto"/>
                <w:sz w:val="21"/>
                <w:szCs w:val="21"/>
                <w:highlight w:val="none"/>
                <w:vertAlign w:val="baseline"/>
                <w:lang w:val="en-US" w:eastAsia="zh-CN"/>
              </w:rPr>
            </w:pPr>
            <w:r>
              <w:rPr>
                <w:rFonts w:hint="eastAsia" w:ascii="华文仿宋" w:hAnsi="华文仿宋" w:eastAsia="华文仿宋" w:cs="华文仿宋"/>
                <w:b/>
                <w:bCs/>
                <w:color w:val="auto"/>
                <w:sz w:val="24"/>
                <w:szCs w:val="24"/>
                <w:highlight w:val="none"/>
                <w:vertAlign w:val="baseline"/>
                <w:lang w:val="en-US" w:eastAsia="zh-CN"/>
              </w:rPr>
              <w:t>签名：</w:t>
            </w:r>
          </w:p>
        </w:tc>
      </w:tr>
    </w:tbl>
    <w:p w14:paraId="13B0BDCF">
      <w:pPr>
        <w:numPr>
          <w:ilvl w:val="0"/>
          <w:numId w:val="0"/>
        </w:numPr>
        <w:spacing w:line="440" w:lineRule="exact"/>
        <w:ind w:leftChars="0" w:firstLine="482" w:firstLineChars="200"/>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注：</w:t>
      </w:r>
      <w:r>
        <w:rPr>
          <w:rFonts w:hint="eastAsia" w:asciiTheme="minorEastAsia" w:hAnsiTheme="minorEastAsia" w:eastAsiaTheme="minorEastAsia"/>
          <w:b w:val="0"/>
          <w:bCs/>
          <w:color w:val="auto"/>
          <w:sz w:val="24"/>
          <w:highlight w:val="none"/>
          <w:lang w:val="en-US" w:eastAsia="zh-CN"/>
        </w:rPr>
        <w:t>具体</w:t>
      </w:r>
      <w:r>
        <w:rPr>
          <w:rFonts w:hint="eastAsia" w:ascii="宋体" w:hAnsi="宋体" w:eastAsia="宋体" w:cs="@仿宋_GB2312"/>
          <w:b w:val="0"/>
          <w:bCs w:val="0"/>
          <w:color w:val="auto"/>
          <w:kern w:val="2"/>
          <w:sz w:val="24"/>
          <w:szCs w:val="20"/>
          <w:highlight w:val="none"/>
          <w:lang w:val="en-US" w:eastAsia="zh-CN" w:bidi="ar-SA"/>
        </w:rPr>
        <w:t>考核方案以及考核细则以正式印发文件为准，市住建局、市重点处、琅琊区、南谯区、滁州经开区、中新苏滁高新区等对城市生命线安全工程监测运维考核打分，监测运维费用据实结算支付；后期根据省、市相关部门要求及项目实际对考核细则随时调整，中标人必须无条件接受。</w:t>
      </w:r>
    </w:p>
    <w:p w14:paraId="00682FA4">
      <w:pPr>
        <w:pStyle w:val="43"/>
        <w:rPr>
          <w:rFonts w:asciiTheme="minorEastAsia" w:hAnsiTheme="minorEastAsia" w:eastAsiaTheme="minorEastAsia"/>
          <w:color w:val="auto"/>
          <w:sz w:val="24"/>
          <w:highlight w:val="none"/>
        </w:rPr>
      </w:pPr>
    </w:p>
    <w:p w14:paraId="753CDB26">
      <w:pPr>
        <w:pStyle w:val="9"/>
        <w:rPr>
          <w:rFonts w:hint="default"/>
          <w:color w:val="auto"/>
          <w:highlight w:val="none"/>
          <w:lang w:val="en-US" w:eastAsia="zh-CN"/>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14:paraId="2CA04603">
      <w:pPr>
        <w:pStyle w:val="9"/>
        <w:rPr>
          <w:color w:val="auto"/>
          <w:highlight w:val="none"/>
        </w:rPr>
      </w:pPr>
    </w:p>
    <w:bookmarkEnd w:id="69"/>
    <w:p w14:paraId="439601A3">
      <w:pPr>
        <w:spacing w:line="360" w:lineRule="auto"/>
        <w:jc w:val="center"/>
        <w:outlineLvl w:val="0"/>
        <w:rPr>
          <w:rFonts w:asciiTheme="minorEastAsia" w:hAnsiTheme="minorEastAsia" w:eastAsiaTheme="minorEastAsia"/>
          <w:b/>
          <w:color w:val="auto"/>
          <w:sz w:val="28"/>
          <w:highlight w:val="none"/>
        </w:rPr>
      </w:pPr>
      <w:bookmarkStart w:id="213" w:name="_Toc13555"/>
      <w:r>
        <w:rPr>
          <w:rFonts w:hint="eastAsia" w:asciiTheme="minorEastAsia" w:hAnsiTheme="minorEastAsia" w:eastAsiaTheme="minorEastAsia"/>
          <w:b/>
          <w:color w:val="auto"/>
          <w:sz w:val="28"/>
          <w:highlight w:val="none"/>
        </w:rPr>
        <w:t>第六章  投标文件格式</w:t>
      </w:r>
      <w:bookmarkEnd w:id="213"/>
    </w:p>
    <w:p w14:paraId="79597E13">
      <w:pPr>
        <w:spacing w:line="900" w:lineRule="exact"/>
        <w:jc w:val="center"/>
        <w:rPr>
          <w:rFonts w:asciiTheme="minorEastAsia" w:hAnsiTheme="minorEastAsia" w:eastAsiaTheme="minorEastAsia"/>
          <w:b/>
          <w:color w:val="auto"/>
          <w:sz w:val="72"/>
          <w:highlight w:val="none"/>
        </w:rPr>
      </w:pPr>
    </w:p>
    <w:p w14:paraId="56E694CC">
      <w:pPr>
        <w:spacing w:line="900" w:lineRule="exact"/>
        <w:jc w:val="center"/>
        <w:outlineLvl w:val="1"/>
        <w:rPr>
          <w:rFonts w:asciiTheme="minorEastAsia" w:hAnsiTheme="minorEastAsia" w:eastAsiaTheme="minorEastAsia"/>
          <w:b/>
          <w:color w:val="auto"/>
          <w:sz w:val="72"/>
          <w:highlight w:val="none"/>
        </w:rPr>
      </w:pPr>
      <w:bookmarkStart w:id="214" w:name="_Toc5119"/>
      <w:r>
        <w:rPr>
          <w:rFonts w:hint="eastAsia" w:asciiTheme="minorEastAsia" w:hAnsiTheme="minorEastAsia" w:eastAsiaTheme="minorEastAsia"/>
          <w:b/>
          <w:color w:val="auto"/>
          <w:sz w:val="72"/>
          <w:highlight w:val="none"/>
        </w:rPr>
        <w:t>投</w:t>
      </w:r>
      <w:bookmarkEnd w:id="214"/>
    </w:p>
    <w:p w14:paraId="23DE6C19">
      <w:pPr>
        <w:spacing w:line="900" w:lineRule="exact"/>
        <w:jc w:val="center"/>
        <w:rPr>
          <w:rFonts w:asciiTheme="minorEastAsia" w:hAnsiTheme="minorEastAsia" w:eastAsiaTheme="minorEastAsia"/>
          <w:b/>
          <w:color w:val="auto"/>
          <w:sz w:val="72"/>
          <w:highlight w:val="none"/>
        </w:rPr>
      </w:pPr>
    </w:p>
    <w:p w14:paraId="594B3027">
      <w:pPr>
        <w:spacing w:line="900" w:lineRule="exact"/>
        <w:jc w:val="center"/>
        <w:outlineLvl w:val="1"/>
        <w:rPr>
          <w:rFonts w:asciiTheme="minorEastAsia" w:hAnsiTheme="minorEastAsia" w:eastAsiaTheme="minorEastAsia"/>
          <w:b/>
          <w:color w:val="auto"/>
          <w:sz w:val="72"/>
          <w:highlight w:val="none"/>
        </w:rPr>
      </w:pPr>
      <w:bookmarkStart w:id="215" w:name="_Toc4782"/>
      <w:r>
        <w:rPr>
          <w:rFonts w:hint="eastAsia" w:asciiTheme="minorEastAsia" w:hAnsiTheme="minorEastAsia" w:eastAsiaTheme="minorEastAsia"/>
          <w:b/>
          <w:color w:val="auto"/>
          <w:sz w:val="72"/>
          <w:highlight w:val="none"/>
        </w:rPr>
        <w:t>标</w:t>
      </w:r>
      <w:bookmarkEnd w:id="215"/>
    </w:p>
    <w:p w14:paraId="19732311">
      <w:pPr>
        <w:spacing w:line="900" w:lineRule="exact"/>
        <w:jc w:val="center"/>
        <w:rPr>
          <w:rFonts w:asciiTheme="minorEastAsia" w:hAnsiTheme="minorEastAsia" w:eastAsiaTheme="minorEastAsia"/>
          <w:b/>
          <w:color w:val="auto"/>
          <w:sz w:val="72"/>
          <w:highlight w:val="none"/>
        </w:rPr>
      </w:pPr>
    </w:p>
    <w:p w14:paraId="0D8B13D4">
      <w:pPr>
        <w:spacing w:line="900" w:lineRule="exact"/>
        <w:jc w:val="center"/>
        <w:outlineLvl w:val="1"/>
        <w:rPr>
          <w:rFonts w:asciiTheme="minorEastAsia" w:hAnsiTheme="minorEastAsia" w:eastAsiaTheme="minorEastAsia"/>
          <w:b/>
          <w:color w:val="auto"/>
          <w:sz w:val="72"/>
          <w:highlight w:val="none"/>
        </w:rPr>
      </w:pPr>
      <w:bookmarkStart w:id="216" w:name="_Toc19607"/>
      <w:r>
        <w:rPr>
          <w:rFonts w:hint="eastAsia" w:asciiTheme="minorEastAsia" w:hAnsiTheme="minorEastAsia" w:eastAsiaTheme="minorEastAsia"/>
          <w:b/>
          <w:color w:val="auto"/>
          <w:sz w:val="72"/>
          <w:highlight w:val="none"/>
        </w:rPr>
        <w:t>文</w:t>
      </w:r>
      <w:bookmarkEnd w:id="216"/>
    </w:p>
    <w:p w14:paraId="4E4009CC">
      <w:pPr>
        <w:spacing w:line="900" w:lineRule="exact"/>
        <w:jc w:val="center"/>
        <w:rPr>
          <w:rFonts w:asciiTheme="minorEastAsia" w:hAnsiTheme="minorEastAsia" w:eastAsiaTheme="minorEastAsia"/>
          <w:b/>
          <w:color w:val="auto"/>
          <w:sz w:val="72"/>
          <w:highlight w:val="none"/>
        </w:rPr>
      </w:pPr>
    </w:p>
    <w:p w14:paraId="710DFDFA">
      <w:pPr>
        <w:jc w:val="center"/>
        <w:outlineLvl w:val="1"/>
        <w:rPr>
          <w:rFonts w:asciiTheme="minorEastAsia" w:hAnsiTheme="minorEastAsia" w:eastAsiaTheme="minorEastAsia"/>
          <w:b/>
          <w:color w:val="auto"/>
          <w:sz w:val="72"/>
          <w:highlight w:val="none"/>
        </w:rPr>
      </w:pPr>
      <w:bookmarkStart w:id="217" w:name="_Toc8365"/>
      <w:r>
        <w:rPr>
          <w:rFonts w:hint="eastAsia" w:asciiTheme="minorEastAsia" w:hAnsiTheme="minorEastAsia" w:eastAsiaTheme="minorEastAsia"/>
          <w:b/>
          <w:color w:val="auto"/>
          <w:sz w:val="72"/>
          <w:highlight w:val="none"/>
        </w:rPr>
        <w:t>件</w:t>
      </w:r>
      <w:bookmarkEnd w:id="217"/>
    </w:p>
    <w:p w14:paraId="3A53DCD9">
      <w:pPr>
        <w:spacing w:before="156" w:beforeLines="50" w:after="156" w:afterLines="50"/>
        <w:jc w:val="center"/>
        <w:outlineLvl w:val="9"/>
        <w:rPr>
          <w:rFonts w:asciiTheme="minorEastAsia" w:hAnsiTheme="minorEastAsia" w:eastAsiaTheme="minorEastAsia"/>
          <w:b/>
          <w:color w:val="auto"/>
          <w:sz w:val="32"/>
          <w:szCs w:val="32"/>
          <w:highlight w:val="none"/>
        </w:rPr>
      </w:pPr>
    </w:p>
    <w:p w14:paraId="74918909">
      <w:pPr>
        <w:pStyle w:val="4"/>
        <w:rPr>
          <w:color w:val="auto"/>
          <w:highlight w:val="none"/>
        </w:rPr>
      </w:pPr>
    </w:p>
    <w:p w14:paraId="496AA64C">
      <w:pPr>
        <w:spacing w:after="156" w:afterLines="50" w:line="500" w:lineRule="exact"/>
        <w:jc w:val="center"/>
        <w:rPr>
          <w:rFonts w:asciiTheme="minorEastAsia" w:hAnsiTheme="minorEastAsia" w:eastAsiaTheme="minorEastAsia"/>
          <w:b/>
          <w:color w:val="auto"/>
          <w:sz w:val="28"/>
          <w:szCs w:val="28"/>
          <w:highlight w:val="none"/>
        </w:rPr>
      </w:pPr>
    </w:p>
    <w:p w14:paraId="41B39B85">
      <w:pPr>
        <w:tabs>
          <w:tab w:val="left" w:pos="2410"/>
        </w:tabs>
        <w:autoSpaceDE w:val="0"/>
        <w:autoSpaceDN w:val="0"/>
        <w:adjustRightInd w:val="0"/>
        <w:snapToGrid w:val="0"/>
        <w:spacing w:line="360" w:lineRule="auto"/>
        <w:ind w:firstLine="1928" w:firstLineChars="6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0E70846D">
      <w:pPr>
        <w:tabs>
          <w:tab w:val="left" w:pos="2410"/>
        </w:tabs>
        <w:autoSpaceDE w:val="0"/>
        <w:autoSpaceDN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0BBFE7B7">
      <w:pPr>
        <w:tabs>
          <w:tab w:val="left" w:pos="2410"/>
        </w:tabs>
        <w:autoSpaceDE w:val="0"/>
        <w:autoSpaceDN w:val="0"/>
        <w:adjustRightInd w:val="0"/>
        <w:snapToGrid w:val="0"/>
        <w:spacing w:line="360" w:lineRule="auto"/>
        <w:ind w:firstLine="1928" w:firstLineChars="6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E7B8C2E">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218" w:name="_Toc8037"/>
      <w:bookmarkStart w:id="219" w:name="_Toc1968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218"/>
      <w:bookmarkEnd w:id="219"/>
    </w:p>
    <w:p w14:paraId="7926113D">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4DF584EB">
      <w:pPr>
        <w:spacing w:line="360" w:lineRule="auto"/>
        <w:jc w:val="center"/>
        <w:outlineLvl w:val="1"/>
        <w:rPr>
          <w:rFonts w:asciiTheme="minorEastAsia" w:hAnsiTheme="minorEastAsia" w:eastAsiaTheme="minorEastAsia"/>
          <w:b/>
          <w:color w:val="auto"/>
          <w:sz w:val="24"/>
          <w:highlight w:val="none"/>
        </w:rPr>
      </w:pPr>
      <w:bookmarkStart w:id="220" w:name="_Toc28960"/>
      <w:bookmarkStart w:id="221" w:name="_Toc17986"/>
      <w:r>
        <w:rPr>
          <w:rFonts w:hint="eastAsia" w:asciiTheme="minorEastAsia" w:hAnsiTheme="minorEastAsia" w:eastAsiaTheme="minorEastAsia"/>
          <w:b/>
          <w:color w:val="auto"/>
          <w:sz w:val="24"/>
          <w:highlight w:val="none"/>
        </w:rPr>
        <w:t>一、开标一览表</w:t>
      </w:r>
      <w:bookmarkEnd w:id="220"/>
      <w:bookmarkEnd w:id="221"/>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0098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352" w:type="pct"/>
            <w:tcBorders>
              <w:top w:val="single" w:color="auto" w:sz="4" w:space="0"/>
              <w:bottom w:val="single" w:color="auto" w:sz="4" w:space="0"/>
              <w:right w:val="single" w:color="auto" w:sz="4" w:space="0"/>
            </w:tcBorders>
            <w:vAlign w:val="center"/>
          </w:tcPr>
          <w:p w14:paraId="2186B710">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62ED8632">
            <w:pPr>
              <w:spacing w:line="360" w:lineRule="exact"/>
              <w:jc w:val="center"/>
              <w:rPr>
                <w:rFonts w:asciiTheme="minorEastAsia" w:hAnsiTheme="minorEastAsia" w:eastAsiaTheme="minorEastAsia"/>
                <w:bCs/>
                <w:color w:val="auto"/>
                <w:sz w:val="24"/>
                <w:highlight w:val="none"/>
                <w:u w:val="single"/>
              </w:rPr>
            </w:pPr>
          </w:p>
        </w:tc>
      </w:tr>
      <w:tr w14:paraId="4953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4B9028C7">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648E5C20">
            <w:pPr>
              <w:spacing w:line="360" w:lineRule="auto"/>
              <w:rPr>
                <w:rFonts w:asciiTheme="minorEastAsia" w:hAnsiTheme="minorEastAsia" w:eastAsiaTheme="minorEastAsia"/>
                <w:color w:val="auto"/>
                <w:sz w:val="24"/>
                <w:highlight w:val="none"/>
              </w:rPr>
            </w:pPr>
          </w:p>
        </w:tc>
      </w:tr>
      <w:tr w14:paraId="5BA0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4365F4B6">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21570E20">
            <w:pPr>
              <w:keepNext w:val="0"/>
              <w:keepLines w:val="0"/>
              <w:pageBreakBefore w:val="0"/>
              <w:widowControl/>
              <w:kinsoku/>
              <w:wordWrap/>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2096B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898225B">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w:t>
            </w:r>
            <w:r>
              <w:rPr>
                <w:rFonts w:hint="eastAsia" w:asciiTheme="minorEastAsia" w:hAnsiTheme="minorEastAsia" w:eastAsiaTheme="minorEastAsia"/>
                <w:b/>
                <w:color w:val="auto"/>
                <w:sz w:val="24"/>
                <w:highlight w:val="none"/>
                <w:lang w:val="en-US" w:eastAsia="zh-CN"/>
              </w:rPr>
              <w:t>单价</w:t>
            </w:r>
            <w:r>
              <w:rPr>
                <w:rFonts w:hint="eastAsia" w:asciiTheme="minorEastAsia" w:hAnsiTheme="minorEastAsia" w:eastAsiaTheme="minorEastAsia"/>
                <w:b/>
                <w:color w:val="auto"/>
                <w:sz w:val="24"/>
                <w:highlight w:val="none"/>
              </w:rPr>
              <w:t>报价</w:t>
            </w:r>
          </w:p>
        </w:tc>
        <w:tc>
          <w:tcPr>
            <w:tcW w:w="3648" w:type="pct"/>
            <w:tcBorders>
              <w:top w:val="nil"/>
            </w:tcBorders>
            <w:vAlign w:val="center"/>
          </w:tcPr>
          <w:p w14:paraId="229A9D61">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lang w:val="en-US" w:eastAsia="zh-CN"/>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lang w:val="en-US" w:eastAsia="zh-CN"/>
              </w:rPr>
              <w:t>每年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none"/>
                <w:lang w:val="en-US" w:eastAsia="zh-CN"/>
              </w:rPr>
              <w:t>元</w:t>
            </w:r>
          </w:p>
          <w:p w14:paraId="1164C4E7">
            <w:pPr>
              <w:keepNext w:val="0"/>
              <w:keepLines w:val="0"/>
              <w:pageBreakBefore w:val="0"/>
              <w:kinsoku/>
              <w:wordWrap/>
              <w:overflowPunct/>
              <w:topLinePunct w:val="0"/>
              <w:autoSpaceDE/>
              <w:autoSpaceDN/>
              <w:bidi w:val="0"/>
              <w:adjustRightInd/>
              <w:spacing w:line="360" w:lineRule="auto"/>
              <w:ind w:right="-670"/>
              <w:textAlignment w:val="auto"/>
              <w:rPr>
                <w:rFonts w:hint="eastAsia" w:eastAsia="宋体" w:asciiTheme="minorEastAsia" w:hAnsiTheme="minorEastAsia"/>
                <w:color w:val="auto"/>
                <w:sz w:val="24"/>
                <w:highlight w:val="none"/>
                <w:lang w:val="en-US" w:eastAsia="zh-CN"/>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color w:val="auto"/>
                <w:sz w:val="28"/>
                <w:szCs w:val="28"/>
                <w:highlight w:val="none"/>
                <w:lang w:val="en-US" w:eastAsia="zh-CN"/>
              </w:rPr>
              <w:t>元/年</w:t>
            </w:r>
          </w:p>
        </w:tc>
      </w:tr>
      <w:tr w14:paraId="06CC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16EC10B8">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0EEA2950">
            <w:pPr>
              <w:spacing w:line="360" w:lineRule="auto"/>
              <w:jc w:val="left"/>
              <w:rPr>
                <w:rFonts w:asciiTheme="minorEastAsia" w:hAnsiTheme="minorEastAsia" w:eastAsiaTheme="minorEastAsia"/>
                <w:color w:val="auto"/>
                <w:sz w:val="24"/>
                <w:szCs w:val="28"/>
                <w:highlight w:val="none"/>
              </w:rPr>
            </w:pPr>
          </w:p>
        </w:tc>
      </w:tr>
    </w:tbl>
    <w:p w14:paraId="5BFC090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B47CAA6">
      <w:pPr>
        <w:tabs>
          <w:tab w:val="left" w:pos="630"/>
        </w:tabs>
        <w:spacing w:line="360" w:lineRule="auto"/>
        <w:ind w:firstLine="4800" w:firstLineChars="20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43FB42AC">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1B6B2A0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0B73601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38CA1BD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575F995C">
      <w:pPr>
        <w:spacing w:line="360" w:lineRule="auto"/>
        <w:jc w:val="center"/>
        <w:outlineLvl w:val="1"/>
        <w:rPr>
          <w:rFonts w:asciiTheme="minorEastAsia" w:hAnsiTheme="minorEastAsia" w:eastAsiaTheme="minorEastAsia"/>
          <w:b/>
          <w:color w:val="auto"/>
          <w:sz w:val="24"/>
          <w:highlight w:val="none"/>
        </w:rPr>
      </w:pPr>
      <w:bookmarkStart w:id="222" w:name="_Toc6441"/>
      <w:bookmarkStart w:id="223" w:name="_Toc6120"/>
      <w:r>
        <w:rPr>
          <w:rFonts w:hint="eastAsia" w:asciiTheme="minorEastAsia" w:hAnsiTheme="minorEastAsia" w:eastAsiaTheme="minorEastAsia"/>
          <w:b/>
          <w:color w:val="auto"/>
          <w:sz w:val="24"/>
          <w:highlight w:val="none"/>
        </w:rPr>
        <w:t>二、投标函</w:t>
      </w:r>
      <w:bookmarkEnd w:id="222"/>
      <w:bookmarkEnd w:id="223"/>
    </w:p>
    <w:p w14:paraId="6EE30C75">
      <w:pPr>
        <w:pStyle w:val="15"/>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4AC6C4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5A1F23B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60E4546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6BA7CE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4D7960A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1B87BCCD">
      <w:pPr>
        <w:spacing w:line="360" w:lineRule="auto"/>
        <w:ind w:firstLine="4800" w:firstLineChars="2000"/>
        <w:rPr>
          <w:rFonts w:ascii="宋体" w:hAnsi="宋体" w:eastAsia="宋体"/>
          <w:color w:val="auto"/>
          <w:sz w:val="24"/>
          <w:highlight w:val="none"/>
        </w:rPr>
      </w:pPr>
    </w:p>
    <w:p w14:paraId="32F93F43">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65BDB70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3A071C0E">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130C562D">
      <w:pPr>
        <w:spacing w:line="360" w:lineRule="auto"/>
        <w:jc w:val="center"/>
        <w:outlineLvl w:val="1"/>
        <w:rPr>
          <w:rFonts w:hint="eastAsia" w:asciiTheme="minorEastAsia" w:hAnsiTheme="minorEastAsia" w:eastAsiaTheme="minorEastAsia"/>
          <w:b/>
          <w:color w:val="auto"/>
          <w:sz w:val="24"/>
          <w:highlight w:val="none"/>
        </w:rPr>
      </w:pPr>
      <w:bookmarkStart w:id="224" w:name="_Toc18881"/>
      <w:r>
        <w:rPr>
          <w:rFonts w:hint="eastAsia" w:asciiTheme="minorEastAsia" w:hAnsiTheme="minorEastAsia" w:eastAsiaTheme="minorEastAsia"/>
          <w:b/>
          <w:color w:val="auto"/>
          <w:sz w:val="24"/>
          <w:highlight w:val="none"/>
          <w:lang w:val="en-US" w:eastAsia="zh-CN"/>
        </w:rPr>
        <w:t>三．投标人资格声明书</w:t>
      </w:r>
      <w:bookmarkEnd w:id="224"/>
      <w:r>
        <w:rPr>
          <w:rFonts w:hint="eastAsia" w:asciiTheme="minorEastAsia" w:hAnsiTheme="minorEastAsia" w:eastAsiaTheme="minorEastAsia"/>
          <w:b/>
          <w:color w:val="auto"/>
          <w:sz w:val="24"/>
          <w:highlight w:val="none"/>
          <w:lang w:val="en-US" w:eastAsia="zh-CN"/>
        </w:rPr>
        <w:t xml:space="preserve"> </w:t>
      </w:r>
    </w:p>
    <w:p w14:paraId="2DE3D358">
      <w:pPr>
        <w:pStyle w:val="15"/>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3649974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380FB8C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4983173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25D7741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158FBB5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057912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 xml:space="preserve">（五）我单位不属于政府采购法律、行政法规规定的公益一类事业单位、或使用事业编制且由财政拨款保障的群团组织（仅适用于政府购买服务项目）； </w:t>
      </w:r>
    </w:p>
    <w:p w14:paraId="6C0B82D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（六）我单位不存在为采购项目提供整体设计、规范编制或者项目管理、监理、检测等服务后，再参加该采购项目的其他采购活动的情形（单一来源采购项目除外）；</w:t>
      </w:r>
    </w:p>
    <w:p w14:paraId="050C83E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（七）与我单位存在单位负责人为同一人或者存在直接控股、管理关系的其他法人单位信息如下（如有，不论其是否参加同一合同项下的政府采购活动均须填写）：</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4F820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BEF53C6">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60F6205F">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30F33CFC">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4C359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0B4611D">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0245A387">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089F7AA1">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5123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4A33840">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4E1EBD5B">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11986B2B">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3AD86B5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0883B07D">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5E57D513">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5DD37091">
      <w:pPr>
        <w:rPr>
          <w:rFonts w:hint="eastAsia" w:asciiTheme="minorEastAsia" w:hAnsiTheme="minorEastAsia" w:eastAsiaTheme="minorEastAsia"/>
          <w:b/>
          <w:color w:val="auto"/>
          <w:sz w:val="24"/>
          <w:highlight w:val="none"/>
        </w:rPr>
      </w:pPr>
      <w:bookmarkStart w:id="225" w:name="_Toc11607"/>
      <w:r>
        <w:rPr>
          <w:rFonts w:hint="eastAsia" w:asciiTheme="minorEastAsia" w:hAnsiTheme="minorEastAsia" w:eastAsiaTheme="minorEastAsia"/>
          <w:b/>
          <w:color w:val="auto"/>
          <w:sz w:val="24"/>
          <w:highlight w:val="none"/>
        </w:rPr>
        <w:br w:type="page"/>
      </w:r>
    </w:p>
    <w:p w14:paraId="2608ED54">
      <w:pPr>
        <w:spacing w:line="360" w:lineRule="auto"/>
        <w:jc w:val="center"/>
        <w:outlineLvl w:val="1"/>
        <w:rPr>
          <w:rFonts w:asciiTheme="minorEastAsia" w:hAnsiTheme="minorEastAsia" w:eastAsiaTheme="minorEastAsia"/>
          <w:b/>
          <w:color w:val="auto"/>
          <w:sz w:val="24"/>
          <w:highlight w:val="none"/>
        </w:rPr>
      </w:pPr>
      <w:bookmarkStart w:id="226" w:name="_Toc24583"/>
      <w:r>
        <w:rPr>
          <w:rFonts w:hint="eastAsia" w:asciiTheme="minorEastAsia" w:hAnsiTheme="minorEastAsia" w:eastAsiaTheme="minorEastAsia"/>
          <w:b/>
          <w:color w:val="auto"/>
          <w:sz w:val="24"/>
          <w:highlight w:val="none"/>
        </w:rPr>
        <w:t>四、授权书</w:t>
      </w:r>
      <w:bookmarkEnd w:id="225"/>
      <w:bookmarkEnd w:id="226"/>
    </w:p>
    <w:p w14:paraId="59B5AD77">
      <w:pPr>
        <w:pStyle w:val="13"/>
        <w:snapToGrid w:val="0"/>
        <w:spacing w:line="360" w:lineRule="auto"/>
        <w:ind w:firstLine="480" w:firstLineChars="200"/>
        <w:jc w:val="left"/>
        <w:rPr>
          <w:rFonts w:hAnsi="宋体" w:eastAsia="宋体"/>
          <w:color w:val="auto"/>
          <w:sz w:val="24"/>
          <w:szCs w:val="28"/>
          <w:highlight w:val="none"/>
        </w:rPr>
      </w:pPr>
    </w:p>
    <w:p w14:paraId="339D05F9">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240CFDB4">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6EA779B">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6CB61C1D">
      <w:pPr>
        <w:spacing w:line="360" w:lineRule="auto"/>
        <w:ind w:firstLine="435"/>
        <w:rPr>
          <w:rFonts w:asciiTheme="minorEastAsia" w:hAnsiTheme="minorEastAsia" w:eastAsiaTheme="minorEastAsia"/>
          <w:color w:val="auto"/>
          <w:sz w:val="24"/>
          <w:highlight w:val="none"/>
        </w:rPr>
      </w:pPr>
    </w:p>
    <w:p w14:paraId="10433D13">
      <w:pPr>
        <w:spacing w:line="360" w:lineRule="auto"/>
        <w:ind w:firstLine="435"/>
        <w:rPr>
          <w:rFonts w:asciiTheme="minorEastAsia" w:hAnsiTheme="minorEastAsia" w:eastAsiaTheme="minorEastAsia"/>
          <w:color w:val="auto"/>
          <w:sz w:val="24"/>
          <w:highlight w:val="none"/>
        </w:rPr>
      </w:pPr>
    </w:p>
    <w:p w14:paraId="363E9BB4">
      <w:pPr>
        <w:spacing w:line="360" w:lineRule="auto"/>
        <w:ind w:firstLine="435"/>
        <w:rPr>
          <w:rFonts w:asciiTheme="minorEastAsia" w:hAnsiTheme="minorEastAsia" w:eastAsiaTheme="minorEastAsia"/>
          <w:color w:val="auto"/>
          <w:sz w:val="24"/>
          <w:highlight w:val="none"/>
        </w:rPr>
      </w:pPr>
    </w:p>
    <w:p w14:paraId="37282361">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14DD36C2">
      <w:pPr>
        <w:spacing w:line="360" w:lineRule="auto"/>
        <w:ind w:firstLine="435"/>
        <w:rPr>
          <w:rFonts w:hAnsi="宋体" w:eastAsia="宋体"/>
          <w:color w:val="auto"/>
          <w:sz w:val="24"/>
          <w:szCs w:val="28"/>
          <w:highlight w:val="none"/>
          <w:lang w:val="zh-CN"/>
        </w:rPr>
      </w:pPr>
    </w:p>
    <w:p w14:paraId="3B2292A7">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7BA59ACE">
      <w:pPr>
        <w:spacing w:line="360" w:lineRule="auto"/>
        <w:rPr>
          <w:rFonts w:ascii="宋体" w:hAnsi="宋体" w:eastAsia="宋体"/>
          <w:color w:val="auto"/>
          <w:sz w:val="24"/>
          <w:szCs w:val="28"/>
          <w:highlight w:val="none"/>
        </w:rPr>
      </w:pPr>
    </w:p>
    <w:p w14:paraId="4D5F5FE5">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823F3A9">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2E66AEC0">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034816D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5F30ECA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1D40B6A8">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66899288">
      <w:pPr>
        <w:spacing w:line="360" w:lineRule="auto"/>
        <w:jc w:val="center"/>
        <w:outlineLvl w:val="1"/>
        <w:rPr>
          <w:rFonts w:hint="eastAsia" w:ascii="宋体" w:hAnsi="宋体" w:eastAsia="宋体" w:cs="宋体"/>
          <w:b/>
          <w:color w:val="auto"/>
          <w:sz w:val="24"/>
          <w:highlight w:val="none"/>
        </w:rPr>
      </w:pPr>
      <w:bookmarkStart w:id="227" w:name="_Toc32226"/>
      <w:bookmarkStart w:id="228" w:name="_Toc31027"/>
      <w:r>
        <w:rPr>
          <w:rFonts w:hint="eastAsia" w:asciiTheme="minorEastAsia" w:hAnsiTheme="minorEastAsia" w:eastAsiaTheme="minorEastAsia"/>
          <w:b/>
          <w:color w:val="auto"/>
          <w:sz w:val="24"/>
          <w:highlight w:val="none"/>
        </w:rPr>
        <w:t>五、</w:t>
      </w:r>
      <w:r>
        <w:rPr>
          <w:rFonts w:hint="eastAsia" w:ascii="宋体" w:hAnsi="宋体" w:eastAsia="宋体" w:cs="宋体"/>
          <w:b/>
          <w:color w:val="auto"/>
          <w:sz w:val="24"/>
          <w:highlight w:val="none"/>
        </w:rPr>
        <w:t>诚信投标承诺书</w:t>
      </w:r>
    </w:p>
    <w:p w14:paraId="408F1419">
      <w:pPr>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本人以企业法定代表人的身份郑重承诺：</w:t>
      </w:r>
    </w:p>
    <w:p w14:paraId="2CEAB3DA">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一、将遵循公开、公正和诚实信用的原则自愿参加项目的投标，所提供的一切材料都是真实、有效、合法的；</w:t>
      </w:r>
    </w:p>
    <w:p w14:paraId="75745FE8">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336619CF">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三、不出借、转让资质证书，不让他人挂靠投标，不以他人名义投标或者以其他方式弄虚作假，骗取中标；</w:t>
      </w:r>
    </w:p>
    <w:p w14:paraId="1A938B54">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四、不与其他投标人相互串通投标报价，不排挤其他投标人的公平竞争、损害招标人的合法权益；</w:t>
      </w:r>
    </w:p>
    <w:p w14:paraId="0BBD119E">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五、不与招标人、招标代理机构或其他投标人串通投标，损害国家利益、社会公共利益或者他人的合法权益；</w:t>
      </w:r>
    </w:p>
    <w:p w14:paraId="7C5B77BE">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w:t>
      </w:r>
      <w:r>
        <w:rPr>
          <w:rFonts w:hint="eastAsia" w:ascii="宋体" w:hAnsi="宋体" w:eastAsia="宋体" w:cs="宋体"/>
          <w:color w:val="auto"/>
          <w:kern w:val="2"/>
          <w:sz w:val="21"/>
          <w:szCs w:val="21"/>
          <w:highlight w:val="none"/>
          <w:u w:val="single"/>
          <w:lang w:val="en-US" w:eastAsia="zh-CN" w:bidi="ar"/>
        </w:rPr>
        <w:t>（企业名称）</w:t>
      </w:r>
      <w:r>
        <w:rPr>
          <w:rFonts w:hint="eastAsia" w:ascii="宋体" w:hAnsi="宋体" w:eastAsia="宋体" w:cs="宋体"/>
          <w:color w:val="auto"/>
          <w:kern w:val="2"/>
          <w:sz w:val="21"/>
          <w:szCs w:val="21"/>
          <w:highlight w:val="none"/>
          <w:lang w:val="en-US" w:eastAsia="zh-CN" w:bidi="ar"/>
        </w:rPr>
        <w:t>或</w:t>
      </w:r>
      <w:r>
        <w:rPr>
          <w:rFonts w:hint="eastAsia" w:ascii="宋体" w:hAnsi="宋体" w:eastAsia="宋体" w:cs="宋体"/>
          <w:color w:val="auto"/>
          <w:kern w:val="2"/>
          <w:sz w:val="21"/>
          <w:szCs w:val="21"/>
          <w:highlight w:val="none"/>
          <w:u w:val="single"/>
          <w:lang w:val="en-US" w:eastAsia="zh-CN" w:bidi="ar"/>
        </w:rPr>
        <w:t>（企业名称）</w:t>
      </w:r>
      <w:r>
        <w:rPr>
          <w:rFonts w:hint="eastAsia" w:ascii="宋体" w:hAnsi="宋体" w:eastAsia="宋体" w:cs="宋体"/>
          <w:color w:val="auto"/>
          <w:kern w:val="2"/>
          <w:sz w:val="21"/>
          <w:szCs w:val="21"/>
          <w:highlight w:val="none"/>
          <w:lang w:val="en-US" w:eastAsia="zh-CN" w:bidi="ar"/>
        </w:rPr>
        <w:t>法定代表人或拟派项目经理（负责人）没有下列情形：①被列入“信用中国”网站“失信被执行人”的；②被列入“信用中国”网站“重大税收违法失信主体”的；③被列入“信用中国”网站“严重失信主体名单”的；④在“信用中国”网站上披露的仍在公示期的严重失信行为(具体行为类别及判定依据见“信用中国”查询的严重失信行为类别及判定依据)的。⑤被列入国家企业信用信息公示系统网站“经营异常名录”或者“严重违法失信名单”的。⑥被列入中国政府采购网站“政府采购严重违法失信行为信息记录”的。⑦前三年有行贿犯罪行为的单位和个人。（若采购文件对投标人所属分公司、办事处等分支机构有上述1-7项信誉要求，在此一并承诺我公司所属分公司、办事处等分支机构没有上述1-7项情形）</w:t>
      </w:r>
    </w:p>
    <w:p w14:paraId="3D940493">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七</w:t>
      </w:r>
      <w:r>
        <w:rPr>
          <w:rFonts w:hint="eastAsia" w:ascii="宋体" w:hAnsi="宋体" w:eastAsia="宋体" w:cs="宋体"/>
          <w:color w:val="auto"/>
          <w:szCs w:val="21"/>
          <w:highlight w:val="none"/>
        </w:rPr>
        <w:t>、严格遵守开标现场纪律，服从监管人员管理；</w:t>
      </w:r>
    </w:p>
    <w:p w14:paraId="283C5710">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八</w:t>
      </w:r>
      <w:r>
        <w:rPr>
          <w:rFonts w:hint="eastAsia" w:ascii="宋体" w:hAnsi="宋体" w:eastAsia="宋体" w:cs="宋体"/>
          <w:color w:val="auto"/>
          <w:szCs w:val="21"/>
          <w:highlight w:val="none"/>
        </w:rPr>
        <w:t>、保证中标后不转包，若有分包征得招标人同意；</w:t>
      </w:r>
    </w:p>
    <w:p w14:paraId="34ACE3BB">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九</w:t>
      </w:r>
      <w:r>
        <w:rPr>
          <w:rFonts w:hint="eastAsia" w:ascii="宋体" w:hAnsi="宋体" w:eastAsia="宋体" w:cs="宋体"/>
          <w:color w:val="auto"/>
          <w:szCs w:val="21"/>
          <w:highlight w:val="none"/>
        </w:rPr>
        <w:t>、保证中标之后，按照投标文件要求提供相关后续服务；</w:t>
      </w:r>
    </w:p>
    <w:p w14:paraId="44A396B3">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十、保证企业及所属相关人员在本次投标中无行贿等犯罪行为；</w:t>
      </w:r>
    </w:p>
    <w:p w14:paraId="24F1C4FB">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445A2B1D">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以上内容我已仔细阅读，本公司若有违反承诺内容的行为，自愿接受取消投标或者中标资格、记入不良行为记录等有关处理，愿意承担法律责任，给招标人造成损失的，依法承担赔偿责任。</w:t>
      </w:r>
    </w:p>
    <w:p w14:paraId="286B597E">
      <w:pPr>
        <w:spacing w:line="500" w:lineRule="exact"/>
        <w:ind w:firstLine="420" w:firstLineChars="200"/>
        <w:rPr>
          <w:rFonts w:hint="eastAsia" w:ascii="宋体" w:hAnsi="宋体" w:eastAsia="宋体" w:cs="宋体"/>
          <w:color w:val="auto"/>
          <w:szCs w:val="21"/>
          <w:highlight w:val="none"/>
          <w:lang w:eastAsia="zh-CN"/>
        </w:rPr>
      </w:pPr>
    </w:p>
    <w:p w14:paraId="5EC2038B">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开户银行：基本账户：</w:t>
      </w:r>
    </w:p>
    <w:p w14:paraId="61F41790">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投标单位（签章）：法定代表人（签章）：</w:t>
      </w:r>
    </w:p>
    <w:p w14:paraId="0006B79B">
      <w:pPr>
        <w:spacing w:line="500" w:lineRule="exact"/>
        <w:ind w:firstLine="420" w:firstLineChars="200"/>
        <w:rPr>
          <w:rFonts w:hint="eastAsia" w:ascii="宋体" w:hAnsi="宋体" w:eastAsia="宋体" w:cs="宋体"/>
          <w:color w:val="auto"/>
          <w:szCs w:val="21"/>
          <w:highlight w:val="none"/>
          <w:lang w:eastAsia="zh-CN"/>
        </w:rPr>
      </w:pPr>
    </w:p>
    <w:p w14:paraId="435F2E67">
      <w:pPr>
        <w:widowControl/>
        <w:jc w:val="right"/>
        <w:rPr>
          <w:rFonts w:hint="eastAsia" w:ascii="宋体" w:hAnsi="宋体" w:eastAsia="宋体" w:cs="宋体"/>
          <w:b/>
          <w:color w:val="auto"/>
          <w:sz w:val="28"/>
          <w:highlight w:val="none"/>
          <w:lang w:val="en-US" w:eastAsia="zh-CN"/>
        </w:rPr>
      </w:pPr>
      <w:r>
        <w:rPr>
          <w:rFonts w:hint="eastAsia" w:ascii="宋体" w:hAnsi="宋体" w:eastAsia="宋体" w:cs="宋体"/>
          <w:color w:val="auto"/>
          <w:szCs w:val="21"/>
          <w:highlight w:val="none"/>
        </w:rPr>
        <w:t>日期：年月</w:t>
      </w:r>
      <w:r>
        <w:rPr>
          <w:rFonts w:hint="eastAsia" w:ascii="宋体" w:hAnsi="宋体" w:eastAsia="宋体" w:cs="宋体"/>
          <w:color w:val="auto"/>
          <w:szCs w:val="21"/>
          <w:highlight w:val="none"/>
          <w:lang w:val="en-US" w:eastAsia="zh-CN"/>
        </w:rPr>
        <w:t>日</w:t>
      </w:r>
    </w:p>
    <w:p w14:paraId="5093B73B">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17541BFD">
      <w:pPr>
        <w:spacing w:line="360" w:lineRule="auto"/>
        <w:jc w:val="center"/>
        <w:outlineLvl w:val="1"/>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val="en-US" w:eastAsia="zh-CN"/>
        </w:rPr>
        <w:t>六、</w:t>
      </w:r>
      <w:r>
        <w:rPr>
          <w:rFonts w:hint="eastAsia" w:asciiTheme="minorEastAsia" w:hAnsiTheme="minorEastAsia" w:eastAsiaTheme="minorEastAsia"/>
          <w:b/>
          <w:color w:val="auto"/>
          <w:sz w:val="24"/>
          <w:highlight w:val="none"/>
        </w:rPr>
        <w:t>投标分项报价表</w:t>
      </w:r>
      <w:bookmarkEnd w:id="227"/>
      <w:bookmarkEnd w:id="228"/>
    </w:p>
    <w:p w14:paraId="00E9A88E">
      <w:pPr>
        <w:pStyle w:val="54"/>
        <w:jc w:val="left"/>
        <w:rPr>
          <w:rFonts w:hint="default" w:ascii="宋体" w:hAnsi="宋体" w:eastAsia="宋体"/>
          <w:b/>
          <w:bCs/>
          <w:color w:val="auto"/>
          <w:highlight w:val="none"/>
          <w:lang w:val="en-US" w:eastAsia="zh-CN"/>
        </w:rPr>
      </w:pPr>
      <w:r>
        <w:rPr>
          <w:rFonts w:hint="eastAsia" w:ascii="宋体" w:hAnsi="宋体" w:eastAsia="宋体"/>
          <w:b/>
          <w:bCs/>
          <w:color w:val="auto"/>
          <w:highlight w:val="none"/>
          <w:lang w:val="en-US" w:eastAsia="zh-CN"/>
        </w:rPr>
        <w:t>5-1货物部分</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323"/>
        <w:gridCol w:w="1316"/>
        <w:gridCol w:w="1316"/>
        <w:gridCol w:w="672"/>
        <w:gridCol w:w="672"/>
        <w:gridCol w:w="940"/>
        <w:gridCol w:w="940"/>
        <w:gridCol w:w="670"/>
      </w:tblGrid>
      <w:tr w14:paraId="7162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2EFC9074">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776" w:type="pct"/>
            <w:noWrap w:val="0"/>
            <w:vAlign w:val="center"/>
          </w:tcPr>
          <w:p w14:paraId="763D24CC">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772" w:type="pct"/>
            <w:noWrap w:val="0"/>
            <w:vAlign w:val="center"/>
          </w:tcPr>
          <w:p w14:paraId="207B5FF7">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68585064">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772" w:type="pct"/>
            <w:noWrap w:val="0"/>
            <w:vAlign w:val="center"/>
          </w:tcPr>
          <w:p w14:paraId="18447435">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598CEE7A">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394" w:type="pct"/>
            <w:noWrap w:val="0"/>
            <w:vAlign w:val="center"/>
          </w:tcPr>
          <w:p w14:paraId="3B9DCA38">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394" w:type="pct"/>
            <w:noWrap w:val="0"/>
            <w:vAlign w:val="center"/>
          </w:tcPr>
          <w:p w14:paraId="05586257">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551" w:type="pct"/>
            <w:noWrap w:val="0"/>
            <w:vAlign w:val="center"/>
          </w:tcPr>
          <w:p w14:paraId="190170C2">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5B556632">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551" w:type="pct"/>
            <w:noWrap w:val="0"/>
            <w:vAlign w:val="center"/>
          </w:tcPr>
          <w:p w14:paraId="6BC6009D">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16195B52">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393" w:type="pct"/>
            <w:noWrap w:val="0"/>
            <w:vAlign w:val="center"/>
          </w:tcPr>
          <w:p w14:paraId="36B58B8C">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67040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55BDFB46">
            <w:pPr>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776" w:type="pct"/>
            <w:noWrap w:val="0"/>
            <w:vAlign w:val="top"/>
          </w:tcPr>
          <w:p w14:paraId="393959AB">
            <w:pPr>
              <w:rPr>
                <w:rFonts w:ascii="宋体" w:hAnsi="宋体" w:eastAsia="宋体"/>
                <w:color w:val="auto"/>
                <w:sz w:val="24"/>
                <w:highlight w:val="none"/>
              </w:rPr>
            </w:pPr>
          </w:p>
        </w:tc>
        <w:tc>
          <w:tcPr>
            <w:tcW w:w="772" w:type="pct"/>
            <w:noWrap w:val="0"/>
            <w:vAlign w:val="top"/>
          </w:tcPr>
          <w:p w14:paraId="0326F276">
            <w:pPr>
              <w:rPr>
                <w:rFonts w:ascii="宋体" w:hAnsi="宋体" w:eastAsia="宋体"/>
                <w:color w:val="auto"/>
                <w:sz w:val="24"/>
                <w:highlight w:val="none"/>
              </w:rPr>
            </w:pPr>
          </w:p>
        </w:tc>
        <w:tc>
          <w:tcPr>
            <w:tcW w:w="772" w:type="pct"/>
            <w:noWrap w:val="0"/>
            <w:vAlign w:val="top"/>
          </w:tcPr>
          <w:p w14:paraId="61BDC6A3">
            <w:pPr>
              <w:rPr>
                <w:rFonts w:ascii="宋体" w:hAnsi="宋体" w:eastAsia="宋体"/>
                <w:color w:val="auto"/>
                <w:sz w:val="24"/>
                <w:highlight w:val="none"/>
              </w:rPr>
            </w:pPr>
          </w:p>
        </w:tc>
        <w:tc>
          <w:tcPr>
            <w:tcW w:w="394" w:type="pct"/>
            <w:noWrap w:val="0"/>
            <w:vAlign w:val="top"/>
          </w:tcPr>
          <w:p w14:paraId="39626081">
            <w:pPr>
              <w:rPr>
                <w:rFonts w:ascii="宋体" w:hAnsi="宋体" w:eastAsia="宋体"/>
                <w:color w:val="auto"/>
                <w:sz w:val="24"/>
                <w:highlight w:val="none"/>
              </w:rPr>
            </w:pPr>
          </w:p>
        </w:tc>
        <w:tc>
          <w:tcPr>
            <w:tcW w:w="394" w:type="pct"/>
            <w:noWrap w:val="0"/>
            <w:vAlign w:val="top"/>
          </w:tcPr>
          <w:p w14:paraId="695FA1F6">
            <w:pPr>
              <w:rPr>
                <w:rFonts w:ascii="宋体" w:hAnsi="宋体" w:eastAsia="宋体"/>
                <w:color w:val="auto"/>
                <w:sz w:val="24"/>
                <w:highlight w:val="none"/>
              </w:rPr>
            </w:pPr>
          </w:p>
        </w:tc>
        <w:tc>
          <w:tcPr>
            <w:tcW w:w="551" w:type="pct"/>
            <w:noWrap w:val="0"/>
            <w:vAlign w:val="top"/>
          </w:tcPr>
          <w:p w14:paraId="5F237D89">
            <w:pPr>
              <w:rPr>
                <w:rFonts w:ascii="宋体" w:hAnsi="宋体" w:eastAsia="宋体"/>
                <w:color w:val="auto"/>
                <w:sz w:val="24"/>
                <w:highlight w:val="none"/>
              </w:rPr>
            </w:pPr>
          </w:p>
        </w:tc>
        <w:tc>
          <w:tcPr>
            <w:tcW w:w="551" w:type="pct"/>
            <w:noWrap w:val="0"/>
            <w:vAlign w:val="top"/>
          </w:tcPr>
          <w:p w14:paraId="32658EF0">
            <w:pPr>
              <w:rPr>
                <w:rFonts w:ascii="宋体" w:hAnsi="宋体" w:eastAsia="宋体"/>
                <w:color w:val="auto"/>
                <w:sz w:val="24"/>
                <w:highlight w:val="none"/>
              </w:rPr>
            </w:pPr>
          </w:p>
        </w:tc>
        <w:tc>
          <w:tcPr>
            <w:tcW w:w="393" w:type="pct"/>
            <w:noWrap w:val="0"/>
            <w:vAlign w:val="top"/>
          </w:tcPr>
          <w:p w14:paraId="318C3301">
            <w:pPr>
              <w:rPr>
                <w:rFonts w:ascii="宋体" w:hAnsi="宋体" w:eastAsia="宋体"/>
                <w:color w:val="auto"/>
                <w:sz w:val="24"/>
                <w:highlight w:val="none"/>
              </w:rPr>
            </w:pPr>
          </w:p>
        </w:tc>
      </w:tr>
      <w:tr w14:paraId="1483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3D619128">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776" w:type="pct"/>
            <w:noWrap w:val="0"/>
            <w:vAlign w:val="top"/>
          </w:tcPr>
          <w:p w14:paraId="0082B46D">
            <w:pPr>
              <w:rPr>
                <w:rFonts w:ascii="宋体" w:hAnsi="宋体" w:eastAsia="宋体"/>
                <w:color w:val="auto"/>
                <w:sz w:val="24"/>
                <w:highlight w:val="none"/>
              </w:rPr>
            </w:pPr>
          </w:p>
        </w:tc>
        <w:tc>
          <w:tcPr>
            <w:tcW w:w="772" w:type="pct"/>
            <w:noWrap w:val="0"/>
            <w:vAlign w:val="top"/>
          </w:tcPr>
          <w:p w14:paraId="53C5DDB6">
            <w:pPr>
              <w:rPr>
                <w:rFonts w:ascii="宋体" w:hAnsi="宋体" w:eastAsia="宋体"/>
                <w:color w:val="auto"/>
                <w:sz w:val="24"/>
                <w:highlight w:val="none"/>
              </w:rPr>
            </w:pPr>
          </w:p>
        </w:tc>
        <w:tc>
          <w:tcPr>
            <w:tcW w:w="772" w:type="pct"/>
            <w:noWrap w:val="0"/>
            <w:vAlign w:val="top"/>
          </w:tcPr>
          <w:p w14:paraId="64FFB1D6">
            <w:pPr>
              <w:rPr>
                <w:rFonts w:ascii="宋体" w:hAnsi="宋体" w:eastAsia="宋体"/>
                <w:color w:val="auto"/>
                <w:sz w:val="24"/>
                <w:highlight w:val="none"/>
              </w:rPr>
            </w:pPr>
          </w:p>
        </w:tc>
        <w:tc>
          <w:tcPr>
            <w:tcW w:w="394" w:type="pct"/>
            <w:noWrap w:val="0"/>
            <w:vAlign w:val="top"/>
          </w:tcPr>
          <w:p w14:paraId="3D665543">
            <w:pPr>
              <w:rPr>
                <w:rFonts w:ascii="宋体" w:hAnsi="宋体" w:eastAsia="宋体"/>
                <w:color w:val="auto"/>
                <w:sz w:val="24"/>
                <w:highlight w:val="none"/>
              </w:rPr>
            </w:pPr>
          </w:p>
        </w:tc>
        <w:tc>
          <w:tcPr>
            <w:tcW w:w="394" w:type="pct"/>
            <w:noWrap w:val="0"/>
            <w:vAlign w:val="top"/>
          </w:tcPr>
          <w:p w14:paraId="08138B37">
            <w:pPr>
              <w:rPr>
                <w:rFonts w:ascii="宋体" w:hAnsi="宋体" w:eastAsia="宋体"/>
                <w:color w:val="auto"/>
                <w:sz w:val="24"/>
                <w:highlight w:val="none"/>
              </w:rPr>
            </w:pPr>
          </w:p>
        </w:tc>
        <w:tc>
          <w:tcPr>
            <w:tcW w:w="551" w:type="pct"/>
            <w:noWrap w:val="0"/>
            <w:vAlign w:val="top"/>
          </w:tcPr>
          <w:p w14:paraId="7BD674D1">
            <w:pPr>
              <w:rPr>
                <w:rFonts w:ascii="宋体" w:hAnsi="宋体" w:eastAsia="宋体"/>
                <w:color w:val="auto"/>
                <w:sz w:val="24"/>
                <w:highlight w:val="none"/>
              </w:rPr>
            </w:pPr>
          </w:p>
        </w:tc>
        <w:tc>
          <w:tcPr>
            <w:tcW w:w="551" w:type="pct"/>
            <w:noWrap w:val="0"/>
            <w:vAlign w:val="top"/>
          </w:tcPr>
          <w:p w14:paraId="3695729B">
            <w:pPr>
              <w:rPr>
                <w:rFonts w:ascii="宋体" w:hAnsi="宋体" w:eastAsia="宋体"/>
                <w:color w:val="auto"/>
                <w:sz w:val="24"/>
                <w:highlight w:val="none"/>
              </w:rPr>
            </w:pPr>
          </w:p>
        </w:tc>
        <w:tc>
          <w:tcPr>
            <w:tcW w:w="393" w:type="pct"/>
            <w:noWrap w:val="0"/>
            <w:vAlign w:val="top"/>
          </w:tcPr>
          <w:p w14:paraId="6218C42F">
            <w:pPr>
              <w:rPr>
                <w:rFonts w:ascii="宋体" w:hAnsi="宋体" w:eastAsia="宋体"/>
                <w:color w:val="auto"/>
                <w:sz w:val="24"/>
                <w:highlight w:val="none"/>
              </w:rPr>
            </w:pPr>
          </w:p>
        </w:tc>
      </w:tr>
      <w:tr w14:paraId="124F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5237DEE3">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776" w:type="pct"/>
            <w:noWrap w:val="0"/>
            <w:vAlign w:val="top"/>
          </w:tcPr>
          <w:p w14:paraId="234BB26C">
            <w:pPr>
              <w:rPr>
                <w:rFonts w:ascii="宋体" w:hAnsi="宋体" w:eastAsia="宋体"/>
                <w:color w:val="auto"/>
                <w:sz w:val="24"/>
                <w:highlight w:val="none"/>
              </w:rPr>
            </w:pPr>
          </w:p>
        </w:tc>
        <w:tc>
          <w:tcPr>
            <w:tcW w:w="772" w:type="pct"/>
            <w:noWrap w:val="0"/>
            <w:vAlign w:val="top"/>
          </w:tcPr>
          <w:p w14:paraId="2FE1BF32">
            <w:pPr>
              <w:rPr>
                <w:rFonts w:ascii="宋体" w:hAnsi="宋体" w:eastAsia="宋体"/>
                <w:color w:val="auto"/>
                <w:sz w:val="24"/>
                <w:highlight w:val="none"/>
              </w:rPr>
            </w:pPr>
          </w:p>
        </w:tc>
        <w:tc>
          <w:tcPr>
            <w:tcW w:w="772" w:type="pct"/>
            <w:noWrap w:val="0"/>
            <w:vAlign w:val="top"/>
          </w:tcPr>
          <w:p w14:paraId="40D062CC">
            <w:pPr>
              <w:rPr>
                <w:rFonts w:ascii="宋体" w:hAnsi="宋体" w:eastAsia="宋体"/>
                <w:color w:val="auto"/>
                <w:sz w:val="24"/>
                <w:highlight w:val="none"/>
              </w:rPr>
            </w:pPr>
          </w:p>
        </w:tc>
        <w:tc>
          <w:tcPr>
            <w:tcW w:w="394" w:type="pct"/>
            <w:noWrap w:val="0"/>
            <w:vAlign w:val="top"/>
          </w:tcPr>
          <w:p w14:paraId="09285763">
            <w:pPr>
              <w:rPr>
                <w:rFonts w:ascii="宋体" w:hAnsi="宋体" w:eastAsia="宋体"/>
                <w:color w:val="auto"/>
                <w:sz w:val="24"/>
                <w:highlight w:val="none"/>
              </w:rPr>
            </w:pPr>
          </w:p>
        </w:tc>
        <w:tc>
          <w:tcPr>
            <w:tcW w:w="394" w:type="pct"/>
            <w:noWrap w:val="0"/>
            <w:vAlign w:val="top"/>
          </w:tcPr>
          <w:p w14:paraId="4168BF26">
            <w:pPr>
              <w:rPr>
                <w:rFonts w:ascii="宋体" w:hAnsi="宋体" w:eastAsia="宋体"/>
                <w:color w:val="auto"/>
                <w:sz w:val="24"/>
                <w:highlight w:val="none"/>
              </w:rPr>
            </w:pPr>
          </w:p>
        </w:tc>
        <w:tc>
          <w:tcPr>
            <w:tcW w:w="551" w:type="pct"/>
            <w:noWrap w:val="0"/>
            <w:vAlign w:val="top"/>
          </w:tcPr>
          <w:p w14:paraId="113DF9A7">
            <w:pPr>
              <w:rPr>
                <w:rFonts w:ascii="宋体" w:hAnsi="宋体" w:eastAsia="宋体"/>
                <w:color w:val="auto"/>
                <w:sz w:val="24"/>
                <w:highlight w:val="none"/>
              </w:rPr>
            </w:pPr>
          </w:p>
        </w:tc>
        <w:tc>
          <w:tcPr>
            <w:tcW w:w="551" w:type="pct"/>
            <w:noWrap w:val="0"/>
            <w:vAlign w:val="top"/>
          </w:tcPr>
          <w:p w14:paraId="50BA374B">
            <w:pPr>
              <w:rPr>
                <w:rFonts w:ascii="宋体" w:hAnsi="宋体" w:eastAsia="宋体"/>
                <w:color w:val="auto"/>
                <w:sz w:val="24"/>
                <w:highlight w:val="none"/>
              </w:rPr>
            </w:pPr>
          </w:p>
        </w:tc>
        <w:tc>
          <w:tcPr>
            <w:tcW w:w="393" w:type="pct"/>
            <w:noWrap w:val="0"/>
            <w:vAlign w:val="top"/>
          </w:tcPr>
          <w:p w14:paraId="4E1E6528">
            <w:pPr>
              <w:rPr>
                <w:rFonts w:ascii="宋体" w:hAnsi="宋体" w:eastAsia="宋体"/>
                <w:color w:val="auto"/>
                <w:sz w:val="24"/>
                <w:highlight w:val="none"/>
              </w:rPr>
            </w:pPr>
          </w:p>
        </w:tc>
      </w:tr>
      <w:tr w14:paraId="0443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05B2CBBC">
            <w:pPr>
              <w:jc w:val="center"/>
              <w:rPr>
                <w:rFonts w:ascii="宋体" w:hAnsi="宋体" w:eastAsia="宋体"/>
                <w:color w:val="auto"/>
                <w:sz w:val="24"/>
                <w:highlight w:val="none"/>
              </w:rPr>
            </w:pPr>
            <w:r>
              <w:rPr>
                <w:rFonts w:hint="eastAsia" w:ascii="宋体" w:hAnsi="宋体" w:eastAsia="宋体"/>
                <w:color w:val="auto"/>
                <w:sz w:val="24"/>
                <w:highlight w:val="none"/>
              </w:rPr>
              <w:t>…</w:t>
            </w:r>
          </w:p>
        </w:tc>
        <w:tc>
          <w:tcPr>
            <w:tcW w:w="776" w:type="pct"/>
            <w:noWrap w:val="0"/>
            <w:vAlign w:val="top"/>
          </w:tcPr>
          <w:p w14:paraId="75434EAE">
            <w:pPr>
              <w:rPr>
                <w:rFonts w:ascii="宋体" w:hAnsi="宋体" w:eastAsia="宋体"/>
                <w:color w:val="auto"/>
                <w:sz w:val="24"/>
                <w:highlight w:val="none"/>
              </w:rPr>
            </w:pPr>
          </w:p>
        </w:tc>
        <w:tc>
          <w:tcPr>
            <w:tcW w:w="772" w:type="pct"/>
            <w:noWrap w:val="0"/>
            <w:vAlign w:val="top"/>
          </w:tcPr>
          <w:p w14:paraId="0BE4087A">
            <w:pPr>
              <w:rPr>
                <w:rFonts w:ascii="宋体" w:hAnsi="宋体" w:eastAsia="宋体"/>
                <w:color w:val="auto"/>
                <w:sz w:val="24"/>
                <w:highlight w:val="none"/>
              </w:rPr>
            </w:pPr>
          </w:p>
        </w:tc>
        <w:tc>
          <w:tcPr>
            <w:tcW w:w="772" w:type="pct"/>
            <w:noWrap w:val="0"/>
            <w:vAlign w:val="top"/>
          </w:tcPr>
          <w:p w14:paraId="7E60CD8F">
            <w:pPr>
              <w:rPr>
                <w:rFonts w:ascii="宋体" w:hAnsi="宋体" w:eastAsia="宋体"/>
                <w:color w:val="auto"/>
                <w:sz w:val="24"/>
                <w:highlight w:val="none"/>
              </w:rPr>
            </w:pPr>
          </w:p>
        </w:tc>
        <w:tc>
          <w:tcPr>
            <w:tcW w:w="394" w:type="pct"/>
            <w:noWrap w:val="0"/>
            <w:vAlign w:val="top"/>
          </w:tcPr>
          <w:p w14:paraId="0F90160C">
            <w:pPr>
              <w:rPr>
                <w:rFonts w:ascii="宋体" w:hAnsi="宋体" w:eastAsia="宋体"/>
                <w:color w:val="auto"/>
                <w:sz w:val="24"/>
                <w:highlight w:val="none"/>
              </w:rPr>
            </w:pPr>
          </w:p>
        </w:tc>
        <w:tc>
          <w:tcPr>
            <w:tcW w:w="394" w:type="pct"/>
            <w:noWrap w:val="0"/>
            <w:vAlign w:val="top"/>
          </w:tcPr>
          <w:p w14:paraId="0199CD2F">
            <w:pPr>
              <w:rPr>
                <w:rFonts w:ascii="宋体" w:hAnsi="宋体" w:eastAsia="宋体"/>
                <w:color w:val="auto"/>
                <w:sz w:val="24"/>
                <w:highlight w:val="none"/>
              </w:rPr>
            </w:pPr>
          </w:p>
        </w:tc>
        <w:tc>
          <w:tcPr>
            <w:tcW w:w="551" w:type="pct"/>
            <w:noWrap w:val="0"/>
            <w:vAlign w:val="top"/>
          </w:tcPr>
          <w:p w14:paraId="5458B74F">
            <w:pPr>
              <w:rPr>
                <w:rFonts w:ascii="宋体" w:hAnsi="宋体" w:eastAsia="宋体"/>
                <w:color w:val="auto"/>
                <w:sz w:val="24"/>
                <w:highlight w:val="none"/>
              </w:rPr>
            </w:pPr>
          </w:p>
        </w:tc>
        <w:tc>
          <w:tcPr>
            <w:tcW w:w="551" w:type="pct"/>
            <w:noWrap w:val="0"/>
            <w:vAlign w:val="top"/>
          </w:tcPr>
          <w:p w14:paraId="6B55A6F7">
            <w:pPr>
              <w:rPr>
                <w:rFonts w:ascii="宋体" w:hAnsi="宋体" w:eastAsia="宋体"/>
                <w:color w:val="auto"/>
                <w:sz w:val="24"/>
                <w:highlight w:val="none"/>
              </w:rPr>
            </w:pPr>
          </w:p>
        </w:tc>
        <w:tc>
          <w:tcPr>
            <w:tcW w:w="393" w:type="pct"/>
            <w:noWrap w:val="0"/>
            <w:vAlign w:val="top"/>
          </w:tcPr>
          <w:p w14:paraId="48005C52">
            <w:pPr>
              <w:rPr>
                <w:rFonts w:ascii="宋体" w:hAnsi="宋体" w:eastAsia="宋体"/>
                <w:color w:val="auto"/>
                <w:sz w:val="24"/>
                <w:highlight w:val="none"/>
              </w:rPr>
            </w:pPr>
          </w:p>
        </w:tc>
      </w:tr>
      <w:tr w14:paraId="39A0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noWrap w:val="0"/>
            <w:vAlign w:val="center"/>
          </w:tcPr>
          <w:p w14:paraId="11FB4891">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945" w:type="pct"/>
            <w:gridSpan w:val="2"/>
            <w:noWrap w:val="0"/>
            <w:vAlign w:val="top"/>
          </w:tcPr>
          <w:p w14:paraId="41F88EC6">
            <w:pPr>
              <w:rPr>
                <w:rFonts w:ascii="宋体" w:hAnsi="宋体" w:eastAsia="宋体"/>
                <w:color w:val="auto"/>
                <w:sz w:val="24"/>
                <w:highlight w:val="none"/>
              </w:rPr>
            </w:pPr>
          </w:p>
        </w:tc>
      </w:tr>
    </w:tbl>
    <w:p w14:paraId="4E485F86">
      <w:pPr>
        <w:pStyle w:val="54"/>
        <w:jc w:val="both"/>
        <w:rPr>
          <w:rFonts w:hint="default" w:ascii="宋体" w:hAnsi="宋体" w:eastAsia="宋体"/>
          <w:b/>
          <w:bCs/>
          <w:i/>
          <w:iCs/>
          <w:color w:val="auto"/>
          <w:highlight w:val="none"/>
          <w:lang w:val="en-US" w:eastAsia="zh-CN"/>
        </w:rPr>
      </w:pPr>
      <w:r>
        <w:rPr>
          <w:rFonts w:hint="eastAsia" w:ascii="宋体" w:hAnsi="宋体" w:eastAsia="宋体"/>
          <w:b/>
          <w:bCs/>
          <w:color w:val="auto"/>
          <w:highlight w:val="none"/>
          <w:lang w:val="en-US" w:eastAsia="zh-CN"/>
        </w:rPr>
        <w:t>5-2服务部分</w:t>
      </w:r>
      <w:r>
        <w:rPr>
          <w:rFonts w:hint="eastAsia" w:ascii="宋体" w:hAnsi="宋体" w:eastAsia="宋体"/>
          <w:b/>
          <w:bCs/>
          <w:i/>
          <w:iCs/>
          <w:color w:val="auto"/>
          <w:highlight w:val="none"/>
        </w:rPr>
        <w:t>（仅供参考，投标人可自行制作格式）</w:t>
      </w:r>
    </w:p>
    <w:tbl>
      <w:tblPr>
        <w:tblStyle w:val="2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7"/>
        <w:gridCol w:w="1698"/>
        <w:gridCol w:w="1566"/>
      </w:tblGrid>
      <w:tr w14:paraId="7C02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56EBC93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1824" w:type="pct"/>
            <w:noWrap w:val="0"/>
            <w:vAlign w:val="center"/>
          </w:tcPr>
          <w:p w14:paraId="7409273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796" w:type="pct"/>
            <w:noWrap w:val="0"/>
            <w:vAlign w:val="center"/>
          </w:tcPr>
          <w:p w14:paraId="0C9AA4F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项</w:t>
            </w:r>
          </w:p>
        </w:tc>
        <w:tc>
          <w:tcPr>
            <w:tcW w:w="996" w:type="pct"/>
            <w:noWrap w:val="0"/>
            <w:vAlign w:val="center"/>
          </w:tcPr>
          <w:p w14:paraId="1441059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919" w:type="pct"/>
            <w:noWrap w:val="0"/>
            <w:vAlign w:val="center"/>
          </w:tcPr>
          <w:p w14:paraId="263570D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小计（元）</w:t>
            </w:r>
          </w:p>
        </w:tc>
      </w:tr>
      <w:tr w14:paraId="1DB87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noWrap w:val="0"/>
            <w:vAlign w:val="center"/>
          </w:tcPr>
          <w:p w14:paraId="3D7C6A7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1</w:t>
            </w:r>
          </w:p>
        </w:tc>
        <w:tc>
          <w:tcPr>
            <w:tcW w:w="1824" w:type="pct"/>
            <w:noWrap w:val="0"/>
            <w:vAlign w:val="center"/>
          </w:tcPr>
          <w:p w14:paraId="2ED7BD1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szCs w:val="24"/>
                <w:highlight w:val="none"/>
              </w:rPr>
            </w:pPr>
          </w:p>
        </w:tc>
        <w:tc>
          <w:tcPr>
            <w:tcW w:w="796" w:type="pct"/>
            <w:noWrap w:val="0"/>
            <w:vAlign w:val="center"/>
          </w:tcPr>
          <w:p w14:paraId="5DA2601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olor w:val="auto"/>
                <w:sz w:val="24"/>
                <w:highlight w:val="none"/>
                <w:lang w:val="en-US" w:eastAsia="zh-CN"/>
              </w:rPr>
            </w:pPr>
          </w:p>
        </w:tc>
        <w:tc>
          <w:tcPr>
            <w:tcW w:w="996" w:type="pct"/>
            <w:noWrap w:val="0"/>
            <w:vAlign w:val="center"/>
          </w:tcPr>
          <w:p w14:paraId="24CFBC9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4A0DCF0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0F6C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4ED06DF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2</w:t>
            </w:r>
          </w:p>
        </w:tc>
        <w:tc>
          <w:tcPr>
            <w:tcW w:w="1824" w:type="pct"/>
            <w:noWrap w:val="0"/>
            <w:vAlign w:val="center"/>
          </w:tcPr>
          <w:p w14:paraId="3F6AB34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szCs w:val="24"/>
                <w:highlight w:val="none"/>
              </w:rPr>
            </w:pPr>
          </w:p>
        </w:tc>
        <w:tc>
          <w:tcPr>
            <w:tcW w:w="796" w:type="pct"/>
            <w:noWrap w:val="0"/>
            <w:vAlign w:val="center"/>
          </w:tcPr>
          <w:p w14:paraId="5A1C03C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olor w:val="auto"/>
                <w:sz w:val="24"/>
                <w:highlight w:val="none"/>
                <w:lang w:val="en-US" w:eastAsia="zh-CN"/>
              </w:rPr>
            </w:pPr>
          </w:p>
        </w:tc>
        <w:tc>
          <w:tcPr>
            <w:tcW w:w="996" w:type="pct"/>
            <w:noWrap w:val="0"/>
            <w:vAlign w:val="center"/>
          </w:tcPr>
          <w:p w14:paraId="4286143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1F9F41A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715B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661F4DF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3</w:t>
            </w:r>
          </w:p>
        </w:tc>
        <w:tc>
          <w:tcPr>
            <w:tcW w:w="1824" w:type="pct"/>
            <w:noWrap w:val="0"/>
            <w:vAlign w:val="center"/>
          </w:tcPr>
          <w:p w14:paraId="2A230F3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szCs w:val="24"/>
                <w:highlight w:val="none"/>
              </w:rPr>
            </w:pPr>
          </w:p>
        </w:tc>
        <w:tc>
          <w:tcPr>
            <w:tcW w:w="796" w:type="pct"/>
            <w:noWrap w:val="0"/>
            <w:vAlign w:val="center"/>
          </w:tcPr>
          <w:p w14:paraId="01341F3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olor w:val="auto"/>
                <w:sz w:val="24"/>
                <w:highlight w:val="none"/>
                <w:lang w:val="en-US" w:eastAsia="zh-CN"/>
              </w:rPr>
            </w:pPr>
          </w:p>
        </w:tc>
        <w:tc>
          <w:tcPr>
            <w:tcW w:w="996" w:type="pct"/>
            <w:noWrap w:val="0"/>
            <w:vAlign w:val="center"/>
          </w:tcPr>
          <w:p w14:paraId="1B4FAEC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2D94875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4D3F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6229B00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ascii="宋体" w:hAnsi="宋体" w:eastAsia="宋体"/>
                <w:color w:val="auto"/>
                <w:sz w:val="24"/>
                <w:highlight w:val="none"/>
              </w:rPr>
              <w:t>…</w:t>
            </w:r>
          </w:p>
        </w:tc>
        <w:tc>
          <w:tcPr>
            <w:tcW w:w="1824" w:type="pct"/>
            <w:noWrap w:val="0"/>
            <w:vAlign w:val="center"/>
          </w:tcPr>
          <w:p w14:paraId="0019EEC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6B4150A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1760710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5AE30D9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0E919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noWrap w:val="0"/>
            <w:vAlign w:val="center"/>
          </w:tcPr>
          <w:p w14:paraId="6E4F000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919" w:type="pct"/>
            <w:noWrap w:val="0"/>
            <w:vAlign w:val="center"/>
          </w:tcPr>
          <w:p w14:paraId="7803510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bl>
    <w:p w14:paraId="659D5255">
      <w:pPr>
        <w:spacing w:line="360" w:lineRule="auto"/>
        <w:ind w:firstLine="435"/>
        <w:jc w:val="right"/>
        <w:rPr>
          <w:rFonts w:hint="eastAsia" w:ascii="宋体" w:hAnsi="宋体" w:eastAsia="宋体"/>
          <w:b/>
          <w:bCs/>
          <w:color w:val="auto"/>
          <w:highlight w:val="none"/>
          <w:lang w:val="en-US" w:eastAsia="zh-CN"/>
        </w:rPr>
      </w:pPr>
      <w:r>
        <w:rPr>
          <w:rFonts w:hint="eastAsia" w:ascii="宋体" w:hAnsi="宋体" w:eastAsia="宋体"/>
          <w:bCs/>
          <w:color w:val="auto"/>
          <w:sz w:val="24"/>
          <w:szCs w:val="28"/>
          <w:highlight w:val="none"/>
          <w:u w:val="single"/>
        </w:rPr>
        <w:t xml:space="preserve">       </w:t>
      </w:r>
    </w:p>
    <w:p w14:paraId="085BCE43">
      <w:pPr>
        <w:pStyle w:val="54"/>
        <w:jc w:val="both"/>
        <w:rPr>
          <w:rFonts w:hint="eastAsia" w:ascii="宋体" w:hAnsi="宋体" w:eastAsia="宋体"/>
          <w:b/>
          <w:bCs/>
          <w:color w:val="auto"/>
          <w:highlight w:val="none"/>
          <w:lang w:val="en-US" w:eastAsia="zh-CN"/>
        </w:rPr>
      </w:pPr>
      <w:r>
        <w:rPr>
          <w:rFonts w:hint="eastAsia" w:ascii="宋体" w:hAnsi="宋体" w:eastAsia="宋体"/>
          <w:b/>
          <w:bCs/>
          <w:color w:val="auto"/>
          <w:highlight w:val="none"/>
          <w:lang w:val="en-US" w:eastAsia="zh-CN"/>
        </w:rPr>
        <w:t>5-3 符合本国产品标准的产品成本之和占比</w:t>
      </w:r>
    </w:p>
    <w:tbl>
      <w:tblPr>
        <w:tblStyle w:val="28"/>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9"/>
        <w:gridCol w:w="1554"/>
      </w:tblGrid>
      <w:tr w14:paraId="5DDD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4" w:hRule="atLeast"/>
        </w:trPr>
        <w:tc>
          <w:tcPr>
            <w:tcW w:w="7309" w:type="dxa"/>
            <w:noWrap w:val="0"/>
            <w:vAlign w:val="top"/>
          </w:tcPr>
          <w:p w14:paraId="0D5E58D6">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1554" w:type="dxa"/>
            <w:noWrap w:val="0"/>
            <w:vAlign w:val="top"/>
          </w:tcPr>
          <w:p w14:paraId="0BDDA1D8">
            <w:pPr>
              <w:spacing w:line="360" w:lineRule="auto"/>
              <w:rPr>
                <w:rFonts w:hint="eastAsia" w:ascii="宋体" w:hAnsi="宋体" w:eastAsia="宋体" w:cs="宋体"/>
                <w:color w:val="auto"/>
                <w:sz w:val="24"/>
                <w:szCs w:val="24"/>
                <w:highlight w:val="none"/>
                <w:u w:val="single"/>
                <w:lang w:val="en-US" w:eastAsia="zh-CN"/>
              </w:rPr>
            </w:pPr>
          </w:p>
          <w:p w14:paraId="6024CEC5">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Times New Roman"/>
                <w:b w:val="0"/>
                <w:bCs/>
                <w:color w:val="auto"/>
                <w:szCs w:val="24"/>
                <w:highlight w:val="none"/>
                <w:lang w:val="en-US" w:eastAsia="zh-CN"/>
              </w:rPr>
              <w:t>%</w:t>
            </w:r>
          </w:p>
        </w:tc>
      </w:tr>
      <w:tr w14:paraId="6A14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4" w:hRule="atLeast"/>
        </w:trPr>
        <w:tc>
          <w:tcPr>
            <w:tcW w:w="8863" w:type="dxa"/>
            <w:gridSpan w:val="2"/>
            <w:noWrap w:val="0"/>
            <w:vAlign w:val="top"/>
          </w:tcPr>
          <w:p w14:paraId="1851F66A">
            <w:pPr>
              <w:tabs>
                <w:tab w:val="left" w:pos="4620"/>
              </w:tabs>
              <w:spacing w:line="360" w:lineRule="auto"/>
              <w:jc w:val="left"/>
              <w:rPr>
                <w:rFonts w:hint="eastAsia" w:ascii="宋体" w:hAnsi="宋体" w:eastAsia="宋体" w:cs="Times New Roman"/>
                <w:b/>
                <w:bCs w:val="0"/>
                <w:color w:val="auto"/>
                <w:szCs w:val="24"/>
                <w:highlight w:val="none"/>
                <w:lang w:val="en-US" w:eastAsia="zh-CN"/>
              </w:rPr>
            </w:pPr>
            <w:r>
              <w:rPr>
                <w:rFonts w:hint="eastAsia" w:ascii="宋体" w:hAnsi="宋体" w:eastAsia="宋体" w:cs="Times New Roman"/>
                <w:b/>
                <w:bCs w:val="0"/>
                <w:color w:val="auto"/>
                <w:szCs w:val="24"/>
                <w:highlight w:val="none"/>
                <w:lang w:val="en-US" w:eastAsia="zh-CN"/>
              </w:rPr>
              <w:t>提醒：</w:t>
            </w:r>
          </w:p>
          <w:p w14:paraId="1D1308D9">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1CD91A71">
            <w:pPr>
              <w:spacing w:line="360" w:lineRule="auto"/>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01384E5F">
            <w:pPr>
              <w:spacing w:line="360" w:lineRule="auto"/>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w:t>
            </w:r>
            <w:r>
              <w:rPr>
                <w:rFonts w:hint="eastAsia" w:ascii="宋体" w:hAnsi="宋体" w:eastAsia="宋体" w:cs="宋体"/>
                <w:b w:val="0"/>
                <w:bCs/>
                <w:color w:val="auto"/>
                <w:kern w:val="2"/>
                <w:sz w:val="21"/>
                <w:szCs w:val="21"/>
                <w:highlight w:val="none"/>
                <w:lang w:val="en-US" w:eastAsia="zh-CN" w:bidi="ar"/>
              </w:rPr>
              <w:t>上表中全部产品成本之和是指表5-1和表5-2包含的全部货物、服务产品成本之和。</w:t>
            </w:r>
          </w:p>
        </w:tc>
      </w:tr>
    </w:tbl>
    <w:p w14:paraId="086BF167">
      <w:pPr>
        <w:spacing w:line="360" w:lineRule="auto"/>
        <w:rPr>
          <w:rFonts w:hint="eastAsia" w:ascii="宋体" w:hAnsi="宋体" w:eastAsia="宋体"/>
          <w:b/>
          <w:bCs/>
          <w:color w:val="auto"/>
          <w:sz w:val="21"/>
          <w:szCs w:val="21"/>
          <w:highlight w:val="none"/>
          <w:lang w:eastAsia="zh-CN"/>
        </w:rPr>
      </w:pPr>
    </w:p>
    <w:p w14:paraId="2B116089">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B202882">
      <w:pPr>
        <w:tabs>
          <w:tab w:val="left" w:pos="630"/>
        </w:tabs>
        <w:spacing w:line="360" w:lineRule="auto"/>
        <w:ind w:firstLine="4800" w:firstLineChars="2000"/>
        <w:jc w:val="center"/>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5EE7940">
      <w:pPr>
        <w:spacing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w:t>
      </w:r>
    </w:p>
    <w:p w14:paraId="6AAACBAE">
      <w:pPr>
        <w:spacing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1.表5-1</w:t>
      </w:r>
      <w:r>
        <w:rPr>
          <w:rFonts w:hint="eastAsia" w:ascii="宋体" w:hAnsi="宋体" w:eastAsia="宋体"/>
          <w:color w:val="auto"/>
          <w:sz w:val="21"/>
          <w:szCs w:val="21"/>
          <w:highlight w:val="none"/>
        </w:rPr>
        <w:t>中须明确列出所投产品的货物名称、品牌、型号规格、原产地及生产厂商，否则可能导致</w:t>
      </w:r>
      <w:r>
        <w:rPr>
          <w:rFonts w:hint="eastAsia" w:ascii="宋体" w:hAnsi="宋体" w:eastAsia="宋体"/>
          <w:b/>
          <w:bCs/>
          <w:color w:val="auto"/>
          <w:sz w:val="21"/>
          <w:szCs w:val="21"/>
          <w:highlight w:val="none"/>
        </w:rPr>
        <w:t>投标无效</w:t>
      </w:r>
      <w:r>
        <w:rPr>
          <w:rFonts w:hint="eastAsia" w:ascii="宋体" w:hAnsi="宋体" w:eastAsia="宋体"/>
          <w:b/>
          <w:bCs/>
          <w:color w:val="auto"/>
          <w:sz w:val="21"/>
          <w:szCs w:val="21"/>
          <w:highlight w:val="none"/>
          <w:lang w:eastAsia="zh-CN"/>
        </w:rPr>
        <w:t>。</w:t>
      </w:r>
    </w:p>
    <w:p w14:paraId="73139860">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2.上述报价为投标人完成本项目内容的全部费用（总报价为表5-1和表5-2合计金额之和），</w:t>
      </w:r>
      <w:r>
        <w:rPr>
          <w:rFonts w:hint="eastAsia" w:ascii="宋体" w:hAnsi="宋体" w:eastAsia="宋体"/>
          <w:color w:val="auto"/>
          <w:sz w:val="21"/>
          <w:szCs w:val="21"/>
          <w:highlight w:val="none"/>
        </w:rPr>
        <w:t>如有漏项或缺项，</w:t>
      </w:r>
      <w:r>
        <w:rPr>
          <w:rFonts w:hint="eastAsia" w:ascii="宋体" w:hAnsi="宋体" w:eastAsia="宋体"/>
          <w:color w:val="auto"/>
          <w:sz w:val="21"/>
          <w:szCs w:val="21"/>
          <w:highlight w:val="none"/>
          <w:lang w:val="en-US" w:eastAsia="zh-CN"/>
        </w:rPr>
        <w:t>自行</w:t>
      </w:r>
      <w:r>
        <w:rPr>
          <w:rFonts w:hint="eastAsia" w:ascii="宋体" w:hAnsi="宋体" w:eastAsia="宋体"/>
          <w:color w:val="auto"/>
          <w:sz w:val="21"/>
          <w:szCs w:val="21"/>
          <w:highlight w:val="none"/>
        </w:rPr>
        <w:t>承担全部责任。</w:t>
      </w:r>
    </w:p>
    <w:p w14:paraId="70600B32">
      <w:pPr>
        <w:pStyle w:val="9"/>
        <w:rPr>
          <w:rFonts w:hint="eastAsia" w:asciiTheme="minorEastAsia" w:hAnsiTheme="minorEastAsia" w:eastAsiaTheme="minorEastAsia"/>
          <w:color w:val="auto"/>
          <w:sz w:val="24"/>
          <w:highlight w:val="none"/>
        </w:rPr>
      </w:pPr>
    </w:p>
    <w:p w14:paraId="02CAC5BD">
      <w:pPr>
        <w:rPr>
          <w:rFonts w:hint="eastAsia" w:asciiTheme="minorEastAsia" w:hAnsiTheme="minorEastAsia" w:eastAsiaTheme="minorEastAsia"/>
          <w:b/>
          <w:color w:val="auto"/>
          <w:sz w:val="24"/>
          <w:highlight w:val="none"/>
        </w:rPr>
      </w:pPr>
      <w:bookmarkStart w:id="229" w:name="_Toc20329"/>
      <w:r>
        <w:rPr>
          <w:rFonts w:hint="eastAsia" w:asciiTheme="minorEastAsia" w:hAnsiTheme="minorEastAsia" w:eastAsiaTheme="minorEastAsia"/>
          <w:b/>
          <w:color w:val="auto"/>
          <w:sz w:val="24"/>
          <w:highlight w:val="none"/>
        </w:rPr>
        <w:br w:type="page"/>
      </w:r>
    </w:p>
    <w:p w14:paraId="1A583DFB">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230" w:name="_Toc15209"/>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、投标响应表</w:t>
      </w:r>
      <w:bookmarkEnd w:id="229"/>
      <w:bookmarkEnd w:id="230"/>
    </w:p>
    <w:p w14:paraId="199E2FBC">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2BA7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BEF5812">
            <w:pPr>
              <w:pStyle w:val="13"/>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273507CD">
            <w:pPr>
              <w:pStyle w:val="13"/>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2F233813">
            <w:pPr>
              <w:pStyle w:val="13"/>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52EDD018">
            <w:pPr>
              <w:pStyle w:val="13"/>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1E1FC192">
            <w:pPr>
              <w:pStyle w:val="13"/>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D70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7F54FF5">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67FED076">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7D0C8DEB">
            <w:pPr>
              <w:jc w:val="center"/>
              <w:rPr>
                <w:rFonts w:asciiTheme="minorEastAsia" w:hAnsiTheme="minorEastAsia" w:eastAsiaTheme="minorEastAsia"/>
                <w:color w:val="auto"/>
                <w:sz w:val="24"/>
                <w:highlight w:val="none"/>
              </w:rPr>
            </w:pPr>
          </w:p>
        </w:tc>
        <w:tc>
          <w:tcPr>
            <w:tcW w:w="1510" w:type="pct"/>
            <w:vAlign w:val="center"/>
          </w:tcPr>
          <w:p w14:paraId="7F7725D2">
            <w:pPr>
              <w:jc w:val="center"/>
              <w:rPr>
                <w:rFonts w:asciiTheme="minorEastAsia" w:hAnsiTheme="minorEastAsia" w:eastAsiaTheme="minorEastAsia"/>
                <w:color w:val="auto"/>
                <w:sz w:val="24"/>
                <w:highlight w:val="none"/>
              </w:rPr>
            </w:pPr>
          </w:p>
        </w:tc>
        <w:tc>
          <w:tcPr>
            <w:tcW w:w="475" w:type="pct"/>
            <w:vAlign w:val="center"/>
          </w:tcPr>
          <w:p w14:paraId="61CDA785">
            <w:pPr>
              <w:jc w:val="center"/>
              <w:rPr>
                <w:rFonts w:asciiTheme="minorEastAsia" w:hAnsiTheme="minorEastAsia" w:eastAsiaTheme="minorEastAsia"/>
                <w:color w:val="auto"/>
                <w:sz w:val="24"/>
                <w:highlight w:val="none"/>
              </w:rPr>
            </w:pPr>
          </w:p>
        </w:tc>
      </w:tr>
      <w:tr w14:paraId="258DD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2A019922">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160721C5">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7D3FD275">
            <w:pPr>
              <w:jc w:val="center"/>
              <w:rPr>
                <w:rFonts w:asciiTheme="minorEastAsia" w:hAnsiTheme="minorEastAsia" w:eastAsiaTheme="minorEastAsia"/>
                <w:color w:val="auto"/>
                <w:sz w:val="24"/>
                <w:highlight w:val="none"/>
              </w:rPr>
            </w:pPr>
          </w:p>
        </w:tc>
        <w:tc>
          <w:tcPr>
            <w:tcW w:w="1510" w:type="pct"/>
            <w:vAlign w:val="center"/>
          </w:tcPr>
          <w:p w14:paraId="78FD1684">
            <w:pPr>
              <w:jc w:val="center"/>
              <w:rPr>
                <w:rFonts w:asciiTheme="minorEastAsia" w:hAnsiTheme="minorEastAsia" w:eastAsiaTheme="minorEastAsia"/>
                <w:color w:val="auto"/>
                <w:sz w:val="24"/>
                <w:highlight w:val="none"/>
              </w:rPr>
            </w:pPr>
          </w:p>
        </w:tc>
        <w:tc>
          <w:tcPr>
            <w:tcW w:w="475" w:type="pct"/>
            <w:vAlign w:val="center"/>
          </w:tcPr>
          <w:p w14:paraId="20710ED5">
            <w:pPr>
              <w:jc w:val="center"/>
              <w:rPr>
                <w:rFonts w:asciiTheme="minorEastAsia" w:hAnsiTheme="minorEastAsia" w:eastAsiaTheme="minorEastAsia"/>
                <w:color w:val="auto"/>
                <w:sz w:val="24"/>
                <w:highlight w:val="none"/>
              </w:rPr>
            </w:pPr>
          </w:p>
        </w:tc>
      </w:tr>
      <w:tr w14:paraId="7404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8E9E9E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36975CD8">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15D4F344">
            <w:pPr>
              <w:jc w:val="center"/>
              <w:rPr>
                <w:rFonts w:asciiTheme="minorEastAsia" w:hAnsiTheme="minorEastAsia" w:eastAsiaTheme="minorEastAsia"/>
                <w:color w:val="auto"/>
                <w:sz w:val="24"/>
                <w:highlight w:val="none"/>
              </w:rPr>
            </w:pPr>
          </w:p>
        </w:tc>
        <w:tc>
          <w:tcPr>
            <w:tcW w:w="1510" w:type="pct"/>
            <w:vAlign w:val="center"/>
          </w:tcPr>
          <w:p w14:paraId="4A9BD2CF">
            <w:pPr>
              <w:pStyle w:val="54"/>
              <w:jc w:val="center"/>
              <w:rPr>
                <w:rFonts w:asciiTheme="minorEastAsia" w:hAnsiTheme="minorEastAsia" w:eastAsiaTheme="minorEastAsia"/>
                <w:color w:val="auto"/>
                <w:highlight w:val="none"/>
              </w:rPr>
            </w:pPr>
          </w:p>
        </w:tc>
        <w:tc>
          <w:tcPr>
            <w:tcW w:w="475" w:type="pct"/>
            <w:vAlign w:val="center"/>
          </w:tcPr>
          <w:p w14:paraId="2CE6459F">
            <w:pPr>
              <w:jc w:val="center"/>
              <w:rPr>
                <w:rFonts w:asciiTheme="minorEastAsia" w:hAnsiTheme="minorEastAsia" w:eastAsiaTheme="minorEastAsia"/>
                <w:color w:val="auto"/>
                <w:sz w:val="24"/>
                <w:highlight w:val="none"/>
              </w:rPr>
            </w:pPr>
          </w:p>
        </w:tc>
      </w:tr>
      <w:tr w14:paraId="386B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4AED33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16C125EB">
            <w:pPr>
              <w:jc w:val="center"/>
              <w:rPr>
                <w:rFonts w:ascii="宋体" w:hAnsi="宋体" w:eastAsia="宋体"/>
                <w:color w:val="auto"/>
                <w:sz w:val="24"/>
                <w:highlight w:val="none"/>
              </w:rPr>
            </w:pPr>
          </w:p>
        </w:tc>
        <w:tc>
          <w:tcPr>
            <w:tcW w:w="1465" w:type="pct"/>
            <w:vAlign w:val="center"/>
          </w:tcPr>
          <w:p w14:paraId="72349193">
            <w:pPr>
              <w:jc w:val="center"/>
              <w:rPr>
                <w:rFonts w:asciiTheme="minorEastAsia" w:hAnsiTheme="minorEastAsia" w:eastAsiaTheme="minorEastAsia"/>
                <w:color w:val="auto"/>
                <w:sz w:val="24"/>
                <w:highlight w:val="none"/>
              </w:rPr>
            </w:pPr>
          </w:p>
        </w:tc>
        <w:tc>
          <w:tcPr>
            <w:tcW w:w="1510" w:type="pct"/>
            <w:vAlign w:val="center"/>
          </w:tcPr>
          <w:p w14:paraId="3EB53206">
            <w:pPr>
              <w:jc w:val="center"/>
              <w:rPr>
                <w:rFonts w:asciiTheme="minorEastAsia" w:hAnsiTheme="minorEastAsia" w:eastAsiaTheme="minorEastAsia"/>
                <w:color w:val="auto"/>
                <w:sz w:val="24"/>
                <w:highlight w:val="none"/>
              </w:rPr>
            </w:pPr>
          </w:p>
        </w:tc>
        <w:tc>
          <w:tcPr>
            <w:tcW w:w="475" w:type="pct"/>
            <w:vAlign w:val="center"/>
          </w:tcPr>
          <w:p w14:paraId="5B897783">
            <w:pPr>
              <w:jc w:val="center"/>
              <w:rPr>
                <w:rFonts w:asciiTheme="minorEastAsia" w:hAnsiTheme="minorEastAsia" w:eastAsiaTheme="minorEastAsia"/>
                <w:color w:val="auto"/>
                <w:sz w:val="24"/>
                <w:highlight w:val="none"/>
              </w:rPr>
            </w:pPr>
          </w:p>
        </w:tc>
      </w:tr>
    </w:tbl>
    <w:p w14:paraId="0E2593B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3D6C331">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578533F">
      <w:pPr>
        <w:pStyle w:val="15"/>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582579DF">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31" w:name="_Toc23068"/>
      <w:r>
        <w:rPr>
          <w:rFonts w:hint="eastAsia" w:asciiTheme="minorEastAsia" w:hAnsiTheme="minorEastAsia" w:eastAsiaTheme="minorEastAsia"/>
          <w:b/>
          <w:color w:val="auto"/>
          <w:sz w:val="24"/>
          <w:highlight w:val="none"/>
          <w:lang w:val="en-US" w:eastAsia="zh-CN"/>
        </w:rPr>
        <w:t>八、中小企业声明函</w:t>
      </w:r>
      <w:bookmarkEnd w:id="231"/>
    </w:p>
    <w:p w14:paraId="316FF833">
      <w:pPr>
        <w:pStyle w:val="9"/>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27EB6084">
      <w:pPr>
        <w:rPr>
          <w:rFonts w:asciiTheme="minorEastAsia" w:hAnsiTheme="minorEastAsia" w:eastAsiaTheme="minorEastAsia"/>
          <w:color w:val="auto"/>
          <w:sz w:val="24"/>
          <w:szCs w:val="24"/>
          <w:highlight w:val="none"/>
        </w:rPr>
      </w:pPr>
    </w:p>
    <w:p w14:paraId="46E7AACF">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 xml:space="preserve">）采购活动，服务全部由符合政策要求的中小企业承接。相关企业（含联合体中的中小企业、签订分包意向协议的中小企业）的具体情况如下： </w:t>
      </w:r>
    </w:p>
    <w:p w14:paraId="346A5AE8">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485C87C">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29ECC8E3">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52C731A3">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70FAEF75">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0496CC50">
      <w:pPr>
        <w:spacing w:line="360" w:lineRule="auto"/>
        <w:ind w:firstLine="435"/>
        <w:rPr>
          <w:rFonts w:asciiTheme="minorEastAsia" w:hAnsiTheme="minorEastAsia" w:eastAsiaTheme="minorEastAsia"/>
          <w:color w:val="auto"/>
          <w:sz w:val="24"/>
          <w:szCs w:val="24"/>
          <w:highlight w:val="none"/>
        </w:rPr>
      </w:pPr>
    </w:p>
    <w:p w14:paraId="17A5C36D">
      <w:pPr>
        <w:spacing w:line="360" w:lineRule="auto"/>
        <w:ind w:firstLine="435"/>
        <w:rPr>
          <w:rFonts w:asciiTheme="minorEastAsia" w:hAnsiTheme="minorEastAsia" w:eastAsiaTheme="minorEastAsia"/>
          <w:color w:val="auto"/>
          <w:sz w:val="24"/>
          <w:szCs w:val="24"/>
          <w:highlight w:val="none"/>
        </w:rPr>
      </w:pPr>
    </w:p>
    <w:p w14:paraId="0B6E7A0A">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7DBC376D">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44DB1DE9">
      <w:pPr>
        <w:tabs>
          <w:tab w:val="left" w:pos="4620"/>
        </w:tabs>
        <w:spacing w:line="360" w:lineRule="auto"/>
        <w:jc w:val="left"/>
        <w:rPr>
          <w:rFonts w:asciiTheme="minorEastAsia" w:hAnsiTheme="minorEastAsia" w:eastAsiaTheme="minorEastAsia"/>
          <w:color w:val="auto"/>
          <w:sz w:val="24"/>
          <w:szCs w:val="24"/>
          <w:highlight w:val="none"/>
        </w:rPr>
      </w:pPr>
    </w:p>
    <w:p w14:paraId="1061288D">
      <w:pPr>
        <w:tabs>
          <w:tab w:val="left" w:pos="4620"/>
        </w:tabs>
        <w:spacing w:line="360" w:lineRule="auto"/>
        <w:jc w:val="left"/>
        <w:rPr>
          <w:rFonts w:asciiTheme="minorEastAsia" w:hAnsiTheme="minorEastAsia" w:eastAsiaTheme="minorEastAsia"/>
          <w:color w:val="auto"/>
          <w:sz w:val="24"/>
          <w:szCs w:val="24"/>
          <w:highlight w:val="none"/>
        </w:rPr>
      </w:pPr>
    </w:p>
    <w:p w14:paraId="63D59671">
      <w:pPr>
        <w:tabs>
          <w:tab w:val="left" w:pos="4620"/>
        </w:tabs>
        <w:spacing w:line="360" w:lineRule="auto"/>
        <w:jc w:val="left"/>
        <w:rPr>
          <w:rFonts w:asciiTheme="minorEastAsia" w:hAnsiTheme="minorEastAsia" w:eastAsiaTheme="minorEastAsia"/>
          <w:color w:val="auto"/>
          <w:sz w:val="24"/>
          <w:szCs w:val="24"/>
          <w:highlight w:val="none"/>
        </w:rPr>
      </w:pPr>
    </w:p>
    <w:p w14:paraId="3FFD7722">
      <w:pPr>
        <w:tabs>
          <w:tab w:val="left" w:pos="4620"/>
        </w:tabs>
        <w:spacing w:line="360" w:lineRule="auto"/>
        <w:jc w:val="left"/>
        <w:rPr>
          <w:rFonts w:asciiTheme="minorEastAsia" w:hAnsiTheme="minorEastAsia" w:eastAsiaTheme="minorEastAsia"/>
          <w:color w:val="auto"/>
          <w:sz w:val="24"/>
          <w:szCs w:val="24"/>
          <w:highlight w:val="none"/>
        </w:rPr>
      </w:pPr>
    </w:p>
    <w:p w14:paraId="4FC974C4">
      <w:pPr>
        <w:tabs>
          <w:tab w:val="left" w:pos="4620"/>
        </w:tabs>
        <w:spacing w:line="360" w:lineRule="auto"/>
        <w:jc w:val="left"/>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154DE0B4">
      <w:pPr>
        <w:tabs>
          <w:tab w:val="left" w:pos="4620"/>
        </w:tabs>
        <w:spacing w:line="360" w:lineRule="auto"/>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55BC0D33">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4B949D76">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”，详见第三章采购需求前附表中明确的“标的名称”。</w:t>
      </w:r>
    </w:p>
    <w:p w14:paraId="72CF6283">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”，详见第三章采购需求前附表中明确的“所属行业”。</w:t>
      </w:r>
    </w:p>
    <w:p w14:paraId="0348D98D">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（填写第三章采购需求前附表中明确的“所属行业”，如软件和信息技术服务业）</w:t>
      </w:r>
      <w:r>
        <w:rPr>
          <w:rFonts w:hint="eastAsia" w:ascii="宋体" w:hAnsi="宋体" w:eastAsia="宋体" w:cs="宋体"/>
          <w:b/>
          <w:bCs/>
          <w:color w:val="auto"/>
          <w:szCs w:val="21"/>
          <w:highlight w:val="none"/>
        </w:rPr>
        <w:t>行业；承接企业为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16618BFB">
      <w:pPr>
        <w:pStyle w:val="9"/>
        <w:rPr>
          <w:rFonts w:hint="eastAsia" w:asciiTheme="minorEastAsia" w:hAnsiTheme="minorEastAsia" w:eastAsiaTheme="minorEastAsia"/>
          <w:b/>
          <w:bCs/>
          <w:color w:val="auto"/>
          <w:szCs w:val="24"/>
          <w:highlight w:val="none"/>
        </w:rPr>
      </w:pPr>
    </w:p>
    <w:p w14:paraId="2E863C68">
      <w:pPr>
        <w:rPr>
          <w:rFonts w:hint="eastAsia" w:asciiTheme="minorEastAsia" w:hAnsiTheme="minorEastAsia" w:eastAsiaTheme="minorEastAsia"/>
          <w:b/>
          <w:color w:val="auto"/>
          <w:sz w:val="24"/>
          <w:highlight w:val="none"/>
        </w:rPr>
      </w:pPr>
      <w:bookmarkStart w:id="232" w:name="_Toc16713"/>
      <w:r>
        <w:rPr>
          <w:rFonts w:hint="eastAsia" w:asciiTheme="minorEastAsia" w:hAnsiTheme="minorEastAsia" w:eastAsiaTheme="minorEastAsia"/>
          <w:b/>
          <w:color w:val="auto"/>
          <w:sz w:val="24"/>
          <w:highlight w:val="none"/>
        </w:rPr>
        <w:br w:type="page"/>
      </w:r>
    </w:p>
    <w:p w14:paraId="3723B3C2">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33" w:name="_Toc17315"/>
      <w:r>
        <w:rPr>
          <w:rFonts w:hint="eastAsia" w:asciiTheme="minorEastAsia" w:hAnsiTheme="minorEastAsia" w:eastAsiaTheme="minorEastAsia"/>
          <w:b/>
          <w:color w:val="auto"/>
          <w:sz w:val="24"/>
          <w:highlight w:val="none"/>
          <w:lang w:val="en-US" w:eastAsia="zh-CN"/>
        </w:rPr>
        <w:t>九、残疾人福利性单位声明函</w:t>
      </w:r>
      <w:bookmarkEnd w:id="232"/>
      <w:bookmarkEnd w:id="233"/>
    </w:p>
    <w:p w14:paraId="09AA703C">
      <w:pPr>
        <w:pStyle w:val="9"/>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2E5FD5C9">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411E6FCE">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36D1D3E8">
      <w:pPr>
        <w:spacing w:line="360" w:lineRule="auto"/>
        <w:ind w:firstLine="4228" w:firstLineChars="1762"/>
        <w:rPr>
          <w:rFonts w:asciiTheme="minorEastAsia" w:hAnsiTheme="minorEastAsia" w:eastAsiaTheme="minorEastAsia"/>
          <w:color w:val="auto"/>
          <w:sz w:val="24"/>
          <w:szCs w:val="24"/>
          <w:highlight w:val="none"/>
        </w:rPr>
      </w:pPr>
    </w:p>
    <w:p w14:paraId="5C695D0C">
      <w:pPr>
        <w:spacing w:line="360" w:lineRule="auto"/>
        <w:ind w:firstLine="4228" w:firstLineChars="1762"/>
        <w:rPr>
          <w:rFonts w:asciiTheme="minorEastAsia" w:hAnsiTheme="minorEastAsia" w:eastAsiaTheme="minorEastAsia"/>
          <w:color w:val="auto"/>
          <w:sz w:val="24"/>
          <w:szCs w:val="24"/>
          <w:highlight w:val="none"/>
        </w:rPr>
      </w:pPr>
    </w:p>
    <w:p w14:paraId="328AC406">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3BC2F0EA">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2CB6C156">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28D45A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default" w:asciiTheme="minorEastAsia" w:hAnsiTheme="minorEastAsia" w:eastAsiaTheme="minorEastAsia"/>
          <w:b/>
          <w:color w:val="auto"/>
          <w:sz w:val="24"/>
          <w:highlight w:val="none"/>
          <w:lang w:val="en-US" w:eastAsia="zh-CN"/>
        </w:rPr>
      </w:pPr>
      <w:bookmarkStart w:id="234" w:name="_Toc457768004"/>
      <w:bookmarkStart w:id="235" w:name="_Toc300210382"/>
      <w:bookmarkStart w:id="236" w:name="_Toc520299348"/>
      <w:bookmarkStart w:id="237" w:name="_Toc23860"/>
      <w:bookmarkStart w:id="238" w:name="_Toc26536"/>
      <w:bookmarkStart w:id="239" w:name="_Hlk11701496"/>
      <w:r>
        <w:rPr>
          <w:rFonts w:hint="eastAsia" w:asciiTheme="minorEastAsia" w:hAnsiTheme="minorEastAsia" w:eastAsiaTheme="minorEastAsia"/>
          <w:b/>
          <w:color w:val="auto"/>
          <w:sz w:val="24"/>
          <w:highlight w:val="none"/>
          <w:lang w:val="en-US" w:eastAsia="zh-CN"/>
        </w:rPr>
        <w:t>十、</w:t>
      </w:r>
      <w:r>
        <w:rPr>
          <w:rFonts w:hint="eastAsia" w:ascii="宋体" w:hAnsi="宋体" w:eastAsia="宋体" w:cs="@仿宋_GB2312"/>
          <w:b/>
          <w:color w:val="auto"/>
          <w:sz w:val="24"/>
          <w:szCs w:val="20"/>
          <w:highlight w:val="none"/>
        </w:rPr>
        <w:t>关于符合本国产品标准的声明函</w:t>
      </w:r>
    </w:p>
    <w:p w14:paraId="662D0BC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4C35CD48">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1261A172">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32"/>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32"/>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65ED92F9">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1F960B80">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32DDF7A0">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669C2D14">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7A72A5D0">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070E435D">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r>
        <w:rPr>
          <w:rFonts w:hint="eastAsia" w:ascii="宋体" w:hAnsi="宋体" w:eastAsia="宋体"/>
          <w:b w:val="0"/>
          <w:bCs/>
          <w:color w:val="auto"/>
          <w:szCs w:val="24"/>
          <w:highlight w:val="none"/>
          <w:lang w:eastAsia="zh-CN"/>
        </w:rPr>
        <w:t>1.产品如有型号，请在“产品名称”栏一并填写。</w:t>
      </w:r>
    </w:p>
    <w:p w14:paraId="00FF2818">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2.生产厂名与厂址应与生产厂营业执照载明的相关信息保持一致。</w:t>
      </w:r>
    </w:p>
    <w:p w14:paraId="3712D6E2">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3.上述声明函中标注</w:t>
      </w:r>
      <w:r>
        <w:rPr>
          <w:rFonts w:hint="eastAsia" w:ascii="宋体" w:hAnsi="宋体" w:eastAsia="宋体" w:cs="Times New Roman"/>
          <w:b w:val="0"/>
          <w:bCs/>
          <w:color w:val="auto"/>
          <w:szCs w:val="24"/>
          <w:highlight w:val="none"/>
          <w:u w:val="single"/>
          <w:lang w:val="en-US" w:eastAsia="zh-CN"/>
        </w:rPr>
        <w:t xml:space="preserve">  /  </w:t>
      </w:r>
      <w:r>
        <w:rPr>
          <w:rFonts w:hint="eastAsia" w:ascii="宋体" w:hAnsi="宋体" w:eastAsia="宋体" w:cs="Times New Roman"/>
          <w:b w:val="0"/>
          <w:bCs/>
          <w:color w:val="auto"/>
          <w:szCs w:val="24"/>
          <w:highlight w:val="none"/>
          <w:lang w:val="en-US" w:eastAsia="zh-CN"/>
        </w:rPr>
        <w:t>的，无需填写。</w:t>
      </w:r>
    </w:p>
    <w:p w14:paraId="0B8B1D81">
      <w:pPr>
        <w:tabs>
          <w:tab w:val="left" w:pos="4620"/>
        </w:tabs>
        <w:spacing w:line="360" w:lineRule="auto"/>
        <w:jc w:val="left"/>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4D1D2A22">
      <w:pPr>
        <w:spacing w:line="360" w:lineRule="auto"/>
        <w:jc w:val="left"/>
        <w:outlineLvl w:val="9"/>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1637561">
      <w:pPr>
        <w:rPr>
          <w:rFonts w:hint="eastAsia" w:ascii="宋体" w:hAnsi="宋体" w:eastAsia="宋体" w:cs="Times New Roman"/>
          <w:b w:val="0"/>
          <w:bCs/>
          <w:color w:val="auto"/>
          <w:sz w:val="21"/>
          <w:szCs w:val="21"/>
          <w:highlight w:val="none"/>
          <w:lang w:val="en-US" w:eastAsia="zh-CN"/>
        </w:rPr>
      </w:pPr>
    </w:p>
    <w:p w14:paraId="32FEB19F">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十一、</w:t>
      </w:r>
      <w:bookmarkEnd w:id="234"/>
      <w:bookmarkEnd w:id="235"/>
      <w:bookmarkEnd w:id="236"/>
      <w:r>
        <w:rPr>
          <w:rFonts w:hint="eastAsia" w:asciiTheme="minorEastAsia" w:hAnsiTheme="minorEastAsia" w:eastAsiaTheme="minorEastAsia"/>
          <w:b/>
          <w:color w:val="auto"/>
          <w:sz w:val="24"/>
          <w:highlight w:val="none"/>
          <w:lang w:val="en-US" w:eastAsia="zh-CN"/>
        </w:rPr>
        <w:t>诚信履约承诺函</w:t>
      </w:r>
      <w:bookmarkEnd w:id="237"/>
      <w:bookmarkEnd w:id="238"/>
    </w:p>
    <w:p w14:paraId="39C76E7A">
      <w:pPr>
        <w:spacing w:line="360" w:lineRule="auto"/>
        <w:rPr>
          <w:rFonts w:asciiTheme="minorEastAsia" w:hAnsiTheme="minorEastAsia" w:eastAsiaTheme="minorEastAsia"/>
          <w:b/>
          <w:bCs/>
          <w:color w:val="auto"/>
          <w:sz w:val="24"/>
          <w:highlight w:val="none"/>
        </w:rPr>
      </w:pPr>
    </w:p>
    <w:p w14:paraId="2B54791F">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0BA21B0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534FE63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053B7EB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6730F35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6D58121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5F11787D">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610F212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1DCF637">
      <w:pPr>
        <w:spacing w:line="360" w:lineRule="auto"/>
        <w:rPr>
          <w:rFonts w:asciiTheme="minorEastAsia" w:hAnsiTheme="minorEastAsia" w:eastAsiaTheme="minorEastAsia"/>
          <w:bCs/>
          <w:color w:val="auto"/>
          <w:sz w:val="24"/>
          <w:highlight w:val="none"/>
        </w:rPr>
      </w:pPr>
    </w:p>
    <w:p w14:paraId="6E828A59">
      <w:pPr>
        <w:spacing w:line="360" w:lineRule="auto"/>
        <w:rPr>
          <w:rFonts w:asciiTheme="minorEastAsia" w:hAnsiTheme="minorEastAsia" w:eastAsiaTheme="minorEastAsia"/>
          <w:bCs/>
          <w:color w:val="auto"/>
          <w:sz w:val="24"/>
          <w:highlight w:val="none"/>
        </w:rPr>
      </w:pPr>
    </w:p>
    <w:p w14:paraId="6767BAE3">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E794567">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632C113">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239"/>
    <w:p w14:paraId="77C1016F">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40" w:name="_Toc32633"/>
      <w:bookmarkStart w:id="241" w:name="_Toc31807"/>
      <w:r>
        <w:rPr>
          <w:rFonts w:hint="eastAsia" w:asciiTheme="minorEastAsia" w:hAnsiTheme="minorEastAsia" w:eastAsiaTheme="minorEastAsia"/>
          <w:b/>
          <w:color w:val="auto"/>
          <w:sz w:val="24"/>
          <w:highlight w:val="none"/>
          <w:lang w:val="en-US" w:eastAsia="zh-CN"/>
        </w:rPr>
        <w:t>十二、其他相关证明材料</w:t>
      </w:r>
      <w:bookmarkEnd w:id="240"/>
      <w:bookmarkEnd w:id="241"/>
    </w:p>
    <w:p w14:paraId="4B4C3CD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34805960">
      <w:pPr>
        <w:spacing w:line="360" w:lineRule="auto"/>
        <w:ind w:firstLine="480" w:firstLineChars="200"/>
        <w:rPr>
          <w:rFonts w:asciiTheme="minorEastAsia" w:hAnsiTheme="minorEastAsia" w:eastAsiaTheme="minorEastAsia"/>
          <w:color w:val="auto"/>
          <w:sz w:val="24"/>
          <w:highlight w:val="none"/>
        </w:rPr>
      </w:pPr>
    </w:p>
    <w:p w14:paraId="4A557BD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7D47B6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lang w:val="en-US" w:eastAsia="zh-CN"/>
        </w:rPr>
        <w:t>及评审资料</w:t>
      </w:r>
      <w:r>
        <w:rPr>
          <w:rFonts w:hint="eastAsia" w:asciiTheme="minorEastAsia" w:hAnsiTheme="minorEastAsia" w:eastAsiaTheme="minorEastAsia"/>
          <w:color w:val="auto"/>
          <w:sz w:val="24"/>
          <w:highlight w:val="none"/>
        </w:rPr>
        <w:t>，如营业执照、证书</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技术标方案</w:t>
      </w:r>
      <w:r>
        <w:rPr>
          <w:rFonts w:asciiTheme="minorEastAsia" w:hAnsiTheme="minorEastAsia" w:eastAsiaTheme="minorEastAsia"/>
          <w:color w:val="auto"/>
          <w:sz w:val="24"/>
          <w:highlight w:val="none"/>
        </w:rPr>
        <w:t>等，应将上述证明材料制作成扫描件上传。</w:t>
      </w:r>
    </w:p>
    <w:p w14:paraId="6B55822E">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7E880C61">
      <w:pPr>
        <w:spacing w:line="360" w:lineRule="auto"/>
        <w:jc w:val="center"/>
        <w:outlineLvl w:val="0"/>
        <w:rPr>
          <w:rFonts w:ascii="宋体" w:hAnsi="宋体" w:eastAsia="宋体"/>
          <w:b/>
          <w:bCs/>
          <w:color w:val="auto"/>
          <w:sz w:val="28"/>
          <w:highlight w:val="none"/>
        </w:rPr>
      </w:pPr>
      <w:bookmarkStart w:id="242" w:name="_Toc6435"/>
      <w:bookmarkStart w:id="243" w:name="_Toc20819"/>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42"/>
      <w:bookmarkEnd w:id="243"/>
    </w:p>
    <w:p w14:paraId="586AA144">
      <w:pPr>
        <w:spacing w:line="360" w:lineRule="auto"/>
        <w:jc w:val="center"/>
        <w:outlineLvl w:val="1"/>
        <w:rPr>
          <w:rFonts w:ascii="仿宋" w:hAnsi="仿宋" w:eastAsia="仿宋" w:cs="仿宋"/>
          <w:b/>
          <w:bCs/>
          <w:color w:val="auto"/>
          <w:sz w:val="32"/>
          <w:szCs w:val="44"/>
          <w:highlight w:val="none"/>
        </w:rPr>
      </w:pPr>
      <w:bookmarkStart w:id="244" w:name="_Toc27159"/>
      <w:bookmarkStart w:id="245" w:name="_Toc6955"/>
      <w:r>
        <w:rPr>
          <w:rFonts w:hint="eastAsia" w:ascii="仿宋" w:hAnsi="仿宋" w:eastAsia="仿宋" w:cs="仿宋"/>
          <w:b/>
          <w:bCs/>
          <w:color w:val="auto"/>
          <w:sz w:val="32"/>
          <w:szCs w:val="44"/>
          <w:highlight w:val="none"/>
        </w:rPr>
        <w:t>询问函范本</w:t>
      </w:r>
      <w:bookmarkEnd w:id="244"/>
      <w:bookmarkEnd w:id="245"/>
    </w:p>
    <w:p w14:paraId="5B8D074F">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1782570A">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6AD3240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68B09D69">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46" w:name="_Toc13899"/>
      <w:r>
        <w:rPr>
          <w:rFonts w:hint="eastAsia" w:cs="仿宋" w:asciiTheme="minorEastAsia" w:hAnsiTheme="minorEastAsia" w:eastAsiaTheme="minorEastAsia"/>
          <w:color w:val="auto"/>
          <w:sz w:val="24"/>
          <w:szCs w:val="24"/>
          <w:highlight w:val="none"/>
        </w:rPr>
        <w:t>一、(事项一)</w:t>
      </w:r>
      <w:bookmarkEnd w:id="246"/>
    </w:p>
    <w:p w14:paraId="1150BDD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7400B1F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6D534D8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5D427DFC">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47" w:name="_Toc3352"/>
      <w:r>
        <w:rPr>
          <w:rFonts w:hint="eastAsia" w:cs="仿宋" w:asciiTheme="minorEastAsia" w:hAnsiTheme="minorEastAsia" w:eastAsiaTheme="minorEastAsia"/>
          <w:color w:val="auto"/>
          <w:sz w:val="24"/>
          <w:szCs w:val="24"/>
          <w:highlight w:val="none"/>
        </w:rPr>
        <w:t>二、(事项二)</w:t>
      </w:r>
      <w:bookmarkEnd w:id="247"/>
    </w:p>
    <w:p w14:paraId="0F18CCE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DE7DDB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15661697">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310ECCA4">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43164BFF">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1F5ECB00">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12428EAC">
      <w:pPr>
        <w:jc w:val="center"/>
        <w:outlineLvl w:val="1"/>
        <w:rPr>
          <w:rFonts w:ascii="仿宋" w:hAnsi="仿宋" w:eastAsia="仿宋" w:cs="仿宋"/>
          <w:b/>
          <w:bCs/>
          <w:color w:val="auto"/>
          <w:sz w:val="32"/>
          <w:szCs w:val="44"/>
          <w:highlight w:val="none"/>
        </w:rPr>
      </w:pPr>
      <w:bookmarkStart w:id="248" w:name="_Toc1575"/>
      <w:bookmarkStart w:id="249" w:name="_Toc857"/>
      <w:r>
        <w:rPr>
          <w:rFonts w:hint="eastAsia" w:ascii="仿宋" w:hAnsi="仿宋" w:eastAsia="仿宋" w:cs="仿宋"/>
          <w:b/>
          <w:bCs/>
          <w:color w:val="auto"/>
          <w:sz w:val="32"/>
          <w:szCs w:val="44"/>
          <w:highlight w:val="none"/>
        </w:rPr>
        <w:t>质疑函范本</w:t>
      </w:r>
      <w:bookmarkEnd w:id="248"/>
      <w:bookmarkEnd w:id="249"/>
    </w:p>
    <w:p w14:paraId="2CEDD623">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250" w:name="_Toc21381"/>
      <w:r>
        <w:rPr>
          <w:rFonts w:hint="eastAsia" w:cs="仿宋" w:asciiTheme="minorEastAsia" w:hAnsiTheme="minorEastAsia" w:eastAsiaTheme="minorEastAsia"/>
          <w:b/>
          <w:bCs/>
          <w:color w:val="auto"/>
          <w:sz w:val="24"/>
          <w:szCs w:val="24"/>
          <w:highlight w:val="none"/>
        </w:rPr>
        <w:t>一、质疑供应商基本信息</w:t>
      </w:r>
      <w:bookmarkEnd w:id="250"/>
    </w:p>
    <w:p w14:paraId="3AF75A0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1BBA3E4C">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77C861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44C1EE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4AC775C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2B3296B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7FA6021B">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51" w:name="_Toc28415"/>
      <w:r>
        <w:rPr>
          <w:rFonts w:hint="eastAsia" w:cs="仿宋" w:asciiTheme="minorEastAsia" w:hAnsiTheme="minorEastAsia" w:eastAsiaTheme="minorEastAsia"/>
          <w:b/>
          <w:bCs/>
          <w:color w:val="auto"/>
          <w:sz w:val="24"/>
          <w:szCs w:val="24"/>
          <w:highlight w:val="none"/>
        </w:rPr>
        <w:t>二、质疑项目基本情况</w:t>
      </w:r>
      <w:bookmarkEnd w:id="251"/>
    </w:p>
    <w:p w14:paraId="04D8733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F96638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733760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79F7BF9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A2FFB76">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52" w:name="_Toc19014"/>
      <w:r>
        <w:rPr>
          <w:rFonts w:hint="eastAsia" w:cs="仿宋" w:asciiTheme="minorEastAsia" w:hAnsiTheme="minorEastAsia" w:eastAsiaTheme="minorEastAsia"/>
          <w:b/>
          <w:bCs/>
          <w:color w:val="auto"/>
          <w:sz w:val="24"/>
          <w:szCs w:val="24"/>
          <w:highlight w:val="none"/>
        </w:rPr>
        <w:t>三、质疑事项具体内容</w:t>
      </w:r>
      <w:bookmarkEnd w:id="252"/>
    </w:p>
    <w:p w14:paraId="1B26424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33F0C8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2B16E91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7C2633F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0BDA5FB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616A231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08D9034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27A65381">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53" w:name="_Toc17919"/>
      <w:r>
        <w:rPr>
          <w:rFonts w:hint="eastAsia" w:cs="仿宋" w:asciiTheme="minorEastAsia" w:hAnsiTheme="minorEastAsia" w:eastAsiaTheme="minorEastAsia"/>
          <w:b/>
          <w:bCs/>
          <w:color w:val="auto"/>
          <w:sz w:val="24"/>
          <w:szCs w:val="24"/>
          <w:highlight w:val="none"/>
        </w:rPr>
        <w:t>四、与质疑事项相关的质疑请求</w:t>
      </w:r>
      <w:bookmarkEnd w:id="253"/>
    </w:p>
    <w:p w14:paraId="2E11515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091BDC8">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E4145EB">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1AFBD08C">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252DF422">
      <w:pPr>
        <w:outlineLvl w:val="0"/>
        <w:rPr>
          <w:rFonts w:asciiTheme="minorEastAsia" w:hAnsiTheme="minorEastAsia" w:eastAsiaTheme="minorEastAsia"/>
          <w:b/>
          <w:color w:val="auto"/>
          <w:sz w:val="28"/>
          <w:szCs w:val="32"/>
          <w:highlight w:val="none"/>
        </w:rPr>
      </w:pPr>
      <w:bookmarkStart w:id="254" w:name="_Toc9754"/>
      <w:bookmarkStart w:id="255" w:name="_Toc22239"/>
      <w:r>
        <w:rPr>
          <w:rFonts w:hint="eastAsia" w:asciiTheme="minorEastAsia" w:hAnsiTheme="minorEastAsia" w:eastAsiaTheme="minorEastAsia"/>
          <w:b/>
          <w:color w:val="auto"/>
          <w:sz w:val="28"/>
          <w:szCs w:val="32"/>
          <w:highlight w:val="none"/>
        </w:rPr>
        <w:t>质疑函制作说明：</w:t>
      </w:r>
      <w:bookmarkEnd w:id="254"/>
      <w:bookmarkEnd w:id="255"/>
    </w:p>
    <w:p w14:paraId="0E89B6E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17FBD9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A0BDB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227F2A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44F6AC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23C0A6D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001FC30A">
      <w:pP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br w:type="page"/>
      </w:r>
    </w:p>
    <w:p w14:paraId="01D0118E">
      <w:pPr>
        <w:keepNext/>
        <w:keepLines/>
        <w:spacing w:before="200" w:after="200" w:line="600" w:lineRule="exact"/>
        <w:outlineLvl w:val="0"/>
        <w:rPr>
          <w:rFonts w:hint="eastAsia" w:ascii="宋体" w:hAnsi="宋体" w:eastAsia="宋体" w:cs="宋体"/>
          <w:b/>
          <w:bCs/>
          <w:color w:val="auto"/>
          <w:kern w:val="44"/>
          <w:sz w:val="28"/>
          <w:szCs w:val="28"/>
          <w:highlight w:val="none"/>
        </w:rPr>
      </w:pPr>
      <w:bookmarkStart w:id="256" w:name="OLE_LINK7"/>
      <w:bookmarkStart w:id="257" w:name="OLE_LINK24"/>
      <w:bookmarkStart w:id="258" w:name="OLE_LINK25"/>
      <w:r>
        <w:rPr>
          <w:rFonts w:hint="eastAsia" w:ascii="宋体" w:hAnsi="宋体" w:eastAsia="宋体" w:cs="宋体"/>
          <w:b/>
          <w:bCs/>
          <w:color w:val="auto"/>
          <w:kern w:val="44"/>
          <w:sz w:val="36"/>
          <w:szCs w:val="28"/>
          <w:highlight w:val="none"/>
        </w:rPr>
        <w:t>附件1关于联合惩戒失信行为加强信用查询管理的通知</w:t>
      </w:r>
    </w:p>
    <w:bookmarkEnd w:id="256"/>
    <w:p w14:paraId="33B08BE2">
      <w:pPr>
        <w:adjustRightInd w:val="0"/>
        <w:snapToGrid w:val="0"/>
        <w:spacing w:line="560" w:lineRule="exact"/>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一、失信行为联合惩戒的范围和查询渠道</w:t>
      </w:r>
    </w:p>
    <w:p w14:paraId="37C62D36">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在我市公共资源交易活动中对存在下列失信行为的投标人、法定代表人及其项目经理（建造师）实施联合惩戒，禁止参与我市公共资源交易活动。</w:t>
      </w:r>
    </w:p>
    <w:p w14:paraId="6CBC50F1">
      <w:pPr>
        <w:adjustRightInd w:val="0"/>
        <w:snapToGrid w:val="0"/>
        <w:spacing w:line="560" w:lineRule="exact"/>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（一）工程建设项目</w:t>
      </w:r>
    </w:p>
    <w:bookmarkEnd w:id="257"/>
    <w:bookmarkEnd w:id="258"/>
    <w:p w14:paraId="3E1106BB">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1、“信用中国”网站（www.creditchina.gov.cn）查询</w:t>
      </w:r>
      <w:bookmarkStart w:id="259" w:name="OLE_LINK92"/>
      <w:bookmarkStart w:id="260" w:name="OLE_LINK93"/>
      <w:bookmarkStart w:id="261" w:name="OLE_LINK91"/>
      <w:bookmarkStart w:id="262" w:name="OLE_LINK103"/>
      <w:r>
        <w:rPr>
          <w:rFonts w:hint="eastAsia" w:ascii="宋体" w:hAnsi="宋体" w:eastAsia="宋体" w:cs="宋体"/>
          <w:color w:val="auto"/>
          <w:sz w:val="28"/>
          <w:szCs w:val="28"/>
          <w:highlight w:val="none"/>
        </w:rPr>
        <w:t>投标人、法定代表人及其项目经理(建造师)</w:t>
      </w:r>
      <w:bookmarkEnd w:id="259"/>
      <w:bookmarkEnd w:id="260"/>
      <w:bookmarkEnd w:id="261"/>
      <w:bookmarkEnd w:id="262"/>
      <w:r>
        <w:rPr>
          <w:rFonts w:hint="eastAsia" w:ascii="宋体" w:hAnsi="宋体" w:eastAsia="宋体" w:cs="宋体"/>
          <w:color w:val="auto"/>
          <w:sz w:val="28"/>
          <w:szCs w:val="28"/>
          <w:highlight w:val="none"/>
        </w:rPr>
        <w:t>以下失信行为：</w:t>
      </w:r>
    </w:p>
    <w:p w14:paraId="06E75DB0">
      <w:pPr>
        <w:adjustRightInd w:val="0"/>
        <w:snapToGrid w:val="0"/>
        <w:spacing w:line="560" w:lineRule="exact"/>
        <w:ind w:firstLine="560" w:firstLineChars="200"/>
        <w:rPr>
          <w:rFonts w:hint="eastAsia" w:ascii="宋体" w:hAnsi="宋体" w:eastAsia="宋体" w:cs="宋体"/>
          <w:color w:val="auto"/>
          <w:sz w:val="28"/>
          <w:szCs w:val="28"/>
          <w:highlight w:val="none"/>
        </w:rPr>
      </w:pPr>
      <w:bookmarkStart w:id="263" w:name="OLE_LINK119"/>
      <w:bookmarkStart w:id="264" w:name="OLE_LINK86"/>
      <w:bookmarkStart w:id="265" w:name="OLE_LINK94"/>
      <w:bookmarkStart w:id="266" w:name="OLE_LINK3"/>
      <w:bookmarkStart w:id="267" w:name="OLE_LINK87"/>
      <w:r>
        <w:rPr>
          <w:rFonts w:hint="eastAsia" w:ascii="宋体" w:hAnsi="宋体" w:eastAsia="宋体" w:cs="宋体"/>
          <w:color w:val="auto"/>
          <w:sz w:val="28"/>
          <w:szCs w:val="28"/>
          <w:highlight w:val="none"/>
        </w:rPr>
        <w:t>①被列入“失信被执行人”的;</w:t>
      </w:r>
    </w:p>
    <w:p w14:paraId="7F6D9B10">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②被列入</w:t>
      </w:r>
      <w:bookmarkStart w:id="268" w:name="OLE_LINK115"/>
      <w:bookmarkStart w:id="269" w:name="OLE_LINK118"/>
      <w:bookmarkStart w:id="270" w:name="OLE_LINK117"/>
      <w:bookmarkStart w:id="271" w:name="OLE_LINK116"/>
      <w:r>
        <w:rPr>
          <w:rFonts w:hint="eastAsia" w:ascii="宋体" w:hAnsi="宋体" w:eastAsia="宋体" w:cs="宋体"/>
          <w:color w:val="auto"/>
          <w:sz w:val="28"/>
          <w:szCs w:val="28"/>
          <w:highlight w:val="none"/>
        </w:rPr>
        <w:t>“重大税收违法失信主体”</w:t>
      </w:r>
      <w:bookmarkEnd w:id="268"/>
      <w:bookmarkEnd w:id="269"/>
      <w:bookmarkEnd w:id="270"/>
      <w:bookmarkEnd w:id="271"/>
      <w:r>
        <w:rPr>
          <w:rFonts w:hint="eastAsia" w:ascii="宋体" w:hAnsi="宋体" w:eastAsia="宋体" w:cs="宋体"/>
          <w:color w:val="auto"/>
          <w:sz w:val="28"/>
          <w:szCs w:val="28"/>
          <w:highlight w:val="none"/>
        </w:rPr>
        <w:t>的；</w:t>
      </w:r>
    </w:p>
    <w:p w14:paraId="3069ABE4">
      <w:pPr>
        <w:adjustRightInd w:val="0"/>
        <w:snapToGrid w:val="0"/>
        <w:spacing w:line="560" w:lineRule="exact"/>
        <w:ind w:firstLine="560" w:firstLineChars="200"/>
        <w:rPr>
          <w:rFonts w:hint="eastAsia" w:ascii="宋体" w:hAnsi="宋体" w:eastAsia="宋体" w:cs="宋体"/>
          <w:color w:val="auto"/>
          <w:sz w:val="28"/>
          <w:szCs w:val="28"/>
          <w:highlight w:val="none"/>
        </w:rPr>
      </w:pPr>
      <w:bookmarkStart w:id="272" w:name="OLE_LINK1"/>
      <w:bookmarkStart w:id="273" w:name="OLE_LINK2"/>
      <w:r>
        <w:rPr>
          <w:rFonts w:hint="eastAsia" w:ascii="宋体" w:hAnsi="宋体" w:eastAsia="宋体" w:cs="宋体"/>
          <w:color w:val="auto"/>
          <w:sz w:val="28"/>
          <w:szCs w:val="28"/>
          <w:highlight w:val="none"/>
        </w:rPr>
        <w:t>③被列入“拖欠</w:t>
      </w:r>
      <w:bookmarkStart w:id="274" w:name="OLE_LINK84"/>
      <w:bookmarkStart w:id="275" w:name="OLE_LINK85"/>
      <w:r>
        <w:rPr>
          <w:rFonts w:hint="eastAsia" w:ascii="宋体" w:hAnsi="宋体" w:eastAsia="宋体" w:cs="宋体"/>
          <w:color w:val="auto"/>
          <w:sz w:val="28"/>
          <w:szCs w:val="28"/>
          <w:highlight w:val="none"/>
        </w:rPr>
        <w:t>农民工工资失信联合惩戒对象</w:t>
      </w:r>
      <w:bookmarkEnd w:id="274"/>
      <w:bookmarkEnd w:id="275"/>
      <w:r>
        <w:rPr>
          <w:rFonts w:hint="eastAsia" w:ascii="宋体" w:hAnsi="宋体" w:eastAsia="宋体" w:cs="宋体"/>
          <w:color w:val="auto"/>
          <w:sz w:val="28"/>
          <w:szCs w:val="28"/>
          <w:highlight w:val="none"/>
        </w:rPr>
        <w:t>名单”的；</w:t>
      </w:r>
      <w:bookmarkEnd w:id="272"/>
      <w:bookmarkEnd w:id="273"/>
    </w:p>
    <w:p w14:paraId="05B81CF7">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④被列入“严重失信主体名单”的；</w:t>
      </w:r>
    </w:p>
    <w:p w14:paraId="603F5C70">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⑤在“信用中国”网站上披露的仍在公示期的严重失信行为(具体行为类别及判定依据见附件2)的。</w:t>
      </w:r>
    </w:p>
    <w:bookmarkEnd w:id="263"/>
    <w:bookmarkEnd w:id="264"/>
    <w:bookmarkEnd w:id="265"/>
    <w:bookmarkEnd w:id="266"/>
    <w:bookmarkEnd w:id="267"/>
    <w:p w14:paraId="334441C1">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w:t>
      </w:r>
      <w:bookmarkStart w:id="276" w:name="OLE_LINK130"/>
      <w:r>
        <w:rPr>
          <w:rFonts w:hint="eastAsia" w:ascii="宋体" w:hAnsi="宋体" w:eastAsia="宋体" w:cs="宋体"/>
          <w:color w:val="auto"/>
          <w:sz w:val="28"/>
          <w:szCs w:val="28"/>
          <w:highlight w:val="none"/>
        </w:rPr>
        <w:t>国家企业信用信息公示系统网站</w:t>
      </w:r>
      <w:bookmarkEnd w:id="276"/>
      <w:r>
        <w:rPr>
          <w:rFonts w:hint="eastAsia" w:ascii="宋体" w:hAnsi="宋体" w:eastAsia="宋体" w:cs="宋体"/>
          <w:color w:val="auto"/>
          <w:sz w:val="28"/>
          <w:szCs w:val="28"/>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"http://www.gsxt.gov.cn）查询" </w:instrText>
      </w:r>
      <w:r>
        <w:rPr>
          <w:rFonts w:hint="eastAsia" w:ascii="宋体" w:hAnsi="宋体" w:eastAsia="宋体" w:cs="宋体"/>
          <w:color w:val="auto"/>
          <w:highlight w:val="none"/>
        </w:rPr>
        <w:fldChar w:fldCharType="separate"/>
      </w:r>
      <w:bookmarkStart w:id="277" w:name="OLE_LINK89"/>
      <w:bookmarkStart w:id="278" w:name="OLE_LINK90"/>
      <w:r>
        <w:rPr>
          <w:rStyle w:val="37"/>
          <w:rFonts w:hint="eastAsia" w:ascii="宋体" w:hAnsi="宋体" w:eastAsia="宋体" w:cs="宋体"/>
          <w:color w:val="auto"/>
          <w:sz w:val="28"/>
          <w:szCs w:val="28"/>
          <w:highlight w:val="none"/>
        </w:rPr>
        <w:t>www.gsxt.gov.cn</w:t>
      </w:r>
      <w:bookmarkEnd w:id="277"/>
      <w:bookmarkEnd w:id="278"/>
      <w:r>
        <w:rPr>
          <w:rStyle w:val="37"/>
          <w:rFonts w:hint="eastAsia" w:ascii="宋体" w:hAnsi="宋体" w:eastAsia="宋体" w:cs="宋体"/>
          <w:color w:val="auto"/>
          <w:sz w:val="28"/>
          <w:szCs w:val="28"/>
          <w:highlight w:val="none"/>
        </w:rPr>
        <w:t>）</w:t>
      </w:r>
      <w:r>
        <w:rPr>
          <w:rStyle w:val="37"/>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t>查询投标人以下失信行为：</w:t>
      </w:r>
    </w:p>
    <w:p w14:paraId="062FB4DE">
      <w:pPr>
        <w:adjustRightInd w:val="0"/>
        <w:snapToGrid w:val="0"/>
        <w:spacing w:line="560" w:lineRule="exact"/>
        <w:ind w:firstLine="560" w:firstLineChars="200"/>
        <w:rPr>
          <w:rFonts w:hint="eastAsia" w:ascii="宋体" w:hAnsi="宋体" w:eastAsia="宋体" w:cs="宋体"/>
          <w:color w:val="auto"/>
          <w:sz w:val="28"/>
          <w:szCs w:val="28"/>
          <w:highlight w:val="none"/>
        </w:rPr>
      </w:pPr>
      <w:bookmarkStart w:id="279" w:name="OLE_LINK122"/>
      <w:bookmarkStart w:id="280" w:name="OLE_LINK121"/>
      <w:bookmarkStart w:id="281" w:name="OLE_LINK120"/>
      <w:r>
        <w:rPr>
          <w:rFonts w:hint="eastAsia" w:ascii="宋体" w:hAnsi="宋体" w:eastAsia="宋体" w:cs="宋体"/>
          <w:color w:val="auto"/>
          <w:sz w:val="28"/>
          <w:szCs w:val="28"/>
          <w:highlight w:val="none"/>
        </w:rPr>
        <w:t>①被列入“经营异常名录”或者“严重违法失信名单”的。</w:t>
      </w:r>
      <w:bookmarkEnd w:id="279"/>
      <w:bookmarkEnd w:id="280"/>
      <w:bookmarkEnd w:id="281"/>
    </w:p>
    <w:p w14:paraId="3257C0ED">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3、由</w:t>
      </w:r>
      <w:r>
        <w:rPr>
          <w:rFonts w:hint="eastAsia" w:ascii="宋体" w:hAnsi="宋体" w:eastAsia="宋体" w:cs="宋体"/>
          <w:color w:val="auto"/>
          <w:kern w:val="0"/>
          <w:sz w:val="28"/>
          <w:szCs w:val="28"/>
          <w:highlight w:val="none"/>
        </w:rPr>
        <w:t>投标人、法定代表人及其项目经理(建造师)</w:t>
      </w:r>
      <w:r>
        <w:rPr>
          <w:rFonts w:hint="eastAsia" w:ascii="宋体" w:hAnsi="宋体" w:eastAsia="宋体" w:cs="宋体"/>
          <w:color w:val="auto"/>
          <w:sz w:val="28"/>
          <w:szCs w:val="28"/>
          <w:highlight w:val="none"/>
        </w:rPr>
        <w:t>进行承诺，不进行现场网上信用查询的失信行为：</w:t>
      </w:r>
    </w:p>
    <w:p w14:paraId="0F580478">
      <w:pPr>
        <w:adjustRightInd w:val="0"/>
        <w:snapToGrid w:val="0"/>
        <w:spacing w:line="560" w:lineRule="exact"/>
        <w:ind w:firstLine="560" w:firstLineChars="200"/>
        <w:rPr>
          <w:rFonts w:hint="eastAsia" w:ascii="宋体" w:hAnsi="宋体" w:eastAsia="宋体" w:cs="宋体"/>
          <w:color w:val="auto"/>
          <w:sz w:val="28"/>
          <w:szCs w:val="28"/>
          <w:highlight w:val="none"/>
        </w:rPr>
      </w:pPr>
      <w:bookmarkStart w:id="282" w:name="OLE_LINK123"/>
      <w:bookmarkStart w:id="283" w:name="OLE_LINK124"/>
      <w:r>
        <w:rPr>
          <w:rFonts w:hint="eastAsia" w:ascii="宋体" w:hAnsi="宋体" w:eastAsia="宋体" w:cs="宋体"/>
          <w:color w:val="auto"/>
          <w:sz w:val="28"/>
          <w:szCs w:val="28"/>
          <w:highlight w:val="none"/>
        </w:rPr>
        <w:t>①前三年有行贿犯罪行为的单位和个人；</w:t>
      </w:r>
    </w:p>
    <w:p w14:paraId="21C4B529">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②被滁州市县两级公管部门取消在一定期限内的投标资格且在取消期限内的；</w:t>
      </w:r>
    </w:p>
    <w:p w14:paraId="7B0AF547">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③被滁州市县两级各行业主管部门取消在一定期限内的投标资格且在取消期限内的；</w:t>
      </w:r>
    </w:p>
    <w:p w14:paraId="2A18B6FE">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④因拖欠农民工工资被</w:t>
      </w:r>
      <w:bookmarkStart w:id="284" w:name="OLE_LINK107"/>
      <w:bookmarkStart w:id="285" w:name="OLE_LINK108"/>
      <w:r>
        <w:rPr>
          <w:rFonts w:hint="eastAsia" w:ascii="宋体" w:hAnsi="宋体" w:eastAsia="宋体" w:cs="宋体"/>
          <w:color w:val="auto"/>
          <w:sz w:val="28"/>
          <w:szCs w:val="28"/>
          <w:highlight w:val="none"/>
        </w:rPr>
        <w:t>县级及以上有关行政主管部门限制投标资格且在限制期限内的</w:t>
      </w:r>
      <w:bookmarkEnd w:id="284"/>
      <w:bookmarkEnd w:id="285"/>
      <w:r>
        <w:rPr>
          <w:rFonts w:hint="eastAsia" w:ascii="宋体" w:hAnsi="宋体" w:eastAsia="宋体" w:cs="宋体"/>
          <w:color w:val="auto"/>
          <w:sz w:val="28"/>
          <w:szCs w:val="28"/>
          <w:highlight w:val="none"/>
        </w:rPr>
        <w:t>；</w:t>
      </w:r>
    </w:p>
    <w:p w14:paraId="1EA031C1">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⑤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bookmarkEnd w:id="282"/>
    <w:bookmarkEnd w:id="283"/>
    <w:p w14:paraId="38177678">
      <w:pPr>
        <w:adjustRightInd w:val="0"/>
        <w:snapToGrid w:val="0"/>
        <w:spacing w:line="560" w:lineRule="exact"/>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（二）政府采购项目</w:t>
      </w:r>
    </w:p>
    <w:p w14:paraId="2A1272AB">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1、“信用中国”网站（</w:t>
      </w:r>
      <w:r>
        <w:rPr>
          <w:rStyle w:val="37"/>
          <w:rFonts w:hint="eastAsia" w:ascii="宋体" w:hAnsi="宋体" w:eastAsia="宋体" w:cs="宋体"/>
          <w:color w:val="auto"/>
          <w:sz w:val="28"/>
          <w:szCs w:val="28"/>
          <w:highlight w:val="none"/>
        </w:rPr>
        <w:t>www.creditchina.gov.cn</w:t>
      </w:r>
      <w:r>
        <w:rPr>
          <w:rFonts w:hint="eastAsia" w:ascii="宋体" w:hAnsi="宋体" w:eastAsia="宋体" w:cs="宋体"/>
          <w:color w:val="auto"/>
          <w:sz w:val="28"/>
          <w:szCs w:val="28"/>
          <w:highlight w:val="none"/>
        </w:rPr>
        <w:t>）查询供应商、法定代表人及其项目负责人以下失信行为：</w:t>
      </w:r>
    </w:p>
    <w:p w14:paraId="0660A398">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①被列入“失信被执行人”的;</w:t>
      </w:r>
    </w:p>
    <w:p w14:paraId="45992DAE">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②被列入“重大税收违法失信主体”的；</w:t>
      </w:r>
    </w:p>
    <w:p w14:paraId="636B87A2">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③被列入“严重失信主体名单”的；</w:t>
      </w:r>
    </w:p>
    <w:p w14:paraId="6A882078">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④在“信用中国”网站上披露的仍在公示期的严重失信行为(具体行为类别及判定依据见附件2)的；</w:t>
      </w:r>
    </w:p>
    <w:p w14:paraId="49897B22">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2、国家企业信用信息公示系统网站（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"http://www.gsxt.gov.cn）查询"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www.gsxt.gov.cn）</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t>查询供应商以下失信行为：</w:t>
      </w:r>
    </w:p>
    <w:p w14:paraId="14177955">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①</w:t>
      </w:r>
      <w:bookmarkStart w:id="286" w:name="OLE_LINK102"/>
      <w:bookmarkStart w:id="287" w:name="OLE_LINK100"/>
      <w:bookmarkStart w:id="288" w:name="OLE_LINK101"/>
      <w:r>
        <w:rPr>
          <w:rFonts w:hint="eastAsia" w:ascii="宋体" w:hAnsi="宋体" w:eastAsia="宋体" w:cs="宋体"/>
          <w:color w:val="auto"/>
          <w:sz w:val="28"/>
          <w:szCs w:val="28"/>
          <w:highlight w:val="none"/>
        </w:rPr>
        <w:t>被列入“经营异常名录”或者“严重违法失信名单”的</w:t>
      </w:r>
      <w:bookmarkEnd w:id="286"/>
      <w:bookmarkEnd w:id="287"/>
      <w:bookmarkEnd w:id="288"/>
      <w:r>
        <w:rPr>
          <w:rFonts w:hint="eastAsia" w:ascii="宋体" w:hAnsi="宋体" w:eastAsia="宋体" w:cs="宋体"/>
          <w:color w:val="auto"/>
          <w:sz w:val="28"/>
          <w:szCs w:val="28"/>
          <w:highlight w:val="none"/>
        </w:rPr>
        <w:t>。</w:t>
      </w:r>
    </w:p>
    <w:p w14:paraId="25FB1385">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3、中国政府采购网站（</w:t>
      </w:r>
      <w:bookmarkStart w:id="289" w:name="OLE_LINK95"/>
      <w:bookmarkStart w:id="290" w:name="OLE_LINK96"/>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"http://www.ccgp.gov.cn"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www.ccgp.gov.cn</w:t>
      </w:r>
      <w:r>
        <w:rPr>
          <w:rFonts w:hint="eastAsia" w:ascii="宋体" w:hAnsi="宋体" w:eastAsia="宋体" w:cs="宋体"/>
          <w:color w:val="auto"/>
          <w:sz w:val="28"/>
          <w:szCs w:val="28"/>
          <w:highlight w:val="none"/>
        </w:rPr>
        <w:fldChar w:fldCharType="end"/>
      </w:r>
      <w:bookmarkEnd w:id="289"/>
      <w:bookmarkEnd w:id="290"/>
      <w:r>
        <w:rPr>
          <w:rFonts w:hint="eastAsia" w:ascii="宋体" w:hAnsi="宋体" w:eastAsia="宋体" w:cs="宋体"/>
          <w:color w:val="auto"/>
          <w:sz w:val="28"/>
          <w:szCs w:val="28"/>
          <w:highlight w:val="none"/>
        </w:rPr>
        <w:t>）查询以下失信行为：</w:t>
      </w:r>
    </w:p>
    <w:p w14:paraId="68339A26">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①</w:t>
      </w:r>
      <w:bookmarkStart w:id="291" w:name="OLE_LINK105"/>
      <w:bookmarkStart w:id="292" w:name="OLE_LINK104"/>
      <w:bookmarkStart w:id="293" w:name="OLE_LINK106"/>
      <w:r>
        <w:rPr>
          <w:rFonts w:hint="eastAsia" w:ascii="宋体" w:hAnsi="宋体" w:eastAsia="宋体" w:cs="宋体"/>
          <w:color w:val="auto"/>
          <w:sz w:val="28"/>
          <w:szCs w:val="28"/>
          <w:highlight w:val="none"/>
        </w:rPr>
        <w:t>被列入“政府采购严重违法失信行为信息记录”的</w:t>
      </w:r>
      <w:bookmarkEnd w:id="291"/>
      <w:bookmarkEnd w:id="292"/>
      <w:bookmarkEnd w:id="293"/>
      <w:r>
        <w:rPr>
          <w:rFonts w:hint="eastAsia" w:ascii="宋体" w:hAnsi="宋体" w:eastAsia="宋体" w:cs="宋体"/>
          <w:color w:val="auto"/>
          <w:sz w:val="28"/>
          <w:szCs w:val="28"/>
          <w:highlight w:val="none"/>
        </w:rPr>
        <w:t>。</w:t>
      </w:r>
    </w:p>
    <w:p w14:paraId="7E6EEF62">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4、由竞争主体进行承诺，不进行现场网上信用查询的失信行为：</w:t>
      </w:r>
    </w:p>
    <w:p w14:paraId="26EA2314">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①前三年有行贿犯罪行为的单位和个人。</w:t>
      </w:r>
    </w:p>
    <w:p w14:paraId="429ECF51">
      <w:pPr>
        <w:adjustRightInd w:val="0"/>
        <w:snapToGrid w:val="0"/>
        <w:spacing w:line="560" w:lineRule="exact"/>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二、在开评标活动中的查询程序</w:t>
      </w:r>
    </w:p>
    <w:p w14:paraId="7155F3B1">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实行有限数量制资格审查的项目，由项目单位（代理机构）对入围的投标人、法定代表人及其项目经理（建造师）是否存在上述要求查询的失信行为进行网上核查；若核查结果与投标人承诺不一致，则提交评标委员会取消其入围资格，依次进行替补，并对替补单位进行核查。评审结论以核查后入围的结果重新计算最终评标基准价。</w:t>
      </w:r>
    </w:p>
    <w:p w14:paraId="17A98BD9">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不实行有限数量制资格审查的项目，由项目单位（代理机构）对预中标候选人、法定代表人及其项目经理（建造师）是否存在上述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25CA6713">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3、项目单位及其委托的代理机构应当做好信用查询结果截图和记录留存。</w:t>
      </w:r>
    </w:p>
    <w:p w14:paraId="2512DC9A">
      <w:pPr>
        <w:adjustRightInd w:val="0"/>
        <w:snapToGrid w:val="0"/>
        <w:spacing w:line="560" w:lineRule="exact"/>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三、相关要求</w:t>
      </w:r>
    </w:p>
    <w:p w14:paraId="233DE54B">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1、参与公共资源交易活动的竞争主体根据上述范围查询的内容进行自查并承诺，出具《诚信投标承诺书》（诚信投标承诺书包括但不限于上述自查并承诺内容）并注明承诺日期（投标截止时间前5日内）。</w:t>
      </w:r>
    </w:p>
    <w:p w14:paraId="21D040C2">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59AF11E7">
      <w:pPr>
        <w:wordWrap w:val="0"/>
        <w:adjustRightInd w:val="0"/>
        <w:snapToGrid w:val="0"/>
        <w:spacing w:line="560" w:lineRule="exact"/>
        <w:ind w:firstLine="560" w:firstLineChars="200"/>
        <w:rPr>
          <w:rFonts w:hint="eastAsia" w:ascii="宋体" w:hAnsi="宋体" w:eastAsia="宋体" w:cs="宋体"/>
          <w:color w:val="auto"/>
          <w:szCs w:val="24"/>
          <w:highlight w:val="none"/>
        </w:rPr>
      </w:pPr>
      <w:r>
        <w:rPr>
          <w:rFonts w:hint="eastAsia" w:ascii="宋体" w:hAnsi="宋体" w:eastAsia="宋体" w:cs="宋体"/>
          <w:color w:val="auto"/>
          <w:sz w:val="28"/>
          <w:szCs w:val="28"/>
          <w:highlight w:val="none"/>
        </w:rPr>
        <w:t>注册地在安徽省内且未在安徽省外开展业务、省外无违法违规行为的企业可通过安徽政务服务网开具由安徽省公共信用信息服务中心出具的《公共信用信息报告（无违法违规证明版或核查版）》代替《诚信投标承诺书》。《公共信用信息报告（无违法违规证明版或核查版）》可通过“信用中国(安徽)”网站信用报告核验系统(</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"https://credit.ah.gov.cn/xinyong-fuwu/xvbahv/index.html"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https://credit.ah.gov.cn/xinyong-fuwu/xvbahv/index.html</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t>)进行核验。核验不一致或提交《公共信用信息报告（无违法违规证明版或核查版）》的企业在省外有失信行为的将视作不诚信行为，资格审查委员会或评标委员会及代理机构应当及时报告公共资源监管部门，依法依规予以处理。</w:t>
      </w:r>
    </w:p>
    <w:p w14:paraId="4077B290">
      <w:pPr>
        <w:adjustRightInd w:val="0"/>
        <w:snapToGrid w:val="0"/>
        <w:spacing w:line="560" w:lineRule="exact"/>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2、“信用中国”查询的严重失信行为判定依据为各行业主管部门下发的联合惩戒文件中规定的行为（按附件2执行）。</w:t>
      </w:r>
    </w:p>
    <w:p w14:paraId="238F096C">
      <w:pPr>
        <w:adjustRightInd w:val="0"/>
        <w:snapToGrid w:val="0"/>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3、资格预审的项目以递交资格预审申请文件截止时间查询为准；资格后审的项目以递交投标文件截止时间查询为准。</w:t>
      </w:r>
    </w:p>
    <w:p w14:paraId="2879B9DD">
      <w:pPr>
        <w:ind w:right="960"/>
        <w:rPr>
          <w:rFonts w:hint="eastAsia" w:ascii="宋体" w:hAnsi="宋体" w:eastAsia="宋体" w:cs="宋体"/>
          <w:color w:val="auto"/>
          <w:sz w:val="32"/>
          <w:szCs w:val="32"/>
          <w:highlight w:val="none"/>
        </w:rPr>
      </w:pPr>
    </w:p>
    <w:p w14:paraId="59BC89A8">
      <w:pPr>
        <w:ind w:right="960"/>
        <w:rPr>
          <w:rFonts w:hint="eastAsia" w:ascii="宋体" w:hAnsi="宋体" w:eastAsia="宋体" w:cs="宋体"/>
          <w:color w:val="auto"/>
          <w:sz w:val="32"/>
          <w:szCs w:val="32"/>
          <w:highlight w:val="none"/>
        </w:rPr>
      </w:pPr>
    </w:p>
    <w:p w14:paraId="24FFA67C">
      <w:pPr>
        <w:ind w:right="960"/>
        <w:rPr>
          <w:rFonts w:hint="eastAsia" w:ascii="宋体" w:hAnsi="宋体" w:eastAsia="宋体" w:cs="宋体"/>
          <w:color w:val="auto"/>
          <w:sz w:val="32"/>
          <w:szCs w:val="32"/>
          <w:highlight w:val="none"/>
        </w:rPr>
      </w:pPr>
    </w:p>
    <w:p w14:paraId="303F70FE">
      <w:pPr>
        <w:ind w:right="960"/>
        <w:rPr>
          <w:rFonts w:hint="eastAsia" w:ascii="宋体" w:hAnsi="宋体" w:eastAsia="宋体" w:cs="宋体"/>
          <w:color w:val="auto"/>
          <w:sz w:val="32"/>
          <w:szCs w:val="32"/>
          <w:highlight w:val="none"/>
        </w:rPr>
      </w:pPr>
    </w:p>
    <w:p w14:paraId="5C74E1E8">
      <w:pPr>
        <w:ind w:right="960"/>
        <w:rPr>
          <w:rFonts w:hint="eastAsia" w:ascii="宋体" w:hAnsi="宋体" w:eastAsia="宋体" w:cs="宋体"/>
          <w:color w:val="auto"/>
          <w:sz w:val="32"/>
          <w:szCs w:val="32"/>
          <w:highlight w:val="none"/>
        </w:rPr>
      </w:pPr>
    </w:p>
    <w:p w14:paraId="1FEAD9E8">
      <w:pPr>
        <w:ind w:right="960"/>
        <w:rPr>
          <w:rFonts w:hint="eastAsia" w:ascii="宋体" w:hAnsi="宋体" w:eastAsia="宋体" w:cs="宋体"/>
          <w:color w:val="auto"/>
          <w:sz w:val="32"/>
          <w:szCs w:val="32"/>
          <w:highlight w:val="none"/>
        </w:rPr>
      </w:pPr>
    </w:p>
    <w:p w14:paraId="6036928A">
      <w:pPr>
        <w:ind w:right="960"/>
        <w:rPr>
          <w:rFonts w:hint="eastAsia" w:ascii="宋体" w:hAnsi="宋体" w:eastAsia="宋体" w:cs="宋体"/>
          <w:color w:val="auto"/>
          <w:sz w:val="32"/>
          <w:szCs w:val="32"/>
          <w:highlight w:val="none"/>
        </w:rPr>
      </w:pPr>
    </w:p>
    <w:p w14:paraId="499AF632">
      <w:pPr>
        <w:ind w:right="960"/>
        <w:rPr>
          <w:rFonts w:hint="eastAsia" w:ascii="宋体" w:hAnsi="宋体" w:eastAsia="宋体" w:cs="宋体"/>
          <w:color w:val="auto"/>
          <w:sz w:val="32"/>
          <w:szCs w:val="32"/>
          <w:highlight w:val="none"/>
        </w:rPr>
      </w:pPr>
    </w:p>
    <w:p w14:paraId="3772693B">
      <w:pPr>
        <w:ind w:right="960"/>
        <w:rPr>
          <w:rFonts w:hint="eastAsia" w:ascii="宋体" w:hAnsi="宋体" w:eastAsia="宋体" w:cs="宋体"/>
          <w:color w:val="auto"/>
          <w:sz w:val="32"/>
          <w:szCs w:val="32"/>
          <w:highlight w:val="none"/>
        </w:rPr>
      </w:pPr>
    </w:p>
    <w:p w14:paraId="713936A7">
      <w:pPr>
        <w:keepNext/>
        <w:keepLines/>
        <w:spacing w:before="200" w:after="200" w:line="600" w:lineRule="exact"/>
        <w:outlineLvl w:val="0"/>
        <w:rPr>
          <w:rFonts w:hint="eastAsia" w:ascii="宋体" w:hAnsi="宋体" w:eastAsia="宋体" w:cs="宋体"/>
          <w:b/>
          <w:bCs/>
          <w:color w:val="auto"/>
          <w:kern w:val="44"/>
          <w:sz w:val="36"/>
          <w:szCs w:val="28"/>
          <w:highlight w:val="none"/>
        </w:rPr>
      </w:pPr>
      <w:bookmarkStart w:id="294" w:name="_Toc95223549"/>
      <w:bookmarkStart w:id="295" w:name="OLE_LINK31"/>
      <w:bookmarkStart w:id="296" w:name="OLE_LINK32"/>
      <w:bookmarkStart w:id="297" w:name="OLE_LINK41"/>
      <w:r>
        <w:rPr>
          <w:rFonts w:hint="eastAsia" w:ascii="宋体" w:hAnsi="宋体" w:eastAsia="宋体" w:cs="宋体"/>
          <w:b/>
          <w:bCs/>
          <w:color w:val="auto"/>
          <w:kern w:val="44"/>
          <w:sz w:val="36"/>
          <w:szCs w:val="28"/>
          <w:highlight w:val="none"/>
        </w:rPr>
        <w:br w:type="page"/>
      </w:r>
      <w:r>
        <w:rPr>
          <w:rFonts w:hint="eastAsia" w:ascii="宋体" w:hAnsi="宋体" w:eastAsia="宋体" w:cs="宋体"/>
          <w:b/>
          <w:bCs/>
          <w:color w:val="auto"/>
          <w:kern w:val="44"/>
          <w:sz w:val="36"/>
          <w:szCs w:val="28"/>
          <w:highlight w:val="none"/>
        </w:rPr>
        <w:t>附件2</w:t>
      </w:r>
      <w:bookmarkStart w:id="298" w:name="OLE_LINK75"/>
      <w:bookmarkStart w:id="299" w:name="OLE_LINK74"/>
      <w:r>
        <w:rPr>
          <w:rFonts w:hint="eastAsia" w:ascii="宋体" w:hAnsi="宋体" w:eastAsia="宋体" w:cs="宋体"/>
          <w:b/>
          <w:bCs/>
          <w:color w:val="auto"/>
          <w:kern w:val="44"/>
          <w:sz w:val="36"/>
          <w:szCs w:val="28"/>
          <w:highlight w:val="none"/>
        </w:rPr>
        <w:t>“信用中国”查询的严重失信行为</w:t>
      </w:r>
      <w:bookmarkStart w:id="300" w:name="OLE_LINK76"/>
      <w:bookmarkStart w:id="301" w:name="OLE_LINK38"/>
      <w:bookmarkStart w:id="302" w:name="OLE_LINK39"/>
      <w:bookmarkStart w:id="303" w:name="OLE_LINK40"/>
      <w:r>
        <w:rPr>
          <w:rFonts w:hint="eastAsia" w:ascii="宋体" w:hAnsi="宋体" w:eastAsia="宋体" w:cs="宋体"/>
          <w:b/>
          <w:bCs/>
          <w:color w:val="auto"/>
          <w:kern w:val="44"/>
          <w:sz w:val="36"/>
          <w:szCs w:val="28"/>
          <w:highlight w:val="none"/>
        </w:rPr>
        <w:t>类别及判定依据</w:t>
      </w:r>
      <w:bookmarkEnd w:id="294"/>
      <w:bookmarkEnd w:id="298"/>
      <w:bookmarkEnd w:id="299"/>
      <w:bookmarkEnd w:id="300"/>
      <w:bookmarkEnd w:id="301"/>
      <w:bookmarkEnd w:id="302"/>
      <w:bookmarkEnd w:id="303"/>
    </w:p>
    <w:bookmarkEnd w:id="295"/>
    <w:bookmarkEnd w:id="296"/>
    <w:bookmarkEnd w:id="297"/>
    <w:p w14:paraId="41FDE8DD">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32"/>
          <w:szCs w:val="32"/>
          <w:highlight w:val="none"/>
        </w:rPr>
        <w:t>“</w:t>
      </w:r>
      <w:r>
        <w:rPr>
          <w:rFonts w:hint="eastAsia" w:ascii="宋体" w:hAnsi="宋体" w:eastAsia="宋体" w:cs="宋体"/>
          <w:color w:val="auto"/>
          <w:sz w:val="28"/>
          <w:szCs w:val="28"/>
          <w:highlight w:val="none"/>
        </w:rPr>
        <w:t>信用中国”查询的严重失信行为判定依据为各行业主管部门下发的联合惩戒文件中规定的行为。下面将部分类别的严重失信行为列举如下：</w:t>
      </w:r>
    </w:p>
    <w:p w14:paraId="526AD474">
      <w:pPr>
        <w:adjustRightInd w:val="0"/>
        <w:snapToGrid w:val="0"/>
        <w:spacing w:line="560" w:lineRule="exact"/>
        <w:ind w:firstLine="645"/>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一、安全生产领域严重失信行为：</w:t>
      </w:r>
    </w:p>
    <w:p w14:paraId="524E3C4A">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（一）下列发生生产安全事故的生产经营单位及其有关人员应当列入严重失信主体名单：</w:t>
      </w:r>
    </w:p>
    <w:p w14:paraId="53F8832B">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1、发生特别重大、重大生产安全事故的生产经营单位及其主要负责人，以及经调查认定对该事故发生负有责任，应当列入名单的其他单位和人员；</w:t>
      </w:r>
    </w:p>
    <w:p w14:paraId="42942475">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2、12个月内累计发生2起以上较大生产安全事故的生产经营单位及其主要负责人；</w:t>
      </w:r>
    </w:p>
    <w:p w14:paraId="7AB7C5CA">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3、发生生产安全事故，情节特别严重、影响特别恶劣，依照《中华人民共和国安全生产法》第一百一十四条的规定被处以罚款数额2倍以上5倍以下罚款的生产经营单位及其主要负责人；</w:t>
      </w:r>
    </w:p>
    <w:p w14:paraId="13A7129A">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4、瞒报、谎报生产安全事故的生产经营单位及其有关责任人员；</w:t>
      </w:r>
    </w:p>
    <w:p w14:paraId="532F9509">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5、发生生产安全事故后，不立即组织抢救或者在事故调查处理期间擅离职守或者逃匿的生产经营单位主要负责人。</w:t>
      </w:r>
    </w:p>
    <w:p w14:paraId="2B6D299C">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（二）下列未发生生产安全事故，但因安全生产违法行为，受到行政处罚的生产经营单位或者机构及其有关人员，应当列入严重失信主体名单：</w:t>
      </w:r>
    </w:p>
    <w:p w14:paraId="7FDFFC14">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1、未依法取得安全生产相关许可或者许可被暂扣、吊销期间从事相关生产经营活动的生产经营单位及其主要负责人；</w:t>
      </w:r>
    </w:p>
    <w:p w14:paraId="422CD2E8">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2、承担安全评价、认证、检测、检验职责的机构及其直接责任人员租借资质、挂靠、出具虚假报告或者证书的；</w:t>
      </w:r>
    </w:p>
    <w:p w14:paraId="3D9B9C45">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3、在应急管理部门作出行政处罚后，有执行能力拒不执行或者逃避执行的生产经营单位及其主要负责人；</w:t>
      </w:r>
    </w:p>
    <w:p w14:paraId="3D1704B0">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4、其他违反安全生产法律法规受到行政处罚，且性质恶劣、情节严重的。</w:t>
      </w:r>
    </w:p>
    <w:p w14:paraId="407426B8">
      <w:pPr>
        <w:adjustRightInd w:val="0"/>
        <w:snapToGrid w:val="0"/>
        <w:spacing w:line="560" w:lineRule="exact"/>
        <w:ind w:firstLine="645"/>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依据：《安全生产严重失信主体名单管理办法》（2023年8月8日应急管理部令第11号）</w:t>
      </w:r>
    </w:p>
    <w:p w14:paraId="254DC0E2">
      <w:pPr>
        <w:adjustRightInd w:val="0"/>
        <w:snapToGrid w:val="0"/>
        <w:spacing w:line="560" w:lineRule="exact"/>
        <w:ind w:firstLine="645"/>
        <w:jc w:val="left"/>
        <w:rPr>
          <w:rFonts w:hint="eastAsia" w:ascii="宋体" w:hAnsi="宋体" w:eastAsia="宋体" w:cs="宋体"/>
          <w:b/>
          <w:color w:val="auto"/>
          <w:sz w:val="28"/>
          <w:szCs w:val="28"/>
          <w:highlight w:val="none"/>
        </w:rPr>
      </w:pPr>
    </w:p>
    <w:p w14:paraId="52B2347F">
      <w:pPr>
        <w:adjustRightInd w:val="0"/>
        <w:snapToGrid w:val="0"/>
        <w:spacing w:line="560" w:lineRule="exact"/>
        <w:ind w:firstLine="645"/>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二、环境保护领域严重失信行为：</w:t>
      </w:r>
    </w:p>
    <w:p w14:paraId="10603B63">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（一）因为环境违法构成</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"https://baike.sogou.com/m/fullLemma?lid=10403954&amp;g_ut=3" \t "https://baike.sogou.com/m/_blank"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环境犯罪</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t>的；</w:t>
      </w:r>
    </w:p>
    <w:p w14:paraId="6DD9008D">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"https://baike.sogou.com/m/fullLemma?lid=76033123&amp;g_ut=3" \t "https://baike.sogou.com/m/_blank"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建设项目环境影响评价</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t>文件未按规定通过审批，擅自开工建设的；</w:t>
      </w:r>
    </w:p>
    <w:p w14:paraId="41F1CDE6">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（三）建设项目环保设施未建成、环保措施未落实、未通过</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"https://baike.sogou.com/m/fullLemma?lid=6470550&amp;g_ut=3" \t "https://baike.sogou.com/m/_blank"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竣工环保验收</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t>或者验收不合格，主体工程正式投入生产或者使用的；</w:t>
      </w:r>
    </w:p>
    <w:p w14:paraId="3B71FA1D">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（四）建设项目性质、规模、地点、采用的生产工艺或者防治污染、防止生态破坏的措施发生重大变动，未重新报批环境影响评价文件，擅自投入生产或者使用的；</w:t>
      </w:r>
    </w:p>
    <w:p w14:paraId="491F15A8">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（五）主要污染物排放总量超过控制指标的；</w:t>
      </w:r>
    </w:p>
    <w:p w14:paraId="1D72CF3B">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（六）私设暗管或者利用</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"https://baike.sogou.com/m/fullLemma?lid=41657319&amp;g_ut=3" \t "https://baike.sogou.com/m/_blank"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渗井</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t>、渗坑、裂隙、溶洞等排放、倾倒、处置水污染物，或者通过私设旁路排放</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"https://baike.sogou.com/m/fullLemma?lid=7758328&amp;g_ut=3" \t "https://baike.sogou.com/m/_blank"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大气污染物</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t>的；</w:t>
      </w:r>
    </w:p>
    <w:p w14:paraId="106604A6">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（七）非法排放、倾倒、处置危险废物，或者向无</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"https://baike.sogou.com/m/fullLemma?lid=5923292&amp;g_ut=3" \t "https://baike.sogou.com/m/_blank"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经营许可证</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t>或者超出经营许可范围的单位或个人提供或者委托其收集、贮存、利用、处置危险废物的；</w:t>
      </w:r>
    </w:p>
    <w:p w14:paraId="29DE2FE3">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（八）</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"https://baike.sogou.com/m/fullLemma?lid=167759803&amp;g_ut=3" \t "https://baike.sogou.com/m/_blank"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环境违法行为</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t>造成集中式生活饮用水水源取水中断的；</w:t>
      </w:r>
    </w:p>
    <w:p w14:paraId="6C25B045">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（九）环境违法行为对生活饮用水水源保护区、自然保护区、</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"https://baike.sogou.com/m/fullLemma?lid=155199213&amp;g_ut=3" \t "https://baike.sogou.com/m/_blank"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国家重点生态功能区</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t>、风景名胜区、居住功能区、</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"https://baike.sogou.com/m/fullLemma?lid=7757164&amp;g_ut=3" \t "https://baike.sogou.com/m/_blank"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基本农田保护区</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t>等环境敏感区造成重大不利影响的；</w:t>
      </w:r>
    </w:p>
    <w:p w14:paraId="14CD0081">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（十）违法从事自然资源开发、交通基础设施建设，以及其他开发建设活动，造成严重生态破坏的；</w:t>
      </w:r>
    </w:p>
    <w:p w14:paraId="7001CF24">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（十一）发生较大及以上突发环境事件的；</w:t>
      </w:r>
    </w:p>
    <w:p w14:paraId="780ADE8C">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（十二）被环保部门挂牌督办，整改逾期未完成的；</w:t>
      </w:r>
    </w:p>
    <w:p w14:paraId="4082F6EC">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（十三）以暴力、威胁等方式拒绝、阻挠环保部门工作人员现场检查的；</w:t>
      </w:r>
    </w:p>
    <w:p w14:paraId="2019D8C0">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（十四）违反重污染天气应急预案有关规定，对重污染天气响应不力的。</w:t>
      </w:r>
    </w:p>
    <w:p w14:paraId="1DC6587B">
      <w:pPr>
        <w:adjustRightInd w:val="0"/>
        <w:snapToGrid w:val="0"/>
        <w:spacing w:line="560" w:lineRule="exact"/>
        <w:ind w:firstLine="645"/>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依据：《</w:t>
      </w:r>
      <w:bookmarkStart w:id="304" w:name="OLE_LINK8"/>
      <w:bookmarkStart w:id="305" w:name="OLE_LINK9"/>
      <w:bookmarkStart w:id="306" w:name="OLE_LINK10"/>
      <w:r>
        <w:rPr>
          <w:rFonts w:hint="eastAsia" w:ascii="宋体" w:hAnsi="宋体" w:eastAsia="宋体" w:cs="宋体"/>
          <w:b/>
          <w:color w:val="auto"/>
          <w:sz w:val="28"/>
          <w:szCs w:val="28"/>
          <w:highlight w:val="none"/>
        </w:rPr>
        <w:t>关于对环境保护领域失信生产经营单位及其有关人员开展联合惩戒的合作备忘录</w:t>
      </w:r>
      <w:bookmarkEnd w:id="304"/>
      <w:bookmarkEnd w:id="305"/>
      <w:bookmarkEnd w:id="306"/>
      <w:r>
        <w:rPr>
          <w:rFonts w:hint="eastAsia" w:ascii="宋体" w:hAnsi="宋体" w:eastAsia="宋体" w:cs="宋体"/>
          <w:b/>
          <w:color w:val="auto"/>
          <w:sz w:val="28"/>
          <w:szCs w:val="28"/>
          <w:highlight w:val="none"/>
        </w:rPr>
        <w:t>》、《</w:t>
      </w:r>
      <w:bookmarkStart w:id="307" w:name="OLE_LINK12"/>
      <w:bookmarkStart w:id="308" w:name="OLE_LINK11"/>
      <w:r>
        <w:rPr>
          <w:rFonts w:hint="eastAsia" w:ascii="宋体" w:hAnsi="宋体" w:eastAsia="宋体" w:cs="宋体"/>
          <w:b/>
          <w:color w:val="auto"/>
          <w:sz w:val="28"/>
          <w:szCs w:val="28"/>
          <w:highlight w:val="none"/>
        </w:rPr>
        <w:t>企业环境信用评价办法（试行）</w:t>
      </w:r>
      <w:bookmarkEnd w:id="307"/>
      <w:bookmarkEnd w:id="308"/>
      <w:r>
        <w:rPr>
          <w:rFonts w:hint="eastAsia" w:ascii="宋体" w:hAnsi="宋体" w:eastAsia="宋体" w:cs="宋体"/>
          <w:b/>
          <w:color w:val="auto"/>
          <w:sz w:val="28"/>
          <w:szCs w:val="28"/>
          <w:highlight w:val="none"/>
        </w:rPr>
        <w:t>》（环发〔2013〕150号）</w:t>
      </w:r>
    </w:p>
    <w:p w14:paraId="5A4DF437">
      <w:pPr>
        <w:adjustRightInd w:val="0"/>
        <w:snapToGrid w:val="0"/>
        <w:spacing w:line="560" w:lineRule="exact"/>
        <w:ind w:firstLine="645"/>
        <w:jc w:val="left"/>
        <w:rPr>
          <w:rFonts w:hint="eastAsia" w:ascii="宋体" w:hAnsi="宋体" w:eastAsia="宋体" w:cs="宋体"/>
          <w:b/>
          <w:color w:val="auto"/>
          <w:sz w:val="28"/>
          <w:szCs w:val="28"/>
          <w:highlight w:val="none"/>
        </w:rPr>
      </w:pPr>
    </w:p>
    <w:p w14:paraId="284743CA">
      <w:pPr>
        <w:adjustRightInd w:val="0"/>
        <w:snapToGrid w:val="0"/>
        <w:spacing w:line="560" w:lineRule="exact"/>
        <w:ind w:firstLine="645"/>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三、</w:t>
      </w:r>
      <w:r>
        <w:rPr>
          <w:rFonts w:hint="eastAsia" w:ascii="宋体" w:hAnsi="宋体" w:eastAsia="宋体" w:cs="宋体"/>
          <w:b/>
          <w:bCs/>
          <w:color w:val="auto"/>
          <w:sz w:val="28"/>
          <w:szCs w:val="28"/>
          <w:highlight w:val="none"/>
        </w:rPr>
        <w:t>公共资源交易领域严重失信行为</w:t>
      </w:r>
    </w:p>
    <w:p w14:paraId="437FAB5C">
      <w:pPr>
        <w:adjustRightInd w:val="0"/>
        <w:snapToGrid w:val="0"/>
        <w:spacing w:line="560" w:lineRule="exact"/>
        <w:ind w:firstLine="645"/>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（一）违反法律规定，必须进行招标的项目而不招标的，将必须进行招标的项目化整为零或者以其他任何方式规避招标的；</w:t>
      </w:r>
    </w:p>
    <w:p w14:paraId="48580B9F">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（二）招标代理机构违反法律规定，泄露应当保密的与招标投标活动有关的情况和资料的，或者与招标人、投标人串通损害国家利益、社会公共利益或者他人合法权益的；</w:t>
      </w:r>
    </w:p>
    <w:p w14:paraId="6FE48678">
      <w:pPr>
        <w:adjustRightInd w:val="0"/>
        <w:snapToGrid w:val="0"/>
        <w:spacing w:line="56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（三）招标人以不合理的条件限制或者排斥潜在投标人的，对潜在投标人实行歧视待遇的，强制要求投标人组成联合体共同投标的，或者限制投标人之间竞争的；</w:t>
      </w:r>
    </w:p>
    <w:p w14:paraId="29AFA2C6">
      <w:pPr>
        <w:adjustRightInd w:val="0"/>
        <w:snapToGrid w:val="0"/>
        <w:spacing w:line="56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（四）依法必须进行招标的项目的招标人向他人透露已获取招标文件的潜在投标人的名称、数量或者可能影响公平竞争的有关招标投标的其他情况的，或者泄露标底的；</w:t>
      </w:r>
    </w:p>
    <w:p w14:paraId="488220F6">
      <w:pPr>
        <w:adjustRightInd w:val="0"/>
        <w:snapToGrid w:val="0"/>
        <w:spacing w:line="560" w:lineRule="exact"/>
        <w:ind w:firstLine="560" w:firstLineChars="200"/>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（五）投标人相互串通投标或者与招标人串通投标的，投标人以向招标人或者评标委员会成员行贿的手段谋取中标的；</w:t>
      </w:r>
    </w:p>
    <w:p w14:paraId="46653E6C">
      <w:pPr>
        <w:adjustRightInd w:val="0"/>
        <w:snapToGrid w:val="0"/>
        <w:spacing w:line="56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（六）投标人以他人名义投标或者以其他方式弄虚作假，骗取中标的；</w:t>
      </w:r>
    </w:p>
    <w:p w14:paraId="7282542F">
      <w:pPr>
        <w:adjustRightInd w:val="0"/>
        <w:snapToGrid w:val="0"/>
        <w:spacing w:line="56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（七）依法必须进行招标的项目，招标人违反法律规定，与投标人就投标价格、投标方案等实质性内容进行谈判的；</w:t>
      </w:r>
    </w:p>
    <w:p w14:paraId="4DA2C51B">
      <w:pPr>
        <w:adjustRightInd w:val="0"/>
        <w:snapToGrid w:val="0"/>
        <w:spacing w:line="560" w:lineRule="exact"/>
        <w:ind w:firstLine="645"/>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（八）评标委员会成员收受投标人的财物或者其他好处的，评标委员会成员或者参加评标的有关工作人员向他人透露对投标文件的评审和比较、中标候选人的推荐以及与评标有关的其他情况的；</w:t>
      </w:r>
    </w:p>
    <w:p w14:paraId="5AB8E581">
      <w:pPr>
        <w:adjustRightInd w:val="0"/>
        <w:snapToGrid w:val="0"/>
        <w:spacing w:line="560" w:lineRule="exact"/>
        <w:ind w:firstLine="645"/>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（九）招标人在评标委员会依法推荐的中标候选人以外确定中标人的，依法必须进行招标的项目在所有投标被评标委员会否决后自行确定中标人的；</w:t>
      </w:r>
    </w:p>
    <w:p w14:paraId="5B29C3EA">
      <w:pPr>
        <w:adjustRightInd w:val="0"/>
        <w:snapToGrid w:val="0"/>
        <w:spacing w:line="560" w:lineRule="exact"/>
        <w:ind w:firstLine="645"/>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（十）中标人将中标项目转让给他人的，将中标项目肢解后分别转让给他人的，违反法律规定将中标项目的部分主体、关键性工作分包给他人的，或者分包人再次分包的；</w:t>
      </w:r>
    </w:p>
    <w:p w14:paraId="384691F1">
      <w:pPr>
        <w:adjustRightInd w:val="0"/>
        <w:snapToGrid w:val="0"/>
        <w:spacing w:line="560" w:lineRule="exact"/>
        <w:ind w:firstLine="645"/>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（十一）招标人与中标人不按照招标文件和中标人的投标文件订立合同的，或者招标人、中标人订立背离合同实质性内容的协议的；</w:t>
      </w:r>
    </w:p>
    <w:p w14:paraId="45353754">
      <w:pPr>
        <w:adjustRightInd w:val="0"/>
        <w:snapToGrid w:val="0"/>
        <w:spacing w:line="560" w:lineRule="exact"/>
        <w:ind w:firstLine="645"/>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（十二）中标人不按照与招标人订立的合同履行义务，情节严重的；</w:t>
      </w:r>
    </w:p>
    <w:p w14:paraId="0CAFB160">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三）采购人、采购代理机构存在应当采用公开招标方式而擅自采用其他方式采购，擅自提高采购标准，以不合理的条件对供应商实行差别待遇或者歧视待遇，在招标采购过程中与投标人进行协商谈判，中标、成交通知书发出后不与中标、成交供应商签订采购合同，或者拒绝有关部门依法实施监督检查等情形的；</w:t>
      </w:r>
    </w:p>
    <w:p w14:paraId="6CD955EF">
      <w:pPr>
        <w:adjustRightInd w:val="0"/>
        <w:snapToGrid w:val="0"/>
        <w:spacing w:line="560" w:lineRule="exact"/>
        <w:ind w:firstLine="645"/>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四）采购人、采购代理机构及其工作人员存在与供应商或者采购代理机构恶意串通，在采购过程中接受贿赂或者获取其他不正当利益，在有关部门依法实施的监督检查中提供虚假情况，或者开标前泄露标底等情形的；</w:t>
      </w:r>
    </w:p>
    <w:p w14:paraId="2727E1AE">
      <w:pPr>
        <w:adjustRightInd w:val="0"/>
        <w:snapToGrid w:val="0"/>
        <w:spacing w:line="560" w:lineRule="exact"/>
        <w:ind w:firstLine="645"/>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（十五）采购人对应当实行集中采购的政府采购项目，不委托集中采购机构实行集中采购的；</w:t>
      </w:r>
    </w:p>
    <w:p w14:paraId="1FB8B12D">
      <w:pPr>
        <w:adjustRightInd w:val="0"/>
        <w:snapToGrid w:val="0"/>
        <w:spacing w:line="560" w:lineRule="exact"/>
        <w:ind w:firstLine="645"/>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（十六）采购人、采购代理机构违反法律规定隐匿、销毁应当保存的采购文件或者伪造、变造采购文件的；</w:t>
      </w:r>
    </w:p>
    <w:p w14:paraId="211DCF67">
      <w:pPr>
        <w:adjustRightInd w:val="0"/>
        <w:snapToGrid w:val="0"/>
        <w:spacing w:line="560" w:lineRule="exact"/>
        <w:ind w:firstLine="645"/>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十七）供应商存在提供虚假材料谋取中标、成交，采取不正当手段诋毁、排挤其他供应商，与采购人、其他供应商或者采购代理机构恶意串通，向采购人、采购代理机构行贿或者提供其他不正当利益，在招标采购过程中与采购人进行协商谈判，或拒绝有关部门监督检查或者提供虚假情况等情形的；</w:t>
      </w:r>
    </w:p>
    <w:p w14:paraId="6D68994B">
      <w:pPr>
        <w:adjustRightInd w:val="0"/>
        <w:snapToGrid w:val="0"/>
        <w:spacing w:line="560" w:lineRule="exact"/>
        <w:ind w:left="141" w:leftChars="67" w:firstLine="420" w:firstLineChars="150"/>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（十八）疫苗生产企业向县级疾病预防控制机构以外的单位或者个人销售第二类疫苗的；</w:t>
      </w:r>
    </w:p>
    <w:p w14:paraId="5E6961E5">
      <w:pPr>
        <w:adjustRightInd w:val="0"/>
        <w:snapToGrid w:val="0"/>
        <w:spacing w:line="560" w:lineRule="exact"/>
        <w:ind w:left="141" w:leftChars="67" w:firstLine="420" w:firstLineChars="15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（十九）存在其他违反公共资源交易法律法规行为的。</w:t>
      </w:r>
    </w:p>
    <w:p w14:paraId="5E88E9C5">
      <w:pPr>
        <w:adjustRightInd w:val="0"/>
        <w:snapToGrid w:val="0"/>
        <w:spacing w:line="560" w:lineRule="exact"/>
        <w:ind w:firstLine="894" w:firstLineChars="318"/>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依据：《</w:t>
      </w:r>
      <w:bookmarkStart w:id="309" w:name="OLE_LINK13"/>
      <w:bookmarkStart w:id="310" w:name="OLE_LINK14"/>
      <w:r>
        <w:rPr>
          <w:rFonts w:hint="eastAsia" w:ascii="宋体" w:hAnsi="宋体" w:eastAsia="宋体" w:cs="宋体"/>
          <w:b/>
          <w:color w:val="auto"/>
          <w:sz w:val="28"/>
          <w:szCs w:val="28"/>
          <w:highlight w:val="none"/>
        </w:rPr>
        <w:t>关于对公共资源交易领域严重失信主体开展联合惩戒的备忘录</w:t>
      </w:r>
      <w:bookmarkEnd w:id="309"/>
      <w:bookmarkEnd w:id="310"/>
      <w:r>
        <w:rPr>
          <w:rFonts w:hint="eastAsia" w:ascii="宋体" w:hAnsi="宋体" w:eastAsia="宋体" w:cs="宋体"/>
          <w:b/>
          <w:color w:val="auto"/>
          <w:sz w:val="28"/>
          <w:szCs w:val="28"/>
          <w:highlight w:val="none"/>
        </w:rPr>
        <w:t>》（发改法规〔2018〕457号）</w:t>
      </w:r>
    </w:p>
    <w:p w14:paraId="515E27ED">
      <w:pPr>
        <w:adjustRightInd w:val="0"/>
        <w:snapToGrid w:val="0"/>
        <w:spacing w:line="560" w:lineRule="exact"/>
        <w:ind w:firstLine="645"/>
        <w:jc w:val="left"/>
        <w:rPr>
          <w:rFonts w:hint="eastAsia" w:ascii="宋体" w:hAnsi="宋体" w:eastAsia="宋体" w:cs="宋体"/>
          <w:color w:val="auto"/>
          <w:sz w:val="28"/>
          <w:szCs w:val="28"/>
          <w:highlight w:val="none"/>
        </w:rPr>
      </w:pPr>
    </w:p>
    <w:p w14:paraId="033EBC89">
      <w:pPr>
        <w:adjustRightInd w:val="0"/>
        <w:snapToGrid w:val="0"/>
        <w:spacing w:line="560" w:lineRule="exact"/>
        <w:ind w:firstLine="645"/>
        <w:jc w:val="left"/>
        <w:rPr>
          <w:rFonts w:hint="eastAsia" w:ascii="宋体" w:hAnsi="宋体" w:eastAsia="宋体" w:cs="宋体"/>
          <w:b/>
          <w:bCs/>
          <w:color w:val="auto"/>
          <w:sz w:val="28"/>
          <w:szCs w:val="28"/>
          <w:highlight w:val="none"/>
        </w:rPr>
      </w:pPr>
      <w:r>
        <w:rPr>
          <w:rFonts w:hint="eastAsia" w:ascii="宋体" w:hAnsi="宋体" w:eastAsia="宋体" w:cs="宋体"/>
          <w:b/>
          <w:color w:val="auto"/>
          <w:sz w:val="28"/>
          <w:szCs w:val="28"/>
          <w:highlight w:val="none"/>
        </w:rPr>
        <w:t>四、</w:t>
      </w:r>
      <w:r>
        <w:rPr>
          <w:rFonts w:hint="eastAsia" w:ascii="宋体" w:hAnsi="宋体" w:eastAsia="宋体" w:cs="宋体"/>
          <w:b/>
          <w:bCs/>
          <w:color w:val="auto"/>
          <w:sz w:val="28"/>
          <w:szCs w:val="28"/>
          <w:highlight w:val="none"/>
        </w:rPr>
        <w:t>社会保险领域严重失信行为</w:t>
      </w:r>
    </w:p>
    <w:p w14:paraId="7B71812B">
      <w:pPr>
        <w:adjustRightInd w:val="0"/>
        <w:snapToGrid w:val="0"/>
        <w:spacing w:line="560" w:lineRule="exact"/>
        <w:ind w:left="141" w:leftChars="67" w:firstLine="420" w:firstLineChars="150"/>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（一）用人单位未按相关规定参加社会保险且拒不整改的；</w:t>
      </w:r>
    </w:p>
    <w:p w14:paraId="6AB1E9BC">
      <w:pPr>
        <w:adjustRightInd w:val="0"/>
        <w:snapToGrid w:val="0"/>
        <w:spacing w:line="560" w:lineRule="exact"/>
        <w:ind w:left="141" w:leftChars="67" w:firstLine="420" w:firstLineChars="150"/>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（二）用人单位未如实申报社会保险缴费基数且拒不整改的；</w:t>
      </w:r>
    </w:p>
    <w:p w14:paraId="6031E888">
      <w:pPr>
        <w:adjustRightInd w:val="0"/>
        <w:snapToGrid w:val="0"/>
        <w:spacing w:line="560" w:lineRule="exact"/>
        <w:ind w:left="141" w:leftChars="67" w:firstLine="420" w:firstLineChars="150"/>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（三）应缴纳社会保险费却拒不缴纳的；</w:t>
      </w:r>
    </w:p>
    <w:p w14:paraId="0031B08A">
      <w:pPr>
        <w:adjustRightInd w:val="0"/>
        <w:snapToGrid w:val="0"/>
        <w:spacing w:line="560" w:lineRule="exact"/>
        <w:ind w:left="141" w:leftChars="67" w:firstLine="420" w:firstLineChars="15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（四）隐匿、转移、侵占、挪用社会保险费款、基金或者违规投资运营的；</w:t>
      </w:r>
    </w:p>
    <w:p w14:paraId="69E73FD7">
      <w:pPr>
        <w:adjustRightInd w:val="0"/>
        <w:snapToGrid w:val="0"/>
        <w:spacing w:line="560" w:lineRule="exact"/>
        <w:ind w:left="141" w:leftChars="67" w:firstLine="420" w:firstLineChars="150"/>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（五）以欺诈、伪造证明材料或者其他手段参加、申报社会保险和骗取社会保险基金支出或社会保险待遇的；</w:t>
      </w:r>
    </w:p>
    <w:p w14:paraId="646EBB55">
      <w:pPr>
        <w:adjustRightInd w:val="0"/>
        <w:snapToGrid w:val="0"/>
        <w:spacing w:line="560" w:lineRule="exact"/>
        <w:ind w:left="141" w:leftChars="67" w:firstLine="420" w:firstLineChars="150"/>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（六）非法获取、出售或变相交易社会保险个人权益数据的；</w:t>
      </w:r>
    </w:p>
    <w:p w14:paraId="1CAF582B">
      <w:pPr>
        <w:adjustRightInd w:val="0"/>
        <w:snapToGrid w:val="0"/>
        <w:spacing w:line="560" w:lineRule="exact"/>
        <w:ind w:left="141" w:leftChars="67" w:firstLine="420" w:firstLineChars="150"/>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（七）社会保险服务机构违反服务协议或相关规定的；</w:t>
      </w:r>
    </w:p>
    <w:p w14:paraId="4A9DC8B0">
      <w:pPr>
        <w:adjustRightInd w:val="0"/>
        <w:snapToGrid w:val="0"/>
        <w:spacing w:line="560" w:lineRule="exact"/>
        <w:ind w:left="141" w:leftChars="67" w:firstLine="420" w:firstLineChars="150"/>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（八）拒绝协助社会保险行政部门、经办机构对事故和问题进行调查核实的；拒绝接受或协助税务部门对社会保险实施监督检查，不如实提供与社会保险相关各项资料的；</w:t>
      </w:r>
    </w:p>
    <w:p w14:paraId="6384ECC4">
      <w:pPr>
        <w:adjustRightInd w:val="0"/>
        <w:snapToGrid w:val="0"/>
        <w:spacing w:line="560" w:lineRule="exact"/>
        <w:ind w:left="141" w:leftChars="67" w:firstLine="420" w:firstLineChars="15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（九）其他违反法律法规规定的。</w:t>
      </w:r>
    </w:p>
    <w:p w14:paraId="71D51F99">
      <w:pPr>
        <w:adjustRightInd w:val="0"/>
        <w:snapToGrid w:val="0"/>
        <w:spacing w:line="560" w:lineRule="exact"/>
        <w:ind w:firstLine="551" w:firstLineChars="196"/>
        <w:jc w:val="left"/>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依据：《</w:t>
      </w:r>
      <w:bookmarkStart w:id="311" w:name="OLE_LINK16"/>
      <w:bookmarkStart w:id="312" w:name="OLE_LINK15"/>
      <w:r>
        <w:rPr>
          <w:rFonts w:hint="eastAsia" w:ascii="宋体" w:hAnsi="宋体" w:eastAsia="宋体" w:cs="宋体"/>
          <w:b/>
          <w:color w:val="auto"/>
          <w:sz w:val="28"/>
          <w:szCs w:val="28"/>
          <w:highlight w:val="none"/>
        </w:rPr>
        <w:t>关于对社会保险领域严重失信企业及其有关人员实施联合惩戒的合作备忘录</w:t>
      </w:r>
      <w:bookmarkEnd w:id="311"/>
      <w:bookmarkEnd w:id="312"/>
      <w:r>
        <w:rPr>
          <w:rFonts w:hint="eastAsia" w:ascii="宋体" w:hAnsi="宋体" w:eastAsia="宋体" w:cs="宋体"/>
          <w:b/>
          <w:color w:val="auto"/>
          <w:sz w:val="28"/>
          <w:szCs w:val="28"/>
          <w:highlight w:val="none"/>
        </w:rPr>
        <w:t>》（发改财金〔2018〕1704号）</w:t>
      </w:r>
    </w:p>
    <w:p w14:paraId="62A3ED07">
      <w:pPr>
        <w:adjustRightInd w:val="0"/>
        <w:snapToGrid w:val="0"/>
        <w:spacing w:line="560" w:lineRule="exact"/>
        <w:jc w:val="left"/>
        <w:rPr>
          <w:rFonts w:hint="eastAsia" w:ascii="宋体" w:hAnsi="宋体" w:eastAsia="宋体" w:cs="宋体"/>
          <w:color w:val="auto"/>
          <w:sz w:val="28"/>
          <w:szCs w:val="28"/>
          <w:highlight w:val="none"/>
          <w:lang w:eastAsia="zh-CN"/>
        </w:rPr>
      </w:pPr>
    </w:p>
    <w:p w14:paraId="7D9ED698">
      <w:pPr>
        <w:adjustRightInd w:val="0"/>
        <w:snapToGrid w:val="0"/>
        <w:spacing w:line="560" w:lineRule="exact"/>
        <w:ind w:firstLine="562" w:firstLineChars="200"/>
        <w:jc w:val="left"/>
        <w:rPr>
          <w:rFonts w:hint="eastAsia" w:ascii="宋体" w:hAnsi="宋体" w:eastAsia="宋体" w:cs="宋体"/>
          <w:b/>
          <w:bCs/>
          <w:color w:val="auto"/>
          <w:sz w:val="28"/>
          <w:szCs w:val="28"/>
          <w:highlight w:val="none"/>
        </w:rPr>
      </w:pPr>
      <w:r>
        <w:rPr>
          <w:rFonts w:hint="eastAsia" w:ascii="宋体" w:hAnsi="宋体" w:eastAsia="宋体" w:cs="宋体"/>
          <w:b/>
          <w:color w:val="auto"/>
          <w:sz w:val="28"/>
          <w:szCs w:val="28"/>
          <w:highlight w:val="none"/>
        </w:rPr>
        <w:t>五、建筑市场领域</w:t>
      </w:r>
      <w:r>
        <w:rPr>
          <w:rFonts w:hint="eastAsia" w:ascii="宋体" w:hAnsi="宋体" w:eastAsia="宋体" w:cs="宋体"/>
          <w:b/>
          <w:bCs/>
          <w:color w:val="auto"/>
          <w:sz w:val="28"/>
          <w:szCs w:val="28"/>
          <w:highlight w:val="none"/>
        </w:rPr>
        <w:t>严重失信行为</w:t>
      </w:r>
    </w:p>
    <w:p w14:paraId="5C089D53">
      <w:pPr>
        <w:adjustRightInd w:val="0"/>
        <w:snapToGrid w:val="0"/>
        <w:spacing w:line="56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（一）利用虚假材料、以欺骗手段取得企业资质的；</w:t>
      </w:r>
    </w:p>
    <w:p w14:paraId="219B1065">
      <w:pPr>
        <w:adjustRightInd w:val="0"/>
        <w:snapToGrid w:val="0"/>
        <w:spacing w:line="56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（二）发生转包、出借资质，受到行政处罚的；</w:t>
      </w:r>
    </w:p>
    <w:p w14:paraId="09F24C9A">
      <w:pPr>
        <w:adjustRightInd w:val="0"/>
        <w:snapToGrid w:val="0"/>
        <w:spacing w:line="56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（三）发生重大及以上工程质量安全事故，或1年内累计发生2次及以上较大工程质量安全事故，或发生性质恶劣、危害性严重、社会影响大的较大工程质量安全事故，受到行政处罚的；</w:t>
      </w:r>
    </w:p>
    <w:p w14:paraId="31755960">
      <w:pPr>
        <w:adjustRightInd w:val="0"/>
        <w:snapToGrid w:val="0"/>
        <w:spacing w:line="56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（四）经法院判决或仲裁机构裁决，认定为拖欠工程款,且拒不履行生效法律文书确定的义务的。</w:t>
      </w:r>
    </w:p>
    <w:p w14:paraId="79135014">
      <w:pPr>
        <w:adjustRightInd w:val="0"/>
        <w:snapToGrid w:val="0"/>
        <w:spacing w:line="56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各级住房城乡建设主管部门应当参照建筑市场主体“黑名单”，对被人力资源社会保障行政部门列入拖欠农民工工资“黑名单”的建筑市场各方主体加强监管。</w:t>
      </w:r>
    </w:p>
    <w:p w14:paraId="790C9D0F">
      <w:pPr>
        <w:ind w:firstLine="562" w:firstLineChars="200"/>
        <w:jc w:val="left"/>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依据：《</w:t>
      </w:r>
      <w:bookmarkStart w:id="313" w:name="OLE_LINK17"/>
      <w:bookmarkStart w:id="314" w:name="OLE_LINK18"/>
      <w:r>
        <w:rPr>
          <w:rFonts w:hint="eastAsia" w:ascii="宋体" w:hAnsi="宋体" w:eastAsia="宋体" w:cs="宋体"/>
          <w:b/>
          <w:color w:val="auto"/>
          <w:sz w:val="28"/>
          <w:szCs w:val="28"/>
          <w:highlight w:val="none"/>
        </w:rPr>
        <w:t>建筑市场信用管理暂行办法</w:t>
      </w:r>
      <w:bookmarkEnd w:id="313"/>
      <w:bookmarkEnd w:id="314"/>
      <w:r>
        <w:rPr>
          <w:rFonts w:hint="eastAsia" w:ascii="宋体" w:hAnsi="宋体" w:eastAsia="宋体" w:cs="宋体"/>
          <w:b/>
          <w:color w:val="auto"/>
          <w:sz w:val="28"/>
          <w:szCs w:val="28"/>
          <w:highlight w:val="none"/>
        </w:rPr>
        <w:t>》（建市〔2017〕241号）</w:t>
      </w:r>
    </w:p>
    <w:p w14:paraId="78AADF05">
      <w:pPr>
        <w:adjustRightInd w:val="0"/>
        <w:snapToGrid w:val="0"/>
        <w:spacing w:line="560" w:lineRule="exact"/>
        <w:rPr>
          <w:rFonts w:hint="eastAsia" w:ascii="宋体" w:hAnsi="宋体" w:eastAsia="宋体" w:cs="宋体"/>
          <w:b/>
          <w:color w:val="auto"/>
          <w:sz w:val="28"/>
          <w:szCs w:val="28"/>
          <w:highlight w:val="none"/>
        </w:rPr>
      </w:pPr>
    </w:p>
    <w:p w14:paraId="0255D4FC">
      <w:pPr>
        <w:adjustRightInd w:val="0"/>
        <w:snapToGrid w:val="0"/>
        <w:spacing w:line="560" w:lineRule="exact"/>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六、</w:t>
      </w:r>
      <w:bookmarkStart w:id="315" w:name="OLE_LINK20"/>
      <w:bookmarkStart w:id="316" w:name="OLE_LINK19"/>
      <w:r>
        <w:rPr>
          <w:rFonts w:hint="eastAsia" w:ascii="宋体" w:hAnsi="宋体" w:eastAsia="宋体" w:cs="宋体"/>
          <w:b/>
          <w:color w:val="auto"/>
          <w:sz w:val="28"/>
          <w:szCs w:val="28"/>
          <w:highlight w:val="none"/>
        </w:rPr>
        <w:t>政府采购严重失信行为</w:t>
      </w:r>
      <w:bookmarkEnd w:id="315"/>
      <w:bookmarkEnd w:id="316"/>
    </w:p>
    <w:p w14:paraId="615BC063">
      <w:pPr>
        <w:adjustRightInd w:val="0"/>
        <w:snapToGrid w:val="0"/>
        <w:spacing w:line="560" w:lineRule="exact"/>
        <w:ind w:firstLine="61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供应商、采购代理机构在三年内受到财政部门作出下列情形之一的行政处罚，列入政府采购严重违法失信行为记录名单。</w:t>
      </w:r>
      <w:r>
        <w:rPr>
          <w:rFonts w:hint="eastAsia" w:ascii="宋体" w:hAnsi="宋体" w:eastAsia="宋体" w:cs="宋体"/>
          <w:color w:val="auto"/>
          <w:sz w:val="28"/>
          <w:szCs w:val="28"/>
          <w:highlight w:val="none"/>
        </w:rPr>
        <w:br w:type="textWrapping"/>
      </w:r>
      <w:r>
        <w:rPr>
          <w:rFonts w:hint="eastAsia" w:ascii="宋体" w:hAnsi="宋体" w:eastAsia="宋体" w:cs="宋体"/>
          <w:color w:val="auto"/>
          <w:sz w:val="28"/>
          <w:szCs w:val="28"/>
          <w:highlight w:val="none"/>
        </w:rPr>
        <w:t>　　（一）三万元以上罚款；</w:t>
      </w:r>
      <w:r>
        <w:rPr>
          <w:rFonts w:hint="eastAsia" w:ascii="宋体" w:hAnsi="宋体" w:eastAsia="宋体" w:cs="宋体"/>
          <w:color w:val="auto"/>
          <w:sz w:val="28"/>
          <w:szCs w:val="28"/>
          <w:highlight w:val="none"/>
        </w:rPr>
        <w:br w:type="textWrapping"/>
      </w:r>
      <w:r>
        <w:rPr>
          <w:rFonts w:hint="eastAsia" w:ascii="宋体" w:hAnsi="宋体" w:eastAsia="宋体" w:cs="宋体"/>
          <w:color w:val="auto"/>
          <w:sz w:val="28"/>
          <w:szCs w:val="28"/>
          <w:highlight w:val="none"/>
        </w:rPr>
        <w:t>　　（二）在一至三年内禁止参加政府采购活动（处罚期限届满的除外）；</w:t>
      </w:r>
      <w:r>
        <w:rPr>
          <w:rFonts w:hint="eastAsia" w:ascii="宋体" w:hAnsi="宋体" w:eastAsia="宋体" w:cs="宋体"/>
          <w:color w:val="auto"/>
          <w:sz w:val="28"/>
          <w:szCs w:val="28"/>
          <w:highlight w:val="none"/>
        </w:rPr>
        <w:br w:type="textWrapping"/>
      </w:r>
      <w:r>
        <w:rPr>
          <w:rFonts w:hint="eastAsia" w:ascii="宋体" w:hAnsi="宋体" w:eastAsia="宋体" w:cs="宋体"/>
          <w:color w:val="auto"/>
          <w:sz w:val="28"/>
          <w:szCs w:val="28"/>
          <w:highlight w:val="none"/>
        </w:rPr>
        <w:t>　　（三）在一至三年内禁止代理政府采购业务（处罚期限届满的除外）；</w:t>
      </w:r>
      <w:r>
        <w:rPr>
          <w:rFonts w:hint="eastAsia" w:ascii="宋体" w:hAnsi="宋体" w:eastAsia="宋体" w:cs="宋体"/>
          <w:color w:val="auto"/>
          <w:sz w:val="28"/>
          <w:szCs w:val="28"/>
          <w:highlight w:val="none"/>
        </w:rPr>
        <w:br w:type="textWrapping"/>
      </w:r>
      <w:r>
        <w:rPr>
          <w:rFonts w:hint="eastAsia" w:ascii="宋体" w:hAnsi="宋体" w:eastAsia="宋体" w:cs="宋体"/>
          <w:color w:val="auto"/>
          <w:sz w:val="28"/>
          <w:szCs w:val="28"/>
          <w:highlight w:val="none"/>
        </w:rPr>
        <w:t>　（四）撤销政府采购代理机构资格（仅针对《政府采购法》第78条修改前作出的处罚决定）。</w:t>
      </w:r>
    </w:p>
    <w:p w14:paraId="57B32627">
      <w:pPr>
        <w:adjustRightInd w:val="0"/>
        <w:snapToGrid w:val="0"/>
        <w:spacing w:line="560" w:lineRule="exact"/>
        <w:ind w:firstLine="562" w:firstLineChars="200"/>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依据：《关于报送政府采购严重违法失信行为信息记录的通知》（财办库〔2014〕526号）</w:t>
      </w:r>
    </w:p>
    <w:p w14:paraId="1EEEE007">
      <w:pPr>
        <w:adjustRightInd w:val="0"/>
        <w:snapToGrid w:val="0"/>
        <w:spacing w:line="560" w:lineRule="exact"/>
        <w:rPr>
          <w:rFonts w:hint="eastAsia" w:ascii="宋体" w:hAnsi="宋体" w:eastAsia="宋体" w:cs="宋体"/>
          <w:b/>
          <w:color w:val="auto"/>
          <w:sz w:val="28"/>
          <w:szCs w:val="28"/>
          <w:highlight w:val="none"/>
        </w:rPr>
      </w:pPr>
    </w:p>
    <w:p w14:paraId="03F939CA">
      <w:pPr>
        <w:spacing w:line="360" w:lineRule="auto"/>
        <w:ind w:firstLine="435"/>
        <w:rPr>
          <w:rFonts w:hint="eastAsia" w:ascii="宋体" w:hAnsi="宋体" w:eastAsia="宋体" w:cs="宋体"/>
          <w:color w:val="auto"/>
          <w:sz w:val="24"/>
          <w:highlight w:val="none"/>
        </w:rPr>
      </w:pPr>
      <w:r>
        <w:rPr>
          <w:rFonts w:hint="eastAsia" w:ascii="宋体" w:hAnsi="宋体" w:eastAsia="宋体" w:cs="宋体"/>
          <w:b/>
          <w:color w:val="auto"/>
          <w:sz w:val="28"/>
          <w:szCs w:val="28"/>
          <w:highlight w:val="none"/>
        </w:rPr>
        <w:t>未列出的其他类别严重失信行为，由招标人（代理机构）根据各类别行业主管部门下发的联合惩戒文件进行判</w:t>
      </w:r>
      <w:r>
        <w:rPr>
          <w:rFonts w:hint="eastAsia" w:ascii="宋体" w:hAnsi="宋体" w:eastAsia="宋体" w:cs="宋体"/>
          <w:b/>
          <w:color w:val="auto"/>
          <w:sz w:val="32"/>
          <w:szCs w:val="32"/>
          <w:highlight w:val="none"/>
        </w:rPr>
        <w:t>断。</w:t>
      </w:r>
    </w:p>
    <w:p w14:paraId="4AA4C873">
      <w:pPr>
        <w:pStyle w:val="4"/>
        <w:rPr>
          <w:color w:val="auto"/>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7D0C05D-81FB-4B43-9CF1-243A63D4EECB}"/>
  </w:font>
  <w:font w:name="Arial">
    <w:panose1 w:val="020B0604020202020204"/>
    <w:charset w:val="01"/>
    <w:family w:val="swiss"/>
    <w:pitch w:val="default"/>
    <w:sig w:usb0="E0002EFF" w:usb1="C000785B" w:usb2="00000009" w:usb3="00000000" w:csb0="400001FF" w:csb1="FFFF0000"/>
    <w:embedRegular r:id="rId2" w:fontKey="{1FD0D464-6BDD-4BA4-A425-EA79AD03404F}"/>
  </w:font>
  <w:font w:name="黑体">
    <w:panose1 w:val="02010609060101010101"/>
    <w:charset w:val="86"/>
    <w:family w:val="auto"/>
    <w:pitch w:val="default"/>
    <w:sig w:usb0="800002BF" w:usb1="38CF7CFA" w:usb2="00000016" w:usb3="00000000" w:csb0="00040001" w:csb1="00000000"/>
    <w:embedRegular r:id="rId3" w:fontKey="{8AC0844B-6F36-407A-8E5A-DBB3DF09A3C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4" w:fontKey="{9D01BED8-A0B5-469D-BEEE-50B27393FB1A}"/>
  </w:font>
  <w:font w:name="@微软简标宋">
    <w:altName w:val="宋体"/>
    <w:panose1 w:val="00000000000000000000"/>
    <w:charset w:val="86"/>
    <w:family w:val="auto"/>
    <w:pitch w:val="default"/>
    <w:sig w:usb0="00000000" w:usb1="00000000" w:usb2="00000010" w:usb3="00000000" w:csb0="00040000" w:csb1="00000000"/>
    <w:embedRegular r:id="rId5" w:fontKey="{CAD64141-A601-4D5B-977A-F794128D48B2}"/>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embedRegular r:id="rId6" w:fontKey="{D2144D03-863E-4EC2-8572-A4FBCF072647}"/>
  </w:font>
  <w:font w:name="方正小标宋_GBK">
    <w:panose1 w:val="02000000000000000000"/>
    <w:charset w:val="86"/>
    <w:family w:val="auto"/>
    <w:pitch w:val="default"/>
    <w:sig w:usb0="A00002BF" w:usb1="38CF7CFA" w:usb2="00082016" w:usb3="00000000" w:csb0="00040001" w:csb1="00000000"/>
    <w:embedRegular r:id="rId7" w:fontKey="{750461B2-FEB0-4E38-91A3-7830F1DFF8C2}"/>
  </w:font>
  <w:font w:name="华文仿宋">
    <w:panose1 w:val="02010600040101010101"/>
    <w:charset w:val="86"/>
    <w:family w:val="auto"/>
    <w:pitch w:val="default"/>
    <w:sig w:usb0="00000287" w:usb1="080F0000" w:usb2="00000000" w:usb3="00000000" w:csb0="0004009F" w:csb1="DFD70000"/>
    <w:embedRegular r:id="rId8" w:fontKey="{33D85B77-3CC9-46E7-BDD0-E6297D6CAB82}"/>
  </w:font>
  <w:font w:name="华文中宋">
    <w:panose1 w:val="02010600040101010101"/>
    <w:charset w:val="86"/>
    <w:family w:val="auto"/>
    <w:pitch w:val="default"/>
    <w:sig w:usb0="00000287" w:usb1="080F0000" w:usb2="00000000" w:usb3="00000000" w:csb0="0004009F" w:csb1="DFD70000"/>
    <w:embedRegular r:id="rId9" w:fontKey="{43307950-E975-48EC-84B2-CD1F3147A88B}"/>
  </w:font>
  <w:font w:name="仿宋">
    <w:panose1 w:val="02010609060101010101"/>
    <w:charset w:val="86"/>
    <w:family w:val="modern"/>
    <w:pitch w:val="default"/>
    <w:sig w:usb0="800002BF" w:usb1="38CF7CFA" w:usb2="00000016" w:usb3="00000000" w:csb0="00040001" w:csb1="00000000"/>
    <w:embedRegular r:id="rId10" w:fontKey="{9539F325-0415-42E7-956D-DB631EDE11CD}"/>
  </w:font>
  <w:font w:name="WPSEMBED2">
    <w:panose1 w:val="02000000000000000000"/>
    <w:charset w:val="86"/>
    <w:family w:val="auto"/>
    <w:pitch w:val="default"/>
    <w:sig w:usb0="A00002BF" w:usb1="38CF7CFA" w:usb2="00082016" w:usb3="00000000" w:csb0="00040001" w:csb1="00000000"/>
  </w:font>
  <w:font w:name="WPSEMBED3">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10847">
    <w:pPr>
      <w:pStyle w:val="18"/>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10F3D">
    <w:pPr>
      <w:pStyle w:val="1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1D80C">
                          <w:pPr>
                            <w:pStyle w:val="18"/>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E71D80C">
                    <w:pPr>
                      <w:pStyle w:val="18"/>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BE434">
    <w:pPr>
      <w:pStyle w:val="19"/>
      <w:jc w:val="left"/>
      <w:rPr>
        <w:rFonts w:asciiTheme="minorEastAsia" w:hAnsiTheme="minorEastAsia" w:eastAsiaTheme="minor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服务类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E9969">
    <w:pPr>
      <w:pStyle w:val="19"/>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A96811"/>
    <w:multiLevelType w:val="singleLevel"/>
    <w:tmpl w:val="B0A96811"/>
    <w:lvl w:ilvl="0" w:tentative="0">
      <w:start w:val="2"/>
      <w:numFmt w:val="chineseCounting"/>
      <w:suff w:val="nothing"/>
      <w:lvlText w:val="（%1）"/>
      <w:lvlJc w:val="left"/>
      <w:rPr>
        <w:rFonts w:hint="eastAsia"/>
      </w:rPr>
    </w:lvl>
  </w:abstractNum>
  <w:abstractNum w:abstractNumId="1">
    <w:nsid w:val="2A064A37"/>
    <w:multiLevelType w:val="singleLevel"/>
    <w:tmpl w:val="2A064A37"/>
    <w:lvl w:ilvl="0" w:tentative="0">
      <w:start w:val="3"/>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C61F7"/>
    <w:rsid w:val="002D1258"/>
    <w:rsid w:val="002D128A"/>
    <w:rsid w:val="002D2965"/>
    <w:rsid w:val="002D3D02"/>
    <w:rsid w:val="002D4CB5"/>
    <w:rsid w:val="002D684B"/>
    <w:rsid w:val="002E3B26"/>
    <w:rsid w:val="002E4AB8"/>
    <w:rsid w:val="002E6413"/>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3B3E"/>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075ED9"/>
    <w:rsid w:val="01135223"/>
    <w:rsid w:val="012201F6"/>
    <w:rsid w:val="013B2B96"/>
    <w:rsid w:val="015B4FE6"/>
    <w:rsid w:val="01784E3E"/>
    <w:rsid w:val="01790506"/>
    <w:rsid w:val="017936BE"/>
    <w:rsid w:val="01877B89"/>
    <w:rsid w:val="01AB2528"/>
    <w:rsid w:val="02056D00"/>
    <w:rsid w:val="0214602E"/>
    <w:rsid w:val="024270D6"/>
    <w:rsid w:val="026A5188"/>
    <w:rsid w:val="02A922FF"/>
    <w:rsid w:val="02C73530"/>
    <w:rsid w:val="02C95F7F"/>
    <w:rsid w:val="03486B27"/>
    <w:rsid w:val="03887BE8"/>
    <w:rsid w:val="03EE0393"/>
    <w:rsid w:val="040A094E"/>
    <w:rsid w:val="04155920"/>
    <w:rsid w:val="04A171B4"/>
    <w:rsid w:val="04B35139"/>
    <w:rsid w:val="04C9495C"/>
    <w:rsid w:val="04D05CEB"/>
    <w:rsid w:val="04DF4603"/>
    <w:rsid w:val="04E36C96"/>
    <w:rsid w:val="050720BA"/>
    <w:rsid w:val="05237BC9"/>
    <w:rsid w:val="056800F4"/>
    <w:rsid w:val="056F201D"/>
    <w:rsid w:val="0580501B"/>
    <w:rsid w:val="05996C5D"/>
    <w:rsid w:val="05B664D4"/>
    <w:rsid w:val="05BB42A5"/>
    <w:rsid w:val="05BC001D"/>
    <w:rsid w:val="06565D7C"/>
    <w:rsid w:val="069B5E85"/>
    <w:rsid w:val="06D7510F"/>
    <w:rsid w:val="07076C01"/>
    <w:rsid w:val="070B125C"/>
    <w:rsid w:val="071C12AC"/>
    <w:rsid w:val="074E231E"/>
    <w:rsid w:val="07A934B3"/>
    <w:rsid w:val="08193505"/>
    <w:rsid w:val="08320A23"/>
    <w:rsid w:val="08B15E54"/>
    <w:rsid w:val="0980799C"/>
    <w:rsid w:val="09931868"/>
    <w:rsid w:val="099E2A5B"/>
    <w:rsid w:val="09B23C11"/>
    <w:rsid w:val="09F60351"/>
    <w:rsid w:val="0A0F6376"/>
    <w:rsid w:val="0A1E463F"/>
    <w:rsid w:val="0A353CEA"/>
    <w:rsid w:val="0A6A18DB"/>
    <w:rsid w:val="0AB5234F"/>
    <w:rsid w:val="0AC21FF6"/>
    <w:rsid w:val="0ACA278E"/>
    <w:rsid w:val="0AD6392F"/>
    <w:rsid w:val="0AEF3828"/>
    <w:rsid w:val="0B022069"/>
    <w:rsid w:val="0BBB665B"/>
    <w:rsid w:val="0C00473A"/>
    <w:rsid w:val="0C33303B"/>
    <w:rsid w:val="0C686809"/>
    <w:rsid w:val="0CB7664E"/>
    <w:rsid w:val="0CF14A50"/>
    <w:rsid w:val="0D2C2CB9"/>
    <w:rsid w:val="0D6F4C9E"/>
    <w:rsid w:val="0DA87805"/>
    <w:rsid w:val="0DC67C8B"/>
    <w:rsid w:val="0DCE3168"/>
    <w:rsid w:val="0DEB14A0"/>
    <w:rsid w:val="0DF041EC"/>
    <w:rsid w:val="0DFE5677"/>
    <w:rsid w:val="0E06277D"/>
    <w:rsid w:val="0E3E3CC5"/>
    <w:rsid w:val="0E6047C3"/>
    <w:rsid w:val="0E6A6868"/>
    <w:rsid w:val="0E816EC5"/>
    <w:rsid w:val="0EA512A6"/>
    <w:rsid w:val="0EC75A69"/>
    <w:rsid w:val="0EEA6FC1"/>
    <w:rsid w:val="0F4277C2"/>
    <w:rsid w:val="0F490B74"/>
    <w:rsid w:val="0F543075"/>
    <w:rsid w:val="0F5B4403"/>
    <w:rsid w:val="0F954485"/>
    <w:rsid w:val="0FBF344F"/>
    <w:rsid w:val="10505F32"/>
    <w:rsid w:val="105A27E6"/>
    <w:rsid w:val="106A6894"/>
    <w:rsid w:val="107531FC"/>
    <w:rsid w:val="10962101"/>
    <w:rsid w:val="10A122E9"/>
    <w:rsid w:val="10A96E44"/>
    <w:rsid w:val="11553F80"/>
    <w:rsid w:val="118732D1"/>
    <w:rsid w:val="11967974"/>
    <w:rsid w:val="119B0711"/>
    <w:rsid w:val="11CB5870"/>
    <w:rsid w:val="11F56D91"/>
    <w:rsid w:val="120C3683"/>
    <w:rsid w:val="12197477"/>
    <w:rsid w:val="12541CFA"/>
    <w:rsid w:val="126A32DB"/>
    <w:rsid w:val="12706417"/>
    <w:rsid w:val="12F933E5"/>
    <w:rsid w:val="132D7EA5"/>
    <w:rsid w:val="1340228E"/>
    <w:rsid w:val="13497394"/>
    <w:rsid w:val="13587E2C"/>
    <w:rsid w:val="13734A09"/>
    <w:rsid w:val="13B30501"/>
    <w:rsid w:val="13C83D0C"/>
    <w:rsid w:val="13E440E6"/>
    <w:rsid w:val="13F1732F"/>
    <w:rsid w:val="13FF2FD4"/>
    <w:rsid w:val="14321BC3"/>
    <w:rsid w:val="14537D9F"/>
    <w:rsid w:val="1466407E"/>
    <w:rsid w:val="14834E28"/>
    <w:rsid w:val="148E7D65"/>
    <w:rsid w:val="14DE5E10"/>
    <w:rsid w:val="151D4243"/>
    <w:rsid w:val="15231BF9"/>
    <w:rsid w:val="154512F6"/>
    <w:rsid w:val="15455939"/>
    <w:rsid w:val="15717AE6"/>
    <w:rsid w:val="15883A78"/>
    <w:rsid w:val="158C3C38"/>
    <w:rsid w:val="15AD29D2"/>
    <w:rsid w:val="16027CCE"/>
    <w:rsid w:val="162B0FD3"/>
    <w:rsid w:val="165A6653"/>
    <w:rsid w:val="169C639C"/>
    <w:rsid w:val="16D41229"/>
    <w:rsid w:val="170C1B2B"/>
    <w:rsid w:val="171516A8"/>
    <w:rsid w:val="172F4AF3"/>
    <w:rsid w:val="177C43B7"/>
    <w:rsid w:val="179B7A92"/>
    <w:rsid w:val="179F5278"/>
    <w:rsid w:val="17FF44C5"/>
    <w:rsid w:val="18135B13"/>
    <w:rsid w:val="18545973"/>
    <w:rsid w:val="18F03E0E"/>
    <w:rsid w:val="19467ED2"/>
    <w:rsid w:val="194F2935"/>
    <w:rsid w:val="195C4203"/>
    <w:rsid w:val="19AC41D9"/>
    <w:rsid w:val="1A3B68AA"/>
    <w:rsid w:val="1A3E1C1E"/>
    <w:rsid w:val="1A6802CD"/>
    <w:rsid w:val="1A7D5B75"/>
    <w:rsid w:val="1B043C16"/>
    <w:rsid w:val="1B377E16"/>
    <w:rsid w:val="1B835B95"/>
    <w:rsid w:val="1BF754B3"/>
    <w:rsid w:val="1BFB31F6"/>
    <w:rsid w:val="1C141836"/>
    <w:rsid w:val="1D0370D0"/>
    <w:rsid w:val="1D0E5DB7"/>
    <w:rsid w:val="1D320E99"/>
    <w:rsid w:val="1DE0470B"/>
    <w:rsid w:val="1E086516"/>
    <w:rsid w:val="1E497CC4"/>
    <w:rsid w:val="1E6B6A14"/>
    <w:rsid w:val="1F06438B"/>
    <w:rsid w:val="1F0B3750"/>
    <w:rsid w:val="1F10520A"/>
    <w:rsid w:val="1F3507CD"/>
    <w:rsid w:val="1F63358C"/>
    <w:rsid w:val="1F6F0182"/>
    <w:rsid w:val="1F9757E1"/>
    <w:rsid w:val="1FC234F7"/>
    <w:rsid w:val="1FE741BD"/>
    <w:rsid w:val="201725C8"/>
    <w:rsid w:val="20550D9A"/>
    <w:rsid w:val="20732AA8"/>
    <w:rsid w:val="21374CD0"/>
    <w:rsid w:val="21714B53"/>
    <w:rsid w:val="21876DAF"/>
    <w:rsid w:val="218E2416"/>
    <w:rsid w:val="21AE2AB8"/>
    <w:rsid w:val="21CD4745"/>
    <w:rsid w:val="223C6316"/>
    <w:rsid w:val="22573F07"/>
    <w:rsid w:val="226915FE"/>
    <w:rsid w:val="227422F7"/>
    <w:rsid w:val="22A807F7"/>
    <w:rsid w:val="22E14C32"/>
    <w:rsid w:val="230D4609"/>
    <w:rsid w:val="23102FE9"/>
    <w:rsid w:val="231132FF"/>
    <w:rsid w:val="232802D3"/>
    <w:rsid w:val="23857578"/>
    <w:rsid w:val="2398757C"/>
    <w:rsid w:val="23D700A4"/>
    <w:rsid w:val="23F63A81"/>
    <w:rsid w:val="240C7E61"/>
    <w:rsid w:val="246E5D54"/>
    <w:rsid w:val="248B0E8F"/>
    <w:rsid w:val="249C5A60"/>
    <w:rsid w:val="24A45984"/>
    <w:rsid w:val="24B97929"/>
    <w:rsid w:val="25010871"/>
    <w:rsid w:val="2520252D"/>
    <w:rsid w:val="25280C02"/>
    <w:rsid w:val="25862025"/>
    <w:rsid w:val="25BB0040"/>
    <w:rsid w:val="25F70700"/>
    <w:rsid w:val="26064C71"/>
    <w:rsid w:val="26163BC1"/>
    <w:rsid w:val="262221C3"/>
    <w:rsid w:val="268C786C"/>
    <w:rsid w:val="26E86A6C"/>
    <w:rsid w:val="26EA27E4"/>
    <w:rsid w:val="272C4678"/>
    <w:rsid w:val="27AC1848"/>
    <w:rsid w:val="281F201A"/>
    <w:rsid w:val="285F40CA"/>
    <w:rsid w:val="286C19CA"/>
    <w:rsid w:val="2886791B"/>
    <w:rsid w:val="28A40771"/>
    <w:rsid w:val="28C01ECB"/>
    <w:rsid w:val="28EC3ECC"/>
    <w:rsid w:val="290611F3"/>
    <w:rsid w:val="298A1EB4"/>
    <w:rsid w:val="298E56A9"/>
    <w:rsid w:val="29AE7AF9"/>
    <w:rsid w:val="29B26D29"/>
    <w:rsid w:val="29BF71E3"/>
    <w:rsid w:val="29CE6480"/>
    <w:rsid w:val="29D3130E"/>
    <w:rsid w:val="29DF4157"/>
    <w:rsid w:val="29E90B31"/>
    <w:rsid w:val="2A0B0AA8"/>
    <w:rsid w:val="2A127B63"/>
    <w:rsid w:val="2A2658E2"/>
    <w:rsid w:val="2A3F7F63"/>
    <w:rsid w:val="2A44220C"/>
    <w:rsid w:val="2A583915"/>
    <w:rsid w:val="2A75089E"/>
    <w:rsid w:val="2A8D770F"/>
    <w:rsid w:val="2A9E7B6E"/>
    <w:rsid w:val="2AAA4765"/>
    <w:rsid w:val="2AC21606"/>
    <w:rsid w:val="2AF63C5E"/>
    <w:rsid w:val="2B612949"/>
    <w:rsid w:val="2B7E7608"/>
    <w:rsid w:val="2B7F04E9"/>
    <w:rsid w:val="2BDE3F9A"/>
    <w:rsid w:val="2C0E2AD1"/>
    <w:rsid w:val="2C305555"/>
    <w:rsid w:val="2C324425"/>
    <w:rsid w:val="2C5A5D16"/>
    <w:rsid w:val="2C666469"/>
    <w:rsid w:val="2C9A21B9"/>
    <w:rsid w:val="2C9A4365"/>
    <w:rsid w:val="2CB52F4D"/>
    <w:rsid w:val="2CE20523"/>
    <w:rsid w:val="2CE3435C"/>
    <w:rsid w:val="2D1265F1"/>
    <w:rsid w:val="2D496D68"/>
    <w:rsid w:val="2D4F15F3"/>
    <w:rsid w:val="2D577E34"/>
    <w:rsid w:val="2D5A6E02"/>
    <w:rsid w:val="2D7D7F0E"/>
    <w:rsid w:val="2DAE631A"/>
    <w:rsid w:val="2DDB79AB"/>
    <w:rsid w:val="2DF67CC1"/>
    <w:rsid w:val="2E0561E7"/>
    <w:rsid w:val="2E0C3645"/>
    <w:rsid w:val="2E5F7614"/>
    <w:rsid w:val="2E6670FA"/>
    <w:rsid w:val="2E6672CB"/>
    <w:rsid w:val="2E7A48DE"/>
    <w:rsid w:val="2E896A73"/>
    <w:rsid w:val="2EDC3ED8"/>
    <w:rsid w:val="2F2D046C"/>
    <w:rsid w:val="2F326AD7"/>
    <w:rsid w:val="2F6351B4"/>
    <w:rsid w:val="2FCF199E"/>
    <w:rsid w:val="2FEC137B"/>
    <w:rsid w:val="30483E83"/>
    <w:rsid w:val="3058256D"/>
    <w:rsid w:val="30AA0E97"/>
    <w:rsid w:val="319B41BE"/>
    <w:rsid w:val="327411B4"/>
    <w:rsid w:val="32C128BF"/>
    <w:rsid w:val="32D103B5"/>
    <w:rsid w:val="32DC173E"/>
    <w:rsid w:val="334E4CD8"/>
    <w:rsid w:val="33F94067"/>
    <w:rsid w:val="340F5D34"/>
    <w:rsid w:val="34256C0A"/>
    <w:rsid w:val="343C0775"/>
    <w:rsid w:val="343E7AF6"/>
    <w:rsid w:val="34790D04"/>
    <w:rsid w:val="34AA76A9"/>
    <w:rsid w:val="34D32B0A"/>
    <w:rsid w:val="35483E9F"/>
    <w:rsid w:val="356C50EC"/>
    <w:rsid w:val="35844AF3"/>
    <w:rsid w:val="35A3428A"/>
    <w:rsid w:val="361108CD"/>
    <w:rsid w:val="361606F6"/>
    <w:rsid w:val="36317AE8"/>
    <w:rsid w:val="36483E35"/>
    <w:rsid w:val="364F7B1C"/>
    <w:rsid w:val="36643C02"/>
    <w:rsid w:val="36A504D3"/>
    <w:rsid w:val="3700166C"/>
    <w:rsid w:val="371C0798"/>
    <w:rsid w:val="3727617F"/>
    <w:rsid w:val="372866BE"/>
    <w:rsid w:val="37365F54"/>
    <w:rsid w:val="375969FE"/>
    <w:rsid w:val="37887291"/>
    <w:rsid w:val="37CE75B8"/>
    <w:rsid w:val="383218F5"/>
    <w:rsid w:val="38543F62"/>
    <w:rsid w:val="385B31D3"/>
    <w:rsid w:val="38694EE9"/>
    <w:rsid w:val="38B95B73"/>
    <w:rsid w:val="38C1701F"/>
    <w:rsid w:val="393C6E91"/>
    <w:rsid w:val="39495F16"/>
    <w:rsid w:val="394F51A8"/>
    <w:rsid w:val="398B69FB"/>
    <w:rsid w:val="39A44A75"/>
    <w:rsid w:val="39D76BF8"/>
    <w:rsid w:val="3A971EE4"/>
    <w:rsid w:val="3AA007DD"/>
    <w:rsid w:val="3AC37AD7"/>
    <w:rsid w:val="3AE724D1"/>
    <w:rsid w:val="3AF92B9E"/>
    <w:rsid w:val="3AFE23B6"/>
    <w:rsid w:val="3B135A0E"/>
    <w:rsid w:val="3B1D68BB"/>
    <w:rsid w:val="3B365CC9"/>
    <w:rsid w:val="3B9A7B88"/>
    <w:rsid w:val="3BB865B6"/>
    <w:rsid w:val="3BC114FF"/>
    <w:rsid w:val="3BD31641"/>
    <w:rsid w:val="3BE850ED"/>
    <w:rsid w:val="3BF35840"/>
    <w:rsid w:val="3BF53366"/>
    <w:rsid w:val="3C2660C6"/>
    <w:rsid w:val="3CCF42AD"/>
    <w:rsid w:val="3CF33D4F"/>
    <w:rsid w:val="3D2C7AC8"/>
    <w:rsid w:val="3D4F6AA6"/>
    <w:rsid w:val="3D5F13DF"/>
    <w:rsid w:val="3D855D12"/>
    <w:rsid w:val="3D8B42FF"/>
    <w:rsid w:val="3D8C02DD"/>
    <w:rsid w:val="3DC20089"/>
    <w:rsid w:val="3DCE20C0"/>
    <w:rsid w:val="3DCE3E6E"/>
    <w:rsid w:val="3DD0481B"/>
    <w:rsid w:val="3DF36A6E"/>
    <w:rsid w:val="3DFD2E10"/>
    <w:rsid w:val="3EC01D7A"/>
    <w:rsid w:val="3F1138E1"/>
    <w:rsid w:val="3F11495A"/>
    <w:rsid w:val="3F1C50AD"/>
    <w:rsid w:val="3F282217"/>
    <w:rsid w:val="3F402B4A"/>
    <w:rsid w:val="3F6C2C66"/>
    <w:rsid w:val="3F792F1E"/>
    <w:rsid w:val="3F870779"/>
    <w:rsid w:val="402B37FA"/>
    <w:rsid w:val="40824826"/>
    <w:rsid w:val="40970E8F"/>
    <w:rsid w:val="40B05AAD"/>
    <w:rsid w:val="40E63923"/>
    <w:rsid w:val="411B386E"/>
    <w:rsid w:val="413466DE"/>
    <w:rsid w:val="41366BDA"/>
    <w:rsid w:val="413B4C25"/>
    <w:rsid w:val="4140333C"/>
    <w:rsid w:val="41436921"/>
    <w:rsid w:val="415E19AD"/>
    <w:rsid w:val="41700A39"/>
    <w:rsid w:val="418F019B"/>
    <w:rsid w:val="41986C6D"/>
    <w:rsid w:val="41D66526"/>
    <w:rsid w:val="42545C34"/>
    <w:rsid w:val="4268258C"/>
    <w:rsid w:val="428A3F13"/>
    <w:rsid w:val="42B443F4"/>
    <w:rsid w:val="42CC6446"/>
    <w:rsid w:val="42CF2330"/>
    <w:rsid w:val="42EF6D61"/>
    <w:rsid w:val="42F43FD4"/>
    <w:rsid w:val="433B67EB"/>
    <w:rsid w:val="437454B8"/>
    <w:rsid w:val="43811983"/>
    <w:rsid w:val="43A15B81"/>
    <w:rsid w:val="43A91E5B"/>
    <w:rsid w:val="43BB24AE"/>
    <w:rsid w:val="44051025"/>
    <w:rsid w:val="44185ABF"/>
    <w:rsid w:val="44330E67"/>
    <w:rsid w:val="446D77B7"/>
    <w:rsid w:val="448E25A9"/>
    <w:rsid w:val="44A92F3F"/>
    <w:rsid w:val="44BC3308"/>
    <w:rsid w:val="44E4666D"/>
    <w:rsid w:val="44F52628"/>
    <w:rsid w:val="45060392"/>
    <w:rsid w:val="45827F5F"/>
    <w:rsid w:val="4594599D"/>
    <w:rsid w:val="45BA48DB"/>
    <w:rsid w:val="45BE11FB"/>
    <w:rsid w:val="45EC3A2B"/>
    <w:rsid w:val="463A3650"/>
    <w:rsid w:val="467D4684"/>
    <w:rsid w:val="468A0B4E"/>
    <w:rsid w:val="469F0116"/>
    <w:rsid w:val="46C77447"/>
    <w:rsid w:val="46DC584E"/>
    <w:rsid w:val="46EA47AC"/>
    <w:rsid w:val="475259B7"/>
    <w:rsid w:val="47C931CF"/>
    <w:rsid w:val="47D604EF"/>
    <w:rsid w:val="47D72A0D"/>
    <w:rsid w:val="481D7ECC"/>
    <w:rsid w:val="485F78D6"/>
    <w:rsid w:val="48831CF9"/>
    <w:rsid w:val="48C20A74"/>
    <w:rsid w:val="48D3271B"/>
    <w:rsid w:val="491A440C"/>
    <w:rsid w:val="494871CB"/>
    <w:rsid w:val="4951655A"/>
    <w:rsid w:val="49A165B8"/>
    <w:rsid w:val="49B1408D"/>
    <w:rsid w:val="49D46CB0"/>
    <w:rsid w:val="4A0550BC"/>
    <w:rsid w:val="4A0D5D1E"/>
    <w:rsid w:val="4A34071C"/>
    <w:rsid w:val="4A392FB7"/>
    <w:rsid w:val="4A48543B"/>
    <w:rsid w:val="4A5D4EF8"/>
    <w:rsid w:val="4A7D4FD2"/>
    <w:rsid w:val="4A913C9A"/>
    <w:rsid w:val="4AE22D2F"/>
    <w:rsid w:val="4B1F70AC"/>
    <w:rsid w:val="4B240F94"/>
    <w:rsid w:val="4B386AE5"/>
    <w:rsid w:val="4B3F45FD"/>
    <w:rsid w:val="4BA75287"/>
    <w:rsid w:val="4BED70D6"/>
    <w:rsid w:val="4C3C565C"/>
    <w:rsid w:val="4C870CFC"/>
    <w:rsid w:val="4C936C5D"/>
    <w:rsid w:val="4C9433ED"/>
    <w:rsid w:val="4CCC79C7"/>
    <w:rsid w:val="4D25224F"/>
    <w:rsid w:val="4D7555C7"/>
    <w:rsid w:val="4DF23BA9"/>
    <w:rsid w:val="4E110FEE"/>
    <w:rsid w:val="4E1B3100"/>
    <w:rsid w:val="4E2875CB"/>
    <w:rsid w:val="4E2D4BE1"/>
    <w:rsid w:val="4E843E1F"/>
    <w:rsid w:val="4EAE6DA0"/>
    <w:rsid w:val="4EB42C0C"/>
    <w:rsid w:val="4EC245E1"/>
    <w:rsid w:val="4F8222BE"/>
    <w:rsid w:val="4FD037EF"/>
    <w:rsid w:val="4FE305A5"/>
    <w:rsid w:val="50131BB5"/>
    <w:rsid w:val="5016514B"/>
    <w:rsid w:val="502857C7"/>
    <w:rsid w:val="50476D3D"/>
    <w:rsid w:val="50BE4216"/>
    <w:rsid w:val="50F72CFD"/>
    <w:rsid w:val="51220372"/>
    <w:rsid w:val="51CB1C78"/>
    <w:rsid w:val="51FD6A51"/>
    <w:rsid w:val="526B680A"/>
    <w:rsid w:val="528648C0"/>
    <w:rsid w:val="52C90BE7"/>
    <w:rsid w:val="52DD7039"/>
    <w:rsid w:val="53150D15"/>
    <w:rsid w:val="5352083E"/>
    <w:rsid w:val="535B3F9E"/>
    <w:rsid w:val="539120D6"/>
    <w:rsid w:val="54183C3E"/>
    <w:rsid w:val="541A5D30"/>
    <w:rsid w:val="545E3D46"/>
    <w:rsid w:val="54F10566"/>
    <w:rsid w:val="54F24195"/>
    <w:rsid w:val="55086FD1"/>
    <w:rsid w:val="550C37A2"/>
    <w:rsid w:val="55100392"/>
    <w:rsid w:val="5516017D"/>
    <w:rsid w:val="553E632F"/>
    <w:rsid w:val="555146E8"/>
    <w:rsid w:val="55B31E70"/>
    <w:rsid w:val="55DF0EB7"/>
    <w:rsid w:val="55F068CD"/>
    <w:rsid w:val="56075D18"/>
    <w:rsid w:val="566C3136"/>
    <w:rsid w:val="568D04F2"/>
    <w:rsid w:val="56927CD7"/>
    <w:rsid w:val="56C84568"/>
    <w:rsid w:val="56DE4CCA"/>
    <w:rsid w:val="57244AC3"/>
    <w:rsid w:val="574D00A2"/>
    <w:rsid w:val="577B7287"/>
    <w:rsid w:val="57C02622"/>
    <w:rsid w:val="57D85BBE"/>
    <w:rsid w:val="58022C3B"/>
    <w:rsid w:val="58496ABB"/>
    <w:rsid w:val="586E26D1"/>
    <w:rsid w:val="588D6DD7"/>
    <w:rsid w:val="58943156"/>
    <w:rsid w:val="59376914"/>
    <w:rsid w:val="5954639F"/>
    <w:rsid w:val="59703D5A"/>
    <w:rsid w:val="597638E0"/>
    <w:rsid w:val="59973856"/>
    <w:rsid w:val="59B368E2"/>
    <w:rsid w:val="5A320A03"/>
    <w:rsid w:val="5A526582"/>
    <w:rsid w:val="5A5F5C77"/>
    <w:rsid w:val="5A933291"/>
    <w:rsid w:val="5ABA2A7F"/>
    <w:rsid w:val="5ABF4E13"/>
    <w:rsid w:val="5AFC7E15"/>
    <w:rsid w:val="5B8D3163"/>
    <w:rsid w:val="5BA26C0E"/>
    <w:rsid w:val="5BB4249E"/>
    <w:rsid w:val="5BBE39CD"/>
    <w:rsid w:val="5BC11A60"/>
    <w:rsid w:val="5BE30FD5"/>
    <w:rsid w:val="5C052CF9"/>
    <w:rsid w:val="5C5042C3"/>
    <w:rsid w:val="5C7A4D54"/>
    <w:rsid w:val="5C891B7C"/>
    <w:rsid w:val="5CA467DF"/>
    <w:rsid w:val="5CA83096"/>
    <w:rsid w:val="5CD23B73"/>
    <w:rsid w:val="5CD252D1"/>
    <w:rsid w:val="5CDD77D2"/>
    <w:rsid w:val="5CFF31EA"/>
    <w:rsid w:val="5D2B5FC7"/>
    <w:rsid w:val="5D6B74D4"/>
    <w:rsid w:val="5DAA7FFC"/>
    <w:rsid w:val="5DB6074F"/>
    <w:rsid w:val="5E642C31"/>
    <w:rsid w:val="5F127819"/>
    <w:rsid w:val="5F5C5326"/>
    <w:rsid w:val="5F63752A"/>
    <w:rsid w:val="5F824661"/>
    <w:rsid w:val="5FD64271"/>
    <w:rsid w:val="5FEC2857"/>
    <w:rsid w:val="5FF7504F"/>
    <w:rsid w:val="60803296"/>
    <w:rsid w:val="6096375C"/>
    <w:rsid w:val="60F1503F"/>
    <w:rsid w:val="61025188"/>
    <w:rsid w:val="61057D5F"/>
    <w:rsid w:val="614D4977"/>
    <w:rsid w:val="61534507"/>
    <w:rsid w:val="62D32401"/>
    <w:rsid w:val="62F12229"/>
    <w:rsid w:val="63081865"/>
    <w:rsid w:val="63C60FC0"/>
    <w:rsid w:val="64393E88"/>
    <w:rsid w:val="6449399F"/>
    <w:rsid w:val="64715F45"/>
    <w:rsid w:val="6486074F"/>
    <w:rsid w:val="64A357A5"/>
    <w:rsid w:val="64B21544"/>
    <w:rsid w:val="64BA3D7A"/>
    <w:rsid w:val="64F179BC"/>
    <w:rsid w:val="65181CEF"/>
    <w:rsid w:val="656447FC"/>
    <w:rsid w:val="65646CE3"/>
    <w:rsid w:val="656C2A61"/>
    <w:rsid w:val="65C6174B"/>
    <w:rsid w:val="65C94C55"/>
    <w:rsid w:val="65D10988"/>
    <w:rsid w:val="665704D3"/>
    <w:rsid w:val="66882EA5"/>
    <w:rsid w:val="66D86CE1"/>
    <w:rsid w:val="66DF7B8A"/>
    <w:rsid w:val="672524A2"/>
    <w:rsid w:val="673148E2"/>
    <w:rsid w:val="675445CD"/>
    <w:rsid w:val="67672ABA"/>
    <w:rsid w:val="677E3283"/>
    <w:rsid w:val="67C065A4"/>
    <w:rsid w:val="67D359C9"/>
    <w:rsid w:val="67FB3202"/>
    <w:rsid w:val="68D979E8"/>
    <w:rsid w:val="68FE36DD"/>
    <w:rsid w:val="694D5CE0"/>
    <w:rsid w:val="694E60FC"/>
    <w:rsid w:val="69EF4042"/>
    <w:rsid w:val="6A8F3A1A"/>
    <w:rsid w:val="6AA3205B"/>
    <w:rsid w:val="6B4A6249"/>
    <w:rsid w:val="6B523C1B"/>
    <w:rsid w:val="6B624931"/>
    <w:rsid w:val="6BB40298"/>
    <w:rsid w:val="6BF80185"/>
    <w:rsid w:val="6C2E69C8"/>
    <w:rsid w:val="6C410A63"/>
    <w:rsid w:val="6C537AB1"/>
    <w:rsid w:val="6C675CE6"/>
    <w:rsid w:val="6C8400DD"/>
    <w:rsid w:val="6CEF35AF"/>
    <w:rsid w:val="6D0E77F2"/>
    <w:rsid w:val="6D4F4321"/>
    <w:rsid w:val="6D7F6FE9"/>
    <w:rsid w:val="6DCE74FE"/>
    <w:rsid w:val="6DDD5884"/>
    <w:rsid w:val="6DE20811"/>
    <w:rsid w:val="6DEF52C1"/>
    <w:rsid w:val="6DFF7360"/>
    <w:rsid w:val="6E4C47B8"/>
    <w:rsid w:val="6E5D4C17"/>
    <w:rsid w:val="6E757210"/>
    <w:rsid w:val="6E7954AC"/>
    <w:rsid w:val="6E7A5F73"/>
    <w:rsid w:val="6E91666F"/>
    <w:rsid w:val="6F0D2EB7"/>
    <w:rsid w:val="6F0F5F11"/>
    <w:rsid w:val="6F1E43A6"/>
    <w:rsid w:val="6F2B0C76"/>
    <w:rsid w:val="6F2E3798"/>
    <w:rsid w:val="6F327E52"/>
    <w:rsid w:val="6F6B6274"/>
    <w:rsid w:val="6FD74228"/>
    <w:rsid w:val="6FFEF36A"/>
    <w:rsid w:val="70343755"/>
    <w:rsid w:val="70A0215F"/>
    <w:rsid w:val="70B33744"/>
    <w:rsid w:val="70C44AD9"/>
    <w:rsid w:val="70FE5EDF"/>
    <w:rsid w:val="71003B2D"/>
    <w:rsid w:val="71415A90"/>
    <w:rsid w:val="71633091"/>
    <w:rsid w:val="71730D46"/>
    <w:rsid w:val="72F22CC6"/>
    <w:rsid w:val="730218E9"/>
    <w:rsid w:val="73081CA5"/>
    <w:rsid w:val="733C4C78"/>
    <w:rsid w:val="73483525"/>
    <w:rsid w:val="735760D9"/>
    <w:rsid w:val="73D56828"/>
    <w:rsid w:val="73D8682C"/>
    <w:rsid w:val="73DE613E"/>
    <w:rsid w:val="74545B7C"/>
    <w:rsid w:val="7487762D"/>
    <w:rsid w:val="74CA6436"/>
    <w:rsid w:val="75127057"/>
    <w:rsid w:val="75355E65"/>
    <w:rsid w:val="75385498"/>
    <w:rsid w:val="75614FED"/>
    <w:rsid w:val="75706FDE"/>
    <w:rsid w:val="75D91027"/>
    <w:rsid w:val="763E532E"/>
    <w:rsid w:val="769962BD"/>
    <w:rsid w:val="76BC207F"/>
    <w:rsid w:val="76EB4904"/>
    <w:rsid w:val="76F31341"/>
    <w:rsid w:val="76F45827"/>
    <w:rsid w:val="77094566"/>
    <w:rsid w:val="774B1AB0"/>
    <w:rsid w:val="777378F5"/>
    <w:rsid w:val="777A2D3C"/>
    <w:rsid w:val="77836025"/>
    <w:rsid w:val="778F2AFC"/>
    <w:rsid w:val="779A47E6"/>
    <w:rsid w:val="77C211DC"/>
    <w:rsid w:val="77D53A70"/>
    <w:rsid w:val="77F27A3E"/>
    <w:rsid w:val="78032115"/>
    <w:rsid w:val="782A240A"/>
    <w:rsid w:val="783A2252"/>
    <w:rsid w:val="78537BEA"/>
    <w:rsid w:val="789C4B6A"/>
    <w:rsid w:val="79074B81"/>
    <w:rsid w:val="790E7239"/>
    <w:rsid w:val="794E5888"/>
    <w:rsid w:val="794F0939"/>
    <w:rsid w:val="79AF0FCA"/>
    <w:rsid w:val="79EF2560"/>
    <w:rsid w:val="7A307495"/>
    <w:rsid w:val="7A4106A2"/>
    <w:rsid w:val="7A6D08A5"/>
    <w:rsid w:val="7AE05356"/>
    <w:rsid w:val="7AF9279C"/>
    <w:rsid w:val="7B5571CA"/>
    <w:rsid w:val="7BA7602B"/>
    <w:rsid w:val="7C8028A6"/>
    <w:rsid w:val="7C831CEC"/>
    <w:rsid w:val="7CC3033B"/>
    <w:rsid w:val="7CC51958"/>
    <w:rsid w:val="7CCB22B3"/>
    <w:rsid w:val="7CCF5A44"/>
    <w:rsid w:val="7CEC40B6"/>
    <w:rsid w:val="7CEC7205"/>
    <w:rsid w:val="7D0746CC"/>
    <w:rsid w:val="7D7F0D08"/>
    <w:rsid w:val="7D957F29"/>
    <w:rsid w:val="7DE20C95"/>
    <w:rsid w:val="7E2936C3"/>
    <w:rsid w:val="7E2E365C"/>
    <w:rsid w:val="7E6411B9"/>
    <w:rsid w:val="7E855AD2"/>
    <w:rsid w:val="7EB10D93"/>
    <w:rsid w:val="7EC01F50"/>
    <w:rsid w:val="7F4A74EA"/>
    <w:rsid w:val="7F7973D7"/>
    <w:rsid w:val="D6BA3E7D"/>
    <w:rsid w:val="DEF9C66F"/>
    <w:rsid w:val="F83ED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nhideWhenUsed="0" w:uiPriority="39" w:semiHidden="0" w:name="toc 7"/>
    <w:lsdException w:qFormat="1" w:unhideWhenUsed="0" w:uiPriority="39" w:semiHidden="0"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6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3"/>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8"/>
    <w:qFormat/>
    <w:uiPriority w:val="0"/>
    <w:pPr>
      <w:keepNext/>
      <w:keepLines/>
      <w:spacing w:before="280" w:after="290" w:line="376" w:lineRule="auto"/>
      <w:outlineLvl w:val="3"/>
    </w:pPr>
    <w:rPr>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39"/>
    <w:pPr>
      <w:ind w:left="1260"/>
      <w:jc w:val="left"/>
    </w:pPr>
    <w:rPr>
      <w:sz w:val="18"/>
      <w:szCs w:val="18"/>
    </w:rPr>
  </w:style>
  <w:style w:type="paragraph" w:styleId="7">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60"/>
    <w:qFormat/>
    <w:uiPriority w:val="0"/>
    <w:pPr>
      <w:jc w:val="left"/>
    </w:pPr>
    <w:rPr>
      <w:rFonts w:ascii="Arial" w:hAnsi="Arial" w:eastAsia="黑体" w:cs="Arial"/>
    </w:rPr>
  </w:style>
  <w:style w:type="paragraph" w:styleId="9">
    <w:name w:val="Body Text"/>
    <w:basedOn w:val="1"/>
    <w:qFormat/>
    <w:uiPriority w:val="0"/>
    <w:pPr>
      <w:spacing w:after="120"/>
    </w:pPr>
    <w:rPr>
      <w:rFonts w:ascii="@微软简标宋" w:hAnsi="@微软简标宋" w:eastAsia="@微软简标宋" w:cs="@微软简标宋"/>
      <w:szCs w:val="24"/>
      <w:lang w:val="zh-CN"/>
    </w:rPr>
  </w:style>
  <w:style w:type="paragraph" w:styleId="10">
    <w:name w:val="Body Text Indent"/>
    <w:basedOn w:val="1"/>
    <w:next w:val="11"/>
    <w:unhideWhenUsed/>
    <w:qFormat/>
    <w:uiPriority w:val="0"/>
    <w:pPr>
      <w:spacing w:after="120"/>
      <w:ind w:left="420" w:leftChars="200"/>
    </w:pPr>
    <w:rPr>
      <w:rFonts w:asciiTheme="minorHAnsi" w:hAnsiTheme="minorHAnsi"/>
      <w:szCs w:val="22"/>
    </w:rPr>
  </w:style>
  <w:style w:type="paragraph" w:styleId="11">
    <w:name w:val="envelope return"/>
    <w:basedOn w:val="1"/>
    <w:qFormat/>
    <w:uiPriority w:val="0"/>
    <w:pPr>
      <w:snapToGrid w:val="0"/>
    </w:pPr>
    <w:rPr>
      <w:rFonts w:ascii="Arial" w:hAnsi="Arial"/>
    </w:rPr>
  </w:style>
  <w:style w:type="paragraph" w:styleId="12">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3">
    <w:name w:val="Plain Text"/>
    <w:basedOn w:val="1"/>
    <w:link w:val="50"/>
    <w:qFormat/>
    <w:uiPriority w:val="99"/>
    <w:rPr>
      <w:rFonts w:ascii="宋体" w:hAnsi="Courier New" w:eastAsiaTheme="minorEastAsia" w:cstheme="minorBidi"/>
      <w:szCs w:val="22"/>
    </w:rPr>
  </w:style>
  <w:style w:type="paragraph" w:styleId="14">
    <w:name w:val="toc 8"/>
    <w:basedOn w:val="1"/>
    <w:next w:val="1"/>
    <w:qFormat/>
    <w:uiPriority w:val="39"/>
    <w:pPr>
      <w:ind w:left="1470"/>
      <w:jc w:val="left"/>
    </w:pPr>
    <w:rPr>
      <w:rFonts w:ascii="Calibri" w:hAnsi="Calibri"/>
      <w:sz w:val="18"/>
      <w:szCs w:val="18"/>
    </w:rPr>
  </w:style>
  <w:style w:type="paragraph" w:styleId="15">
    <w:name w:val="Date"/>
    <w:basedOn w:val="1"/>
    <w:next w:val="1"/>
    <w:link w:val="57"/>
    <w:qFormat/>
    <w:uiPriority w:val="0"/>
    <w:rPr>
      <w:rFonts w:ascii="Arial" w:hAnsi="Arial" w:eastAsia="宋体" w:cs="Arial"/>
      <w:b/>
      <w:sz w:val="28"/>
    </w:rPr>
  </w:style>
  <w:style w:type="paragraph" w:styleId="16">
    <w:name w:val="Body Text Indent 2"/>
    <w:basedOn w:val="1"/>
    <w:next w:val="1"/>
    <w:qFormat/>
    <w:uiPriority w:val="0"/>
    <w:pPr>
      <w:ind w:firstLine="640" w:firstLineChars="200"/>
    </w:pPr>
    <w:rPr>
      <w:rFonts w:ascii="Calibri" w:hAnsi="Calibri"/>
      <w:sz w:val="32"/>
    </w:rPr>
  </w:style>
  <w:style w:type="paragraph" w:styleId="17">
    <w:name w:val="Balloon Text"/>
    <w:basedOn w:val="1"/>
    <w:link w:val="44"/>
    <w:semiHidden/>
    <w:unhideWhenUsed/>
    <w:qFormat/>
    <w:uiPriority w:val="99"/>
    <w:rPr>
      <w:sz w:val="18"/>
      <w:szCs w:val="18"/>
    </w:rPr>
  </w:style>
  <w:style w:type="paragraph" w:styleId="18">
    <w:name w:val="footer"/>
    <w:basedOn w:val="1"/>
    <w:link w:val="49"/>
    <w:unhideWhenUsed/>
    <w:qFormat/>
    <w:uiPriority w:val="99"/>
    <w:pPr>
      <w:tabs>
        <w:tab w:val="center" w:pos="4153"/>
        <w:tab w:val="right" w:pos="8306"/>
      </w:tabs>
      <w:snapToGrid w:val="0"/>
      <w:jc w:val="left"/>
    </w:pPr>
    <w:rPr>
      <w:sz w:val="18"/>
      <w:szCs w:val="18"/>
    </w:rPr>
  </w:style>
  <w:style w:type="paragraph" w:styleId="19">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Normal (Web)"/>
    <w:basedOn w:val="1"/>
    <w:qFormat/>
    <w:uiPriority w:val="0"/>
    <w:pPr>
      <w:spacing w:before="100" w:beforeAutospacing="1" w:after="100" w:afterAutospacing="1"/>
      <w:jc w:val="left"/>
    </w:pPr>
    <w:rPr>
      <w:rFonts w:cs="Times New Roman"/>
      <w:kern w:val="0"/>
      <w:sz w:val="24"/>
    </w:rPr>
  </w:style>
  <w:style w:type="paragraph" w:styleId="23">
    <w:name w:val="index 1"/>
    <w:basedOn w:val="1"/>
    <w:next w:val="1"/>
    <w:qFormat/>
    <w:uiPriority w:val="0"/>
    <w:pPr>
      <w:jc w:val="center"/>
    </w:pPr>
    <w:rPr>
      <w:rFonts w:ascii="Arial" w:hAnsi="Arial" w:eastAsia="Arial" w:cs="Arial"/>
      <w:b/>
      <w:bCs/>
      <w:sz w:val="28"/>
    </w:rPr>
  </w:style>
  <w:style w:type="paragraph" w:styleId="24">
    <w:name w:val="annotation subject"/>
    <w:basedOn w:val="8"/>
    <w:next w:val="8"/>
    <w:link w:val="71"/>
    <w:semiHidden/>
    <w:unhideWhenUsed/>
    <w:qFormat/>
    <w:uiPriority w:val="99"/>
    <w:rPr>
      <w:rFonts w:ascii="@仿宋_GB2312" w:hAnsi="@仿宋_GB2312" w:eastAsia="@仿宋_GB2312" w:cs="@仿宋_GB2312"/>
      <w:b/>
      <w:bCs/>
    </w:rPr>
  </w:style>
  <w:style w:type="paragraph" w:styleId="25">
    <w:name w:val="Body Text First Indent"/>
    <w:basedOn w:val="9"/>
    <w:unhideWhenUsed/>
    <w:qFormat/>
    <w:uiPriority w:val="99"/>
    <w:pPr>
      <w:ind w:firstLine="420" w:firstLineChars="100"/>
    </w:pPr>
  </w:style>
  <w:style w:type="paragraph" w:styleId="26">
    <w:name w:val="Body Text First Indent 2"/>
    <w:basedOn w:val="10"/>
    <w:next w:val="1"/>
    <w:qFormat/>
    <w:uiPriority w:val="0"/>
    <w:pPr>
      <w:spacing w:line="360" w:lineRule="auto"/>
      <w:ind w:firstLine="200"/>
    </w:pPr>
  </w:style>
  <w:style w:type="table" w:styleId="28">
    <w:name w:val="Table Grid"/>
    <w:basedOn w:val="27"/>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0"/>
    <w:rPr>
      <w:b/>
      <w:bCs/>
    </w:rPr>
  </w:style>
  <w:style w:type="character" w:styleId="31">
    <w:name w:val="FollowedHyperlink"/>
    <w:basedOn w:val="29"/>
    <w:semiHidden/>
    <w:unhideWhenUsed/>
    <w:qFormat/>
    <w:uiPriority w:val="99"/>
    <w:rPr>
      <w:color w:val="5C5C5C"/>
      <w:u w:val="none"/>
    </w:rPr>
  </w:style>
  <w:style w:type="character" w:styleId="32">
    <w:name w:val="Emphasis"/>
    <w:basedOn w:val="29"/>
    <w:qFormat/>
    <w:uiPriority w:val="0"/>
    <w:rPr>
      <w:b/>
      <w:bCs/>
    </w:rPr>
  </w:style>
  <w:style w:type="character" w:styleId="33">
    <w:name w:val="HTML Definition"/>
    <w:basedOn w:val="29"/>
    <w:semiHidden/>
    <w:unhideWhenUsed/>
    <w:qFormat/>
    <w:uiPriority w:val="99"/>
  </w:style>
  <w:style w:type="character" w:styleId="34">
    <w:name w:val="HTML Typewriter"/>
    <w:basedOn w:val="29"/>
    <w:semiHidden/>
    <w:unhideWhenUsed/>
    <w:qFormat/>
    <w:uiPriority w:val="99"/>
    <w:rPr>
      <w:rFonts w:hint="default" w:ascii="monospace" w:hAnsi="monospace" w:eastAsia="monospace" w:cs="monospace"/>
      <w:sz w:val="20"/>
    </w:rPr>
  </w:style>
  <w:style w:type="character" w:styleId="35">
    <w:name w:val="HTML Acronym"/>
    <w:basedOn w:val="29"/>
    <w:semiHidden/>
    <w:unhideWhenUsed/>
    <w:qFormat/>
    <w:uiPriority w:val="99"/>
  </w:style>
  <w:style w:type="character" w:styleId="36">
    <w:name w:val="HTML Variable"/>
    <w:basedOn w:val="29"/>
    <w:semiHidden/>
    <w:unhideWhenUsed/>
    <w:qFormat/>
    <w:uiPriority w:val="99"/>
  </w:style>
  <w:style w:type="character" w:styleId="37">
    <w:name w:val="Hyperlink"/>
    <w:basedOn w:val="29"/>
    <w:unhideWhenUsed/>
    <w:qFormat/>
    <w:uiPriority w:val="99"/>
    <w:rPr>
      <w:color w:val="0000FF" w:themeColor="hyperlink"/>
      <w:u w:val="single"/>
      <w14:textFill>
        <w14:solidFill>
          <w14:schemeClr w14:val="hlink"/>
        </w14:solidFill>
      </w14:textFill>
    </w:rPr>
  </w:style>
  <w:style w:type="character" w:styleId="38">
    <w:name w:val="HTML Code"/>
    <w:basedOn w:val="29"/>
    <w:semiHidden/>
    <w:unhideWhenUsed/>
    <w:qFormat/>
    <w:uiPriority w:val="99"/>
    <w:rPr>
      <w:rFonts w:ascii="monospace" w:hAnsi="monospace" w:eastAsia="monospace" w:cs="monospace"/>
      <w:sz w:val="20"/>
    </w:rPr>
  </w:style>
  <w:style w:type="character" w:styleId="39">
    <w:name w:val="annotation reference"/>
    <w:basedOn w:val="29"/>
    <w:semiHidden/>
    <w:unhideWhenUsed/>
    <w:qFormat/>
    <w:uiPriority w:val="99"/>
    <w:rPr>
      <w:sz w:val="21"/>
      <w:szCs w:val="21"/>
    </w:rPr>
  </w:style>
  <w:style w:type="character" w:styleId="40">
    <w:name w:val="HTML Cite"/>
    <w:basedOn w:val="29"/>
    <w:semiHidden/>
    <w:unhideWhenUsed/>
    <w:qFormat/>
    <w:uiPriority w:val="99"/>
  </w:style>
  <w:style w:type="character" w:styleId="41">
    <w:name w:val="HTML Keyboard"/>
    <w:basedOn w:val="29"/>
    <w:semiHidden/>
    <w:unhideWhenUsed/>
    <w:qFormat/>
    <w:uiPriority w:val="99"/>
    <w:rPr>
      <w:rFonts w:hint="default" w:ascii="monospace" w:hAnsi="monospace" w:eastAsia="monospace" w:cs="monospace"/>
      <w:sz w:val="20"/>
      <w:bdr w:val="single" w:color="D6D6D6" w:sz="6" w:space="0"/>
      <w:shd w:val="clear" w:fill="FFFFFF"/>
    </w:rPr>
  </w:style>
  <w:style w:type="character" w:styleId="42">
    <w:name w:val="HTML Sample"/>
    <w:basedOn w:val="29"/>
    <w:semiHidden/>
    <w:unhideWhenUsed/>
    <w:qFormat/>
    <w:uiPriority w:val="99"/>
    <w:rPr>
      <w:rFonts w:hint="default" w:ascii="monospace" w:hAnsi="monospace" w:eastAsia="monospace" w:cs="monospace"/>
    </w:rPr>
  </w:style>
  <w:style w:type="paragraph" w:customStyle="1" w:styleId="43">
    <w:name w:val="表格文字"/>
    <w:basedOn w:val="10"/>
    <w:next w:val="9"/>
    <w:qFormat/>
    <w:uiPriority w:val="0"/>
    <w:pPr>
      <w:adjustRightInd w:val="0"/>
      <w:spacing w:line="420" w:lineRule="atLeast"/>
      <w:jc w:val="left"/>
      <w:textAlignment w:val="baseline"/>
    </w:pPr>
    <w:rPr>
      <w:kern w:val="0"/>
      <w:szCs w:val="20"/>
    </w:rPr>
  </w:style>
  <w:style w:type="character" w:customStyle="1" w:styleId="44">
    <w:name w:val="批注框文本 Char"/>
    <w:basedOn w:val="29"/>
    <w:link w:val="17"/>
    <w:semiHidden/>
    <w:qFormat/>
    <w:uiPriority w:val="99"/>
    <w:rPr>
      <w:rFonts w:ascii="@仿宋_GB2312" w:hAnsi="@仿宋_GB2312" w:eastAsia="@仿宋_GB2312" w:cs="@仿宋_GB2312"/>
      <w:sz w:val="18"/>
      <w:szCs w:val="18"/>
    </w:rPr>
  </w:style>
  <w:style w:type="paragraph" w:customStyle="1" w:styleId="45">
    <w:name w:val="正文（缩进）"/>
    <w:basedOn w:val="1"/>
    <w:qFormat/>
    <w:uiPriority w:val="0"/>
    <w:pPr>
      <w:widowControl/>
      <w:spacing w:before="156" w:after="156"/>
      <w:ind w:firstLine="480" w:firstLineChars="200"/>
      <w:jc w:val="left"/>
    </w:pPr>
    <w:rPr>
      <w:kern w:val="0"/>
      <w:sz w:val="24"/>
      <w:szCs w:val="24"/>
    </w:rPr>
  </w:style>
  <w:style w:type="paragraph" w:customStyle="1" w:styleId="46">
    <w:name w:val="xl31"/>
    <w:basedOn w:val="1"/>
    <w:qFormat/>
    <w:uiPriority w:val="0"/>
    <w:pPr>
      <w:widowControl/>
      <w:spacing w:before="100" w:beforeAutospacing="1" w:after="100" w:afterAutospacing="1"/>
      <w:jc w:val="center"/>
    </w:pPr>
    <w:rPr>
      <w:b/>
      <w:bCs/>
      <w:kern w:val="0"/>
      <w:sz w:val="28"/>
      <w:szCs w:val="28"/>
    </w:rPr>
  </w:style>
  <w:style w:type="paragraph" w:customStyle="1" w:styleId="47">
    <w:name w:val="D&amp;L"/>
    <w:basedOn w:val="19"/>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8">
    <w:name w:val="页眉 Char"/>
    <w:basedOn w:val="29"/>
    <w:link w:val="19"/>
    <w:qFormat/>
    <w:uiPriority w:val="99"/>
    <w:rPr>
      <w:rFonts w:ascii="@仿宋_GB2312" w:hAnsi="@仿宋_GB2312" w:eastAsia="@仿宋_GB2312" w:cs="@仿宋_GB2312"/>
      <w:sz w:val="18"/>
      <w:szCs w:val="18"/>
    </w:rPr>
  </w:style>
  <w:style w:type="character" w:customStyle="1" w:styleId="49">
    <w:name w:val="页脚 Char"/>
    <w:basedOn w:val="29"/>
    <w:link w:val="18"/>
    <w:qFormat/>
    <w:uiPriority w:val="99"/>
    <w:rPr>
      <w:rFonts w:ascii="@仿宋_GB2312" w:hAnsi="@仿宋_GB2312" w:eastAsia="@仿宋_GB2312" w:cs="@仿宋_GB2312"/>
      <w:sz w:val="18"/>
      <w:szCs w:val="18"/>
    </w:rPr>
  </w:style>
  <w:style w:type="character" w:customStyle="1" w:styleId="50">
    <w:name w:val="纯文本 Char"/>
    <w:link w:val="13"/>
    <w:qFormat/>
    <w:uiPriority w:val="0"/>
    <w:rPr>
      <w:rFonts w:ascii="宋体" w:hAnsi="Courier New"/>
    </w:rPr>
  </w:style>
  <w:style w:type="character" w:customStyle="1" w:styleId="51">
    <w:name w:val="纯文本 字符1"/>
    <w:basedOn w:val="29"/>
    <w:semiHidden/>
    <w:qFormat/>
    <w:uiPriority w:val="99"/>
    <w:rPr>
      <w:rFonts w:hAnsi="Courier New" w:cs="Courier New" w:asciiTheme="minorEastAsia"/>
      <w:szCs w:val="20"/>
    </w:rPr>
  </w:style>
  <w:style w:type="character" w:customStyle="1" w:styleId="52">
    <w:name w:val="未处理的提及1"/>
    <w:basedOn w:val="29"/>
    <w:semiHidden/>
    <w:unhideWhenUsed/>
    <w:qFormat/>
    <w:uiPriority w:val="99"/>
    <w:rPr>
      <w:color w:val="605E5C"/>
      <w:shd w:val="clear" w:color="auto" w:fill="E1DFDD"/>
    </w:rPr>
  </w:style>
  <w:style w:type="paragraph" w:styleId="53">
    <w:name w:val="List Paragraph"/>
    <w:basedOn w:val="1"/>
    <w:qFormat/>
    <w:uiPriority w:val="34"/>
    <w:pPr>
      <w:ind w:firstLine="420" w:firstLineChars="200"/>
    </w:pPr>
  </w:style>
  <w:style w:type="paragraph" w:customStyle="1" w:styleId="54">
    <w:name w:val="Char Char Char Char Char Char Char1 Char"/>
    <w:basedOn w:val="1"/>
    <w:qFormat/>
    <w:uiPriority w:val="0"/>
    <w:rPr>
      <w:rFonts w:ascii="Arial" w:hAnsi="Arial" w:eastAsia="宋体" w:cs="Arial"/>
      <w:sz w:val="24"/>
    </w:rPr>
  </w:style>
  <w:style w:type="table" w:customStyle="1" w:styleId="55">
    <w:name w:val="网格表 1 浅色1"/>
    <w:basedOn w:val="27"/>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6">
    <w:name w:val="日期 字符"/>
    <w:basedOn w:val="29"/>
    <w:semiHidden/>
    <w:qFormat/>
    <w:uiPriority w:val="99"/>
    <w:rPr>
      <w:rFonts w:ascii="@仿宋_GB2312" w:hAnsi="@仿宋_GB2312" w:eastAsia="@仿宋_GB2312" w:cs="@仿宋_GB2312"/>
      <w:szCs w:val="20"/>
    </w:rPr>
  </w:style>
  <w:style w:type="character" w:customStyle="1" w:styleId="57">
    <w:name w:val="日期 Char"/>
    <w:link w:val="15"/>
    <w:qFormat/>
    <w:uiPriority w:val="0"/>
    <w:rPr>
      <w:rFonts w:ascii="Arial" w:hAnsi="Arial" w:eastAsia="宋体" w:cs="Arial"/>
      <w:b/>
      <w:sz w:val="28"/>
      <w:szCs w:val="20"/>
    </w:rPr>
  </w:style>
  <w:style w:type="character" w:customStyle="1" w:styleId="58">
    <w:name w:val="纯文本 Char1"/>
    <w:qFormat/>
    <w:locked/>
    <w:uiPriority w:val="99"/>
    <w:rPr>
      <w:rFonts w:ascii="Arial" w:hAnsi="Arial" w:eastAsia="Arial"/>
      <w:kern w:val="2"/>
      <w:sz w:val="21"/>
      <w:lang w:val="en-US" w:eastAsia="zh-CN" w:bidi="ar-SA"/>
    </w:rPr>
  </w:style>
  <w:style w:type="character" w:customStyle="1" w:styleId="59">
    <w:name w:val="批注文字 Char"/>
    <w:basedOn w:val="29"/>
    <w:semiHidden/>
    <w:qFormat/>
    <w:uiPriority w:val="99"/>
    <w:rPr>
      <w:rFonts w:ascii="@仿宋_GB2312" w:hAnsi="@仿宋_GB2312" w:eastAsia="@仿宋_GB2312" w:cs="@仿宋_GB2312"/>
      <w:szCs w:val="20"/>
    </w:rPr>
  </w:style>
  <w:style w:type="character" w:customStyle="1" w:styleId="60">
    <w:name w:val="批注文字 Char1"/>
    <w:link w:val="8"/>
    <w:qFormat/>
    <w:uiPriority w:val="0"/>
    <w:rPr>
      <w:rFonts w:ascii="Arial" w:hAnsi="Arial" w:eastAsia="黑体" w:cs="Arial"/>
      <w:szCs w:val="20"/>
    </w:rPr>
  </w:style>
  <w:style w:type="character" w:customStyle="1" w:styleId="61">
    <w:name w:val="标题 1 Char"/>
    <w:basedOn w:val="29"/>
    <w:link w:val="2"/>
    <w:qFormat/>
    <w:uiPriority w:val="9"/>
    <w:rPr>
      <w:rFonts w:ascii="@仿宋_GB2312" w:hAnsi="@仿宋_GB2312" w:eastAsia="@仿宋_GB2312" w:cs="@仿宋_GB2312"/>
      <w:b/>
      <w:bCs/>
      <w:kern w:val="44"/>
      <w:sz w:val="44"/>
      <w:szCs w:val="44"/>
    </w:rPr>
  </w:style>
  <w:style w:type="paragraph" w:customStyle="1" w:styleId="62">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3">
    <w:name w:val="标题 3 Char"/>
    <w:basedOn w:val="29"/>
    <w:link w:val="4"/>
    <w:semiHidden/>
    <w:qFormat/>
    <w:uiPriority w:val="9"/>
    <w:rPr>
      <w:rFonts w:ascii="@仿宋_GB2312" w:hAnsi="@仿宋_GB2312" w:eastAsia="@仿宋_GB2312" w:cs="@仿宋_GB2312"/>
      <w:b/>
      <w:bCs/>
      <w:sz w:val="32"/>
      <w:szCs w:val="32"/>
    </w:rPr>
  </w:style>
  <w:style w:type="character" w:customStyle="1" w:styleId="64">
    <w:name w:val="fontstyle01"/>
    <w:basedOn w:val="29"/>
    <w:qFormat/>
    <w:uiPriority w:val="0"/>
    <w:rPr>
      <w:rFonts w:hint="eastAsia" w:ascii="宋体" w:hAnsi="宋体" w:eastAsia="宋体"/>
      <w:color w:val="000000"/>
      <w:sz w:val="22"/>
      <w:szCs w:val="22"/>
    </w:rPr>
  </w:style>
  <w:style w:type="character" w:customStyle="1" w:styleId="65">
    <w:name w:val="fontstyle21"/>
    <w:basedOn w:val="29"/>
    <w:qFormat/>
    <w:uiPriority w:val="0"/>
    <w:rPr>
      <w:rFonts w:hint="default" w:ascii="TimesNewRomanPSMT" w:hAnsi="TimesNewRomanPSMT"/>
      <w:color w:val="000000"/>
      <w:sz w:val="22"/>
      <w:szCs w:val="22"/>
    </w:rPr>
  </w:style>
  <w:style w:type="character" w:customStyle="1" w:styleId="66">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7">
    <w:name w:val="标题 4 字符"/>
    <w:basedOn w:val="29"/>
    <w:semiHidden/>
    <w:qFormat/>
    <w:uiPriority w:val="9"/>
    <w:rPr>
      <w:rFonts w:asciiTheme="majorHAnsi" w:hAnsiTheme="majorHAnsi" w:eastAsiaTheme="majorEastAsia" w:cstheme="majorBidi"/>
      <w:b/>
      <w:bCs/>
      <w:sz w:val="28"/>
      <w:szCs w:val="28"/>
    </w:rPr>
  </w:style>
  <w:style w:type="character" w:customStyle="1" w:styleId="68">
    <w:name w:val="标题 4 Char1"/>
    <w:link w:val="5"/>
    <w:qFormat/>
    <w:uiPriority w:val="0"/>
    <w:rPr>
      <w:rFonts w:ascii="@仿宋_GB2312" w:hAnsi="@仿宋_GB2312" w:eastAsia="@仿宋_GB2312" w:cs="@仿宋_GB2312"/>
      <w:b/>
      <w:bCs/>
      <w:sz w:val="28"/>
      <w:szCs w:val="28"/>
    </w:rPr>
  </w:style>
  <w:style w:type="character" w:customStyle="1" w:styleId="69">
    <w:name w:val="标题 4 Char"/>
    <w:qFormat/>
    <w:uiPriority w:val="0"/>
    <w:rPr>
      <w:rFonts w:ascii="Arial" w:hAnsi="Arial" w:eastAsia="Arial"/>
      <w:b/>
      <w:bCs/>
      <w:kern w:val="2"/>
      <w:sz w:val="28"/>
      <w:szCs w:val="28"/>
      <w:lang w:val="en-US" w:eastAsia="zh-CN" w:bidi="ar-SA"/>
    </w:rPr>
  </w:style>
  <w:style w:type="table" w:customStyle="1" w:styleId="70">
    <w:name w:val="网格型1"/>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1">
    <w:name w:val="批注主题 Char"/>
    <w:basedOn w:val="60"/>
    <w:link w:val="24"/>
    <w:semiHidden/>
    <w:qFormat/>
    <w:uiPriority w:val="99"/>
    <w:rPr>
      <w:rFonts w:ascii="@仿宋_GB2312" w:hAnsi="@仿宋_GB2312" w:eastAsia="@仿宋_GB2312" w:cs="@仿宋_GB2312"/>
      <w:b/>
      <w:bCs/>
      <w:szCs w:val="20"/>
    </w:rPr>
  </w:style>
  <w:style w:type="table" w:customStyle="1" w:styleId="72">
    <w:name w:val="Table Normal"/>
    <w:semiHidden/>
    <w:unhideWhenUsed/>
    <w:qFormat/>
    <w:uiPriority w:val="0"/>
    <w:tblPr>
      <w:tblCellMar>
        <w:top w:w="0" w:type="dxa"/>
        <w:left w:w="0" w:type="dxa"/>
        <w:bottom w:w="0" w:type="dxa"/>
        <w:right w:w="0" w:type="dxa"/>
      </w:tblCellMar>
    </w:tblPr>
  </w:style>
  <w:style w:type="paragraph" w:customStyle="1" w:styleId="73">
    <w:name w:val="Table Text"/>
    <w:basedOn w:val="1"/>
    <w:semiHidden/>
    <w:qFormat/>
    <w:uiPriority w:val="0"/>
    <w:rPr>
      <w:rFonts w:ascii="Arial" w:hAnsi="Arial" w:eastAsia="Arial" w:cs="Arial"/>
      <w:sz w:val="21"/>
      <w:szCs w:val="21"/>
      <w:lang w:val="en-US" w:eastAsia="en-US" w:bidi="ar-SA"/>
    </w:rPr>
  </w:style>
  <w:style w:type="paragraph" w:customStyle="1" w:styleId="7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75">
    <w:name w:val="hover"/>
    <w:basedOn w:val="29"/>
    <w:qFormat/>
    <w:uiPriority w:val="0"/>
    <w:rPr>
      <w:color w:val="2590EB"/>
    </w:rPr>
  </w:style>
  <w:style w:type="character" w:customStyle="1" w:styleId="76">
    <w:name w:val="hover1"/>
    <w:basedOn w:val="29"/>
    <w:qFormat/>
    <w:uiPriority w:val="0"/>
    <w:rPr>
      <w:color w:val="2590EB"/>
    </w:rPr>
  </w:style>
  <w:style w:type="character" w:customStyle="1" w:styleId="77">
    <w:name w:val="hover2"/>
    <w:basedOn w:val="29"/>
    <w:qFormat/>
    <w:uiPriority w:val="0"/>
  </w:style>
  <w:style w:type="character" w:customStyle="1" w:styleId="78">
    <w:name w:val="hover3"/>
    <w:basedOn w:val="29"/>
    <w:qFormat/>
    <w:uiPriority w:val="0"/>
    <w:rPr>
      <w:color w:val="2590EB"/>
      <w:shd w:val="clear" w:fill="E9F4FD"/>
    </w:rPr>
  </w:style>
  <w:style w:type="character" w:customStyle="1" w:styleId="79">
    <w:name w:val="hover4"/>
    <w:basedOn w:val="29"/>
    <w:qFormat/>
    <w:uiPriority w:val="0"/>
    <w:rPr>
      <w:color w:val="2590EB"/>
      <w:shd w:val="clear" w:fill="E9F4FD"/>
    </w:rPr>
  </w:style>
  <w:style w:type="character" w:customStyle="1" w:styleId="80">
    <w:name w:val="room"/>
    <w:basedOn w:val="29"/>
    <w:qFormat/>
    <w:uiPriority w:val="0"/>
  </w:style>
  <w:style w:type="character" w:customStyle="1" w:styleId="81">
    <w:name w:val="layui-layer-tabnow"/>
    <w:basedOn w:val="29"/>
    <w:qFormat/>
    <w:uiPriority w:val="0"/>
    <w:rPr>
      <w:bdr w:val="single" w:color="CCCCCC" w:sz="6" w:space="0"/>
      <w:shd w:val="clear" w:fill="FFFFFF"/>
    </w:rPr>
  </w:style>
  <w:style w:type="character" w:customStyle="1" w:styleId="82">
    <w:name w:val="timeaxis"/>
    <w:basedOn w:val="29"/>
    <w:qFormat/>
    <w:uiPriority w:val="0"/>
  </w:style>
  <w:style w:type="character" w:customStyle="1" w:styleId="83">
    <w:name w:val="first-child"/>
    <w:basedOn w:val="29"/>
    <w:qFormat/>
    <w:uiPriority w:val="0"/>
  </w:style>
  <w:style w:type="paragraph" w:customStyle="1" w:styleId="84">
    <w:name w:val="card-title"/>
    <w:basedOn w:val="1"/>
    <w:qFormat/>
    <w:uiPriority w:val="0"/>
    <w:pPr>
      <w:spacing w:line="600" w:lineRule="atLeast"/>
      <w:ind w:right="750"/>
      <w:jc w:val="left"/>
    </w:pPr>
    <w:rPr>
      <w:color w:val="666666"/>
      <w:kern w:val="0"/>
      <w:lang w:val="en-US" w:eastAsia="zh-CN" w:bidi="ar"/>
    </w:rPr>
  </w:style>
  <w:style w:type="character" w:customStyle="1" w:styleId="85">
    <w:name w:val="hover5"/>
    <w:basedOn w:val="29"/>
    <w:qFormat/>
    <w:uiPriority w:val="0"/>
    <w:rPr>
      <w:color w:val="2590EB"/>
    </w:rPr>
  </w:style>
  <w:style w:type="character" w:customStyle="1" w:styleId="86">
    <w:name w:val="hover6"/>
    <w:basedOn w:val="29"/>
    <w:qFormat/>
    <w:uiPriority w:val="0"/>
    <w:rPr>
      <w:color w:val="2590EB"/>
    </w:rPr>
  </w:style>
  <w:style w:type="character" w:customStyle="1" w:styleId="87">
    <w:name w:val="layui-this"/>
    <w:basedOn w:val="29"/>
    <w:qFormat/>
    <w:uiPriority w:val="0"/>
    <w:rPr>
      <w:bdr w:val="single" w:color="EEEEEE" w:sz="6" w:space="0"/>
      <w:shd w:val="clear" w:fill="FFFFFF"/>
    </w:rPr>
  </w:style>
  <w:style w:type="character" w:customStyle="1" w:styleId="88">
    <w:name w:val="fontstyle31"/>
    <w:basedOn w:val="29"/>
    <w:qFormat/>
    <w:uiPriority w:val="0"/>
    <w:rPr>
      <w:rFonts w:hint="default" w:ascii="TimesNewRomanPSMT" w:hAnsi="TimesNewRomanPSMT"/>
      <w:color w:val="000000"/>
      <w:sz w:val="30"/>
      <w:szCs w:val="30"/>
    </w:rPr>
  </w:style>
  <w:style w:type="paragraph" w:customStyle="1" w:styleId="89">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95</Pages>
  <Words>2771</Words>
  <Characters>3121</Characters>
  <Lines>244</Lines>
  <Paragraphs>68</Paragraphs>
  <TotalTime>200</TotalTime>
  <ScaleCrop>false</ScaleCrop>
  <LinksUpToDate>false</LinksUpToDate>
  <CharactersWithSpaces>3204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2019-05-08T14:32:00Z</dcterms:created>
  <dc:creator>Anakin</dc:creator>
  <cp:lastModifiedBy>NTKO</cp:lastModifiedBy>
  <cp:lastPrinted>2019-12-09T15:18:00Z</cp:lastPrinted>
  <dcterms:modified xsi:type="dcterms:W3CDTF">2026-07-30T01:41:54Z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25694AC235EF43F7A273D92D87E381E4_13</vt:lpwstr>
  </property>
  <property fmtid="{D5CDD505-2E9C-101B-9397-08002B2CF9AE}" pid="4" name="KSOTemplateDocerSaveRecord">
    <vt:lpwstr>eyJoZGlkIjoiZTQ4OTM2MTIyODI3Njc5MTE5MDBiNjA4NzIzYTUzZmEiLCJ1c2VySWQiOiI3MDAwNjg2OTUifQ==</vt:lpwstr>
  </property>
</Properties>
</file>