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spacing w:line="1200" w:lineRule="exact"/>
        <w:jc w:val="center"/>
        <w:rPr>
          <w:rFonts w:hint="default" w:ascii="楷体_GB2312" w:hAnsi="楷体_GB2312" w:eastAsia="楷体_GB2312" w:cs="楷体_GB2312"/>
          <w:b/>
          <w:bCs/>
          <w:color w:val="auto"/>
          <w:sz w:val="52"/>
          <w:szCs w:val="52"/>
          <w:highlight w:val="none"/>
          <w:lang w:val="en-US" w:eastAsia="zh-CN"/>
        </w:rPr>
      </w:pPr>
      <w:r>
        <w:rPr>
          <w:rFonts w:hint="eastAsia" w:ascii="楷体_GB2312" w:hAnsi="楷体_GB2312" w:eastAsia="楷体_GB2312" w:cs="楷体_GB2312"/>
          <w:b/>
          <w:bCs/>
          <w:color w:val="auto"/>
          <w:sz w:val="52"/>
          <w:szCs w:val="52"/>
          <w:highlight w:val="none"/>
          <w:lang w:eastAsia="zh-CN"/>
        </w:rPr>
        <w:t>苏滁第二实验学校原校长赵加雷同志离任经济责任审计（</w:t>
      </w:r>
      <w:r>
        <w:rPr>
          <w:rFonts w:hint="eastAsia" w:ascii="楷体_GB2312" w:hAnsi="楷体_GB2312" w:eastAsia="楷体_GB2312" w:cs="楷体_GB2312"/>
          <w:b/>
          <w:bCs/>
          <w:color w:val="auto"/>
          <w:sz w:val="52"/>
          <w:szCs w:val="52"/>
          <w:highlight w:val="none"/>
          <w:lang w:val="en-US" w:eastAsia="zh-CN"/>
        </w:rPr>
        <w:t>二次）</w:t>
      </w:r>
    </w:p>
    <w:p w14:paraId="7AD5EE92">
      <w:pPr>
        <w:rPr>
          <w:rFonts w:hint="eastAsia" w:ascii="宋体"/>
          <w:bCs/>
          <w:color w:val="auto"/>
          <w:szCs w:val="21"/>
          <w:highlight w:val="none"/>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3"/>
        <w:rPr>
          <w:rFonts w:hint="eastAsia"/>
          <w:color w:val="auto"/>
          <w:highlight w:val="none"/>
        </w:rPr>
      </w:pPr>
    </w:p>
    <w:p w14:paraId="0B7E0817">
      <w:pPr>
        <w:rPr>
          <w:rFonts w:hint="eastAsia"/>
          <w:color w:val="auto"/>
          <w:highlight w:val="none"/>
        </w:rPr>
      </w:pPr>
    </w:p>
    <w:p w14:paraId="31447BF3">
      <w:pPr>
        <w:rPr>
          <w:rFonts w:hint="eastAsia" w:ascii="宋体"/>
          <w:color w:val="auto"/>
          <w:sz w:val="28"/>
          <w:szCs w:val="28"/>
          <w:highlight w:val="none"/>
        </w:rPr>
      </w:pPr>
    </w:p>
    <w:p w14:paraId="4A9B6B37">
      <w:pPr>
        <w:pStyle w:val="20"/>
        <w:rPr>
          <w:rFonts w:hint="eastAsia"/>
          <w:color w:val="auto"/>
          <w:highlight w:val="none"/>
        </w:rPr>
      </w:pPr>
    </w:p>
    <w:p w14:paraId="71737E66">
      <w:pPr>
        <w:rPr>
          <w:rFonts w:hint="eastAsia" w:ascii="宋体"/>
          <w:b/>
          <w:color w:val="auto"/>
          <w:sz w:val="32"/>
          <w:szCs w:val="32"/>
          <w:highlight w:val="none"/>
        </w:rPr>
      </w:pPr>
    </w:p>
    <w:p w14:paraId="7CA20BB5">
      <w:pPr>
        <w:pStyle w:val="26"/>
        <w:ind w:left="0" w:leftChars="0" w:firstLine="0" w:firstLineChars="0"/>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eastAsia="zh-CN"/>
        </w:rPr>
        <w:t>中新苏滁高新技术产业开发区管理委员会</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8</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581F4B1A">
      <w:pPr>
        <w:pStyle w:val="24"/>
        <w:tabs>
          <w:tab w:val="right" w:leader="dot" w:pos="8296"/>
        </w:tabs>
        <w:spacing w:before="156" w:beforeLines="50" w:after="156" w:afterLines="50" w:line="500" w:lineRule="exact"/>
        <w:rPr>
          <w:rFonts w:ascii="宋体" w:hAnsi="宋体"/>
          <w:b/>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ascii="宋体" w:hAnsi="宋体"/>
          <w:color w:val="auto"/>
          <w:sz w:val="24"/>
          <w:highlight w:val="none"/>
        </w:rPr>
        <w:fldChar w:fldCharType="begin"/>
      </w:r>
      <w:r>
        <w:rPr>
          <w:rStyle w:val="45"/>
          <w:rFonts w:ascii="宋体" w:hAnsi="宋体"/>
          <w:color w:val="auto"/>
          <w:sz w:val="24"/>
          <w:highlight w:val="none"/>
        </w:rPr>
        <w:instrText xml:space="preserve"> </w:instrText>
      </w:r>
      <w:r>
        <w:rPr>
          <w:rFonts w:ascii="宋体" w:hAnsi="宋体"/>
          <w:color w:val="auto"/>
          <w:sz w:val="24"/>
          <w:highlight w:val="none"/>
        </w:rPr>
        <w:instrText xml:space="preserve">HYPERLINK \l "_Toc58430304"</w:instrText>
      </w:r>
      <w:r>
        <w:rPr>
          <w:rStyle w:val="45"/>
          <w:rFonts w:ascii="宋体" w:hAnsi="宋体"/>
          <w:color w:val="auto"/>
          <w:sz w:val="24"/>
          <w:highlight w:val="none"/>
        </w:rPr>
        <w:instrText xml:space="preserve"> </w:instrText>
      </w:r>
      <w:r>
        <w:rPr>
          <w:rFonts w:ascii="宋体" w:hAnsi="宋体"/>
          <w:color w:val="auto"/>
          <w:sz w:val="24"/>
          <w:highlight w:val="none"/>
        </w:rPr>
        <w:fldChar w:fldCharType="separate"/>
      </w:r>
      <w:r>
        <w:rPr>
          <w:rStyle w:val="45"/>
          <w:rFonts w:hint="eastAsia" w:ascii="宋体" w:hAnsi="宋体"/>
          <w:b/>
          <w:color w:val="auto"/>
          <w:sz w:val="24"/>
          <w:highlight w:val="none"/>
        </w:rPr>
        <w:t>第一章</w:t>
      </w:r>
      <w:r>
        <w:rPr>
          <w:rStyle w:val="45"/>
          <w:rFonts w:ascii="宋体" w:hAnsi="宋体"/>
          <w:b/>
          <w:color w:val="auto"/>
          <w:sz w:val="24"/>
          <w:highlight w:val="none"/>
        </w:rPr>
        <w:t xml:space="preserve"> </w:t>
      </w:r>
      <w:r>
        <w:rPr>
          <w:rStyle w:val="45"/>
          <w:rFonts w:hint="eastAsia" w:ascii="宋体" w:hAnsi="宋体"/>
          <w:b/>
          <w:color w:val="auto"/>
          <w:sz w:val="24"/>
          <w:highlight w:val="none"/>
          <w:lang w:val="en-US" w:eastAsia="zh-CN"/>
        </w:rPr>
        <w:t>招标公告</w:t>
      </w:r>
      <w:r>
        <w:rPr>
          <w:rFonts w:ascii="宋体" w:hAnsi="宋体"/>
          <w:b/>
          <w:color w:val="auto"/>
          <w:sz w:val="24"/>
          <w:highlight w:val="none"/>
        </w:rPr>
        <w:tab/>
      </w:r>
      <w:r>
        <w:rPr>
          <w:rFonts w:hint="eastAsia" w:ascii="宋体" w:hAnsi="宋体"/>
          <w:b/>
          <w:color w:val="auto"/>
          <w:sz w:val="24"/>
          <w:highlight w:val="none"/>
          <w:lang w:val="en-US" w:eastAsia="zh-CN"/>
        </w:rPr>
        <w:t>3</w:t>
      </w:r>
      <w:r>
        <w:rPr>
          <w:rFonts w:ascii="宋体" w:hAnsi="宋体"/>
          <w:b/>
          <w:color w:val="auto"/>
          <w:sz w:val="24"/>
          <w:highlight w:val="none"/>
        </w:rPr>
        <w:fldChar w:fldCharType="end"/>
      </w:r>
    </w:p>
    <w:p w14:paraId="4978DF48">
      <w:pPr>
        <w:pStyle w:val="24"/>
        <w:tabs>
          <w:tab w:val="right" w:leader="dot" w:pos="8296"/>
        </w:tabs>
        <w:spacing w:before="156" w:beforeLines="50" w:after="156" w:afterLines="50" w:line="500" w:lineRule="exact"/>
        <w:rPr>
          <w:rFonts w:hint="eastAsia" w:ascii="宋体" w:hAnsi="宋体" w:eastAsia="宋体"/>
          <w:b/>
          <w:color w:val="auto"/>
          <w:sz w:val="24"/>
          <w:highlight w:val="none"/>
          <w:lang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"_Toc58430313"</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第二章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投标人须知</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5</w:t>
      </w:r>
    </w:p>
    <w:p w14:paraId="6AB8532C">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"_Toc58430316"</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第三章</w:t>
      </w:r>
      <w:r>
        <w:rPr>
          <w:rStyle w:val="45"/>
          <w:rFonts w:ascii="宋体" w:hAnsi="宋体"/>
          <w:b/>
          <w:color w:val="auto"/>
          <w:sz w:val="24"/>
          <w:highlight w:val="none"/>
        </w:rPr>
        <w:t xml:space="preserve"> </w:t>
      </w:r>
      <w:r>
        <w:rPr>
          <w:rStyle w:val="45"/>
          <w:rFonts w:hint="eastAsia" w:ascii="宋体" w:hAnsi="宋体"/>
          <w:b/>
          <w:color w:val="auto"/>
          <w:sz w:val="24"/>
          <w:highlight w:val="none"/>
        </w:rPr>
        <w:t>评标办法</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18</w:t>
      </w:r>
    </w:p>
    <w:p w14:paraId="7F36D634">
      <w:pPr>
        <w:pStyle w:val="24"/>
        <w:tabs>
          <w:tab w:val="right" w:leader="dot" w:pos="8296"/>
        </w:tabs>
        <w:spacing w:before="156" w:beforeLines="50" w:after="156" w:afterLines="50" w:line="500" w:lineRule="exac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第四章 采购内容及要求</w:t>
      </w:r>
      <w:r>
        <w:rPr>
          <w:rFonts w:ascii="宋体" w:hAnsi="宋体"/>
          <w:b/>
          <w:color w:val="auto"/>
          <w:sz w:val="24"/>
          <w:highlight w:val="none"/>
        </w:rPr>
        <w:tab/>
      </w:r>
      <w:r>
        <w:rPr>
          <w:rFonts w:hint="eastAsia" w:ascii="宋体" w:hAnsi="宋体"/>
          <w:b/>
          <w:color w:val="auto"/>
          <w:sz w:val="24"/>
          <w:highlight w:val="none"/>
          <w:lang w:val="en-US" w:eastAsia="zh-CN"/>
        </w:rPr>
        <w:t>25</w:t>
      </w:r>
    </w:p>
    <w:p w14:paraId="16E13669">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第五章 合同条款及格式</w:t>
      </w:r>
      <w:r>
        <w:rPr>
          <w:rFonts w:ascii="宋体" w:hAnsi="宋体"/>
          <w:b/>
          <w:color w:val="auto"/>
          <w:sz w:val="24"/>
          <w:highlight w:val="none"/>
        </w:rPr>
        <w:tab/>
      </w:r>
      <w:r>
        <w:rPr>
          <w:rFonts w:hint="eastAsia" w:ascii="宋体" w:hAnsi="宋体"/>
          <w:b/>
          <w:color w:val="auto"/>
          <w:sz w:val="24"/>
          <w:highlight w:val="none"/>
          <w:lang w:val="en-US" w:eastAsia="zh-CN"/>
        </w:rPr>
        <w:t>26</w:t>
      </w:r>
    </w:p>
    <w:p w14:paraId="6850A267">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"_Toc58430332"</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w:t>
      </w:r>
      <w:r>
        <w:rPr>
          <w:rStyle w:val="45"/>
          <w:rFonts w:hint="eastAsia" w:ascii="宋体" w:hAnsi="宋体"/>
          <w:b/>
          <w:color w:val="auto"/>
          <w:sz w:val="24"/>
          <w:highlight w:val="none"/>
          <w:lang w:val="en-US" w:eastAsia="zh-CN"/>
        </w:rPr>
        <w:t>六</w:t>
      </w:r>
      <w:r>
        <w:rPr>
          <w:rStyle w:val="45"/>
          <w:rFonts w:hint="eastAsia" w:ascii="宋体" w:hAnsi="宋体"/>
          <w:b/>
          <w:color w:val="auto"/>
          <w:sz w:val="24"/>
          <w:highlight w:val="none"/>
        </w:rPr>
        <w:t>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投标文件格式</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28</w:t>
      </w:r>
    </w:p>
    <w:p w14:paraId="364B1684">
      <w:pPr>
        <w:pStyle w:val="24"/>
        <w:tabs>
          <w:tab w:val="right" w:leader="dot" w:pos="8296"/>
        </w:tabs>
        <w:adjustRightInd w:val="0"/>
        <w:snapToGrid w:val="0"/>
        <w:spacing w:before="156" w:beforeLines="50" w:after="156" w:afterLines="50" w:line="500" w:lineRule="exact"/>
        <w:ind w:left="120" w:hanging="120"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sz w:val="24"/>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58430304"/>
      <w:r>
        <w:rPr>
          <w:rFonts w:hint="eastAsia" w:ascii="宋体"/>
          <w:b/>
          <w:color w:val="auto"/>
          <w:sz w:val="32"/>
          <w:szCs w:val="32"/>
          <w:highlight w:val="none"/>
        </w:rPr>
        <w:t xml:space="preserve">第一章  </w:t>
      </w:r>
      <w:bookmarkEnd w:id="1"/>
      <w:r>
        <w:rPr>
          <w:rFonts w:hint="eastAsia" w:ascii="宋体"/>
          <w:b/>
          <w:color w:val="auto"/>
          <w:sz w:val="32"/>
          <w:szCs w:val="32"/>
          <w:highlight w:val="none"/>
          <w:lang w:val="en-US" w:eastAsia="zh-CN"/>
        </w:rPr>
        <w:t>招标公告</w:t>
      </w:r>
    </w:p>
    <w:p w14:paraId="6E19D0FA">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eastAsia" w:ascii="黑体" w:hAnsi="黑体" w:cs="宋体"/>
          <w:color w:val="auto"/>
          <w:sz w:val="28"/>
          <w:szCs w:val="28"/>
          <w:highlight w:val="none"/>
          <w:u w:val="none"/>
        </w:rPr>
      </w:pPr>
      <w:bookmarkStart w:id="2" w:name="_Toc58430313"/>
      <w:r>
        <w:rPr>
          <w:rFonts w:hint="eastAsia" w:ascii="仿宋" w:hAnsi="仿宋" w:eastAsia="仿宋" w:cs="仿宋"/>
          <w:color w:val="auto"/>
          <w:sz w:val="28"/>
          <w:szCs w:val="28"/>
          <w:highlight w:val="none"/>
          <w:u w:val="single"/>
          <w:lang w:eastAsia="zh-CN"/>
        </w:rPr>
        <w:t xml:space="preserve">滁州市城投工程咨询管理有限公司 </w:t>
      </w:r>
      <w:r>
        <w:rPr>
          <w:rFonts w:hint="eastAsia" w:ascii="仿宋" w:hAnsi="仿宋" w:eastAsia="仿宋" w:cs="仿宋"/>
          <w:color w:val="auto"/>
          <w:sz w:val="28"/>
          <w:szCs w:val="28"/>
          <w:highlight w:val="none"/>
          <w:u w:val="none"/>
          <w:lang w:eastAsia="zh-CN"/>
        </w:rPr>
        <w:t>受</w:t>
      </w:r>
      <w:r>
        <w:rPr>
          <w:rFonts w:hint="eastAsia" w:ascii="仿宋" w:hAnsi="仿宋" w:eastAsia="仿宋" w:cs="仿宋"/>
          <w:color w:val="auto"/>
          <w:sz w:val="28"/>
          <w:szCs w:val="28"/>
          <w:highlight w:val="none"/>
          <w:u w:val="single"/>
          <w:lang w:eastAsia="zh-CN"/>
        </w:rPr>
        <w:t>中新苏滁高新技术产业开发区管理委员会</w:t>
      </w:r>
      <w:r>
        <w:rPr>
          <w:rFonts w:hint="eastAsia" w:ascii="仿宋" w:hAnsi="仿宋" w:eastAsia="仿宋" w:cs="仿宋"/>
          <w:color w:val="auto"/>
          <w:sz w:val="28"/>
          <w:szCs w:val="28"/>
          <w:highlight w:val="none"/>
          <w:u w:val="none"/>
          <w:lang w:eastAsia="zh-CN"/>
        </w:rPr>
        <w:t>的委托，现对</w:t>
      </w:r>
      <w:r>
        <w:rPr>
          <w:rFonts w:hint="eastAsia" w:ascii="仿宋" w:hAnsi="仿宋" w:eastAsia="仿宋" w:cs="仿宋"/>
          <w:color w:val="auto"/>
          <w:sz w:val="28"/>
          <w:szCs w:val="28"/>
          <w:highlight w:val="none"/>
          <w:u w:val="single"/>
          <w:lang w:eastAsia="zh-CN"/>
        </w:rPr>
        <w:t>苏滁第二实验学校原校长赵加雷同志离任经济责任审计（</w:t>
      </w:r>
      <w:r>
        <w:rPr>
          <w:rFonts w:hint="eastAsia" w:ascii="仿宋" w:hAnsi="仿宋" w:eastAsia="仿宋" w:cs="仿宋"/>
          <w:color w:val="auto"/>
          <w:sz w:val="28"/>
          <w:szCs w:val="28"/>
          <w:highlight w:val="none"/>
          <w:u w:val="single"/>
          <w:lang w:val="en-US" w:eastAsia="zh-CN"/>
        </w:rPr>
        <w:t>二次）</w:t>
      </w:r>
      <w:r>
        <w:rPr>
          <w:rFonts w:hint="eastAsia" w:ascii="仿宋" w:hAnsi="仿宋" w:eastAsia="仿宋" w:cs="仿宋"/>
          <w:color w:val="auto"/>
          <w:sz w:val="28"/>
          <w:szCs w:val="28"/>
          <w:highlight w:val="none"/>
          <w:u w:val="none"/>
          <w:lang w:eastAsia="zh-CN"/>
        </w:rPr>
        <w:t>进行公开招标，欢迎具备条件的国内投标供应商参加投标。</w:t>
      </w:r>
    </w:p>
    <w:p w14:paraId="3228BB3F">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p>
    <w:p w14:paraId="541AB889">
      <w:pPr>
        <w:ind w:firstLine="560" w:firstLineChars="200"/>
        <w:rPr>
          <w:rFonts w:hint="default"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项目名称：</w:t>
      </w:r>
      <w:r>
        <w:rPr>
          <w:rFonts w:hint="eastAsia" w:ascii="仿宋" w:hAnsi="仿宋" w:eastAsia="仿宋" w:cs="仿宋"/>
          <w:color w:val="auto"/>
          <w:sz w:val="28"/>
          <w:szCs w:val="28"/>
          <w:highlight w:val="none"/>
          <w:shd w:val="clear" w:color="auto" w:fill="auto"/>
          <w:lang w:eastAsia="zh-CN"/>
        </w:rPr>
        <w:t>苏滁第二实验学校原校长赵加雷同志离任经济责任审计（</w:t>
      </w:r>
      <w:r>
        <w:rPr>
          <w:rFonts w:hint="eastAsia" w:ascii="仿宋" w:hAnsi="仿宋" w:eastAsia="仿宋" w:cs="仿宋"/>
          <w:color w:val="auto"/>
          <w:sz w:val="28"/>
          <w:szCs w:val="28"/>
          <w:highlight w:val="none"/>
          <w:shd w:val="clear" w:color="auto" w:fill="auto"/>
          <w:lang w:val="en-US" w:eastAsia="zh-CN"/>
        </w:rPr>
        <w:t>二次）</w:t>
      </w:r>
    </w:p>
    <w:p w14:paraId="7141620E">
      <w:pPr>
        <w:ind w:firstLine="560" w:firstLineChars="200"/>
        <w:rPr>
          <w:rFonts w:hint="default"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预算金额：</w:t>
      </w:r>
      <w:r>
        <w:rPr>
          <w:rFonts w:hint="eastAsia" w:ascii="仿宋" w:hAnsi="仿宋" w:eastAsia="仿宋" w:cs="仿宋"/>
          <w:color w:val="auto"/>
          <w:sz w:val="28"/>
          <w:szCs w:val="28"/>
          <w:highlight w:val="none"/>
          <w:shd w:val="clear" w:color="auto" w:fill="auto"/>
          <w:lang w:val="en-US" w:eastAsia="zh-CN"/>
        </w:rPr>
        <w:t>20000.00元</w:t>
      </w:r>
    </w:p>
    <w:p w14:paraId="0A70DAC4">
      <w:pPr>
        <w:ind w:firstLine="560" w:firstLineChars="200"/>
        <w:rPr>
          <w:rFonts w:hint="eastAsia" w:ascii="仿宋" w:hAnsi="仿宋" w:eastAsia="仿宋" w:cs="仿宋"/>
          <w:color w:val="auto"/>
          <w:sz w:val="28"/>
          <w:szCs w:val="28"/>
          <w:highlight w:val="none"/>
          <w:shd w:val="clear" w:color="auto" w:fill="auto"/>
          <w:lang w:eastAsia="zh-CN"/>
        </w:rPr>
      </w:pPr>
      <w:r>
        <w:rPr>
          <w:rFonts w:hint="eastAsia" w:ascii="仿宋" w:hAnsi="仿宋" w:eastAsia="仿宋" w:cs="仿宋"/>
          <w:color w:val="auto"/>
          <w:sz w:val="28"/>
          <w:szCs w:val="28"/>
          <w:highlight w:val="none"/>
          <w:shd w:val="clear" w:color="auto" w:fill="auto"/>
        </w:rPr>
        <w:t>采购需求：</w:t>
      </w:r>
      <w:r>
        <w:rPr>
          <w:rFonts w:hint="eastAsia" w:ascii="仿宋" w:hAnsi="仿宋" w:eastAsia="仿宋" w:cs="仿宋"/>
          <w:color w:val="auto"/>
          <w:sz w:val="28"/>
          <w:szCs w:val="28"/>
          <w:highlight w:val="none"/>
          <w:shd w:val="clear" w:color="auto" w:fill="auto"/>
          <w:lang w:val="en-US" w:eastAsia="zh-CN"/>
        </w:rPr>
        <w:t>审计内容</w:t>
      </w:r>
      <w:r>
        <w:rPr>
          <w:rFonts w:hint="eastAsia" w:ascii="仿宋" w:hAnsi="仿宋" w:eastAsia="仿宋" w:cs="仿宋"/>
          <w:color w:val="auto"/>
          <w:sz w:val="28"/>
          <w:szCs w:val="28"/>
          <w:highlight w:val="none"/>
          <w:shd w:val="clear" w:color="auto" w:fill="auto"/>
        </w:rPr>
        <w:t>包含苏滁第二实验学校原校长赵加雷同志任职期间财务收支、资产管理、经费使用、项目建设及各类专项资金执行等经济事项</w:t>
      </w:r>
      <w:r>
        <w:rPr>
          <w:rFonts w:hint="eastAsia" w:ascii="仿宋" w:hAnsi="仿宋" w:eastAsia="仿宋" w:cs="仿宋"/>
          <w:color w:val="auto"/>
          <w:sz w:val="28"/>
          <w:szCs w:val="28"/>
          <w:highlight w:val="none"/>
          <w:shd w:val="clear" w:color="auto" w:fill="auto"/>
          <w:lang w:eastAsia="zh-CN"/>
        </w:rPr>
        <w:t>。</w:t>
      </w:r>
    </w:p>
    <w:p w14:paraId="13B50E00">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合同履行期限：自确定中标之日起15日内完成并出具审计报告</w:t>
      </w:r>
    </w:p>
    <w:p w14:paraId="5E9B82C9">
      <w:pPr>
        <w:ind w:firstLine="560" w:firstLineChars="20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本项目</w:t>
      </w:r>
      <w:r>
        <w:rPr>
          <w:rFonts w:hint="eastAsia" w:ascii="仿宋" w:hAnsi="仿宋" w:eastAsia="仿宋" w:cs="仿宋"/>
          <w:color w:val="auto"/>
          <w:sz w:val="28"/>
          <w:szCs w:val="28"/>
          <w:highlight w:val="none"/>
          <w:shd w:val="clear" w:color="auto" w:fill="auto"/>
          <w:lang w:val="en-US" w:eastAsia="zh-CN"/>
        </w:rPr>
        <w:t>不</w:t>
      </w:r>
      <w:r>
        <w:rPr>
          <w:rFonts w:hint="eastAsia" w:ascii="仿宋" w:hAnsi="仿宋" w:eastAsia="仿宋" w:cs="仿宋"/>
          <w:color w:val="auto"/>
          <w:sz w:val="28"/>
          <w:szCs w:val="28"/>
          <w:highlight w:val="none"/>
          <w:shd w:val="clear" w:color="auto" w:fill="auto"/>
        </w:rPr>
        <w:t>接受联合体投标</w:t>
      </w:r>
      <w:r>
        <w:rPr>
          <w:rFonts w:hint="eastAsia" w:ascii="仿宋" w:hAnsi="仿宋" w:eastAsia="仿宋" w:cs="仿宋"/>
          <w:color w:val="auto"/>
          <w:sz w:val="28"/>
          <w:szCs w:val="28"/>
          <w:highlight w:val="none"/>
          <w:shd w:val="clear" w:color="auto" w:fill="auto"/>
          <w:lang w:eastAsia="zh-CN"/>
        </w:rPr>
        <w:t>。</w:t>
      </w:r>
    </w:p>
    <w:p w14:paraId="258644A5">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bookmarkStart w:id="3" w:name="_Toc35393791"/>
      <w:bookmarkStart w:id="4" w:name="_Toc35393622"/>
      <w:bookmarkStart w:id="5" w:name="_Toc28359003"/>
      <w:bookmarkStart w:id="6" w:name="_Toc28359080"/>
      <w:r>
        <w:rPr>
          <w:rFonts w:hint="eastAsia" w:ascii="黑体" w:hAnsi="黑体" w:eastAsia="黑体" w:cs="黑体"/>
          <w:color w:val="auto"/>
          <w:sz w:val="28"/>
          <w:szCs w:val="28"/>
          <w:highlight w:val="none"/>
        </w:rPr>
        <w:t>二、申请人的资格要求</w:t>
      </w:r>
      <w:bookmarkEnd w:id="3"/>
      <w:bookmarkEnd w:id="4"/>
      <w:bookmarkEnd w:id="5"/>
      <w:bookmarkEnd w:id="6"/>
    </w:p>
    <w:p w14:paraId="15575DBF">
      <w:pPr>
        <w:ind w:right="-313" w:rightChars="-149" w:firstLine="560" w:firstLineChars="200"/>
        <w:rPr>
          <w:rFonts w:hint="eastAsia" w:ascii="仿宋" w:hAnsi="仿宋" w:eastAsia="仿宋"/>
          <w:color w:val="auto"/>
          <w:sz w:val="28"/>
          <w:szCs w:val="28"/>
          <w:highlight w:val="none"/>
          <w:lang w:val="en-US" w:eastAsia="zh-CN"/>
        </w:rPr>
      </w:pPr>
      <w:bookmarkStart w:id="7" w:name="_Toc35393623"/>
      <w:bookmarkStart w:id="8" w:name="_Toc28359081"/>
      <w:bookmarkStart w:id="9" w:name="_Toc35393792"/>
      <w:bookmarkStart w:id="10" w:name="_Toc28359004"/>
      <w:r>
        <w:rPr>
          <w:rFonts w:hint="eastAsia" w:ascii="仿宋" w:hAnsi="仿宋" w:eastAsia="仿宋"/>
          <w:color w:val="auto"/>
          <w:sz w:val="28"/>
          <w:szCs w:val="28"/>
          <w:highlight w:val="none"/>
          <w:lang w:val="en-US" w:eastAsia="zh-CN"/>
        </w:rPr>
        <w:t>1.投</w:t>
      </w:r>
      <w:r>
        <w:rPr>
          <w:rFonts w:hint="eastAsia" w:ascii="仿宋" w:hAnsi="仿宋" w:eastAsia="仿宋"/>
          <w:color w:val="auto"/>
          <w:sz w:val="28"/>
          <w:szCs w:val="28"/>
          <w:highlight w:val="none"/>
        </w:rPr>
        <w:t>标人须</w:t>
      </w:r>
      <w:r>
        <w:rPr>
          <w:rFonts w:hint="eastAsia" w:ascii="仿宋" w:hAnsi="仿宋" w:eastAsia="仿宋"/>
          <w:color w:val="auto"/>
          <w:sz w:val="28"/>
          <w:szCs w:val="28"/>
          <w:highlight w:val="none"/>
          <w:lang w:val="en-US" w:eastAsia="zh-CN"/>
        </w:rPr>
        <w:t>同时具有有效营业执照（或三证合一有效证件）和</w:t>
      </w:r>
      <w:r>
        <w:rPr>
          <w:rFonts w:hint="eastAsia" w:ascii="仿宋" w:hAnsi="仿宋" w:eastAsia="仿宋"/>
          <w:color w:val="auto"/>
          <w:sz w:val="28"/>
          <w:szCs w:val="28"/>
          <w:highlight w:val="none"/>
        </w:rPr>
        <w:t>财政部门颁发的会计师事务所执业证书</w:t>
      </w:r>
      <w:r>
        <w:rPr>
          <w:rFonts w:hint="eastAsia" w:ascii="仿宋" w:hAnsi="仿宋" w:eastAsia="仿宋"/>
          <w:color w:val="auto"/>
          <w:sz w:val="28"/>
          <w:szCs w:val="28"/>
          <w:highlight w:val="none"/>
          <w:lang w:val="en-US" w:eastAsia="zh-CN"/>
        </w:rPr>
        <w:t>。</w:t>
      </w:r>
    </w:p>
    <w:p w14:paraId="5FCFA85B">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7"/>
      <w:bookmarkEnd w:id="8"/>
      <w:bookmarkEnd w:id="9"/>
      <w:bookmarkEnd w:id="10"/>
    </w:p>
    <w:p w14:paraId="0D5B161D">
      <w:pPr>
        <w:ind w:firstLine="540"/>
        <w:rPr>
          <w:rFonts w:hint="eastAsia" w:ascii="仿宋" w:hAnsi="仿宋" w:eastAsia="仿宋" w:cs="宋体"/>
          <w:iCs/>
          <w:color w:val="auto"/>
          <w:sz w:val="28"/>
          <w:szCs w:val="28"/>
          <w:highlight w:val="none"/>
          <w:lang w:eastAsia="zh-CN"/>
        </w:rPr>
      </w:pPr>
      <w:bookmarkStart w:id="11" w:name="_Toc28359005"/>
      <w:bookmarkStart w:id="12" w:name="_Toc28359082"/>
      <w:bookmarkStart w:id="13" w:name="_Toc35393793"/>
      <w:bookmarkStart w:id="14" w:name="_Toc35393624"/>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31</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日</w:t>
      </w:r>
    </w:p>
    <w:p w14:paraId="124E37A5">
      <w:pPr>
        <w:ind w:firstLine="540"/>
        <w:rPr>
          <w:rFonts w:hint="eastAsia" w:ascii="仿宋" w:hAnsi="仿宋" w:eastAsia="仿宋" w:cs="宋体"/>
          <w:color w:val="auto"/>
          <w:sz w:val="28"/>
          <w:szCs w:val="28"/>
          <w:highlight w:val="none"/>
          <w:lang w:val="en-US" w:eastAsia="zh-CN"/>
        </w:rPr>
      </w:pPr>
      <w:r>
        <w:rPr>
          <w:rFonts w:hint="eastAsia" w:ascii="仿宋" w:hAnsi="仿宋" w:eastAsia="仿宋" w:cs="宋体"/>
          <w:color w:val="auto"/>
          <w:sz w:val="28"/>
          <w:szCs w:val="28"/>
          <w:highlight w:val="none"/>
          <w:lang w:val="en-US" w:eastAsia="zh-CN"/>
        </w:rPr>
        <w:t>地点：中新苏滁高新技术产业开发区（https://scp.chuzhou.gov.cn/）、滁州市城投工程咨询管理有限公司网站（https://www.czctgczx.com/）</w:t>
      </w:r>
    </w:p>
    <w:p w14:paraId="4380AC1E">
      <w:pPr>
        <w:ind w:firstLine="540"/>
        <w:rPr>
          <w:rFonts w:hint="default" w:ascii="仿宋" w:hAnsi="仿宋" w:eastAsia="仿宋" w:cs="宋体"/>
          <w:color w:val="auto"/>
          <w:sz w:val="28"/>
          <w:szCs w:val="28"/>
          <w:highlight w:val="none"/>
          <w:u w:val="single"/>
          <w:lang w:val="en-US" w:eastAsia="zh-CN"/>
        </w:rPr>
      </w:pPr>
      <w:r>
        <w:rPr>
          <w:rFonts w:hint="eastAsia" w:ascii="仿宋" w:hAnsi="仿宋" w:eastAsia="仿宋" w:cs="宋体"/>
          <w:color w:val="auto"/>
          <w:sz w:val="28"/>
          <w:szCs w:val="28"/>
          <w:highlight w:val="none"/>
        </w:rPr>
        <w:t>方式：网上下载</w:t>
      </w:r>
    </w:p>
    <w:p w14:paraId="4BFE053A">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1AD0EA9">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四、提交投标文件</w:t>
      </w:r>
      <w:bookmarkEnd w:id="11"/>
      <w:bookmarkEnd w:id="12"/>
      <w:r>
        <w:rPr>
          <w:rFonts w:hint="eastAsia" w:ascii="黑体" w:hAnsi="黑体" w:eastAsia="黑体" w:cs="黑体"/>
          <w:color w:val="auto"/>
          <w:sz w:val="28"/>
          <w:szCs w:val="28"/>
          <w:highlight w:val="none"/>
        </w:rPr>
        <w:t>截止时间、开标时间和地点</w:t>
      </w:r>
      <w:bookmarkEnd w:id="13"/>
      <w:bookmarkEnd w:id="14"/>
    </w:p>
    <w:p w14:paraId="2DE4F16C">
      <w:pPr>
        <w:ind w:firstLine="560" w:firstLineChars="200"/>
        <w:rPr>
          <w:rFonts w:hint="eastAsia" w:ascii="仿宋" w:hAnsi="仿宋" w:eastAsia="仿宋"/>
          <w:bCs/>
          <w:iCs/>
          <w:color w:val="auto"/>
          <w:sz w:val="28"/>
          <w:szCs w:val="28"/>
          <w:highlight w:val="none"/>
          <w:lang w:eastAsia="zh-CN"/>
        </w:rPr>
      </w:pPr>
      <w:r>
        <w:rPr>
          <w:rFonts w:hint="eastAsia" w:ascii="仿宋" w:hAnsi="仿宋" w:eastAsia="仿宋"/>
          <w:bCs/>
          <w:color w:val="auto"/>
          <w:sz w:val="28"/>
          <w:szCs w:val="28"/>
          <w:highlight w:val="none"/>
          <w:u w:val="none"/>
          <w:lang w:val="en-US" w:eastAsia="zh-CN"/>
        </w:rPr>
        <w:t>时间：</w:t>
      </w:r>
      <w:r>
        <w:rPr>
          <w:rFonts w:hint="eastAsia" w:ascii="仿宋" w:hAnsi="仿宋" w:eastAsia="仿宋"/>
          <w:bCs/>
          <w:color w:val="auto"/>
          <w:sz w:val="28"/>
          <w:szCs w:val="28"/>
          <w:highlight w:val="none"/>
          <w:u w:val="none"/>
        </w:rPr>
        <w:t>202</w:t>
      </w:r>
      <w:r>
        <w:rPr>
          <w:rFonts w:hint="eastAsia" w:ascii="仿宋" w:hAnsi="仿宋" w:eastAsia="仿宋"/>
          <w:bCs/>
          <w:color w:val="auto"/>
          <w:sz w:val="28"/>
          <w:szCs w:val="28"/>
          <w:highlight w:val="none"/>
          <w:u w:val="none"/>
          <w:lang w:val="en-US" w:eastAsia="zh-CN"/>
        </w:rPr>
        <w:t>6</w:t>
      </w:r>
      <w:r>
        <w:rPr>
          <w:rFonts w:hint="eastAsia" w:ascii="仿宋" w:hAnsi="仿宋" w:eastAsia="仿宋"/>
          <w:bCs/>
          <w:color w:val="auto"/>
          <w:sz w:val="28"/>
          <w:szCs w:val="28"/>
          <w:highlight w:val="none"/>
          <w:u w:val="none"/>
        </w:rPr>
        <w:t>年</w:t>
      </w:r>
      <w:r>
        <w:rPr>
          <w:rFonts w:hint="eastAsia" w:ascii="仿宋" w:hAnsi="仿宋" w:eastAsia="仿宋"/>
          <w:bCs/>
          <w:color w:val="auto"/>
          <w:sz w:val="28"/>
          <w:szCs w:val="28"/>
          <w:highlight w:val="none"/>
          <w:u w:val="none"/>
          <w:lang w:val="en-US" w:eastAsia="zh-CN"/>
        </w:rPr>
        <w:t>9</w:t>
      </w:r>
      <w:r>
        <w:rPr>
          <w:rFonts w:hint="eastAsia" w:ascii="仿宋" w:hAnsi="仿宋" w:eastAsia="仿宋"/>
          <w:bCs/>
          <w:color w:val="auto"/>
          <w:sz w:val="28"/>
          <w:szCs w:val="28"/>
          <w:highlight w:val="none"/>
          <w:u w:val="none"/>
        </w:rPr>
        <w:t>月</w:t>
      </w:r>
      <w:r>
        <w:rPr>
          <w:rFonts w:hint="eastAsia" w:ascii="仿宋" w:hAnsi="仿宋" w:eastAsia="仿宋"/>
          <w:bCs/>
          <w:color w:val="auto"/>
          <w:sz w:val="28"/>
          <w:szCs w:val="28"/>
          <w:highlight w:val="none"/>
          <w:u w:val="none"/>
          <w:lang w:val="en-US" w:eastAsia="zh-CN"/>
        </w:rPr>
        <w:t>8</w:t>
      </w:r>
      <w:r>
        <w:rPr>
          <w:rFonts w:hint="eastAsia" w:ascii="仿宋" w:hAnsi="仿宋" w:eastAsia="仿宋"/>
          <w:bCs/>
          <w:color w:val="auto"/>
          <w:sz w:val="28"/>
          <w:szCs w:val="28"/>
          <w:highlight w:val="none"/>
          <w:u w:val="none"/>
        </w:rPr>
        <w:t>日</w:t>
      </w:r>
      <w:r>
        <w:rPr>
          <w:rFonts w:hint="eastAsia" w:ascii="仿宋" w:hAnsi="仿宋" w:eastAsia="仿宋"/>
          <w:bCs/>
          <w:color w:val="auto"/>
          <w:sz w:val="28"/>
          <w:szCs w:val="28"/>
          <w:highlight w:val="none"/>
          <w:u w:val="none"/>
          <w:lang w:val="en-US" w:eastAsia="zh-CN"/>
        </w:rPr>
        <w:t>15</w:t>
      </w:r>
      <w:r>
        <w:rPr>
          <w:rFonts w:hint="eastAsia" w:ascii="仿宋" w:hAnsi="仿宋" w:eastAsia="仿宋"/>
          <w:bCs/>
          <w:color w:val="auto"/>
          <w:sz w:val="28"/>
          <w:szCs w:val="28"/>
          <w:highlight w:val="none"/>
          <w:u w:val="none"/>
        </w:rPr>
        <w:t>点</w:t>
      </w:r>
      <w:r>
        <w:rPr>
          <w:rFonts w:hint="eastAsia" w:ascii="仿宋" w:hAnsi="仿宋" w:eastAsia="仿宋"/>
          <w:bCs/>
          <w:color w:val="auto"/>
          <w:sz w:val="28"/>
          <w:szCs w:val="28"/>
          <w:highlight w:val="none"/>
          <w:u w:val="none"/>
          <w:lang w:val="en-US" w:eastAsia="zh-CN"/>
        </w:rPr>
        <w:t>00</w:t>
      </w:r>
      <w:r>
        <w:rPr>
          <w:rFonts w:hint="eastAsia" w:ascii="仿宋" w:hAnsi="仿宋" w:eastAsia="仿宋"/>
          <w:bCs/>
          <w:color w:val="auto"/>
          <w:sz w:val="28"/>
          <w:szCs w:val="28"/>
          <w:highlight w:val="none"/>
          <w:u w:val="none"/>
        </w:rPr>
        <w:t>分</w:t>
      </w:r>
      <w:r>
        <w:rPr>
          <w:rFonts w:hint="eastAsia" w:ascii="仿宋" w:hAnsi="仿宋" w:eastAsia="仿宋"/>
          <w:bCs/>
          <w:color w:val="auto"/>
          <w:sz w:val="28"/>
          <w:szCs w:val="28"/>
          <w:highlight w:val="none"/>
        </w:rPr>
        <w:t>（北京时间）</w:t>
      </w:r>
    </w:p>
    <w:p w14:paraId="075D57DB">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地点：滁州市龙蟠大道109号房产大厦6楼603会议室</w:t>
      </w:r>
    </w:p>
    <w:p w14:paraId="771DD1F7">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五</w:t>
      </w:r>
      <w:r>
        <w:rPr>
          <w:rFonts w:hint="eastAsia" w:ascii="黑体" w:hAnsi="黑体" w:eastAsia="黑体" w:cs="黑体"/>
          <w:color w:val="auto"/>
          <w:sz w:val="28"/>
          <w:szCs w:val="28"/>
          <w:highlight w:val="none"/>
        </w:rPr>
        <w:t>、投标保证金金额及缴纳账户</w:t>
      </w:r>
    </w:p>
    <w:p w14:paraId="15E55762">
      <w:pPr>
        <w:pStyle w:val="127"/>
        <w:rPr>
          <w:color w:val="auto"/>
          <w:highlight w:val="none"/>
        </w:rPr>
      </w:pPr>
      <w:bookmarkStart w:id="15" w:name="_Toc35393795"/>
      <w:bookmarkStart w:id="16" w:name="_Toc35393626"/>
      <w:r>
        <w:rPr>
          <w:color w:val="auto"/>
          <w:highlight w:val="none"/>
        </w:rPr>
        <w:t>窗体顶端</w:t>
      </w:r>
    </w:p>
    <w:p w14:paraId="4EA03A20">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不要求投标人提交投标保证金。</w:t>
      </w:r>
    </w:p>
    <w:p w14:paraId="3EFECF2D">
      <w:pPr>
        <w:pStyle w:val="128"/>
        <w:rPr>
          <w:color w:val="auto"/>
          <w:highlight w:val="none"/>
        </w:rPr>
      </w:pPr>
      <w:r>
        <w:rPr>
          <w:color w:val="auto"/>
          <w:highlight w:val="none"/>
        </w:rPr>
        <w:t>窗体底端</w:t>
      </w:r>
    </w:p>
    <w:bookmarkEnd w:id="15"/>
    <w:bookmarkEnd w:id="16"/>
    <w:p w14:paraId="362C7F04">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六</w:t>
      </w:r>
      <w:r>
        <w:rPr>
          <w:rFonts w:hint="eastAsia" w:ascii="黑体" w:hAnsi="黑体" w:eastAsia="黑体" w:cs="黑体"/>
          <w:color w:val="auto"/>
          <w:sz w:val="28"/>
          <w:szCs w:val="28"/>
          <w:highlight w:val="none"/>
        </w:rPr>
        <w:t>、对本次招标提出询问，请按以下方式联系</w:t>
      </w:r>
    </w:p>
    <w:p w14:paraId="551AE698">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691520DA">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 xml:space="preserve">中新苏滁高新技术产业开发区管理委员会 </w:t>
      </w:r>
    </w:p>
    <w:p w14:paraId="46F29272">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滁州市徽州南路1999号</w:t>
      </w:r>
    </w:p>
    <w:p w14:paraId="27958D0D">
      <w:pPr>
        <w:ind w:firstLine="560" w:firstLineChars="200"/>
        <w:jc w:val="left"/>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val="en-US" w:eastAsia="zh-CN"/>
        </w:rPr>
        <w:t>0550-3755706</w:t>
      </w:r>
    </w:p>
    <w:p w14:paraId="7AED7C70">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0B2B78FD">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1571B13E">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4A97B01E">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504DA0B7">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026C932D">
      <w:pPr>
        <w:pStyle w:val="17"/>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color="auto"/>
          <w:lang w:val="en-US" w:eastAsia="zh-CN"/>
        </w:rPr>
        <w:t>张工、</w:t>
      </w:r>
      <w:r>
        <w:rPr>
          <w:rFonts w:hint="eastAsia" w:ascii="仿宋" w:hAnsi="仿宋" w:eastAsia="仿宋" w:cs="仿宋"/>
          <w:color w:val="auto"/>
          <w:sz w:val="28"/>
          <w:szCs w:val="28"/>
          <w:highlight w:val="none"/>
          <w:u w:val="single" w:color="auto"/>
        </w:rPr>
        <w:t>杨韦</w:t>
      </w:r>
    </w:p>
    <w:p w14:paraId="11BE7EC4">
      <w:pPr>
        <w:ind w:firstLine="560" w:firstLineChars="200"/>
        <w:jc w:val="both"/>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lang w:val="en-US" w:eastAsia="zh-CN"/>
        </w:rPr>
        <w:t>0550-3755706</w:t>
      </w:r>
      <w:r>
        <w:rPr>
          <w:rFonts w:hint="eastAsia" w:ascii="仿宋" w:hAnsi="仿宋" w:eastAsia="仿宋" w:cs="仿宋"/>
          <w:color w:val="auto"/>
          <w:sz w:val="28"/>
          <w:szCs w:val="28"/>
          <w:highlight w:val="none"/>
          <w:u w:val="single" w:color="auto"/>
          <w:lang w:val="en-US" w:eastAsia="zh-CN"/>
        </w:rPr>
        <w:t>、</w:t>
      </w:r>
      <w:r>
        <w:rPr>
          <w:rFonts w:hint="eastAsia" w:ascii="仿宋" w:hAnsi="仿宋" w:eastAsia="仿宋" w:cs="仿宋"/>
          <w:color w:val="auto"/>
          <w:sz w:val="28"/>
          <w:szCs w:val="28"/>
          <w:highlight w:val="none"/>
          <w:u w:val="single" w:color="auto"/>
        </w:rPr>
        <w:t>0</w:t>
      </w:r>
      <w:r>
        <w:rPr>
          <w:rFonts w:hint="eastAsia" w:ascii="仿宋" w:hAnsi="仿宋" w:eastAsia="仿宋" w:cs="仿宋"/>
          <w:color w:val="auto"/>
          <w:sz w:val="28"/>
          <w:szCs w:val="28"/>
          <w:highlight w:val="none"/>
          <w:u w:val="single"/>
        </w:rPr>
        <w:t>550-3519590</w:t>
      </w:r>
    </w:p>
    <w:p w14:paraId="29FC2FC7">
      <w:pPr>
        <w:ind w:firstLine="643" w:firstLineChars="200"/>
        <w:jc w:val="center"/>
        <w:rPr>
          <w:rFonts w:hint="eastAsia" w:ascii="宋体"/>
          <w:b/>
          <w:color w:val="auto"/>
          <w:sz w:val="32"/>
          <w:szCs w:val="32"/>
          <w:highlight w:val="none"/>
        </w:rPr>
      </w:pPr>
      <w:r>
        <w:rPr>
          <w:rFonts w:hint="eastAsia" w:ascii="宋体"/>
          <w:b/>
          <w:color w:val="auto"/>
          <w:sz w:val="32"/>
          <w:szCs w:val="32"/>
          <w:highlight w:val="none"/>
        </w:rPr>
        <w:t>第二章 投标人须知</w:t>
      </w:r>
      <w:bookmarkEnd w:id="2"/>
    </w:p>
    <w:p w14:paraId="355FA043">
      <w:pPr>
        <w:snapToGrid w:val="0"/>
        <w:spacing w:line="500" w:lineRule="exact"/>
        <w:jc w:val="center"/>
        <w:outlineLvl w:val="1"/>
        <w:rPr>
          <w:rFonts w:hint="eastAsia" w:ascii="宋体"/>
          <w:b/>
          <w:color w:val="auto"/>
          <w:sz w:val="28"/>
          <w:szCs w:val="28"/>
          <w:highlight w:val="none"/>
        </w:rPr>
      </w:pPr>
      <w:bookmarkStart w:id="17" w:name="_Toc58430314"/>
      <w:bookmarkStart w:id="18" w:name="_Toc449028865"/>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7"/>
      <w:bookmarkEnd w:id="18"/>
    </w:p>
    <w:tbl>
      <w:tblPr>
        <w:tblStyle w:val="34"/>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2356"/>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见招标公告</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见招标公告</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rPr>
              <w:t>中新苏滁</w:t>
            </w:r>
            <w:r>
              <w:rPr>
                <w:rFonts w:hint="eastAsia" w:hAnsi="宋体" w:cs="宋体"/>
                <w:color w:val="auto"/>
                <w:sz w:val="21"/>
                <w:szCs w:val="21"/>
                <w:highlight w:val="none"/>
                <w:lang w:val="en-US" w:eastAsia="zh-CN"/>
              </w:rPr>
              <w:t>高新区内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hAnsi="宋体" w:cs="宋体"/>
                <w:color w:val="auto"/>
                <w:sz w:val="21"/>
                <w:szCs w:val="21"/>
                <w:highlight w:val="none"/>
                <w:lang w:val="en-US" w:eastAsia="zh-CN"/>
              </w:rPr>
              <w:t>见招标公告</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见招标公告</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财政</w:t>
            </w:r>
            <w:r>
              <w:rPr>
                <w:rFonts w:hint="eastAsia" w:ascii="宋体" w:hAnsi="宋体" w:eastAsia="宋体" w:cs="宋体"/>
                <w:color w:val="auto"/>
                <w:sz w:val="21"/>
                <w:szCs w:val="21"/>
                <w:highlight w:val="none"/>
                <w:lang w:val="en-US" w:eastAsia="zh-CN"/>
              </w:rPr>
              <w:t>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20000.00元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最高限价</w:t>
            </w:r>
          </w:p>
        </w:tc>
        <w:tc>
          <w:tcPr>
            <w:tcW w:w="6824" w:type="dxa"/>
            <w:noWrap w:val="0"/>
            <w:vAlign w:val="center"/>
          </w:tcPr>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eastAsia="宋体"/>
                <w:color w:val="auto"/>
                <w:highlight w:val="none"/>
                <w:lang w:val="en-US" w:eastAsia="zh-CN"/>
              </w:rPr>
            </w:pPr>
            <w:r>
              <w:rPr>
                <w:rFonts w:hint="eastAsia"/>
                <w:color w:val="auto"/>
                <w:highlight w:val="none"/>
                <w:lang w:val="en-US" w:eastAsia="zh-CN"/>
              </w:rPr>
              <w:t>20000.00元</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6E4D11A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color w:val="auto"/>
                <w:highlight w:val="none"/>
                <w:lang w:val="en-US" w:eastAsia="zh-CN"/>
              </w:rPr>
            </w:pPr>
            <w:r>
              <w:rPr>
                <w:rFonts w:hint="eastAsia" w:ascii="宋体" w:hAnsi="宋体" w:eastAsia="宋体" w:cs="宋体"/>
                <w:color w:val="auto"/>
                <w:kern w:val="2"/>
                <w:sz w:val="21"/>
                <w:szCs w:val="21"/>
                <w:highlight w:val="none"/>
                <w:u w:val="none" w:color="000000"/>
                <w:lang w:val="en-US" w:eastAsia="zh-CN" w:bidi="ar-SA"/>
              </w:rPr>
              <w:t>审计期限为2024年9月至2026年8月，审计内容包含该同志任职期间财务收支、资产管理、经费使用、项目建设及各类专项资金执行等经济事项。</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hAnsi="宋体" w:cs="宋体"/>
                <w:color w:val="auto"/>
                <w:sz w:val="21"/>
                <w:szCs w:val="21"/>
                <w:highlight w:val="none"/>
                <w:lang w:val="en-US" w:eastAsia="zh-CN"/>
              </w:rPr>
              <w:t>见招标公告</w:t>
            </w:r>
            <w:r>
              <w:rPr>
                <w:rFonts w:hint="eastAsia" w:ascii="宋体" w:hAnsi="宋体" w:eastAsia="宋体" w:cs="宋体"/>
                <w:color w:val="auto"/>
                <w:sz w:val="21"/>
                <w:szCs w:val="21"/>
                <w:highlight w:val="none"/>
              </w:rPr>
              <w:t>”</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hAnsi="宋体" w:cs="宋体"/>
                <w:color w:val="auto"/>
                <w:sz w:val="21"/>
                <w:szCs w:val="21"/>
                <w:highlight w:val="none"/>
                <w:lang w:val="en-US" w:eastAsia="zh-CN"/>
              </w:rPr>
              <w:t>招标公告</w:t>
            </w:r>
            <w:r>
              <w:rPr>
                <w:rFonts w:hint="eastAsia" w:ascii="宋体" w:hAnsi="宋体" w:eastAsia="宋体" w:cs="宋体"/>
                <w:color w:val="auto"/>
                <w:sz w:val="21"/>
                <w:szCs w:val="21"/>
                <w:highlight w:val="none"/>
              </w:rPr>
              <w:t>”</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w:t>
            </w:r>
            <w:r>
              <w:rPr>
                <w:rFonts w:hint="eastAsia" w:ascii="宋体" w:hAnsi="宋体" w:cs="宋体"/>
                <w:color w:val="auto"/>
                <w:sz w:val="21"/>
                <w:szCs w:val="21"/>
                <w:highlight w:val="none"/>
                <w:lang w:val="en-US" w:eastAsia="zh-CN"/>
              </w:rPr>
              <w:t>（约1240元）</w:t>
            </w:r>
            <w:r>
              <w:rPr>
                <w:rFonts w:hint="eastAsia" w:ascii="宋体" w:hAnsi="宋体" w:eastAsia="宋体" w:cs="宋体"/>
                <w:color w:val="auto"/>
                <w:sz w:val="21"/>
                <w:szCs w:val="21"/>
                <w:highlight w:val="none"/>
                <w:lang w:val="en-US" w:eastAsia="zh-CN"/>
              </w:rPr>
              <w:t>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eastAsia="宋体" w:cs="宋体"/>
                <w:b/>
                <w:bCs/>
                <w:color w:val="auto"/>
                <w:kern w:val="2"/>
                <w:sz w:val="21"/>
                <w:szCs w:val="21"/>
                <w:highlight w:val="none"/>
                <w:lang w:val="en-US" w:eastAsia="zh-CN" w:bidi="ar-SA"/>
              </w:rPr>
              <w:t>前</w:t>
            </w:r>
            <w:r>
              <w:rPr>
                <w:rFonts w:hint="eastAsia" w:ascii="宋体" w:hAnsi="宋体" w:eastAsia="宋体" w:cs="宋体"/>
                <w:b/>
                <w:bCs/>
                <w:color w:val="auto"/>
                <w:kern w:val="0"/>
                <w:sz w:val="21"/>
                <w:szCs w:val="21"/>
              </w:rPr>
              <w:t>以澄清公告形式中新苏滁高新技术产业开发区（https://scp.chuzhou.gov.cn/）、滁州市城投工程咨询管理有限公司网站（https://www.czctgczx.com/）予以公告。请各位投标单位注意查看有关澄清内容，如不及时查看造成后果由投标单位自负</w:t>
            </w:r>
            <w:r>
              <w:rPr>
                <w:rFonts w:hint="eastAsia" w:ascii="宋体" w:hAnsi="宋体" w:eastAsia="宋体" w:cs="宋体"/>
                <w:color w:val="auto"/>
                <w:kern w:val="0"/>
                <w:sz w:val="21"/>
                <w:szCs w:val="21"/>
              </w:rPr>
              <w:t>。</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327180C2">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正本1份，副本1份</w:t>
            </w:r>
          </w:p>
          <w:p w14:paraId="5656C301">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资信证明文件密封在资信证明文件袋内，技术标文件密封在技术标文件袋内，商务标文件密封在商务标文件袋内。</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668C3C21">
            <w:pPr>
              <w:pStyle w:val="33"/>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jc w:val="left"/>
              <w:textAlignment w:val="auto"/>
              <w:rPr>
                <w:rFonts w:hint="default"/>
                <w:lang w:val="en-US" w:eastAsia="zh-CN"/>
              </w:rPr>
            </w:pPr>
            <w:r>
              <w:rPr>
                <w:rFonts w:hint="eastAsia" w:ascii="宋体" w:hAnsi="宋体" w:cs="宋体"/>
                <w:b/>
                <w:bCs/>
                <w:color w:val="auto"/>
                <w:sz w:val="21"/>
                <w:szCs w:val="21"/>
                <w:highlight w:val="none"/>
                <w:lang w:val="en-US" w:eastAsia="zh-CN"/>
              </w:rPr>
              <w:t>地点：</w:t>
            </w:r>
            <w:r>
              <w:rPr>
                <w:rFonts w:hint="eastAsia" w:ascii="宋体" w:hAnsi="宋体" w:cs="宋体"/>
                <w:b/>
                <w:bCs/>
                <w:color w:val="auto"/>
                <w:sz w:val="21"/>
                <w:szCs w:val="21"/>
                <w:highlight w:val="none"/>
                <w:lang w:val="en-US" w:eastAsia="zh-CN"/>
              </w:rPr>
              <w:t>滁州市龙蟠大道109号房产大厦6楼603会议室</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hAnsi="宋体" w:cs="宋体"/>
                <w:color w:val="auto"/>
                <w:sz w:val="21"/>
                <w:szCs w:val="21"/>
                <w:highlight w:val="none"/>
                <w:lang w:val="en-US" w:eastAsia="zh-CN"/>
              </w:rPr>
              <w:t>见招标公告</w:t>
            </w:r>
            <w:r>
              <w:rPr>
                <w:rFonts w:hint="eastAsia" w:ascii="宋体" w:hAnsi="宋体" w:eastAsia="宋体" w:cs="宋体"/>
                <w:color w:val="auto"/>
                <w:sz w:val="21"/>
                <w:szCs w:val="21"/>
                <w:highlight w:val="none"/>
              </w:rPr>
              <w:t>”</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先资格审查</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再</w:t>
            </w:r>
            <w:r>
              <w:rPr>
                <w:rFonts w:hint="eastAsia" w:ascii="宋体" w:hAnsi="宋体" w:eastAsia="宋体" w:cs="宋体"/>
                <w:color w:val="auto"/>
                <w:sz w:val="21"/>
                <w:szCs w:val="21"/>
                <w:highlight w:val="none"/>
                <w:lang w:val="en-US" w:eastAsia="zh-CN"/>
              </w:rPr>
              <w:t>进行</w:t>
            </w:r>
            <w:r>
              <w:rPr>
                <w:rFonts w:hint="eastAsia" w:ascii="宋体" w:hAnsi="宋体" w:cs="宋体"/>
                <w:color w:val="auto"/>
                <w:sz w:val="21"/>
                <w:szCs w:val="21"/>
                <w:highlight w:val="none"/>
                <w:lang w:val="en-US" w:eastAsia="zh-CN"/>
              </w:rPr>
              <w:t>综合</w:t>
            </w:r>
            <w:r>
              <w:rPr>
                <w:rFonts w:hint="eastAsia" w:ascii="宋体" w:hAnsi="宋体" w:eastAsia="宋体" w:cs="宋体"/>
                <w:color w:val="auto"/>
                <w:sz w:val="21"/>
                <w:szCs w:val="21"/>
                <w:highlight w:val="none"/>
                <w:lang w:val="en-US" w:eastAsia="zh-CN"/>
              </w:rPr>
              <w:t>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前</w:t>
            </w:r>
            <w:r>
              <w:rPr>
                <w:rFonts w:hint="eastAsia" w:ascii="宋体" w:hAnsi="宋体" w:eastAsia="宋体" w:cs="宋体"/>
                <w:b/>
                <w:bCs/>
                <w:color w:val="auto"/>
                <w:sz w:val="21"/>
                <w:szCs w:val="21"/>
                <w:highlight w:val="none"/>
                <w:lang w:val="en-US" w:eastAsia="zh-CN"/>
              </w:rPr>
              <w:t>将疑问内容</w:t>
            </w:r>
            <w:r>
              <w:rPr>
                <w:rFonts w:hint="eastAsia" w:ascii="宋体" w:hAnsi="宋体" w:cs="宋体"/>
                <w:b/>
                <w:bCs/>
                <w:color w:val="auto"/>
                <w:sz w:val="21"/>
                <w:szCs w:val="21"/>
                <w:highlight w:val="none"/>
                <w:lang w:val="en-US" w:eastAsia="zh-CN"/>
              </w:rPr>
              <w:t>以电子邮件形式发送至603727167@qq.com邮箱</w:t>
            </w:r>
            <w:r>
              <w:rPr>
                <w:rFonts w:hint="eastAsia" w:ascii="宋体" w:hAnsi="宋体" w:eastAsia="宋体" w:cs="宋体"/>
                <w:b/>
                <w:bCs/>
                <w:color w:val="auto"/>
                <w:sz w:val="21"/>
                <w:szCs w:val="21"/>
                <w:highlight w:val="none"/>
                <w:lang w:val="en-US" w:eastAsia="zh-CN"/>
              </w:rPr>
              <w:t>。</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bl>
    <w:p w14:paraId="367AAA42">
      <w:pPr>
        <w:keepNext w:val="0"/>
        <w:keepLines w:val="0"/>
        <w:pageBreakBefore/>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outlineLvl w:val="1"/>
        <w:rPr>
          <w:rFonts w:hint="eastAsia" w:ascii="宋体" w:hAnsi="宋体" w:cs="宋体"/>
          <w:b/>
          <w:color w:val="auto"/>
          <w:sz w:val="28"/>
          <w:szCs w:val="32"/>
          <w:highlight w:val="none"/>
        </w:rPr>
      </w:pPr>
      <w:bookmarkStart w:id="19" w:name="_Toc449028866"/>
      <w:bookmarkStart w:id="20" w:name="_Toc58430315"/>
      <w:r>
        <w:rPr>
          <w:rFonts w:hint="eastAsia" w:ascii="宋体" w:hAnsi="宋体" w:cs="宋体"/>
          <w:b/>
          <w:color w:val="auto"/>
          <w:sz w:val="28"/>
          <w:szCs w:val="28"/>
          <w:highlight w:val="none"/>
        </w:rPr>
        <w:t>二、投标人须知</w:t>
      </w:r>
      <w:bookmarkEnd w:id="19"/>
      <w:bookmarkEnd w:id="20"/>
    </w:p>
    <w:p w14:paraId="71C5E524">
      <w:pPr>
        <w:keepNext w:val="0"/>
        <w:keepLines w:val="0"/>
        <w:kinsoku/>
        <w:wordWrap/>
        <w:overflowPunct/>
        <w:topLinePunct w:val="0"/>
        <w:autoSpaceDE/>
        <w:autoSpaceDN/>
        <w:bidi w:val="0"/>
        <w:spacing w:line="440" w:lineRule="exact"/>
        <w:ind w:left="-420" w:leftChars="-200" w:right="-313" w:rightChars="-149" w:firstLine="562" w:firstLineChars="200"/>
        <w:jc w:val="center"/>
        <w:textAlignment w:val="auto"/>
        <w:rPr>
          <w:rFonts w:hint="eastAsia" w:ascii="宋体" w:hAnsi="宋体" w:cs="宋体"/>
          <w:color w:val="auto"/>
          <w:sz w:val="28"/>
          <w:szCs w:val="28"/>
          <w:highlight w:val="none"/>
        </w:rPr>
      </w:pPr>
      <w:bookmarkStart w:id="21"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1"/>
    </w:p>
    <w:p w14:paraId="6751CB15">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1.项目概况</w:t>
      </w:r>
    </w:p>
    <w:p w14:paraId="2794C4BA">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1.1本次招标采购项目名称：见投标人须知前附表。</w:t>
      </w:r>
    </w:p>
    <w:p w14:paraId="5F0FC197">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项目编号：见投标人须知前附表。</w:t>
      </w:r>
    </w:p>
    <w:p w14:paraId="6C4DA563">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招 标 人：见投标人须知前附表。</w:t>
      </w:r>
    </w:p>
    <w:p w14:paraId="342C6A91">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期：见投标人须知前附表。</w:t>
      </w:r>
    </w:p>
    <w:p w14:paraId="357F27A4">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地点：见投标人须知前附表。</w:t>
      </w:r>
    </w:p>
    <w:p w14:paraId="4992A507">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1.2</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及联系人: 见投标人须知前附表。</w:t>
      </w:r>
    </w:p>
    <w:p w14:paraId="0C184FFA">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代理机构及联系人: 见投标人须知前附表。</w:t>
      </w:r>
    </w:p>
    <w:p w14:paraId="188B78C4">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1.3资金来源：见投标人须知前附表。</w:t>
      </w:r>
    </w:p>
    <w:p w14:paraId="313A93F2">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1.4本项目预算：见投标人须知前附表。</w:t>
      </w:r>
    </w:p>
    <w:p w14:paraId="4DB87F77">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1.5本项目最高限价：见投标人须知前附表。</w:t>
      </w:r>
    </w:p>
    <w:p w14:paraId="072B7BF8">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2.招标范围：</w:t>
      </w:r>
    </w:p>
    <w:p w14:paraId="1983D489">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2.1采购内容：见投标人须知前附表。</w:t>
      </w:r>
    </w:p>
    <w:p w14:paraId="260899ED">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3.标包划分：</w:t>
      </w:r>
    </w:p>
    <w:p w14:paraId="3470692D">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3.1本项目划分：见投标人须知前附表。</w:t>
      </w:r>
    </w:p>
    <w:p w14:paraId="6AB9D787">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4.招标方式：</w:t>
      </w:r>
    </w:p>
    <w:p w14:paraId="62FC6562">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4.1本项目招标方式：见投标人须知前附表。</w:t>
      </w:r>
    </w:p>
    <w:p w14:paraId="00F9DE79">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5.计价方式：</w:t>
      </w:r>
    </w:p>
    <w:p w14:paraId="2CE34127">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5.1本次招标项目合同采用</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总价合同</w:t>
      </w:r>
      <w:r>
        <w:rPr>
          <w:rFonts w:hint="eastAsia" w:ascii="宋体" w:hAnsi="宋体" w:eastAsia="宋体" w:cs="宋体"/>
          <w:color w:val="auto"/>
          <w:szCs w:val="21"/>
          <w:highlight w:val="none"/>
          <w:u w:val="none"/>
        </w:rPr>
        <w:t>。</w:t>
      </w:r>
    </w:p>
    <w:p w14:paraId="76A9A77C">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6.评标办法：</w:t>
      </w:r>
    </w:p>
    <w:p w14:paraId="4128FE8D">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6.1本次招标评标采用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综合评分法</w:t>
      </w:r>
      <w:r>
        <w:rPr>
          <w:rFonts w:hint="eastAsia" w:ascii="宋体" w:hAnsi="宋体" w:eastAsia="宋体" w:cs="宋体"/>
          <w:color w:val="auto"/>
          <w:szCs w:val="21"/>
          <w:highlight w:val="none"/>
        </w:rPr>
        <w:t>（详见第三章评标办法）</w:t>
      </w:r>
    </w:p>
    <w:p w14:paraId="2165EE83">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7.投标人资格：</w:t>
      </w:r>
    </w:p>
    <w:p w14:paraId="7691ED36">
      <w:pPr>
        <w:keepNext w:val="0"/>
        <w:keepLines w:val="0"/>
        <w:pageBreakBefore w:val="0"/>
        <w:widowControl/>
        <w:kinsoku/>
        <w:wordWrap/>
        <w:overflowPunct/>
        <w:topLinePunct w:val="0"/>
        <w:autoSpaceDE/>
        <w:autoSpaceDN/>
        <w:bidi w:val="0"/>
        <w:adjustRightIn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7.1本项目投标人资格：见投标人须知前附表。</w:t>
      </w:r>
    </w:p>
    <w:p w14:paraId="6E10BC6E">
      <w:pPr>
        <w:keepNext w:val="0"/>
        <w:keepLines w:val="0"/>
        <w:pageBreakBefore w:val="0"/>
        <w:kinsoku/>
        <w:wordWrap/>
        <w:overflowPunct/>
        <w:topLinePunct w:val="0"/>
        <w:autoSpaceDE/>
        <w:autoSpaceDN/>
        <w:bidi w:val="0"/>
        <w:adjustRightInd/>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 投标费用</w:t>
      </w:r>
    </w:p>
    <w:p w14:paraId="2948CC28">
      <w:pPr>
        <w:keepNext w:val="0"/>
        <w:keepLines w:val="0"/>
        <w:pageBreakBefore w:val="0"/>
        <w:kinsoku/>
        <w:wordWrap/>
        <w:overflowPunct/>
        <w:topLinePunct w:val="0"/>
        <w:autoSpaceDE/>
        <w:autoSpaceDN/>
        <w:bidi w:val="0"/>
        <w:adjustRightInd/>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8.1投标人准备和参加投标活动发生的费用自理。</w:t>
      </w:r>
    </w:p>
    <w:p w14:paraId="2BCAF23E">
      <w:pPr>
        <w:keepNext w:val="0"/>
        <w:keepLines w:val="0"/>
        <w:pageBreakBefore w:val="0"/>
        <w:kinsoku/>
        <w:wordWrap/>
        <w:overflowPunct/>
        <w:topLinePunct w:val="0"/>
        <w:autoSpaceDE/>
        <w:autoSpaceDN/>
        <w:bidi w:val="0"/>
        <w:adjustRightInd/>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w:t>
      </w:r>
      <w:bookmarkStart w:id="22" w:name="_Toc247513962"/>
      <w:bookmarkStart w:id="23" w:name="_Toc247592876"/>
      <w:bookmarkStart w:id="24" w:name="_Toc247527563"/>
      <w:bookmarkStart w:id="25" w:name="_Toc144974507"/>
      <w:bookmarkStart w:id="26" w:name="_Toc296602429"/>
      <w:bookmarkStart w:id="27" w:name="_Toc152042315"/>
      <w:bookmarkStart w:id="28" w:name="_Toc152045539"/>
      <w:r>
        <w:rPr>
          <w:rFonts w:hint="eastAsia" w:ascii="宋体" w:hAnsi="宋体" w:eastAsia="宋体" w:cs="宋体"/>
          <w:b/>
          <w:color w:val="auto"/>
          <w:szCs w:val="21"/>
          <w:highlight w:val="none"/>
        </w:rPr>
        <w:t xml:space="preserve"> 踏勘现场</w:t>
      </w:r>
      <w:bookmarkEnd w:id="22"/>
      <w:bookmarkEnd w:id="23"/>
      <w:bookmarkEnd w:id="24"/>
      <w:bookmarkEnd w:id="25"/>
      <w:bookmarkEnd w:id="26"/>
      <w:bookmarkEnd w:id="27"/>
      <w:bookmarkEnd w:id="28"/>
    </w:p>
    <w:p w14:paraId="75C9E8AA">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 投标人须知前附表规定组织踏勘现场的，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 xml:space="preserve">按投标人须知前附表规定的时间、地点组织投标人踏勘项目现场。 </w:t>
      </w:r>
    </w:p>
    <w:p w14:paraId="285F9261">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投标人踏勘现场发生的费用自理。</w:t>
      </w:r>
    </w:p>
    <w:p w14:paraId="23FA28D6">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 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的原因外，投标人自行负责在踏勘现场中所发生的人员伤亡和财产损失。</w:t>
      </w:r>
    </w:p>
    <w:p w14:paraId="36C87362">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9.4 </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在踏勘现场中介绍的场地和相关的周边环境情况，供投标人在编制投标文件时参考，</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不对投标人据此作出的判断和决策负责。</w:t>
      </w:r>
      <w:bookmarkStart w:id="29" w:name="_Toc247513963"/>
      <w:bookmarkStart w:id="30" w:name="_Toc247527564"/>
      <w:bookmarkStart w:id="31" w:name="_Toc152042316"/>
      <w:bookmarkStart w:id="32" w:name="_Toc152045540"/>
      <w:bookmarkStart w:id="33" w:name="_Toc144974508"/>
      <w:bookmarkStart w:id="34" w:name="_Toc296602430"/>
      <w:bookmarkStart w:id="35" w:name="_Toc247592877"/>
    </w:p>
    <w:p w14:paraId="72301C1F">
      <w:pPr>
        <w:keepNext w:val="0"/>
        <w:keepLines w:val="0"/>
        <w:pageBreakBefore w:val="0"/>
        <w:kinsoku/>
        <w:wordWrap/>
        <w:overflowPunct/>
        <w:topLinePunct w:val="0"/>
        <w:autoSpaceDE/>
        <w:autoSpaceDN/>
        <w:bidi w:val="0"/>
        <w:adjustRightInd/>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 投标预备会</w:t>
      </w:r>
      <w:bookmarkEnd w:id="29"/>
      <w:bookmarkEnd w:id="30"/>
      <w:bookmarkEnd w:id="31"/>
      <w:bookmarkEnd w:id="32"/>
      <w:bookmarkEnd w:id="33"/>
      <w:bookmarkEnd w:id="34"/>
      <w:bookmarkEnd w:id="35"/>
      <w:r>
        <w:rPr>
          <w:rFonts w:hint="eastAsia" w:ascii="宋体" w:hAnsi="宋体" w:eastAsia="宋体" w:cs="宋体"/>
          <w:b/>
          <w:color w:val="auto"/>
          <w:szCs w:val="21"/>
          <w:highlight w:val="none"/>
        </w:rPr>
        <w:t>（本项目不采用）</w:t>
      </w:r>
    </w:p>
    <w:p w14:paraId="151E551C">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10.1投标人须知前附表规定召开投标预备会的，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按投标人须知前附表规定的时间和地点召开投标预备会，澄清投标人提出的问题。</w:t>
      </w:r>
    </w:p>
    <w:p w14:paraId="1711C381">
      <w:pPr>
        <w:keepNext w:val="0"/>
        <w:keepLines w:val="0"/>
        <w:pageBreakBefore w:val="0"/>
        <w:numPr>
          <w:ilvl w:val="0"/>
          <w:numId w:val="8"/>
        </w:numPr>
        <w:kinsoku/>
        <w:wordWrap/>
        <w:overflowPunct/>
        <w:topLinePunct w:val="0"/>
        <w:autoSpaceDE/>
        <w:autoSpaceDN/>
        <w:bidi w:val="0"/>
        <w:adjustRightInd/>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联合投标、合同分包（本项目不采用）</w:t>
      </w:r>
    </w:p>
    <w:p w14:paraId="5E4C1394">
      <w:pPr>
        <w:keepNext w:val="0"/>
        <w:keepLines w:val="0"/>
        <w:pageBreakBefore w:val="0"/>
        <w:numPr>
          <w:ilvl w:val="0"/>
          <w:numId w:val="0"/>
        </w:numPr>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eastAsia="宋体" w:cs="宋体"/>
          <w:color w:val="auto"/>
          <w:highlight w:val="none"/>
        </w:rPr>
        <w:t>中华人民共和国政府采购法</w:t>
      </w:r>
      <w:r>
        <w:rPr>
          <w:rFonts w:hint="eastAsia" w:ascii="宋体" w:hAnsi="宋体" w:eastAsia="宋体" w:cs="宋体"/>
          <w:color w:val="auto"/>
          <w:szCs w:val="21"/>
          <w:highlight w:val="none"/>
        </w:rPr>
        <w:t>》第二十二条规定的条件。</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根据采购项目的特殊要求规定投标人特定条件的，联合体各方中至少应当有一方符合</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规定的特定条件。</w:t>
      </w:r>
    </w:p>
    <w:p w14:paraId="4E3E8685">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。联合体各方签订共同投标协议后，不得再以自己名义单独在同一项目中投标，也不得组成新的联合体参加同一项目投标。</w:t>
      </w:r>
    </w:p>
    <w:p w14:paraId="4632889C">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联合体应当确定其中一个单位为投标的全权代表，负责参加投标的一切事务，并承担投标及履约中应承担的全部责任与义务。</w:t>
      </w:r>
    </w:p>
    <w:p w14:paraId="2B079823">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 联合体各方应当共同与</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签订采购合同，就采购合同约定的事项对</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承担连带责任。</w:t>
      </w:r>
    </w:p>
    <w:p w14:paraId="0552FA51">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11.5 联合体中有同类资质的供应商按照联合体分工承担相同工作的，应当按照资质等级较低的供应商确定资质等级。</w:t>
      </w:r>
    </w:p>
    <w:p w14:paraId="58FD39DE">
      <w:pPr>
        <w:pStyle w:val="33"/>
        <w:keepNext w:val="0"/>
        <w:keepLines w:val="0"/>
        <w:pageBreakBefore w:val="0"/>
        <w:kinsoku/>
        <w:wordWrap/>
        <w:overflowPunct/>
        <w:topLinePunct w:val="0"/>
        <w:autoSpaceDE/>
        <w:autoSpaceDN/>
        <w:bidi w:val="0"/>
        <w:adjustRightInd/>
        <w:spacing w:after="0" w:line="500" w:lineRule="exact"/>
        <w:ind w:left="-420" w:leftChars="-200" w:right="-313" w:rightChars="-149"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11.6 非专门面向中小企业采购项目是否允许大中型企业向一家或者多家小微企业分包见投标人须知前附表。</w:t>
      </w:r>
    </w:p>
    <w:p w14:paraId="73F505EE">
      <w:pPr>
        <w:keepNext w:val="0"/>
        <w:keepLines w:val="0"/>
        <w:pageBreakBefore w:val="0"/>
        <w:kinsoku/>
        <w:wordWrap/>
        <w:overflowPunct/>
        <w:topLinePunct w:val="0"/>
        <w:autoSpaceDE/>
        <w:autoSpaceDN/>
        <w:bidi w:val="0"/>
        <w:adjustRightInd/>
        <w:spacing w:line="500" w:lineRule="exact"/>
        <w:ind w:left="-420" w:leftChars="-200" w:right="-313" w:rightChars="-149" w:firstLine="422" w:firstLineChars="200"/>
        <w:jc w:val="left"/>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12.招标代理费和</w:t>
      </w:r>
      <w:r>
        <w:rPr>
          <w:rFonts w:hint="eastAsia" w:ascii="宋体" w:hAnsi="宋体" w:eastAsia="宋体" w:cs="宋体"/>
          <w:b/>
          <w:color w:val="auto"/>
          <w:szCs w:val="21"/>
          <w:highlight w:val="none"/>
          <w:lang w:val="en-US" w:eastAsia="zh-CN"/>
        </w:rPr>
        <w:t>其他费用</w:t>
      </w:r>
    </w:p>
    <w:p w14:paraId="729DF704">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12.1</w:t>
      </w:r>
      <w:r>
        <w:rPr>
          <w:rFonts w:hint="eastAsia" w:ascii="宋体" w:hAnsi="宋体" w:eastAsia="宋体" w:cs="宋体"/>
          <w:color w:val="auto"/>
          <w:szCs w:val="21"/>
          <w:highlight w:val="none"/>
        </w:rPr>
        <w:t>见投标人须知前附表。</w:t>
      </w:r>
    </w:p>
    <w:p w14:paraId="1210020F">
      <w:pPr>
        <w:keepNext w:val="0"/>
        <w:keepLines w:val="0"/>
        <w:pageBreakBefore w:val="0"/>
        <w:kinsoku/>
        <w:wordWrap/>
        <w:overflowPunct/>
        <w:topLinePunct w:val="0"/>
        <w:autoSpaceDE/>
        <w:autoSpaceDN/>
        <w:bidi w:val="0"/>
        <w:adjustRightInd/>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13.投标人应注意的事项</w:t>
      </w:r>
    </w:p>
    <w:p w14:paraId="2ECE2C13">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13.2投标人对采购内容中规定的</w:t>
      </w:r>
      <w:r>
        <w:rPr>
          <w:rFonts w:hint="eastAsia" w:ascii="宋体" w:hAnsi="宋体" w:eastAsia="宋体" w:cs="宋体"/>
          <w:color w:val="auto"/>
          <w:szCs w:val="21"/>
          <w:highlight w:val="none"/>
          <w:lang w:val="en-US" w:eastAsia="zh-CN"/>
        </w:rPr>
        <w:t>服务需求</w:t>
      </w:r>
      <w:r>
        <w:rPr>
          <w:rFonts w:hint="eastAsia" w:ascii="宋体" w:hAnsi="宋体" w:eastAsia="宋体" w:cs="宋体"/>
          <w:color w:val="auto"/>
          <w:szCs w:val="21"/>
          <w:highlight w:val="none"/>
        </w:rPr>
        <w:t>和要求等必须</w:t>
      </w:r>
      <w:r>
        <w:rPr>
          <w:rFonts w:hint="eastAsia" w:ascii="宋体" w:hAnsi="宋体" w:eastAsia="宋体" w:cs="宋体"/>
          <w:color w:val="auto"/>
          <w:szCs w:val="21"/>
          <w:highlight w:val="none"/>
          <w:lang w:val="en-US" w:eastAsia="zh-CN"/>
        </w:rPr>
        <w:t>响应或优于</w:t>
      </w:r>
      <w:r>
        <w:rPr>
          <w:rFonts w:hint="eastAsia" w:ascii="宋体" w:hAnsi="宋体" w:eastAsia="宋体" w:cs="宋体"/>
          <w:color w:val="auto"/>
          <w:szCs w:val="21"/>
          <w:highlight w:val="none"/>
        </w:rPr>
        <w:t>招标文件的相关要求。</w:t>
      </w:r>
    </w:p>
    <w:p w14:paraId="50220D86">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3</w:t>
      </w:r>
      <w:r>
        <w:rPr>
          <w:rFonts w:hint="eastAsia" w:ascii="宋体" w:hAnsi="宋体" w:eastAsia="宋体" w:cs="宋体"/>
          <w:bCs/>
          <w:color w:val="auto"/>
          <w:szCs w:val="21"/>
          <w:highlight w:val="none"/>
        </w:rPr>
        <w:t>单位负责人为同一人或者存在直接控股、管理关系的不同投标人，不得参加同一合同项下的政府采购活动。</w:t>
      </w:r>
      <w:r>
        <w:rPr>
          <w:rFonts w:hint="eastAsia" w:ascii="宋体" w:hAnsi="宋体" w:eastAsia="宋体" w:cs="宋体"/>
          <w:color w:val="auto"/>
          <w:szCs w:val="21"/>
          <w:highlight w:val="none"/>
        </w:rPr>
        <w:t>为采购项目提供整体设计、规范编制或者项目管理、监理、检测等服务的投标人，不得再参加该采购项目的其他采购活动。</w:t>
      </w:r>
    </w:p>
    <w:p w14:paraId="7BBE4780">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投标人被视为充分熟悉本招标项目所在地的与履行合同有关的各种情况，包括但不限于：</w:t>
      </w:r>
    </w:p>
    <w:p w14:paraId="3DCA8395">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（1）国家对本次投标货物和服务的生产、安装调试、验收、维修等有关法律、法规及行业管理标准；</w:t>
      </w:r>
    </w:p>
    <w:p w14:paraId="35AE652D">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（2）安徽省及滁州市等有关管理部门的相关规定；</w:t>
      </w:r>
    </w:p>
    <w:p w14:paraId="544402F9">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的相关场地情况、基础建设、电力供应情况及相关设计标准。</w:t>
      </w:r>
    </w:p>
    <w:p w14:paraId="4F80E724">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本招标文件不再对上述情况进行描述。</w:t>
      </w:r>
    </w:p>
    <w:p w14:paraId="709FD345">
      <w:pPr>
        <w:keepNext w:val="0"/>
        <w:keepLines w:val="0"/>
        <w:pageBreakBefore w:val="0"/>
        <w:kinsoku/>
        <w:wordWrap/>
        <w:overflowPunct/>
        <w:topLinePunct w:val="0"/>
        <w:autoSpaceDE/>
        <w:autoSpaceDN/>
        <w:bidi w:val="0"/>
        <w:adjustRightInd/>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中标候选人无正当理由放弃中标候选人资格的，其将被记不良信息记录。</w:t>
      </w:r>
    </w:p>
    <w:p w14:paraId="701428F5">
      <w:pPr>
        <w:keepNext w:val="0"/>
        <w:keepLines w:val="0"/>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rPr>
          <w:rFonts w:hint="eastAsia" w:ascii="宋体" w:hAnsi="宋体" w:cs="宋体"/>
          <w:b/>
          <w:color w:val="auto"/>
          <w:sz w:val="28"/>
          <w:szCs w:val="28"/>
          <w:highlight w:val="none"/>
        </w:rPr>
      </w:pPr>
      <w:bookmarkStart w:id="36" w:name="_Toc449028868"/>
      <w:r>
        <w:rPr>
          <w:rFonts w:hint="eastAsia" w:ascii="宋体" w:hAnsi="宋体" w:cs="宋体"/>
          <w:b/>
          <w:color w:val="auto"/>
          <w:sz w:val="28"/>
          <w:szCs w:val="28"/>
          <w:highlight w:val="none"/>
        </w:rPr>
        <w:t>（二）</w:t>
      </w:r>
      <w:bookmarkEnd w:id="36"/>
      <w:r>
        <w:rPr>
          <w:rFonts w:hint="eastAsia" w:ascii="宋体" w:hAnsi="宋体" w:cs="宋体"/>
          <w:b/>
          <w:color w:val="auto"/>
          <w:sz w:val="28"/>
          <w:szCs w:val="28"/>
          <w:highlight w:val="none"/>
        </w:rPr>
        <w:t>招标文件</w:t>
      </w:r>
    </w:p>
    <w:p w14:paraId="22B409E7">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4D9A7EF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第四章  采购内容及要求</w:t>
      </w:r>
    </w:p>
    <w:p w14:paraId="6C7325F0">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合同条款及格式</w:t>
      </w:r>
    </w:p>
    <w:p w14:paraId="29C022FF">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  投标文件格式</w:t>
      </w:r>
    </w:p>
    <w:p w14:paraId="0E9C4806">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投标须知前附表规定的方式</w:t>
      </w:r>
      <w:r>
        <w:rPr>
          <w:rFonts w:hint="eastAsia" w:ascii="宋体" w:hAnsi="宋体" w:cs="宋体"/>
          <w:color w:val="auto"/>
          <w:szCs w:val="21"/>
          <w:highlight w:val="none"/>
        </w:rPr>
        <w:t>对招标文件提出澄清（质疑）。招标文件的澄清</w:t>
      </w:r>
      <w:r>
        <w:rPr>
          <w:rFonts w:hint="eastAsia" w:ascii="宋体" w:hAnsi="宋体" w:eastAsia="宋体" w:cs="宋体"/>
          <w:color w:val="auto"/>
          <w:szCs w:val="21"/>
        </w:rPr>
        <w:t>将在</w:t>
      </w:r>
      <w:r>
        <w:rPr>
          <w:rFonts w:hint="eastAsia" w:ascii="宋体" w:hAnsi="宋体" w:eastAsia="宋体" w:cs="宋体"/>
          <w:color w:val="auto"/>
          <w:sz w:val="21"/>
          <w:szCs w:val="21"/>
          <w:highlight w:val="none"/>
          <w:lang w:eastAsia="zh-CN"/>
        </w:rPr>
        <w:t>中新苏滁高新技术产业开发区（https://scp.chuzhou.gov.cn/）、</w:t>
      </w:r>
      <w:r>
        <w:rPr>
          <w:rFonts w:hint="eastAsia" w:ascii="宋体" w:hAnsi="宋体" w:eastAsia="宋体" w:cs="宋体"/>
          <w:color w:val="auto"/>
          <w:kern w:val="0"/>
          <w:sz w:val="21"/>
          <w:szCs w:val="21"/>
          <w:highlight w:val="none"/>
          <w:lang w:val="en-US" w:eastAsia="zh-CN"/>
        </w:rPr>
        <w:t>滁州市城投工程咨询管理有限公司网站（https://www.czctgczx.com/）等网站</w:t>
      </w:r>
      <w:r>
        <w:rPr>
          <w:rFonts w:hint="eastAsia" w:ascii="宋体" w:hAnsi="宋体" w:eastAsia="宋体" w:cs="宋体"/>
          <w:color w:val="auto"/>
          <w:szCs w:val="21"/>
        </w:rPr>
        <w:t>发布，但不指明澄清问题的来源。</w:t>
      </w:r>
    </w:p>
    <w:p w14:paraId="63F69C71">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在规定的投标截止时间前可对招标文件进行必要的修改和补充，并以更正公告形式</w:t>
      </w:r>
      <w:r>
        <w:rPr>
          <w:rFonts w:hint="eastAsia" w:ascii="宋体" w:hAnsi="宋体" w:eastAsia="宋体" w:cs="宋体"/>
          <w:color w:val="auto"/>
          <w:szCs w:val="21"/>
        </w:rPr>
        <w:t>在</w:t>
      </w:r>
      <w:r>
        <w:rPr>
          <w:rFonts w:hint="eastAsia" w:ascii="宋体" w:hAnsi="宋体" w:eastAsia="宋体" w:cs="宋体"/>
          <w:color w:val="auto"/>
          <w:sz w:val="21"/>
          <w:szCs w:val="21"/>
          <w:highlight w:val="none"/>
          <w:lang w:eastAsia="zh-CN"/>
        </w:rPr>
        <w:t>中新苏滁高新技术产业开发区（https://scp.chuzhou.gov.cn/）、</w:t>
      </w:r>
      <w:r>
        <w:rPr>
          <w:rFonts w:hint="eastAsia" w:ascii="宋体" w:hAnsi="宋体" w:eastAsia="宋体" w:cs="宋体"/>
          <w:color w:val="auto"/>
          <w:kern w:val="0"/>
          <w:sz w:val="21"/>
          <w:szCs w:val="21"/>
          <w:highlight w:val="none"/>
          <w:lang w:val="en-US" w:eastAsia="zh-CN"/>
        </w:rPr>
        <w:t>滁州市城投工程咨询管理有限公司网站（https://www.czctgczx.com/）等网站</w:t>
      </w:r>
      <w:r>
        <w:rPr>
          <w:rFonts w:hint="eastAsia" w:ascii="宋体" w:hAnsi="宋体" w:eastAsia="宋体" w:cs="宋体"/>
          <w:color w:val="auto"/>
          <w:szCs w:val="21"/>
        </w:rPr>
        <w:t>发布，但不指明澄清问题的来源。</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keepNext w:val="0"/>
        <w:keepLines w:val="0"/>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rPr>
          <w:rFonts w:hint="eastAsia" w:ascii="宋体" w:hAnsi="宋体" w:cs="宋体"/>
          <w:b/>
          <w:color w:val="auto"/>
          <w:sz w:val="28"/>
          <w:szCs w:val="28"/>
          <w:highlight w:val="none"/>
        </w:rPr>
      </w:pPr>
      <w:bookmarkStart w:id="37" w:name="_Toc449028869"/>
      <w:r>
        <w:rPr>
          <w:rFonts w:hint="eastAsia" w:ascii="宋体" w:hAnsi="宋体" w:cs="宋体"/>
          <w:b/>
          <w:color w:val="auto"/>
          <w:sz w:val="28"/>
          <w:szCs w:val="28"/>
          <w:highlight w:val="none"/>
        </w:rPr>
        <w:t>（三）投标文件的编制</w:t>
      </w:r>
      <w:bookmarkEnd w:id="37"/>
    </w:p>
    <w:p w14:paraId="65D2CF94">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19.投标的语言及度量衡单位</w:t>
      </w:r>
    </w:p>
    <w:p w14:paraId="5666AB12">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22BE6F4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w:t>
      </w:r>
      <w:r>
        <w:rPr>
          <w:rFonts w:hint="eastAsia" w:ascii="宋体" w:hAnsi="宋体" w:eastAsia="宋体" w:cs="宋体"/>
          <w:color w:val="auto"/>
          <w:szCs w:val="21"/>
          <w:highlight w:val="none"/>
          <w:lang w:val="en-US" w:eastAsia="zh-CN"/>
        </w:rPr>
        <w:t>为投标文件的组成部分。</w:t>
      </w:r>
    </w:p>
    <w:p w14:paraId="28643489">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20.2.2投标文件应当对招标文件有关服务期限、投标有效期、质量要求、技术标准和要求、招标范围等实质性内容作出响应。</w:t>
      </w:r>
    </w:p>
    <w:p w14:paraId="7E54F12E">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20.2.3投标文件的正本和副本均需打印或使用不褪色的蓝、黑墨水笔书写，字迹应清晰易于辩认，并应在投标文件封面的右上角清楚地注明“正本”或“副本”。正本和副本如有不一致之处，以正本为准。</w:t>
      </w:r>
    </w:p>
    <w:p w14:paraId="15FA1057">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20.2.4投标文件中的材料应当在格式文本要求的相应位置签字和盖章，否则，投标文件作无效投标处理。</w:t>
      </w:r>
    </w:p>
    <w:p w14:paraId="65A30418">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116925B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21.1投标报价文件中的单价和总价全部采用人民币表示。投标人的报价应含有服务（</w:t>
      </w:r>
      <w:r>
        <w:rPr>
          <w:rFonts w:hint="eastAsia" w:ascii="宋体" w:hAnsi="宋体" w:cs="宋体"/>
          <w:color w:val="auto"/>
          <w:szCs w:val="21"/>
          <w:highlight w:val="none"/>
          <w:lang w:val="en-US" w:eastAsia="zh-CN"/>
        </w:rPr>
        <w:t>含服务过程中产生的餐费住宿费等</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代理服务费、评审论证费、</w:t>
      </w:r>
      <w:r>
        <w:rPr>
          <w:rFonts w:hint="eastAsia" w:ascii="宋体" w:hAnsi="宋体" w:eastAsia="宋体" w:cs="宋体"/>
          <w:color w:val="auto"/>
          <w:szCs w:val="21"/>
          <w:highlight w:val="none"/>
          <w:lang w:val="en-US" w:eastAsia="zh-CN"/>
        </w:rPr>
        <w:t>利润、税金、政策性文件规定及合同包含的所有风险、责任、义务等，即为完成招标文件要求的服务（货物）内容所包含的一切应有费用，中标价格今后将不作任何调整，招标人后期不再追加费用，投标供应商自行考虑投标风险。</w:t>
      </w:r>
    </w:p>
    <w:p w14:paraId="6A7EDB37">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21.2投标人只允许有一个方案、一个报价。</w:t>
      </w:r>
    </w:p>
    <w:p w14:paraId="6E5CB60B">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21.3投标人应按“采购内容及要求“所列服务进行报价，不得采用总价下浮的方式进行报价。投标报价包括国家对中标单位征收的各种税费等所有一切费用，投标报价今后将不作任何调整。</w:t>
      </w:r>
    </w:p>
    <w:p w14:paraId="21B4728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21.4投标报价应由法定代表人或被授权人签署。</w:t>
      </w:r>
    </w:p>
    <w:p w14:paraId="1FA7038E">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21.5投标人的报价不得高于本次招标最高限价，否则将作为无效投标处理。</w:t>
      </w:r>
    </w:p>
    <w:p w14:paraId="16A56768">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21.6总投标价中不得包含招标文件要求以外的内容，否则，在评标时不予核减，但在授予合同时，招标人有权将这部分价格从其中标价格中扣除。</w:t>
      </w:r>
    </w:p>
    <w:p w14:paraId="4FE6997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21.7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1B1907D">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keepNext w:val="0"/>
        <w:keepLines w:val="0"/>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rPr>
          <w:rFonts w:hint="eastAsia" w:ascii="宋体" w:hAnsi="宋体" w:eastAsia="宋体" w:cs="宋体"/>
          <w:b/>
          <w:color w:val="auto"/>
          <w:sz w:val="28"/>
          <w:szCs w:val="28"/>
          <w:highlight w:val="none"/>
        </w:rPr>
      </w:pPr>
      <w:bookmarkStart w:id="38" w:name="_Toc449028870"/>
      <w:r>
        <w:rPr>
          <w:rFonts w:hint="eastAsia" w:ascii="宋体" w:hAnsi="宋体" w:eastAsia="宋体" w:cs="宋体"/>
          <w:b/>
          <w:color w:val="auto"/>
          <w:sz w:val="28"/>
          <w:szCs w:val="28"/>
          <w:highlight w:val="none"/>
        </w:rPr>
        <w:t>（四）投标文件的递交</w:t>
      </w:r>
      <w:bookmarkEnd w:id="38"/>
    </w:p>
    <w:p w14:paraId="651B01A6">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24.投标文件的份数和签署</w:t>
      </w:r>
    </w:p>
    <w:p w14:paraId="1CCF219C">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default" w:ascii="宋体" w:hAnsi="宋体" w:cs="宋体"/>
          <w:color w:val="auto"/>
          <w:szCs w:val="21"/>
          <w:highlight w:val="none"/>
          <w:lang w:val="en-US"/>
        </w:rPr>
      </w:pPr>
      <w:bookmarkStart w:id="39"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1见投标须知前附表</w:t>
      </w:r>
    </w:p>
    <w:p w14:paraId="3D7843B5">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35AC6DA5">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25.1投标文件提交的收件人、截止时间及地点：详见投标人须知前附表。</w:t>
      </w:r>
    </w:p>
    <w:p w14:paraId="7DB64087">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25.2除投标人须知前附表另有规定外，投标人所递交的投标文件不予退还。</w:t>
      </w:r>
    </w:p>
    <w:p w14:paraId="21183092">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25.3</w:t>
      </w:r>
      <w:r>
        <w:rPr>
          <w:rFonts w:hint="eastAsia" w:ascii="宋体" w:hAnsi="宋体" w:eastAsia="宋体" w:cs="宋体"/>
          <w:color w:val="auto"/>
          <w:szCs w:val="21"/>
          <w:highlight w:val="none"/>
          <w:lang w:val="en-US" w:eastAsia="zh-CN"/>
        </w:rPr>
        <w:t>投标人应当在投标截止时间前完成投标文件的递交，并可以补充、修改或者撤回投标文件。投标截止时间前未完成投标文件递交的，视为撤回投标文件。未按规定时间递交投标文件的，应当拒收，投标无效。</w:t>
      </w:r>
    </w:p>
    <w:p w14:paraId="35B17B0B">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keepNext w:val="0"/>
        <w:keepLines w:val="0"/>
        <w:pageBreakBefore w:val="0"/>
        <w:widowControl w:val="0"/>
        <w:kinsoku/>
        <w:wordWrap/>
        <w:overflowPunct/>
        <w:topLinePunct w:val="0"/>
        <w:autoSpaceDE/>
        <w:autoSpaceDN/>
        <w:bidi w:val="0"/>
        <w:adjustRightInd/>
        <w:snapToGrid/>
        <w:spacing w:line="500" w:lineRule="exact"/>
        <w:ind w:left="-420" w:leftChars="-200" w:right="-313" w:rightChars="-149" w:firstLine="420" w:firstLineChars="200"/>
        <w:jc w:val="left"/>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color w:val="auto"/>
          <w:szCs w:val="21"/>
          <w:highlight w:val="none"/>
        </w:rPr>
        <w:t>在第一章“</w:t>
      </w:r>
      <w:r>
        <w:rPr>
          <w:rFonts w:hint="eastAsia" w:ascii="宋体" w:hAnsi="宋体" w:cs="宋体"/>
          <w:b w:val="0"/>
          <w:bCs/>
          <w:color w:val="auto"/>
          <w:szCs w:val="21"/>
          <w:highlight w:val="none"/>
          <w:lang w:val="en-US" w:eastAsia="zh-CN"/>
        </w:rPr>
        <w:t>投标邀请</w:t>
      </w:r>
      <w:r>
        <w:rPr>
          <w:rFonts w:hint="eastAsia" w:ascii="宋体" w:hAnsi="宋体" w:eastAsia="宋体" w:cs="宋体"/>
          <w:b w:val="0"/>
          <w:bCs/>
          <w:color w:val="auto"/>
          <w:szCs w:val="21"/>
          <w:highlight w:val="none"/>
        </w:rPr>
        <w:t>”规定的投标截止时间前，投标人可以自行撤回已递交的投标文件，并可修改后重新</w:t>
      </w:r>
      <w:r>
        <w:rPr>
          <w:rFonts w:hint="eastAsia" w:ascii="宋体" w:hAnsi="宋体" w:cs="宋体"/>
          <w:b w:val="0"/>
          <w:bCs/>
          <w:color w:val="auto"/>
          <w:szCs w:val="21"/>
          <w:highlight w:val="none"/>
          <w:lang w:val="en-US" w:eastAsia="zh-CN"/>
        </w:rPr>
        <w:t>递交</w:t>
      </w:r>
      <w:r>
        <w:rPr>
          <w:rFonts w:hint="eastAsia" w:ascii="宋体" w:hAnsi="宋体" w:eastAsia="宋体" w:cs="宋体"/>
          <w:b w:val="0"/>
          <w:bCs/>
          <w:color w:val="auto"/>
          <w:szCs w:val="21"/>
          <w:highlight w:val="none"/>
        </w:rPr>
        <w:t>，开标时以投标截止时间前投标人最</w:t>
      </w:r>
      <w:r>
        <w:rPr>
          <w:rFonts w:hint="eastAsia" w:ascii="宋体" w:hAnsi="宋体" w:cs="宋体"/>
          <w:b w:val="0"/>
          <w:bCs/>
          <w:color w:val="auto"/>
          <w:szCs w:val="21"/>
          <w:highlight w:val="none"/>
          <w:lang w:val="en-US" w:eastAsia="zh-CN"/>
        </w:rPr>
        <w:t>递交</w:t>
      </w:r>
      <w:r>
        <w:rPr>
          <w:rFonts w:hint="eastAsia" w:ascii="宋体" w:hAnsi="宋体" w:eastAsia="宋体" w:cs="宋体"/>
          <w:b w:val="0"/>
          <w:bCs/>
          <w:color w:val="auto"/>
          <w:szCs w:val="21"/>
          <w:highlight w:val="none"/>
        </w:rPr>
        <w:t>的投标文件为准。</w:t>
      </w:r>
    </w:p>
    <w:p w14:paraId="13CF36C7">
      <w:pPr>
        <w:keepNext w:val="0"/>
        <w:keepLines w:val="0"/>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39"/>
    </w:p>
    <w:p w14:paraId="1D9DFDEC">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27.开标</w:t>
      </w:r>
    </w:p>
    <w:p w14:paraId="3B1ADD34">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 开标的时间和地点</w:t>
      </w:r>
    </w:p>
    <w:p w14:paraId="463FECB4">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27.1.1</w:t>
      </w:r>
      <w:r>
        <w:rPr>
          <w:rFonts w:hint="eastAsia" w:ascii="宋体" w:hAnsi="宋体" w:eastAsia="宋体" w:cs="宋体"/>
          <w:color w:val="auto"/>
          <w:szCs w:val="21"/>
        </w:rPr>
        <w:t>在投标须知前附表规定的投标截止时间（开标时间）和地点开标。</w:t>
      </w:r>
    </w:p>
    <w:p w14:paraId="0062CDD2">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开标程序</w:t>
      </w:r>
    </w:p>
    <w:p w14:paraId="1B09DAD5">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开标会议由代理机构主持。</w:t>
      </w:r>
    </w:p>
    <w:p w14:paraId="03504AF5">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（1）宣布开标纪律；</w:t>
      </w:r>
    </w:p>
    <w:p w14:paraId="6E9204C4">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（2）宣布招标人、代理机构主持人等有关人员姓名；</w:t>
      </w:r>
    </w:p>
    <w:p w14:paraId="5D849331">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（3）公布在投标截止时间前递交投标文件的投标人名称等；</w:t>
      </w:r>
    </w:p>
    <w:p w14:paraId="4ACD772B">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（4）拆封标书，公布投标人投标报价、服务期及其他内容，并记录在案；</w:t>
      </w:r>
    </w:p>
    <w:p w14:paraId="7BF5B093">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（5）开标结束。 </w:t>
      </w:r>
    </w:p>
    <w:p w14:paraId="5146B014">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开标疑义</w:t>
      </w:r>
    </w:p>
    <w:p w14:paraId="44028A3B">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投标人代表对开标过程和开标记录有疑义，以及认为</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、采购代理机构相关工作人员有需要回避的情形的，应当场提出询问或者回避申请。</w:t>
      </w:r>
    </w:p>
    <w:p w14:paraId="7D67594E">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28.评标委员会</w:t>
      </w:r>
    </w:p>
    <w:p w14:paraId="13810358">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.2 评标委员会成员有下列情形之一的，应当回避：</w:t>
      </w:r>
    </w:p>
    <w:p w14:paraId="7606EF8B">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（1）投标人或投标人主要负责人的近亲属；</w:t>
      </w:r>
    </w:p>
    <w:p w14:paraId="3DB4ABE1">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（2）项目主管部门或者行政监督部门的人员；</w:t>
      </w:r>
    </w:p>
    <w:p w14:paraId="38B14848">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（3）与投标人有经济利益关系；</w:t>
      </w:r>
    </w:p>
    <w:p w14:paraId="2EF40F98">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（4）曾因在招标、评标以及其他与招标投标有关活动中从事违法行为而受过行政处罚或刑事处罚的；</w:t>
      </w:r>
    </w:p>
    <w:p w14:paraId="63CE528A">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（5）与投标人有其他利害关系。</w:t>
      </w:r>
    </w:p>
    <w:p w14:paraId="08EA1690">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eastAsia="宋体" w:cs="宋体"/>
          <w:b/>
          <w:color w:val="auto"/>
          <w:szCs w:val="21"/>
          <w:highlight w:val="none"/>
        </w:rPr>
      </w:pPr>
      <w:bookmarkStart w:id="40" w:name="_Toc449028873"/>
      <w:r>
        <w:rPr>
          <w:rFonts w:hint="eastAsia" w:ascii="宋体" w:hAnsi="宋体" w:eastAsia="宋体" w:cs="宋体"/>
          <w:b/>
          <w:color w:val="auto"/>
          <w:szCs w:val="21"/>
          <w:highlight w:val="none"/>
          <w:lang w:val="en-US" w:eastAsia="zh-CN"/>
        </w:rPr>
        <w:t>29</w:t>
      </w:r>
      <w:r>
        <w:rPr>
          <w:rFonts w:hint="eastAsia" w:ascii="宋体" w:hAnsi="宋体" w:eastAsia="宋体" w:cs="宋体"/>
          <w:b/>
          <w:color w:val="auto"/>
          <w:szCs w:val="21"/>
          <w:highlight w:val="none"/>
        </w:rPr>
        <w:t>.评标</w:t>
      </w:r>
    </w:p>
    <w:p w14:paraId="20712703">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0C07A47D">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.3评标原则：遵循公平、公正、科学和择优的原则。</w:t>
      </w:r>
    </w:p>
    <w:p w14:paraId="2336DC86">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.4投标文件的澄清</w:t>
      </w:r>
    </w:p>
    <w:p w14:paraId="6F0C2161">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.4.1在评标过程中，评标委员会认为需要，在</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的监督下，可要求投标人对投标文件中的有关问题进行澄清或提供补充说明及有关资料，投标人应做出书面答复。</w:t>
      </w:r>
    </w:p>
    <w:p w14:paraId="3AF1449E">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.4.2书面答复须经投标人法定代表人或其委托代理人签字或盖章，签字或盖章的书面答复将被视为投标文件的组成部分。</w:t>
      </w:r>
    </w:p>
    <w:p w14:paraId="4776B253">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.5报价合理性的判断</w:t>
      </w:r>
    </w:p>
    <w:p w14:paraId="57CD62B5">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.6评审意见分歧的处理办法</w:t>
      </w:r>
    </w:p>
    <w:p w14:paraId="5F4FED19">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（1）评标委员会应当对投标人提供的报告、证明材料及详细说明认真研究。对存在意见分歧的，可采用投票方式表决决定（按多数评委意见为准）；</w:t>
      </w:r>
    </w:p>
    <w:p w14:paraId="298CCD75">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（2）招标投标当事人对评标结果提出异议或者投诉，</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认为需要重新进行评标的，评标委员会成员应当按照</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要求重新评标。</w:t>
      </w:r>
    </w:p>
    <w:p w14:paraId="154DB6B5">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.7评标报告的签署</w:t>
      </w:r>
    </w:p>
    <w:p w14:paraId="689BF342">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.8评标过程的保密</w:t>
      </w:r>
    </w:p>
    <w:p w14:paraId="42B262BF">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评标委员会成员和与评标活动有关的工作人员不得透露对投标文件的评审和比较、中标人的推荐情况以及与评标有关的其他情况。</w:t>
      </w:r>
    </w:p>
    <w:p w14:paraId="1285831F">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.定标</w:t>
      </w:r>
    </w:p>
    <w:p w14:paraId="485F0B11">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 中标人的确定</w:t>
      </w:r>
    </w:p>
    <w:p w14:paraId="0D8141F6">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.1.1招标人确定</w:t>
      </w:r>
      <w:r>
        <w:rPr>
          <w:rFonts w:hint="eastAsia" w:ascii="宋体" w:hAnsi="宋体" w:eastAsia="宋体" w:cs="宋体"/>
          <w:color w:val="auto"/>
          <w:szCs w:val="21"/>
          <w:highlight w:val="none"/>
          <w:lang w:val="en-US" w:eastAsia="zh-CN"/>
        </w:rPr>
        <w:t>排名第一的中标候选人为</w:t>
      </w:r>
      <w:r>
        <w:rPr>
          <w:rFonts w:hint="eastAsia" w:ascii="宋体" w:hAnsi="宋体" w:eastAsia="宋体" w:cs="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6630B2B">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 中标通知书</w:t>
      </w:r>
    </w:p>
    <w:p w14:paraId="20C30054">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.2.1招标人或代理机构应在中标人确定之日起2个工作日内向中标人发出中标通知书。</w:t>
      </w:r>
    </w:p>
    <w:p w14:paraId="3FEA5E8A">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.2.2中标通知书须加盖招标人、代理机构公章后，方可发出。</w:t>
      </w:r>
    </w:p>
    <w:p w14:paraId="27F2400B">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.2.3招标人将在发出中标通知书的同时，向未通过资格审查的投标人告知其未通过的原因。</w:t>
      </w:r>
    </w:p>
    <w:p w14:paraId="06B4880B">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.开评标异常情况处理</w:t>
      </w:r>
    </w:p>
    <w:p w14:paraId="21213BD7">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kern w:val="10"/>
          <w:szCs w:val="21"/>
          <w:highlight w:val="none"/>
        </w:rPr>
        <w:t>3</w:t>
      </w:r>
      <w:r>
        <w:rPr>
          <w:rFonts w:hint="eastAsia" w:ascii="宋体" w:hAnsi="宋体" w:eastAsia="宋体" w:cs="宋体"/>
          <w:b/>
          <w:bCs/>
          <w:color w:val="auto"/>
          <w:kern w:val="10"/>
          <w:szCs w:val="21"/>
          <w:highlight w:val="none"/>
          <w:lang w:val="en-US" w:eastAsia="zh-CN"/>
        </w:rPr>
        <w:t>1</w:t>
      </w:r>
      <w:r>
        <w:rPr>
          <w:rFonts w:hint="eastAsia" w:ascii="宋体" w:hAnsi="宋体" w:eastAsia="宋体" w:cs="宋体"/>
          <w:b/>
          <w:bCs/>
          <w:color w:val="auto"/>
          <w:kern w:val="10"/>
          <w:szCs w:val="21"/>
          <w:highlight w:val="none"/>
        </w:rPr>
        <w:t>.1</w:t>
      </w:r>
      <w:r>
        <w:rPr>
          <w:rFonts w:hint="eastAsia" w:ascii="宋体" w:hAnsi="宋体" w:eastAsia="宋体" w:cs="宋体"/>
          <w:b/>
          <w:bCs/>
          <w:color w:val="auto"/>
          <w:szCs w:val="21"/>
          <w:highlight w:val="none"/>
        </w:rPr>
        <w:t xml:space="preserve">重新招标 </w:t>
      </w:r>
    </w:p>
    <w:p w14:paraId="31A5D012">
      <w:pPr>
        <w:keepNext w:val="0"/>
        <w:keepLines w:val="0"/>
        <w:pageBreakBefore w:val="0"/>
        <w:widowControl w:val="0"/>
        <w:tabs>
          <w:tab w:val="left" w:pos="720"/>
        </w:tabs>
        <w:kinsoku/>
        <w:wordWrap/>
        <w:overflowPunct/>
        <w:topLinePunct w:val="0"/>
        <w:autoSpaceDE/>
        <w:autoSpaceDN/>
        <w:bidi w:val="0"/>
        <w:spacing w:line="500" w:lineRule="exact"/>
        <w:ind w:left="-420" w:leftChars="-200" w:right="-313" w:rightChars="-149"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项目有下列情形之一的，招标人将重新招标：</w:t>
      </w:r>
    </w:p>
    <w:p w14:paraId="61AA2F3A">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 xml:space="preserve">(1)投标截止时间止，投标人少于三个的； </w:t>
      </w:r>
    </w:p>
    <w:p w14:paraId="04C25708">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(2)符合专业条件的供应商或者对招标文件作实质响应的供应商不足三家的；</w:t>
      </w:r>
    </w:p>
    <w:p w14:paraId="15B0F175">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(3)出现影响招标公正的违法、违规行为的；</w:t>
      </w:r>
    </w:p>
    <w:p w14:paraId="1EA8BFE1">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(4)投标人的报价均脱离实际且无充分证据的；</w:t>
      </w:r>
    </w:p>
    <w:p w14:paraId="747198F9">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w:t>
      </w:r>
      <w:r>
        <w:rPr>
          <w:rFonts w:hint="eastAsia" w:ascii="宋体" w:hAnsi="宋体" w:eastAsia="宋体" w:cs="宋体"/>
          <w:color w:val="auto"/>
          <w:kern w:val="10"/>
          <w:szCs w:val="21"/>
          <w:highlight w:val="none"/>
          <w:lang w:val="en-US" w:eastAsia="zh-CN"/>
        </w:rPr>
        <w:t>5</w:t>
      </w:r>
      <w:r>
        <w:rPr>
          <w:rFonts w:hint="eastAsia" w:ascii="宋体" w:hAnsi="宋体" w:eastAsia="宋体" w:cs="宋体"/>
          <w:color w:val="auto"/>
          <w:kern w:val="10"/>
          <w:szCs w:val="21"/>
          <w:highlight w:val="none"/>
        </w:rPr>
        <w:t>)因重大变故，采购任务取消的。</w:t>
      </w:r>
    </w:p>
    <w:p w14:paraId="191876E3">
      <w:pPr>
        <w:keepNext w:val="0"/>
        <w:keepLines w:val="0"/>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0"/>
    </w:p>
    <w:p w14:paraId="4884662A">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textAlignment w:val="auto"/>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34.</w:t>
      </w:r>
      <w:bookmarkStart w:id="41" w:name="_Toc217446068"/>
      <w:r>
        <w:rPr>
          <w:rFonts w:hint="eastAsia" w:ascii="宋体" w:hAnsi="宋体" w:cs="宋体"/>
          <w:b/>
          <w:color w:val="auto"/>
          <w:szCs w:val="21"/>
          <w:highlight w:val="none"/>
        </w:rPr>
        <w:t>履约保证金</w:t>
      </w:r>
      <w:bookmarkEnd w:id="41"/>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keepNext w:val="0"/>
        <w:keepLines w:val="0"/>
        <w:pageBreakBefore w:val="0"/>
        <w:widowControl w:val="0"/>
        <w:kinsoku/>
        <w:wordWrap/>
        <w:overflowPunct/>
        <w:topLinePunct w:val="0"/>
        <w:autoSpaceDE/>
        <w:autoSpaceDN/>
        <w:bidi w:val="0"/>
        <w:spacing w:line="500" w:lineRule="exact"/>
        <w:ind w:left="-420" w:leftChars="-200" w:right="-313" w:rightChars="-149"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keepNext w:val="0"/>
        <w:keepLines w:val="0"/>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rPr>
          <w:rFonts w:hint="eastAsia" w:ascii="宋体" w:hAnsi="宋体" w:eastAsia="宋体" w:cs="宋体"/>
          <w:b/>
          <w:color w:val="auto"/>
          <w:sz w:val="28"/>
          <w:szCs w:val="28"/>
          <w:highlight w:val="none"/>
        </w:rPr>
      </w:pPr>
      <w:bookmarkStart w:id="42" w:name="_Toc449028874"/>
      <w:r>
        <w:rPr>
          <w:rFonts w:hint="eastAsia" w:ascii="宋体" w:hAnsi="宋体" w:eastAsia="宋体" w:cs="宋体"/>
          <w:b/>
          <w:color w:val="auto"/>
          <w:sz w:val="28"/>
          <w:szCs w:val="28"/>
          <w:highlight w:val="none"/>
        </w:rPr>
        <w:t>（七）纪律和监督</w:t>
      </w:r>
      <w:bookmarkEnd w:id="42"/>
    </w:p>
    <w:p w14:paraId="5090B799">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keepNext w:val="0"/>
        <w:keepLines w:val="0"/>
        <w:kinsoku/>
        <w:wordWrap/>
        <w:overflowPunct/>
        <w:topLinePunct w:val="0"/>
        <w:autoSpaceDE/>
        <w:autoSpaceDN/>
        <w:bidi w:val="0"/>
        <w:spacing w:before="312" w:beforeLines="100" w:after="312" w:afterLines="100" w:line="440" w:lineRule="exact"/>
        <w:ind w:left="-420" w:leftChars="-200" w:right="-313" w:rightChars="-149" w:firstLine="562" w:firstLineChars="200"/>
        <w:jc w:val="center"/>
        <w:textAlignment w:val="auto"/>
        <w:rPr>
          <w:rFonts w:hint="eastAsia" w:ascii="宋体" w:hAnsi="宋体" w:eastAsia="宋体" w:cs="宋体"/>
          <w:b/>
          <w:color w:val="auto"/>
          <w:sz w:val="28"/>
          <w:szCs w:val="28"/>
          <w:highlight w:val="none"/>
          <w:lang w:eastAsia="zh-CN"/>
        </w:rPr>
      </w:pPr>
      <w:bookmarkStart w:id="43" w:name="_Toc449028875"/>
      <w:r>
        <w:rPr>
          <w:rFonts w:hint="eastAsia" w:ascii="宋体" w:hAnsi="宋体" w:eastAsia="宋体" w:cs="宋体"/>
          <w:b/>
          <w:color w:val="auto"/>
          <w:sz w:val="28"/>
          <w:szCs w:val="28"/>
          <w:highlight w:val="none"/>
        </w:rPr>
        <w:t>（八）</w:t>
      </w:r>
      <w:bookmarkEnd w:id="43"/>
      <w:r>
        <w:rPr>
          <w:rFonts w:hint="eastAsia" w:ascii="宋体" w:hAnsi="宋体" w:cs="宋体"/>
          <w:b/>
          <w:color w:val="auto"/>
          <w:sz w:val="28"/>
          <w:szCs w:val="28"/>
          <w:highlight w:val="none"/>
          <w:lang w:val="en-US" w:eastAsia="zh-CN"/>
        </w:rPr>
        <w:t>投诉</w:t>
      </w:r>
    </w:p>
    <w:p w14:paraId="539744AE">
      <w:pPr>
        <w:keepNext w:val="0"/>
        <w:keepLines w:val="0"/>
        <w:pageBreakBefore w:val="0"/>
        <w:widowControl w:val="0"/>
        <w:kinsoku/>
        <w:wordWrap/>
        <w:overflowPunct/>
        <w:topLinePunct w:val="0"/>
        <w:autoSpaceDE/>
        <w:autoSpaceDN/>
        <w:bidi w:val="0"/>
        <w:spacing w:line="500" w:lineRule="exact"/>
        <w:ind w:left="-420" w:leftChars="-200" w:right="-313" w:rightChars="-149" w:firstLine="422" w:firstLineChars="200"/>
        <w:jc w:val="left"/>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Times New Roman" w:eastAsia="宋体" w:cs="Times New Roman"/>
          <w:color w:val="auto"/>
          <w:kern w:val="10"/>
          <w:szCs w:val="21"/>
          <w:highlight w:val="none"/>
        </w:rPr>
      </w:pPr>
      <w:bookmarkStart w:id="44" w:name="_Toc58430316"/>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keepNext w:val="0"/>
        <w:keepLines w:val="0"/>
        <w:pageBreakBefore w:val="0"/>
        <w:widowControl w:val="0"/>
        <w:kinsoku/>
        <w:wordWrap/>
        <w:overflowPunct/>
        <w:topLinePunct w:val="0"/>
        <w:autoSpaceDE/>
        <w:autoSpaceDN/>
        <w:bidi w:val="0"/>
        <w:adjustRightInd w:val="0"/>
        <w:snapToGrid w:val="0"/>
        <w:spacing w:line="500" w:lineRule="exact"/>
        <w:ind w:left="-420" w:leftChars="-200" w:right="-313" w:rightChars="-149" w:firstLine="420" w:firstLineChars="200"/>
        <w:textAlignment w:val="auto"/>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b/>
          <w:color w:val="auto"/>
          <w:sz w:val="32"/>
          <w:szCs w:val="32"/>
          <w:highlight w:val="none"/>
        </w:rPr>
        <w:t>第三章 评标办法</w:t>
      </w:r>
      <w:bookmarkEnd w:id="44"/>
    </w:p>
    <w:p w14:paraId="77B91577">
      <w:pPr>
        <w:spacing w:before="156" w:beforeLines="50" w:after="156" w:afterLines="50" w:line="440" w:lineRule="exact"/>
        <w:jc w:val="center"/>
        <w:outlineLvl w:val="1"/>
        <w:rPr>
          <w:rFonts w:hint="eastAsia" w:ascii="宋体"/>
          <w:b/>
          <w:color w:val="auto"/>
          <w:sz w:val="28"/>
          <w:szCs w:val="28"/>
          <w:highlight w:val="none"/>
        </w:rPr>
      </w:pPr>
      <w:bookmarkStart w:id="45" w:name="_Toc58430317"/>
      <w:bookmarkStart w:id="46" w:name="_Toc449028877"/>
      <w:bookmarkStart w:id="47" w:name="_Toc362983801"/>
      <w:bookmarkStart w:id="48" w:name="_Toc267320058"/>
      <w:bookmarkStart w:id="49" w:name="_Toc363135205"/>
      <w:r>
        <w:rPr>
          <w:rFonts w:hint="eastAsia" w:ascii="宋体"/>
          <w:b/>
          <w:color w:val="auto"/>
          <w:sz w:val="28"/>
          <w:szCs w:val="28"/>
          <w:highlight w:val="none"/>
        </w:rPr>
        <w:t>一、总则</w:t>
      </w:r>
      <w:bookmarkEnd w:id="45"/>
      <w:bookmarkEnd w:id="46"/>
      <w:bookmarkEnd w:id="47"/>
    </w:p>
    <w:p w14:paraId="4DA06D06">
      <w:pPr>
        <w:keepNext w:val="0"/>
        <w:keepLines w:val="0"/>
        <w:pageBreakBefore w:val="0"/>
        <w:widowControl w:val="0"/>
        <w:kinsoku/>
        <w:wordWrap/>
        <w:overflowPunct/>
        <w:topLinePunct w:val="0"/>
        <w:autoSpaceDE/>
        <w:autoSpaceDN/>
        <w:bidi w:val="0"/>
        <w:adjustRightInd/>
        <w:snapToGrid/>
        <w:spacing w:line="500" w:lineRule="exact"/>
        <w:ind w:firstLine="316" w:firstLineChars="150"/>
        <w:jc w:val="left"/>
        <w:textAlignment w:val="auto"/>
        <w:rPr>
          <w:rFonts w:hint="eastAsia" w:ascii="宋体"/>
          <w:b/>
          <w:color w:val="auto"/>
          <w:szCs w:val="21"/>
          <w:highlight w:val="none"/>
        </w:rPr>
      </w:pPr>
      <w:bookmarkStart w:id="50" w:name="_Toc58430318"/>
      <w:bookmarkStart w:id="51" w:name="_Toc449028878"/>
      <w:bookmarkStart w:id="52" w:name="_Toc362983802"/>
      <w:r>
        <w:rPr>
          <w:rFonts w:hint="eastAsia" w:ascii="宋体"/>
          <w:b/>
          <w:color w:val="auto"/>
          <w:szCs w:val="21"/>
          <w:highlight w:val="none"/>
        </w:rPr>
        <w:t xml:space="preserve"> 1. 本次评标采用综合评分法</w:t>
      </w:r>
    </w:p>
    <w:p w14:paraId="5DD2B3C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olor w:val="auto"/>
          <w:szCs w:val="21"/>
          <w:highlight w:val="none"/>
        </w:rPr>
      </w:pPr>
      <w:r>
        <w:rPr>
          <w:rFonts w:hint="eastAsia" w:ascii="宋体"/>
          <w:color w:val="auto"/>
          <w:szCs w:val="21"/>
          <w:highlight w:val="none"/>
        </w:rPr>
        <w:t>1.1综合评分法是指投标文件满足招标文件全部实质性要求且按照评审因素的量化指标评审总得分从高到低的供应商为中标候选人的评标方法。</w:t>
      </w:r>
    </w:p>
    <w:p w14:paraId="0594B1C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1.2综合评分法一般适用于较为复杂、评价指标难以量化且价格为非主要因素的非标准定制商品和非通用服务项目的项目评审。</w:t>
      </w:r>
    </w:p>
    <w:p w14:paraId="7C53964E">
      <w:pPr>
        <w:keepNext w:val="0"/>
        <w:keepLines w:val="0"/>
        <w:pageBreakBefore w:val="0"/>
        <w:widowControl w:val="0"/>
        <w:kinsoku/>
        <w:wordWrap/>
        <w:overflowPunct/>
        <w:topLinePunct w:val="0"/>
        <w:autoSpaceDE/>
        <w:autoSpaceDN/>
        <w:bidi w:val="0"/>
        <w:adjustRightInd/>
        <w:snapToGrid/>
        <w:spacing w:line="500" w:lineRule="exact"/>
        <w:ind w:firstLine="422" w:firstLineChars="200"/>
        <w:jc w:val="left"/>
        <w:textAlignment w:val="auto"/>
        <w:rPr>
          <w:rFonts w:hint="eastAsia" w:ascii="宋体"/>
          <w:b/>
          <w:color w:val="auto"/>
          <w:szCs w:val="21"/>
          <w:highlight w:val="none"/>
        </w:rPr>
      </w:pPr>
      <w:r>
        <w:rPr>
          <w:rFonts w:hint="eastAsia" w:ascii="宋体"/>
          <w:b/>
          <w:color w:val="auto"/>
          <w:szCs w:val="21"/>
          <w:highlight w:val="none"/>
        </w:rPr>
        <w:t>2．评标程序</w:t>
      </w:r>
    </w:p>
    <w:p w14:paraId="26AB7B8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2.1投标文件的初审</w:t>
      </w:r>
    </w:p>
    <w:p w14:paraId="0CD1CC5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2.2投标文件的澄清</w:t>
      </w:r>
    </w:p>
    <w:p w14:paraId="5665DDD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2.2.1在评标过程中，评标委员会认为需要，可要求投标人对投标文件中的有关问题进行澄清或提供补充说明及有关资料，投标人应做出书面答复。书面答复中不得变更价格、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2.3比较与评价</w:t>
      </w:r>
    </w:p>
    <w:p w14:paraId="5BD7217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2.4推荐中标候选人名单</w:t>
      </w:r>
    </w:p>
    <w:p w14:paraId="110BD1D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r>
        <w:rPr>
          <w:rFonts w:hint="eastAsia" w:ascii="宋体"/>
          <w:b/>
          <w:color w:val="auto"/>
          <w:sz w:val="28"/>
          <w:szCs w:val="28"/>
          <w:highlight w:val="none"/>
        </w:rPr>
        <w:t>二、投标文件初审</w:t>
      </w:r>
      <w:bookmarkEnd w:id="50"/>
      <w:bookmarkEnd w:id="51"/>
      <w:bookmarkEnd w:id="52"/>
    </w:p>
    <w:p w14:paraId="51BB9995">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keepNext w:val="0"/>
        <w:keepLines w:val="0"/>
        <w:pageBreakBefore w:val="0"/>
        <w:widowControl w:val="0"/>
        <w:kinsoku/>
        <w:wordWrap/>
        <w:overflowPunct/>
        <w:topLinePunct w:val="0"/>
        <w:autoSpaceDE/>
        <w:autoSpaceDN/>
        <w:bidi w:val="0"/>
        <w:adjustRightInd/>
        <w:snapToGrid/>
        <w:spacing w:line="500" w:lineRule="exact"/>
        <w:ind w:firstLine="308" w:firstLineChars="147"/>
        <w:textAlignment w:val="auto"/>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4"/>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（2）投标人须同时具有有效营业执照（或三证合一有效证件）和财政部门颁发的会计师事务所执业证书</w:t>
            </w:r>
          </w:p>
        </w:tc>
        <w:tc>
          <w:tcPr>
            <w:tcW w:w="4492" w:type="dxa"/>
            <w:noWrap w:val="0"/>
            <w:vAlign w:val="center"/>
          </w:tcPr>
          <w:p w14:paraId="041A0B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有效的营业执照和会计师事务所执业证书</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noWrap w:val="0"/>
            <w:vAlign w:val="top"/>
          </w:tcPr>
          <w:p w14:paraId="600669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）诚信投标承诺书</w:t>
            </w:r>
          </w:p>
        </w:tc>
        <w:tc>
          <w:tcPr>
            <w:tcW w:w="4492" w:type="dxa"/>
            <w:noWrap w:val="0"/>
            <w:vAlign w:val="top"/>
          </w:tcPr>
          <w:p w14:paraId="3EDC33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keepNext w:val="0"/>
        <w:keepLines w:val="0"/>
        <w:pageBreakBefore w:val="0"/>
        <w:widowControl w:val="0"/>
        <w:kinsoku/>
        <w:wordWrap/>
        <w:overflowPunct/>
        <w:topLinePunct w:val="0"/>
        <w:autoSpaceDE/>
        <w:autoSpaceDN/>
        <w:bidi w:val="0"/>
        <w:adjustRightInd/>
        <w:snapToGrid/>
        <w:spacing w:line="500" w:lineRule="exact"/>
        <w:ind w:firstLine="508" w:firstLineChars="241"/>
        <w:textAlignment w:val="auto"/>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keepNext w:val="0"/>
        <w:keepLines w:val="0"/>
        <w:pageBreakBefore w:val="0"/>
        <w:widowControl w:val="0"/>
        <w:kinsoku/>
        <w:wordWrap/>
        <w:overflowPunct/>
        <w:topLinePunct w:val="0"/>
        <w:autoSpaceDE/>
        <w:autoSpaceDN/>
        <w:bidi w:val="0"/>
        <w:adjustRightInd/>
        <w:snapToGrid/>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14A508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099908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06E85D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26DCF9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5F1813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4F2754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正本一份，副本一份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A942C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6F3AA6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258B2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5998BA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3" w:name="_Toc362983803"/>
      <w:bookmarkStart w:id="54" w:name="_Toc58430319"/>
      <w:bookmarkStart w:id="55" w:name="_Toc449028879"/>
      <w:r>
        <w:rPr>
          <w:rFonts w:hint="eastAsia" w:ascii="宋体" w:hAnsi="Times New Roman" w:eastAsia="宋体" w:cs="Times New Roman"/>
          <w:b/>
          <w:color w:val="auto"/>
          <w:sz w:val="28"/>
          <w:szCs w:val="28"/>
          <w:highlight w:val="none"/>
        </w:rPr>
        <w:t>三、投标文件的澄清和补正</w:t>
      </w:r>
      <w:bookmarkEnd w:id="53"/>
      <w:bookmarkEnd w:id="54"/>
      <w:bookmarkEnd w:id="55"/>
    </w:p>
    <w:p w14:paraId="3228516B">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5.3评委会修正错误的原则：</w:t>
      </w:r>
    </w:p>
    <w:p w14:paraId="4125A76F">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keepNext w:val="0"/>
        <w:keepLines w:val="0"/>
        <w:pageBreakBefore w:val="0"/>
        <w:widowControl w:val="0"/>
        <w:kinsoku/>
        <w:wordWrap/>
        <w:overflowPunct/>
        <w:topLinePunct w:val="0"/>
        <w:autoSpaceDE/>
        <w:autoSpaceDN/>
        <w:bidi w:val="0"/>
        <w:adjustRightInd/>
        <w:snapToGrid/>
        <w:spacing w:line="500" w:lineRule="exact"/>
        <w:ind w:firstLine="403" w:firstLineChars="192"/>
        <w:jc w:val="left"/>
        <w:textAlignment w:val="auto"/>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56" w:name="_Toc58430320"/>
      <w:bookmarkStart w:id="57" w:name="_Toc449028880"/>
    </w:p>
    <w:p w14:paraId="4E078817">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四、比较与评价</w:t>
      </w:r>
      <w:bookmarkEnd w:id="56"/>
      <w:bookmarkEnd w:id="57"/>
    </w:p>
    <w:p w14:paraId="117055AF">
      <w:pPr>
        <w:keepNext w:val="0"/>
        <w:keepLines w:val="0"/>
        <w:pageBreakBefore w:val="0"/>
        <w:widowControl w:val="0"/>
        <w:kinsoku/>
        <w:wordWrap/>
        <w:overflowPunct/>
        <w:topLinePunct w:val="0"/>
        <w:autoSpaceDE/>
        <w:autoSpaceDN/>
        <w:bidi w:val="0"/>
        <w:snapToGrid/>
        <w:spacing w:line="500" w:lineRule="exact"/>
        <w:ind w:right="36" w:rightChars="17" w:firstLine="0" w:firstLineChars="0"/>
        <w:jc w:val="left"/>
        <w:textAlignment w:val="auto"/>
        <w:rPr>
          <w:rFonts w:hint="eastAsia"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58" w:name="_Toc362983805"/>
      <w:bookmarkStart w:id="59" w:name="_Toc449028881"/>
      <w:r>
        <w:rPr>
          <w:rFonts w:hint="eastAsia" w:ascii="宋体" w:hAnsi="宋体" w:cs="宋体"/>
          <w:b/>
          <w:color w:val="auto"/>
          <w:szCs w:val="21"/>
          <w:highlight w:val="none"/>
        </w:rPr>
        <w:t>6.详细评审即按招标文件中规定的评标方法和标准，评标委员会将对通过初审的投标文件，进行综合比较与评价。</w:t>
      </w:r>
    </w:p>
    <w:p w14:paraId="5E339B61">
      <w:pPr>
        <w:keepNext w:val="0"/>
        <w:keepLines w:val="0"/>
        <w:pageBreakBefore w:val="0"/>
        <w:widowControl w:val="0"/>
        <w:kinsoku/>
        <w:wordWrap/>
        <w:overflowPunct/>
        <w:topLinePunct w:val="0"/>
        <w:autoSpaceDE/>
        <w:autoSpaceDN/>
        <w:bidi w:val="0"/>
        <w:snapToGrid/>
        <w:spacing w:line="500" w:lineRule="exact"/>
        <w:ind w:right="36" w:rightChars="17" w:firstLine="0" w:firstLineChars="0"/>
        <w:jc w:val="left"/>
        <w:textAlignment w:val="auto"/>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6.1资信标评审细则（15分）</w:t>
      </w:r>
    </w:p>
    <w:tbl>
      <w:tblPr>
        <w:tblStyle w:val="34"/>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2" w:type="dxa"/>
            <w:shd w:val="clear" w:color="auto" w:fill="auto"/>
            <w:noWrap/>
            <w:vAlign w:val="center"/>
          </w:tcPr>
          <w:p w14:paraId="2984BB7B">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bookmarkStart w:id="60"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6481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2" w:type="dxa"/>
            <w:shd w:val="clear" w:color="auto" w:fill="auto"/>
            <w:noWrap/>
            <w:vAlign w:val="center"/>
          </w:tcPr>
          <w:p w14:paraId="3FAA153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4493F1E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项目类似业绩</w:t>
            </w:r>
          </w:p>
        </w:tc>
        <w:tc>
          <w:tcPr>
            <w:tcW w:w="840" w:type="dxa"/>
            <w:shd w:val="clear" w:color="auto" w:fill="auto"/>
            <w:noWrap/>
            <w:vAlign w:val="center"/>
          </w:tcPr>
          <w:p w14:paraId="0B2EDEB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10分</w:t>
            </w:r>
          </w:p>
        </w:tc>
        <w:tc>
          <w:tcPr>
            <w:tcW w:w="7217" w:type="dxa"/>
            <w:shd w:val="clear" w:color="auto" w:fill="auto"/>
            <w:noWrap/>
            <w:vAlign w:val="center"/>
          </w:tcPr>
          <w:p w14:paraId="342C28B8">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投标人自</w:t>
            </w:r>
            <w:r>
              <w:rPr>
                <w:rFonts w:hint="eastAsia" w:ascii="宋体"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w:t>
            </w:r>
            <w:r>
              <w:rPr>
                <w:rFonts w:hint="eastAsia" w:ascii="宋体" w:hAnsi="宋体" w:cs="宋体"/>
                <w:b w:val="0"/>
                <w:bCs w:val="0"/>
                <w:color w:val="auto"/>
                <w:sz w:val="21"/>
                <w:szCs w:val="21"/>
                <w:highlight w:val="none"/>
                <w:lang w:val="en-US" w:eastAsia="zh-CN"/>
              </w:rPr>
              <w:t>具有</w:t>
            </w:r>
            <w:r>
              <w:rPr>
                <w:rFonts w:hint="eastAsia" w:ascii="宋体" w:hAnsi="宋体" w:eastAsia="宋体" w:cs="宋体"/>
                <w:b w:val="0"/>
                <w:bCs w:val="0"/>
                <w:color w:val="auto"/>
                <w:sz w:val="21"/>
                <w:szCs w:val="21"/>
                <w:highlight w:val="none"/>
                <w:lang w:val="en-US" w:eastAsia="zh-CN"/>
              </w:rPr>
              <w:t>经济责任审计或</w:t>
            </w:r>
            <w:r>
              <w:rPr>
                <w:rFonts w:hint="eastAsia" w:ascii="宋体" w:hAnsi="宋体" w:cs="宋体"/>
                <w:b w:val="0"/>
                <w:bCs w:val="0"/>
                <w:color w:val="auto"/>
                <w:sz w:val="21"/>
                <w:szCs w:val="21"/>
                <w:highlight w:val="none"/>
                <w:lang w:val="en-US" w:eastAsia="zh-CN"/>
              </w:rPr>
              <w:t>离任</w:t>
            </w:r>
            <w:r>
              <w:rPr>
                <w:rFonts w:hint="eastAsia" w:ascii="宋体" w:hAnsi="宋体" w:eastAsia="宋体" w:cs="宋体"/>
                <w:b w:val="0"/>
                <w:bCs w:val="0"/>
                <w:color w:val="auto"/>
                <w:sz w:val="21"/>
                <w:szCs w:val="21"/>
                <w:highlight w:val="none"/>
                <w:lang w:val="en-US" w:eastAsia="zh-CN"/>
              </w:rPr>
              <w:t>审计的</w:t>
            </w:r>
            <w:r>
              <w:rPr>
                <w:rFonts w:hint="eastAsia" w:ascii="宋体" w:hAnsi="宋体" w:cs="宋体"/>
                <w:b w:val="0"/>
                <w:bCs w:val="0"/>
                <w:color w:val="auto"/>
                <w:sz w:val="21"/>
                <w:szCs w:val="21"/>
                <w:highlight w:val="none"/>
                <w:lang w:val="en-US" w:eastAsia="zh-CN"/>
              </w:rPr>
              <w:t>类似业绩，每提供一个得5分，满分10</w:t>
            </w:r>
            <w:r>
              <w:rPr>
                <w:rFonts w:hint="eastAsia" w:ascii="宋体" w:hAnsi="宋体" w:eastAsia="宋体" w:cs="宋体"/>
                <w:b w:val="0"/>
                <w:bCs w:val="0"/>
                <w:color w:val="auto"/>
                <w:sz w:val="21"/>
                <w:szCs w:val="21"/>
                <w:highlight w:val="none"/>
                <w:lang w:val="en-US" w:eastAsia="zh-CN"/>
              </w:rPr>
              <w:t>分。</w:t>
            </w:r>
          </w:p>
          <w:p w14:paraId="350674FE">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bCs/>
                <w:color w:val="auto"/>
                <w:sz w:val="21"/>
                <w:szCs w:val="21"/>
                <w:highlight w:val="none"/>
                <w:lang w:val="en-US" w:eastAsia="zh-CN"/>
              </w:rPr>
              <w:t>注：类似业绩需提供完整审计报告与审计合同（或委托人证明与审计合同），如审计报告内容涉密，可抹去涉密内容。业绩有效时间以提供的合同或委托人证明时间为准。</w:t>
            </w:r>
          </w:p>
        </w:tc>
      </w:tr>
      <w:tr w14:paraId="6742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2" w:type="dxa"/>
            <w:shd w:val="clear" w:color="auto" w:fill="auto"/>
            <w:noWrap/>
            <w:vAlign w:val="center"/>
          </w:tcPr>
          <w:p w14:paraId="41C77EA4">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8" w:type="dxa"/>
            <w:shd w:val="clear" w:color="auto" w:fill="auto"/>
            <w:noWrap/>
            <w:vAlign w:val="center"/>
          </w:tcPr>
          <w:p w14:paraId="367F474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项目负责人实力</w:t>
            </w:r>
          </w:p>
        </w:tc>
        <w:tc>
          <w:tcPr>
            <w:tcW w:w="840" w:type="dxa"/>
            <w:shd w:val="clear" w:color="auto" w:fill="auto"/>
            <w:noWrap/>
            <w:vAlign w:val="center"/>
          </w:tcPr>
          <w:p w14:paraId="4C4A9A5F">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5分</w:t>
            </w:r>
          </w:p>
        </w:tc>
        <w:tc>
          <w:tcPr>
            <w:tcW w:w="7217" w:type="dxa"/>
            <w:shd w:val="clear" w:color="auto" w:fill="auto"/>
            <w:noWrap/>
            <w:vAlign w:val="center"/>
          </w:tcPr>
          <w:p w14:paraId="733C211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投标人拟派项目负责人</w:t>
            </w:r>
            <w:r>
              <w:rPr>
                <w:rFonts w:hint="default" w:ascii="宋体" w:hAnsi="宋体" w:eastAsia="宋体" w:cs="宋体"/>
                <w:b w:val="0"/>
                <w:bCs w:val="0"/>
                <w:color w:val="auto"/>
                <w:sz w:val="21"/>
                <w:szCs w:val="21"/>
                <w:highlight w:val="none"/>
                <w:lang w:val="en-US" w:eastAsia="zh-CN"/>
              </w:rPr>
              <w:t>具有全国注册会计师资格证书且注册在本次投标单位</w:t>
            </w:r>
            <w:r>
              <w:rPr>
                <w:rFonts w:hint="eastAsia" w:ascii="宋体" w:hAnsi="宋体" w:cs="宋体"/>
                <w:b w:val="0"/>
                <w:bCs w:val="0"/>
                <w:color w:val="auto"/>
                <w:sz w:val="21"/>
                <w:szCs w:val="21"/>
                <w:highlight w:val="none"/>
                <w:lang w:val="en-US" w:eastAsia="zh-CN"/>
              </w:rPr>
              <w:t>的得5分。</w:t>
            </w:r>
          </w:p>
          <w:p w14:paraId="550DB34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cs="宋体"/>
                <w:b w:val="0"/>
                <w:bCs w:val="0"/>
                <w:color w:val="auto"/>
                <w:sz w:val="21"/>
                <w:szCs w:val="21"/>
                <w:highlight w:val="none"/>
                <w:lang w:val="en-US" w:eastAsia="zh-CN"/>
              </w:rPr>
            </w:pPr>
            <w:r>
              <w:rPr>
                <w:rFonts w:hint="eastAsia" w:ascii="宋体" w:hAnsi="宋体" w:cs="宋体"/>
                <w:b/>
                <w:bCs/>
                <w:color w:val="auto"/>
                <w:sz w:val="21"/>
                <w:szCs w:val="21"/>
                <w:highlight w:val="none"/>
                <w:lang w:val="en-US" w:eastAsia="zh-CN"/>
              </w:rPr>
              <w:t>注：投标文件中同时提供项目负责人有效身份证、注册证</w:t>
            </w:r>
            <w:r>
              <w:rPr>
                <w:rFonts w:hint="eastAsia" w:ascii="宋体" w:hAnsi="宋体" w:eastAsia="宋体" w:cs="宋体"/>
                <w:b/>
                <w:bCs/>
                <w:color w:val="auto"/>
                <w:sz w:val="21"/>
                <w:szCs w:val="21"/>
                <w:highlight w:val="none"/>
                <w:lang w:val="en-US" w:eastAsia="zh-CN"/>
              </w:rPr>
              <w:t>书及近3个月内（任意一个月即可）投标人为其购买的社保缴纳证明。</w:t>
            </w:r>
          </w:p>
        </w:tc>
      </w:tr>
      <w:tr w14:paraId="3FFF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887" w:type="dxa"/>
            <w:gridSpan w:val="4"/>
            <w:shd w:val="clear" w:color="auto" w:fill="auto"/>
            <w:noWrap/>
            <w:vAlign w:val="center"/>
          </w:tcPr>
          <w:p w14:paraId="5AB31104">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cs="宋体"/>
                <w:b/>
                <w:bCs/>
                <w:color w:val="auto"/>
                <w:sz w:val="21"/>
                <w:szCs w:val="21"/>
                <w:highlight w:val="none"/>
                <w:lang w:val="en-US" w:eastAsia="zh-CN"/>
              </w:rPr>
            </w:pPr>
            <w:r>
              <w:rPr>
                <w:rFonts w:hint="eastAsia" w:ascii="宋体" w:hAnsi="宋体" w:eastAsia="宋体" w:cs="宋体"/>
                <w:b/>
                <w:color w:val="auto"/>
                <w:sz w:val="21"/>
                <w:szCs w:val="21"/>
                <w:highlight w:val="none"/>
              </w:rPr>
              <w:t>注：各评委得分的平均值为投标人资信标得分，分值保留两位小数点。</w:t>
            </w:r>
          </w:p>
        </w:tc>
      </w:tr>
    </w:tbl>
    <w:p w14:paraId="4FC7A873">
      <w:pPr>
        <w:keepNext w:val="0"/>
        <w:keepLines w:val="0"/>
        <w:pageBreakBefore w:val="0"/>
        <w:widowControl w:val="0"/>
        <w:kinsoku/>
        <w:wordWrap/>
        <w:overflowPunct/>
        <w:topLinePunct w:val="0"/>
        <w:autoSpaceDE/>
        <w:autoSpaceDN/>
        <w:bidi w:val="0"/>
        <w:snapToGrid/>
        <w:spacing w:line="500" w:lineRule="exact"/>
        <w:ind w:right="36" w:rightChars="17" w:firstLine="0" w:firstLineChars="0"/>
        <w:jc w:val="left"/>
        <w:textAlignment w:val="auto"/>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6.2技术标评审细则（60分）</w:t>
      </w:r>
    </w:p>
    <w:tbl>
      <w:tblPr>
        <w:tblStyle w:val="34"/>
        <w:tblpPr w:leftFromText="180" w:rightFromText="180" w:vertAnchor="text" w:horzAnchor="page" w:tblpXSpec="center" w:tblpY="176"/>
        <w:tblOverlap w:val="never"/>
        <w:tblW w:w="9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230"/>
        <w:gridCol w:w="699"/>
        <w:gridCol w:w="7248"/>
      </w:tblGrid>
      <w:tr w14:paraId="1FB3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45" w:type="dxa"/>
            <w:noWrap w:val="0"/>
            <w:vAlign w:val="center"/>
          </w:tcPr>
          <w:p w14:paraId="3F588B7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30" w:type="dxa"/>
            <w:noWrap w:val="0"/>
            <w:vAlign w:val="center"/>
          </w:tcPr>
          <w:p w14:paraId="72BDB78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699" w:type="dxa"/>
            <w:noWrap w:val="0"/>
            <w:vAlign w:val="center"/>
          </w:tcPr>
          <w:p w14:paraId="610C69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248" w:type="dxa"/>
            <w:noWrap w:val="0"/>
            <w:vAlign w:val="center"/>
          </w:tcPr>
          <w:p w14:paraId="73D91A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5210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45" w:type="dxa"/>
            <w:noWrap w:val="0"/>
            <w:vAlign w:val="center"/>
          </w:tcPr>
          <w:p w14:paraId="40AD35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230" w:type="dxa"/>
            <w:noWrap w:val="0"/>
            <w:vAlign w:val="center"/>
          </w:tcPr>
          <w:p w14:paraId="703B9F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工作方案</w:t>
            </w:r>
          </w:p>
        </w:tc>
        <w:tc>
          <w:tcPr>
            <w:tcW w:w="699" w:type="dxa"/>
            <w:noWrap w:val="0"/>
            <w:vAlign w:val="center"/>
          </w:tcPr>
          <w:p w14:paraId="2C6D8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7248" w:type="dxa"/>
            <w:noWrap w:val="0"/>
            <w:vAlign w:val="center"/>
          </w:tcPr>
          <w:p w14:paraId="45F3960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评审小组根据工作</w:t>
            </w:r>
            <w:r>
              <w:rPr>
                <w:rFonts w:hint="eastAsia" w:ascii="宋体" w:hAnsi="宋体" w:cs="宋体"/>
                <w:color w:val="auto"/>
                <w:szCs w:val="21"/>
                <w:highlight w:val="none"/>
              </w:rPr>
              <w:t>方案内容的全面性、可操作性、工作地点的便捷性；审计程序、审计方法的科学性、有效性、合理性；</w:t>
            </w:r>
            <w:r>
              <w:rPr>
                <w:rFonts w:hint="eastAsia" w:ascii="宋体" w:hAnsi="宋体" w:cs="宋体"/>
                <w:color w:val="auto"/>
                <w:szCs w:val="21"/>
                <w:highlight w:val="none"/>
                <w:lang w:val="en-US" w:eastAsia="zh-CN"/>
              </w:rPr>
              <w:t>工作</w:t>
            </w:r>
            <w:r>
              <w:rPr>
                <w:rFonts w:hint="eastAsia" w:ascii="宋体" w:hAnsi="宋体" w:cs="宋体"/>
                <w:color w:val="auto"/>
                <w:szCs w:val="21"/>
                <w:highlight w:val="none"/>
              </w:rPr>
              <w:t>的难点、要点阐述</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方面进行综合对比</w:t>
            </w:r>
            <w:r>
              <w:rPr>
                <w:rFonts w:hint="eastAsia" w:ascii="宋体" w:hAnsi="宋体" w:cs="宋体"/>
                <w:color w:val="auto"/>
                <w:szCs w:val="21"/>
                <w:highlight w:val="none"/>
                <w:lang w:val="en-US" w:eastAsia="zh-CN"/>
              </w:rPr>
              <w:t>评审</w:t>
            </w:r>
            <w:r>
              <w:rPr>
                <w:rFonts w:hint="eastAsia" w:ascii="宋体" w:hAnsi="宋体" w:cs="宋体"/>
                <w:color w:val="auto"/>
                <w:szCs w:val="21"/>
                <w:highlight w:val="none"/>
              </w:rPr>
              <w:t>。优秀的得</w:t>
            </w:r>
            <w:r>
              <w:rPr>
                <w:rFonts w:hint="eastAsia" w:ascii="宋体" w:hAnsi="宋体" w:cs="宋体"/>
                <w:color w:val="auto"/>
                <w:szCs w:val="21"/>
                <w:highlight w:val="none"/>
                <w:lang w:val="en-US" w:eastAsia="zh-CN"/>
              </w:rPr>
              <w:t>10分、良好的得9分，一般的得8分，合格的得7分，不合格或未提供的不得分。</w:t>
            </w:r>
          </w:p>
        </w:tc>
      </w:tr>
      <w:tr w14:paraId="531A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45" w:type="dxa"/>
            <w:noWrap w:val="0"/>
            <w:vAlign w:val="center"/>
          </w:tcPr>
          <w:p w14:paraId="3B1BCB6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230" w:type="dxa"/>
            <w:noWrap w:val="0"/>
            <w:vAlign w:val="center"/>
          </w:tcPr>
          <w:p w14:paraId="31756E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质量管理方案</w:t>
            </w:r>
          </w:p>
        </w:tc>
        <w:tc>
          <w:tcPr>
            <w:tcW w:w="699" w:type="dxa"/>
            <w:noWrap w:val="0"/>
            <w:vAlign w:val="center"/>
          </w:tcPr>
          <w:p w14:paraId="1DD5E14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40分</w:t>
            </w:r>
          </w:p>
        </w:tc>
        <w:tc>
          <w:tcPr>
            <w:tcW w:w="7248" w:type="dxa"/>
            <w:noWrap w:val="0"/>
            <w:vAlign w:val="center"/>
          </w:tcPr>
          <w:p w14:paraId="3D68E4D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评审小组根据</w:t>
            </w:r>
            <w:r>
              <w:rPr>
                <w:rFonts w:hint="eastAsia" w:ascii="宋体" w:hAnsi="宋体" w:cs="宋体"/>
                <w:color w:val="auto"/>
                <w:sz w:val="21"/>
                <w:szCs w:val="21"/>
                <w:highlight w:val="none"/>
                <w:lang w:val="en-US" w:eastAsia="zh-CN"/>
              </w:rPr>
              <w:t>投标人针对本项目编制的</w:t>
            </w:r>
            <w:r>
              <w:rPr>
                <w:rFonts w:hint="eastAsia" w:ascii="宋体" w:hAnsi="宋体" w:eastAsia="宋体" w:cs="宋体"/>
                <w:color w:val="auto"/>
                <w:sz w:val="21"/>
                <w:szCs w:val="21"/>
                <w:highlight w:val="none"/>
                <w:lang w:val="en-US" w:eastAsia="zh-CN"/>
              </w:rPr>
              <w:t>质量管理方案</w:t>
            </w:r>
            <w:r>
              <w:rPr>
                <w:rFonts w:hint="eastAsia" w:ascii="宋体" w:hAnsi="宋体" w:cs="宋体"/>
                <w:color w:val="auto"/>
                <w:sz w:val="21"/>
                <w:szCs w:val="21"/>
                <w:highlight w:val="none"/>
                <w:lang w:val="en-US" w:eastAsia="zh-CN"/>
              </w:rPr>
              <w:t>（包括但不限于</w:t>
            </w:r>
            <w:r>
              <w:rPr>
                <w:rFonts w:hint="eastAsia" w:ascii="宋体" w:hAnsi="宋体" w:eastAsia="宋体" w:cs="宋体"/>
                <w:color w:val="auto"/>
                <w:sz w:val="21"/>
                <w:szCs w:val="21"/>
                <w:highlight w:val="none"/>
                <w:lang w:val="en-US" w:eastAsia="zh-CN"/>
              </w:rPr>
              <w:t>项目咨询、意见分歧解决、项目质量复核、项目质量检查、质量管理缺陷识别与整改等方面的政策和程序等内容）进行综合对比评审，</w:t>
            </w:r>
            <w:r>
              <w:rPr>
                <w:rFonts w:hint="eastAsia" w:ascii="宋体" w:hAnsi="宋体" w:cs="宋体"/>
                <w:color w:val="auto"/>
                <w:szCs w:val="21"/>
                <w:highlight w:val="none"/>
              </w:rPr>
              <w:t>优秀的得</w:t>
            </w:r>
            <w:r>
              <w:rPr>
                <w:rFonts w:hint="eastAsia" w:ascii="宋体" w:hAnsi="宋体" w:cs="宋体"/>
                <w:color w:val="auto"/>
                <w:szCs w:val="21"/>
                <w:highlight w:val="none"/>
                <w:lang w:val="en-US" w:eastAsia="zh-CN"/>
              </w:rPr>
              <w:t>40分、良好的得36分，一般的得32分，合格的得28分，不合格或未提供的不得分。</w:t>
            </w:r>
          </w:p>
        </w:tc>
      </w:tr>
      <w:tr w14:paraId="749C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45" w:type="dxa"/>
            <w:noWrap w:val="0"/>
            <w:vAlign w:val="center"/>
          </w:tcPr>
          <w:p w14:paraId="28C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230" w:type="dxa"/>
            <w:noWrap w:val="0"/>
            <w:vAlign w:val="center"/>
          </w:tcPr>
          <w:p w14:paraId="3E87C5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信息安全管理</w:t>
            </w:r>
          </w:p>
        </w:tc>
        <w:tc>
          <w:tcPr>
            <w:tcW w:w="699" w:type="dxa"/>
            <w:noWrap w:val="0"/>
            <w:vAlign w:val="center"/>
          </w:tcPr>
          <w:p w14:paraId="414902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分</w:t>
            </w:r>
          </w:p>
        </w:tc>
        <w:tc>
          <w:tcPr>
            <w:tcW w:w="7248" w:type="dxa"/>
            <w:noWrap w:val="0"/>
            <w:vAlign w:val="center"/>
          </w:tcPr>
          <w:p w14:paraId="0A8A29A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评审小组根据信息安全管理方案的科学性、有效性、可行性等</w:t>
            </w:r>
            <w:r>
              <w:rPr>
                <w:rFonts w:hint="eastAsia" w:ascii="宋体" w:hAnsi="宋体" w:cs="宋体"/>
                <w:color w:val="auto"/>
                <w:sz w:val="21"/>
                <w:szCs w:val="21"/>
                <w:highlight w:val="none"/>
                <w:lang w:val="en-US" w:eastAsia="zh-CN"/>
              </w:rPr>
              <w:t>及风险承担的应对方案等</w:t>
            </w:r>
            <w:r>
              <w:rPr>
                <w:rFonts w:hint="eastAsia" w:ascii="宋体" w:hAnsi="宋体" w:eastAsia="宋体" w:cs="宋体"/>
                <w:color w:val="auto"/>
                <w:sz w:val="21"/>
                <w:szCs w:val="21"/>
                <w:highlight w:val="none"/>
                <w:lang w:val="en-US" w:eastAsia="zh-CN"/>
              </w:rPr>
              <w:t>进行综合对比评审，</w:t>
            </w:r>
            <w:r>
              <w:rPr>
                <w:rFonts w:hint="eastAsia" w:ascii="宋体" w:hAnsi="宋体" w:cs="宋体"/>
                <w:color w:val="auto"/>
                <w:szCs w:val="21"/>
                <w:highlight w:val="none"/>
              </w:rPr>
              <w:t>优秀的得</w:t>
            </w:r>
            <w:r>
              <w:rPr>
                <w:rFonts w:hint="eastAsia" w:ascii="宋体" w:hAnsi="宋体" w:cs="宋体"/>
                <w:color w:val="auto"/>
                <w:szCs w:val="21"/>
                <w:highlight w:val="none"/>
                <w:lang w:val="en-US" w:eastAsia="zh-CN"/>
              </w:rPr>
              <w:t>5分、良好的得4.5分，一般的得4分，合格的得3.5分，差的或未提供的不得分。</w:t>
            </w:r>
          </w:p>
        </w:tc>
      </w:tr>
      <w:tr w14:paraId="36CC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45" w:type="dxa"/>
            <w:noWrap w:val="0"/>
            <w:vAlign w:val="center"/>
          </w:tcPr>
          <w:p w14:paraId="198BD4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1230" w:type="dxa"/>
            <w:noWrap w:val="0"/>
            <w:vAlign w:val="center"/>
          </w:tcPr>
          <w:p w14:paraId="50B1D9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风险承担能力</w:t>
            </w:r>
          </w:p>
        </w:tc>
        <w:tc>
          <w:tcPr>
            <w:tcW w:w="699" w:type="dxa"/>
            <w:noWrap w:val="0"/>
            <w:vAlign w:val="center"/>
          </w:tcPr>
          <w:p w14:paraId="16ABDC9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5分</w:t>
            </w:r>
          </w:p>
        </w:tc>
        <w:tc>
          <w:tcPr>
            <w:tcW w:w="7248" w:type="dxa"/>
            <w:noWrap w:val="0"/>
            <w:vAlign w:val="center"/>
          </w:tcPr>
          <w:p w14:paraId="73F81EB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评审小组根据风险承担能力方案的科学性、有效性、可行性等</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进行综合对比评审，</w:t>
            </w:r>
            <w:r>
              <w:rPr>
                <w:rFonts w:hint="eastAsia" w:ascii="宋体" w:hAnsi="宋体" w:cs="宋体"/>
                <w:color w:val="auto"/>
                <w:szCs w:val="21"/>
                <w:highlight w:val="none"/>
              </w:rPr>
              <w:t>优秀的得</w:t>
            </w:r>
            <w:r>
              <w:rPr>
                <w:rFonts w:hint="eastAsia" w:ascii="宋体" w:hAnsi="宋体" w:cs="宋体"/>
                <w:color w:val="auto"/>
                <w:szCs w:val="21"/>
                <w:highlight w:val="none"/>
                <w:lang w:val="en-US" w:eastAsia="zh-CN"/>
              </w:rPr>
              <w:t>5分、良好的得4.5分，一般的得4分，合格的得3.5分，差的或未提供的不得分。</w:t>
            </w:r>
          </w:p>
        </w:tc>
      </w:tr>
      <w:tr w14:paraId="730F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822" w:type="dxa"/>
            <w:gridSpan w:val="4"/>
            <w:noWrap w:val="0"/>
            <w:vAlign w:val="center"/>
          </w:tcPr>
          <w:p w14:paraId="083E14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pacing w:val="-2"/>
                <w:sz w:val="21"/>
                <w:szCs w:val="21"/>
                <w:highlight w:val="none"/>
              </w:rPr>
            </w:pPr>
            <w:r>
              <w:rPr>
                <w:rFonts w:hint="eastAsia" w:ascii="宋体" w:hAnsi="宋体" w:eastAsia="宋体" w:cs="宋体"/>
                <w:b/>
                <w:color w:val="auto"/>
                <w:sz w:val="21"/>
                <w:szCs w:val="21"/>
                <w:highlight w:val="none"/>
              </w:rPr>
              <w:t>注：各评委得分的平均值为投标人</w:t>
            </w:r>
            <w:r>
              <w:rPr>
                <w:rFonts w:hint="eastAsia" w:ascii="宋体" w:hAnsi="宋体" w:eastAsia="宋体" w:cs="宋体"/>
                <w:b/>
                <w:color w:val="auto"/>
                <w:sz w:val="21"/>
                <w:szCs w:val="21"/>
                <w:highlight w:val="none"/>
                <w:lang w:val="en-US" w:eastAsia="zh-CN"/>
              </w:rPr>
              <w:t>技术</w:t>
            </w:r>
            <w:r>
              <w:rPr>
                <w:rFonts w:hint="eastAsia" w:ascii="宋体" w:hAnsi="宋体" w:eastAsia="宋体" w:cs="宋体"/>
                <w:b/>
                <w:color w:val="auto"/>
                <w:sz w:val="21"/>
                <w:szCs w:val="21"/>
                <w:highlight w:val="none"/>
              </w:rPr>
              <w:t>标得分，分值保留两位小数点。</w:t>
            </w:r>
          </w:p>
        </w:tc>
      </w:tr>
    </w:tbl>
    <w:p w14:paraId="0980E528">
      <w:pPr>
        <w:keepNext w:val="0"/>
        <w:keepLines w:val="0"/>
        <w:pageBreakBefore w:val="0"/>
        <w:widowControl w:val="0"/>
        <w:kinsoku/>
        <w:wordWrap/>
        <w:overflowPunct/>
        <w:topLinePunct w:val="0"/>
        <w:autoSpaceDE/>
        <w:autoSpaceDN/>
        <w:bidi w:val="0"/>
        <w:snapToGrid/>
        <w:spacing w:line="500" w:lineRule="exact"/>
        <w:ind w:right="36" w:rightChars="17" w:firstLine="0" w:firstLineChars="0"/>
        <w:jc w:val="left"/>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6.3商务标评审细则（25分）</w:t>
      </w:r>
    </w:p>
    <w:tbl>
      <w:tblPr>
        <w:tblStyle w:val="34"/>
        <w:tblpPr w:leftFromText="180" w:rightFromText="180" w:vertAnchor="text" w:horzAnchor="page" w:tblpXSpec="center" w:tblpY="108"/>
        <w:tblOverlap w:val="never"/>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85"/>
        <w:gridCol w:w="735"/>
        <w:gridCol w:w="7260"/>
      </w:tblGrid>
      <w:tr w14:paraId="3416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5" w:type="dxa"/>
            <w:noWrap w:val="0"/>
            <w:vAlign w:val="center"/>
          </w:tcPr>
          <w:p w14:paraId="18B6AC46">
            <w:pPr>
              <w:keepNext w:val="0"/>
              <w:keepLines w:val="0"/>
              <w:pageBreakBefore w:val="0"/>
              <w:widowControl w:val="0"/>
              <w:kinsoku/>
              <w:overflowPunct/>
              <w:topLinePunct w:val="0"/>
              <w:autoSpaceDE/>
              <w:autoSpaceDN/>
              <w:bidi w:val="0"/>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85" w:type="dxa"/>
            <w:noWrap w:val="0"/>
            <w:vAlign w:val="center"/>
          </w:tcPr>
          <w:p w14:paraId="53C2B93D">
            <w:pPr>
              <w:keepNext w:val="0"/>
              <w:keepLines w:val="0"/>
              <w:pageBreakBefore w:val="0"/>
              <w:widowControl w:val="0"/>
              <w:kinsoku/>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735" w:type="dxa"/>
            <w:noWrap w:val="0"/>
            <w:vAlign w:val="center"/>
          </w:tcPr>
          <w:p w14:paraId="44A925C4">
            <w:pPr>
              <w:keepNext w:val="0"/>
              <w:keepLines w:val="0"/>
              <w:pageBreakBefore w:val="0"/>
              <w:widowControl w:val="0"/>
              <w:kinsoku/>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260" w:type="dxa"/>
            <w:noWrap w:val="0"/>
            <w:vAlign w:val="center"/>
          </w:tcPr>
          <w:p w14:paraId="3FEFD148">
            <w:pPr>
              <w:keepNext w:val="0"/>
              <w:keepLines w:val="0"/>
              <w:pageBreakBefore w:val="0"/>
              <w:widowControl w:val="0"/>
              <w:kinsoku/>
              <w:overflowPunct/>
              <w:topLinePunct w:val="0"/>
              <w:autoSpaceDE/>
              <w:autoSpaceDN/>
              <w:bidi w:val="0"/>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5DB5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675" w:type="dxa"/>
            <w:noWrap w:val="0"/>
            <w:vAlign w:val="center"/>
          </w:tcPr>
          <w:p w14:paraId="52B7EBDE">
            <w:pPr>
              <w:keepNext w:val="0"/>
              <w:keepLines w:val="0"/>
              <w:pageBreakBefore w:val="0"/>
              <w:widowControl w:val="0"/>
              <w:kinsoku/>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85" w:type="dxa"/>
            <w:noWrap w:val="0"/>
            <w:vAlign w:val="center"/>
          </w:tcPr>
          <w:p w14:paraId="0E20A67F">
            <w:pPr>
              <w:keepNext w:val="0"/>
              <w:keepLines w:val="0"/>
              <w:pageBreakBefore w:val="0"/>
              <w:widowControl w:val="0"/>
              <w:kinsoku/>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tc>
        <w:tc>
          <w:tcPr>
            <w:tcW w:w="735" w:type="dxa"/>
            <w:noWrap w:val="0"/>
            <w:vAlign w:val="center"/>
          </w:tcPr>
          <w:p w14:paraId="67A970FC">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25</w:t>
            </w:r>
            <w:r>
              <w:rPr>
                <w:rFonts w:hint="eastAsia" w:ascii="宋体" w:hAnsi="宋体" w:eastAsia="宋体" w:cs="宋体"/>
                <w:bCs/>
                <w:color w:val="auto"/>
                <w:sz w:val="21"/>
                <w:szCs w:val="21"/>
                <w:highlight w:val="none"/>
              </w:rPr>
              <w:t>分</w:t>
            </w:r>
          </w:p>
        </w:tc>
        <w:tc>
          <w:tcPr>
            <w:tcW w:w="7260" w:type="dxa"/>
            <w:noWrap w:val="0"/>
            <w:vAlign w:val="center"/>
          </w:tcPr>
          <w:p w14:paraId="67C26F79">
            <w:pPr>
              <w:keepNext w:val="0"/>
              <w:keepLines w:val="0"/>
              <w:pageBreakBefore w:val="0"/>
              <w:widowControl w:val="0"/>
              <w:tabs>
                <w:tab w:val="left" w:pos="1080"/>
              </w:tabs>
              <w:kinsoku/>
              <w:wordWrap w:val="0"/>
              <w:overflowPunct/>
              <w:topLinePunct w:val="0"/>
              <w:autoSpaceDE/>
              <w:autoSpaceDN/>
              <w:bidi w:val="0"/>
              <w:spacing w:line="440" w:lineRule="exact"/>
              <w:ind w:right="105" w:firstLine="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设置投标报价最高限价，各投标人有效报价不得高于最高限价，否则，其投标文件按无效标处理。</w:t>
            </w:r>
          </w:p>
          <w:p w14:paraId="1A54C7A9">
            <w:pPr>
              <w:keepNext w:val="0"/>
              <w:keepLines w:val="0"/>
              <w:pageBreakBefore w:val="0"/>
              <w:widowControl w:val="0"/>
              <w:tabs>
                <w:tab w:val="left" w:pos="1080"/>
              </w:tabs>
              <w:kinsoku/>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评标</w:t>
            </w:r>
            <w:r>
              <w:rPr>
                <w:rFonts w:hint="eastAsia" w:ascii="宋体" w:hAnsi="宋体" w:eastAsia="宋体" w:cs="宋体"/>
                <w:color w:val="auto"/>
                <w:sz w:val="21"/>
                <w:szCs w:val="21"/>
                <w:highlight w:val="none"/>
              </w:rPr>
              <w:t>基准价=</w:t>
            </w:r>
            <w:r>
              <w:rPr>
                <w:rFonts w:hint="eastAsia" w:ascii="宋体" w:hAnsi="宋体" w:eastAsia="宋体" w:cs="宋体"/>
                <w:color w:val="auto"/>
                <w:sz w:val="21"/>
                <w:szCs w:val="21"/>
                <w:highlight w:val="none"/>
                <w:lang w:val="en-US" w:eastAsia="zh-CN"/>
              </w:rPr>
              <w:t>满足招标文件要求的所有有效投标人报价的平均值</w:t>
            </w:r>
            <w:r>
              <w:rPr>
                <w:rFonts w:hint="eastAsia" w:ascii="宋体" w:hAnsi="宋体" w:eastAsia="宋体" w:cs="宋体"/>
                <w:color w:val="auto"/>
                <w:sz w:val="21"/>
                <w:szCs w:val="21"/>
                <w:highlight w:val="none"/>
              </w:rPr>
              <w:t>；</w:t>
            </w:r>
          </w:p>
          <w:p w14:paraId="68627B1A">
            <w:pPr>
              <w:keepNext w:val="0"/>
              <w:keepLines w:val="0"/>
              <w:pageBreakBefore w:val="0"/>
              <w:widowControl w:val="0"/>
              <w:tabs>
                <w:tab w:val="left" w:pos="1080"/>
              </w:tabs>
              <w:kinsoku/>
              <w:overflowPunct/>
              <w:topLinePunct w:val="0"/>
              <w:autoSpaceDE/>
              <w:autoSpaceDN/>
              <w:bidi w:val="0"/>
              <w:spacing w:line="44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.其它报价得分=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评标</w:t>
            </w:r>
            <w:r>
              <w:rPr>
                <w:rFonts w:hint="eastAsia" w:ascii="宋体" w:hAnsi="宋体" w:eastAsia="宋体" w:cs="宋体"/>
                <w:color w:val="auto"/>
                <w:sz w:val="21"/>
                <w:szCs w:val="21"/>
                <w:highlight w:val="none"/>
                <w:lang w:val="en-US" w:eastAsia="zh-CN"/>
              </w:rPr>
              <w:t>基准价-</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报价∣/</w:t>
            </w:r>
            <w:r>
              <w:rPr>
                <w:rFonts w:hint="eastAsia" w:ascii="宋体" w:hAnsi="宋体" w:cs="宋体"/>
                <w:color w:val="auto"/>
                <w:sz w:val="21"/>
                <w:szCs w:val="21"/>
                <w:highlight w:val="none"/>
                <w:lang w:val="en-US" w:eastAsia="zh-CN"/>
              </w:rPr>
              <w:t>评标</w:t>
            </w:r>
            <w:r>
              <w:rPr>
                <w:rFonts w:hint="eastAsia" w:ascii="宋体" w:hAnsi="宋体" w:eastAsia="宋体" w:cs="宋体"/>
                <w:color w:val="auto"/>
                <w:sz w:val="21"/>
                <w:szCs w:val="21"/>
                <w:highlight w:val="none"/>
                <w:lang w:val="en-US" w:eastAsia="zh-CN"/>
              </w:rPr>
              <w:t>基准价）*25</w:t>
            </w:r>
          </w:p>
          <w:p w14:paraId="72400907">
            <w:pPr>
              <w:keepNext w:val="0"/>
              <w:keepLines w:val="0"/>
              <w:pageBreakBefore w:val="0"/>
              <w:widowControl w:val="0"/>
              <w:tabs>
                <w:tab w:val="left" w:pos="1080"/>
              </w:tabs>
              <w:kinsoku/>
              <w:overflowPunct/>
              <w:topLinePunct w:val="0"/>
              <w:autoSpaceDE/>
              <w:autoSpaceDN/>
              <w:bidi w:val="0"/>
              <w:spacing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.本项分值由评标委员会负责组织计算。分数保留两位小数点，第三位四舍五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入。</w:t>
            </w:r>
          </w:p>
        </w:tc>
      </w:tr>
    </w:tbl>
    <w:p w14:paraId="2EC28E16">
      <w:pPr>
        <w:spacing w:line="440" w:lineRule="exact"/>
        <w:ind w:firstLine="0" w:firstLineChars="0"/>
        <w:jc w:val="left"/>
        <w:rPr>
          <w:rFonts w:hint="eastAsia" w:ascii="宋体" w:cs="宋体"/>
          <w:b/>
          <w:color w:val="auto"/>
          <w:szCs w:val="21"/>
          <w:highlight w:val="none"/>
        </w:rPr>
      </w:pPr>
      <w:r>
        <w:rPr>
          <w:rFonts w:hint="eastAsia" w:ascii="宋体" w:cs="宋体"/>
          <w:b/>
          <w:color w:val="auto"/>
          <w:szCs w:val="21"/>
          <w:highlight w:val="none"/>
        </w:rPr>
        <w:t>特别说明：</w:t>
      </w:r>
    </w:p>
    <w:p w14:paraId="52B0B41F">
      <w:pPr>
        <w:spacing w:line="440" w:lineRule="exact"/>
        <w:ind w:left="-420" w:leftChars="-200" w:firstLine="420" w:firstLineChars="200"/>
        <w:jc w:val="left"/>
        <w:rPr>
          <w:rFonts w:hint="eastAsia"/>
          <w:b w:val="0"/>
          <w:bCs/>
          <w:color w:val="auto"/>
          <w:szCs w:val="21"/>
          <w:highlight w:val="none"/>
        </w:rPr>
      </w:pPr>
      <w:r>
        <w:rPr>
          <w:rFonts w:hint="eastAsia"/>
          <w:b w:val="0"/>
          <w:bCs/>
          <w:color w:val="auto"/>
          <w:szCs w:val="21"/>
          <w:highlight w:val="none"/>
          <w:lang w:val="en-US" w:eastAsia="zh-CN"/>
        </w:rPr>
        <w:t>1、</w:t>
      </w:r>
      <w:r>
        <w:rPr>
          <w:rFonts w:hint="eastAsia"/>
          <w:b w:val="0"/>
          <w:bCs/>
          <w:color w:val="auto"/>
          <w:szCs w:val="21"/>
          <w:highlight w:val="none"/>
        </w:rPr>
        <w:t>评标专家检验投标文件的上述材料，如果由于投标人自身原因导致评标专家无法查看并检验投标文件中以上相关资料的，后果由投标人自行承担。</w:t>
      </w:r>
    </w:p>
    <w:p w14:paraId="14E361FA">
      <w:pPr>
        <w:spacing w:line="440" w:lineRule="exact"/>
        <w:ind w:left="-420" w:leftChars="-200" w:firstLine="420" w:firstLineChars="200"/>
        <w:jc w:val="left"/>
        <w:rPr>
          <w:rFonts w:hint="default" w:ascii="宋体" w:hAnsi="Times New Roman" w:eastAsia="宋体" w:cs="Times New Roman"/>
          <w:b/>
          <w:color w:val="auto"/>
          <w:sz w:val="28"/>
          <w:szCs w:val="28"/>
          <w:highlight w:val="none"/>
          <w:lang w:val="en-US" w:eastAsia="zh-CN"/>
        </w:rPr>
      </w:pPr>
      <w:r>
        <w:rPr>
          <w:rFonts w:hint="eastAsia"/>
          <w:b w:val="0"/>
          <w:bCs/>
          <w:color w:val="auto"/>
          <w:szCs w:val="21"/>
          <w:highlight w:val="none"/>
          <w:lang w:val="en-US" w:eastAsia="zh-CN"/>
        </w:rPr>
        <w:t>2、</w:t>
      </w:r>
      <w:r>
        <w:rPr>
          <w:rFonts w:hint="eastAsia"/>
          <w:b w:val="0"/>
          <w:bCs/>
          <w:color w:val="auto"/>
          <w:szCs w:val="21"/>
          <w:highlight w:val="none"/>
        </w:rPr>
        <w:t>以上分值均保留二位小数，小数点后第三位四舍五入。</w:t>
      </w:r>
    </w:p>
    <w:p w14:paraId="3800892F">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五、推荐中标候选人</w:t>
      </w:r>
      <w:bookmarkEnd w:id="58"/>
      <w:bookmarkEnd w:id="59"/>
      <w:bookmarkEnd w:id="60"/>
    </w:p>
    <w:bookmarkEnd w:id="48"/>
    <w:p w14:paraId="2F62E0BE">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7.评标委员会按资信、技术和商务得分之和从高到低按顺序，推荐3名中标候选人。 </w:t>
      </w:r>
    </w:p>
    <w:p w14:paraId="59A643FB">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7.1总得分相同的，由</w:t>
      </w:r>
      <w:r>
        <w:rPr>
          <w:rFonts w:hint="eastAsia" w:ascii="宋体" w:hAnsi="宋体" w:cs="宋体"/>
          <w:color w:val="auto"/>
          <w:szCs w:val="21"/>
          <w:highlight w:val="none"/>
          <w:lang w:val="en-US" w:eastAsia="zh-CN"/>
        </w:rPr>
        <w:t>招标人</w:t>
      </w:r>
      <w:r>
        <w:rPr>
          <w:rFonts w:hint="eastAsia" w:ascii="宋体" w:hAnsi="宋体" w:cs="宋体"/>
          <w:color w:val="auto"/>
          <w:kern w:val="0"/>
          <w:sz w:val="21"/>
          <w:szCs w:val="21"/>
          <w:highlight w:val="none"/>
          <w:lang w:val="en-US" w:eastAsia="zh-CN" w:bidi="ar-SA"/>
        </w:rPr>
        <w:t>或评标委员会主任</w:t>
      </w:r>
      <w:r>
        <w:rPr>
          <w:rFonts w:hint="eastAsia" w:ascii="宋体" w:hAnsi="宋体" w:cs="宋体"/>
          <w:color w:val="auto"/>
          <w:szCs w:val="21"/>
          <w:highlight w:val="none"/>
        </w:rPr>
        <w:t>现场采取随机摇号的方式确定中标候选人。</w:t>
      </w:r>
    </w:p>
    <w:p w14:paraId="252BC8E5">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7.2</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keepNext w:val="0"/>
        <w:keepLines w:val="0"/>
        <w:pageBreakBefore w:val="0"/>
        <w:widowControl w:val="0"/>
        <w:kinsoku/>
        <w:wordWrap/>
        <w:overflowPunct/>
        <w:topLinePunct w:val="0"/>
        <w:autoSpaceDE/>
        <w:autoSpaceDN/>
        <w:bidi w:val="0"/>
        <w:adjustRightInd/>
        <w:snapToGrid w:val="0"/>
        <w:spacing w:line="500" w:lineRule="exact"/>
        <w:ind w:left="0" w:leftChars="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61" w:name="_Hlk61815781"/>
      <w:r>
        <w:rPr>
          <w:rFonts w:hint="eastAsia" w:ascii="宋体" w:hAnsi="宋体" w:cs="宋体"/>
          <w:b/>
          <w:color w:val="auto"/>
          <w:szCs w:val="21"/>
          <w:highlight w:val="none"/>
        </w:rPr>
        <w:t>无效投标条款</w:t>
      </w:r>
    </w:p>
    <w:p w14:paraId="0617F08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323FBB3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(1) 未在开标截止时间前递交有效投标文件的，投标将被拒绝。</w:t>
      </w:r>
    </w:p>
    <w:p w14:paraId="5172C2E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2155D06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44942F7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)其它情形，经评标委员会委提出按无效投标处理的；</w:t>
      </w:r>
    </w:p>
    <w:p w14:paraId="3B0AA0B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49"/>
      <w:bookmarkEnd w:id="61"/>
      <w:bookmarkStart w:id="62" w:name="_Toc58430329"/>
      <w:bookmarkStart w:id="63" w:name="_Toc449028945"/>
      <w:r>
        <w:rPr>
          <w:rFonts w:hint="eastAsia" w:ascii="宋体" w:hAnsi="宋体" w:cs="宋体"/>
          <w:color w:val="auto"/>
          <w:szCs w:val="21"/>
          <w:highlight w:val="none"/>
          <w:lang w:eastAsia="zh-CN"/>
        </w:rPr>
        <w:t>。</w:t>
      </w:r>
    </w:p>
    <w:p w14:paraId="11564C30">
      <w:pP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br w:type="page"/>
      </w:r>
    </w:p>
    <w:p w14:paraId="5F242F47">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643" w:firstLineChars="200"/>
        <w:jc w:val="center"/>
        <w:textAlignment w:val="auto"/>
        <w:rPr>
          <w:rFonts w:hint="eastAsia"/>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w:t>
      </w:r>
      <w:r>
        <w:rPr>
          <w:rFonts w:hint="eastAsia"/>
          <w:b/>
          <w:bCs/>
          <w:color w:val="auto"/>
          <w:sz w:val="32"/>
          <w:szCs w:val="32"/>
          <w:highlight w:val="none"/>
          <w:lang w:val="en-US" w:eastAsia="zh-CN"/>
        </w:rPr>
        <w:t>采购</w:t>
      </w:r>
      <w:r>
        <w:rPr>
          <w:rFonts w:hint="eastAsia"/>
          <w:b/>
          <w:bCs/>
          <w:color w:val="auto"/>
          <w:sz w:val="32"/>
          <w:szCs w:val="32"/>
          <w:highlight w:val="none"/>
        </w:rPr>
        <w:t>内容及要求</w:t>
      </w:r>
    </w:p>
    <w:p w14:paraId="60BDE8AE">
      <w:pPr>
        <w:keepNext w:val="0"/>
        <w:keepLines w:val="0"/>
        <w:pageBreakBefore w:val="0"/>
        <w:widowControl/>
        <w:kinsoku/>
        <w:wordWrap/>
        <w:overflowPunct/>
        <w:topLinePunct w:val="0"/>
        <w:autoSpaceDE/>
        <w:autoSpaceDN/>
        <w:bidi w:val="0"/>
        <w:adjustRightInd/>
        <w:snapToGrid w:val="0"/>
        <w:spacing w:line="500" w:lineRule="exact"/>
        <w:ind w:firstLine="422" w:firstLineChars="200"/>
        <w:jc w:val="left"/>
        <w:textAlignment w:val="baseline"/>
        <w:rPr>
          <w:rFonts w:hint="eastAsia" w:ascii="宋体" w:hAnsi="宋体" w:eastAsia="宋体" w:cs="宋体"/>
          <w:b/>
          <w:color w:val="auto"/>
          <w:kern w:val="0"/>
          <w:sz w:val="21"/>
          <w:szCs w:val="21"/>
          <w:highlight w:val="none"/>
          <w:u w:val="none" w:color="000000"/>
        </w:rPr>
      </w:pPr>
      <w:r>
        <w:rPr>
          <w:rFonts w:hint="eastAsia" w:ascii="宋体" w:hAnsi="宋体" w:eastAsia="宋体" w:cs="宋体"/>
          <w:b/>
          <w:color w:val="auto"/>
          <w:kern w:val="0"/>
          <w:sz w:val="21"/>
          <w:szCs w:val="21"/>
          <w:highlight w:val="none"/>
          <w:u w:val="none" w:color="000000"/>
        </w:rPr>
        <w:t>一、</w:t>
      </w:r>
      <w:r>
        <w:rPr>
          <w:rFonts w:hint="eastAsia" w:ascii="宋体" w:hAnsi="宋体" w:cs="宋体"/>
          <w:b/>
          <w:color w:val="auto"/>
          <w:kern w:val="0"/>
          <w:sz w:val="21"/>
          <w:szCs w:val="21"/>
          <w:highlight w:val="none"/>
          <w:u w:val="none" w:color="000000"/>
          <w:lang w:val="en-US" w:eastAsia="zh-CN"/>
        </w:rPr>
        <w:t>采购</w:t>
      </w:r>
      <w:r>
        <w:rPr>
          <w:rFonts w:hint="eastAsia" w:ascii="宋体" w:hAnsi="宋体" w:eastAsia="宋体" w:cs="宋体"/>
          <w:b/>
          <w:color w:val="auto"/>
          <w:kern w:val="0"/>
          <w:sz w:val="21"/>
          <w:szCs w:val="21"/>
          <w:highlight w:val="none"/>
          <w:u w:val="none" w:color="000000"/>
        </w:rPr>
        <w:t>内容</w:t>
      </w:r>
    </w:p>
    <w:p w14:paraId="5FF124CD">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color w:val="auto"/>
          <w:highlight w:val="none"/>
          <w:lang w:val="en-US" w:eastAsia="zh-CN"/>
        </w:rPr>
        <w:t>1.</w:t>
      </w:r>
      <w:r>
        <w:rPr>
          <w:rFonts w:hint="eastAsia"/>
          <w:color w:val="auto"/>
          <w:highlight w:val="none"/>
        </w:rPr>
        <w:t>苏滁第二实验学校原校长赵加雷同志离任经济责任审计</w:t>
      </w:r>
      <w:r>
        <w:rPr>
          <w:rFonts w:hint="eastAsia"/>
          <w:color w:val="auto"/>
          <w:highlight w:val="none"/>
          <w:lang w:eastAsia="zh-CN"/>
        </w:rPr>
        <w:t>，</w:t>
      </w:r>
      <w:r>
        <w:rPr>
          <w:rFonts w:hint="eastAsia" w:ascii="宋体" w:hAnsi="宋体" w:eastAsia="宋体" w:cs="宋体"/>
          <w:color w:val="auto"/>
          <w:sz w:val="21"/>
          <w:szCs w:val="21"/>
          <w:highlight w:val="none"/>
        </w:rPr>
        <w:t>审计期限为2024年9月至2026年8月，审计内容包含该同志任职期间财务收支、资产管理、经费使用、项目建设及各类专项资金执行等经济事项。</w:t>
      </w:r>
    </w:p>
    <w:p w14:paraId="2EAE40E2">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自确定中标之日起15日内完成并出具审计报告。</w:t>
      </w:r>
    </w:p>
    <w:p w14:paraId="0ADB5F36">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420" w:firstLineChars="200"/>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br w:type="page"/>
      </w:r>
    </w:p>
    <w:p w14:paraId="5EAC221E">
      <w:pPr>
        <w:keepNext w:val="0"/>
        <w:keepLines w:val="0"/>
        <w:pageBreakBefore w:val="0"/>
        <w:widowControl w:val="0"/>
        <w:kinsoku/>
        <w:wordWrap/>
        <w:overflowPunct/>
        <w:topLinePunct w:val="0"/>
        <w:autoSpaceDE/>
        <w:autoSpaceDN/>
        <w:bidi w:val="0"/>
        <w:adjustRightInd/>
        <w:snapToGrid w:val="0"/>
        <w:spacing w:before="157" w:beforeLines="50" w:after="157" w:afterLines="50" w:line="440" w:lineRule="exact"/>
        <w:jc w:val="center"/>
        <w:textAlignment w:val="auto"/>
        <w:rPr>
          <w:rFonts w:hint="default" w:ascii="宋体"/>
          <w:b/>
          <w:color w:val="auto"/>
          <w:sz w:val="32"/>
          <w:szCs w:val="32"/>
          <w:highlight w:val="none"/>
          <w:lang w:val="en-US" w:eastAsia="zh-CN"/>
        </w:rPr>
      </w:pPr>
      <w:r>
        <w:rPr>
          <w:rFonts w:hint="eastAsia" w:ascii="宋体"/>
          <w:b/>
          <w:color w:val="auto"/>
          <w:sz w:val="32"/>
          <w:szCs w:val="32"/>
          <w:highlight w:val="none"/>
          <w:lang w:val="en-US" w:eastAsia="zh-CN"/>
        </w:rPr>
        <w:t xml:space="preserve">第五章  </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合同条款及格式</w:t>
      </w:r>
    </w:p>
    <w:p w14:paraId="36179D4E">
      <w:pPr>
        <w:widowControl/>
        <w:spacing w:line="400" w:lineRule="exact"/>
        <w:ind w:left="360"/>
        <w:jc w:val="center"/>
        <w:textAlignment w:val="baseline"/>
        <w:outlineLvl w:val="1"/>
        <w:rPr>
          <w:rFonts w:hint="eastAsia" w:ascii="宋体"/>
          <w:b/>
          <w:color w:val="auto"/>
          <w:sz w:val="30"/>
          <w:szCs w:val="30"/>
          <w:highlight w:val="none"/>
        </w:rPr>
      </w:pPr>
    </w:p>
    <w:p w14:paraId="0E0FE233">
      <w:pPr>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审计业务约定书</w:t>
      </w:r>
    </w:p>
    <w:p w14:paraId="423F4C0D">
      <w:pPr>
        <w:jc w:val="right"/>
        <w:rPr>
          <w:rFonts w:hint="eastAsia" w:ascii="仿宋_GB2312" w:hAnsi="仿宋_GB2312" w:eastAsia="仿宋_GB2312" w:cs="仿宋_GB2312"/>
          <w:b/>
          <w:color w:val="auto"/>
          <w:sz w:val="32"/>
          <w:szCs w:val="32"/>
          <w:highlight w:val="none"/>
        </w:rPr>
      </w:pPr>
    </w:p>
    <w:p w14:paraId="78110CEF">
      <w:pPr>
        <w:spacing w:line="440" w:lineRule="exact"/>
        <w:ind w:firstLine="48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甲方：</w:t>
      </w:r>
      <w:r>
        <w:rPr>
          <w:rFonts w:hint="eastAsia" w:ascii="仿宋_GB2312" w:hAnsi="仿宋_GB2312" w:eastAsia="仿宋_GB2312" w:cs="仿宋_GB2312"/>
          <w:color w:val="auto"/>
          <w:sz w:val="32"/>
          <w:szCs w:val="32"/>
          <w:highlight w:val="none"/>
          <w:u w:val="single"/>
          <w:lang w:eastAsia="zh-CN"/>
        </w:rPr>
        <w:t>中新苏滁高新技术产业开发区管理委员会</w:t>
      </w:r>
      <w:r>
        <w:rPr>
          <w:rFonts w:hint="eastAsia" w:ascii="仿宋_GB2312" w:hAnsi="仿宋_GB2312" w:eastAsia="仿宋_GB2312" w:cs="仿宋_GB2312"/>
          <w:color w:val="auto"/>
          <w:sz w:val="32"/>
          <w:szCs w:val="32"/>
          <w:highlight w:val="none"/>
          <w:u w:val="single"/>
          <w:lang w:val="en-US" w:eastAsia="zh-CN"/>
        </w:rPr>
        <w:t xml:space="preserve">    </w:t>
      </w:r>
    </w:p>
    <w:p w14:paraId="4779A20C">
      <w:pPr>
        <w:spacing w:line="440" w:lineRule="exact"/>
        <w:ind w:firstLine="480"/>
        <w:rPr>
          <w:rFonts w:hint="eastAsia" w:ascii="仿宋_GB2312" w:hAnsi="仿宋_GB2312" w:eastAsia="仿宋_GB2312" w:cs="仿宋_GB2312"/>
          <w:color w:val="auto"/>
          <w:sz w:val="32"/>
          <w:szCs w:val="32"/>
          <w:highlight w:val="none"/>
          <w:u w:val="single"/>
          <w:lang w:val="en-US"/>
        </w:rPr>
      </w:pPr>
      <w:r>
        <w:rPr>
          <w:rFonts w:hint="eastAsia" w:ascii="仿宋_GB2312" w:hAnsi="仿宋_GB2312" w:eastAsia="仿宋_GB2312" w:cs="仿宋_GB2312"/>
          <w:color w:val="auto"/>
          <w:sz w:val="32"/>
          <w:szCs w:val="32"/>
          <w:highlight w:val="none"/>
        </w:rPr>
        <w:t>乙方：</w:t>
      </w:r>
      <w:r>
        <w:rPr>
          <w:rFonts w:hint="eastAsia" w:ascii="仿宋_GB2312" w:hAnsi="仿宋_GB2312" w:eastAsia="仿宋_GB2312" w:cs="仿宋_GB2312"/>
          <w:color w:val="auto"/>
          <w:sz w:val="32"/>
          <w:szCs w:val="32"/>
          <w:highlight w:val="none"/>
          <w:u w:val="single"/>
          <w:lang w:val="en-US" w:eastAsia="zh-CN"/>
        </w:rPr>
        <w:t xml:space="preserve">                                            </w:t>
      </w:r>
    </w:p>
    <w:p w14:paraId="6A1FBD02">
      <w:pPr>
        <w:spacing w:line="440" w:lineRule="exact"/>
        <w:ind w:firstLine="480"/>
        <w:rPr>
          <w:rFonts w:hint="eastAsia" w:ascii="仿宋_GB2312" w:hAnsi="仿宋_GB2312" w:eastAsia="仿宋_GB2312" w:cs="仿宋_GB2312"/>
          <w:color w:val="auto"/>
          <w:sz w:val="32"/>
          <w:szCs w:val="32"/>
          <w:highlight w:val="none"/>
        </w:rPr>
      </w:pPr>
    </w:p>
    <w:p w14:paraId="26A96FFC">
      <w:pPr>
        <w:spacing w:line="4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兹由甲方委托乙方对</w:t>
      </w:r>
      <w:r>
        <w:rPr>
          <w:rFonts w:hint="eastAsia" w:ascii="仿宋_GB2312" w:hAnsi="仿宋_GB2312" w:eastAsia="仿宋_GB2312" w:cs="仿宋_GB2312"/>
          <w:color w:val="auto"/>
          <w:sz w:val="32"/>
          <w:szCs w:val="32"/>
          <w:highlight w:val="none"/>
          <w:u w:val="single"/>
          <w:lang w:eastAsia="zh-CN"/>
        </w:rPr>
        <w:t>苏滁第二实验学校原校长赵加雷同志离任经济责任审计</w:t>
      </w:r>
      <w:r>
        <w:rPr>
          <w:rFonts w:hint="eastAsia" w:ascii="仿宋_GB2312" w:hAnsi="仿宋_GB2312" w:eastAsia="仿宋_GB2312" w:cs="仿宋_GB2312"/>
          <w:color w:val="auto"/>
          <w:sz w:val="32"/>
          <w:szCs w:val="32"/>
          <w:highlight w:val="none"/>
        </w:rPr>
        <w:t>进行</w:t>
      </w:r>
      <w:r>
        <w:rPr>
          <w:rFonts w:hint="eastAsia" w:ascii="仿宋_GB2312" w:hAnsi="仿宋_GB2312" w:eastAsia="仿宋_GB2312" w:cs="仿宋_GB2312"/>
          <w:color w:val="auto"/>
          <w:sz w:val="32"/>
          <w:szCs w:val="32"/>
          <w:highlight w:val="none"/>
          <w:lang w:val="en-US" w:eastAsia="zh-CN"/>
        </w:rPr>
        <w:t>专项</w:t>
      </w:r>
      <w:r>
        <w:rPr>
          <w:rFonts w:hint="eastAsia" w:ascii="仿宋_GB2312" w:hAnsi="仿宋_GB2312" w:eastAsia="仿宋_GB2312" w:cs="仿宋_GB2312"/>
          <w:color w:val="auto"/>
          <w:sz w:val="32"/>
          <w:szCs w:val="32"/>
          <w:highlight w:val="none"/>
        </w:rPr>
        <w:t>审计，经双方协商，达成以下约定：</w:t>
      </w:r>
    </w:p>
    <w:p w14:paraId="414FBD50">
      <w:pPr>
        <w:spacing w:line="440" w:lineRule="exact"/>
        <w:ind w:firstLine="643"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eastAsia="zh-CN"/>
        </w:rPr>
        <w:t>一</w:t>
      </w:r>
      <w:r>
        <w:rPr>
          <w:rFonts w:hint="eastAsia" w:ascii="仿宋_GB2312" w:hAnsi="仿宋_GB2312" w:eastAsia="仿宋_GB2312" w:cs="仿宋_GB2312"/>
          <w:b/>
          <w:color w:val="auto"/>
          <w:sz w:val="32"/>
          <w:szCs w:val="32"/>
          <w:highlight w:val="none"/>
        </w:rPr>
        <w:t>、审计对象：</w:t>
      </w:r>
      <w:r>
        <w:rPr>
          <w:rFonts w:hint="eastAsia" w:ascii="仿宋_GB2312" w:hAnsi="仿宋_GB2312" w:eastAsia="仿宋_GB2312" w:cs="仿宋_GB2312"/>
          <w:color w:val="auto"/>
          <w:sz w:val="32"/>
          <w:szCs w:val="32"/>
          <w:highlight w:val="none"/>
          <w:u w:val="single"/>
          <w:lang w:eastAsia="zh-CN"/>
        </w:rPr>
        <w:t>苏滁第二实验学校原校长赵加雷同志</w:t>
      </w:r>
      <w:r>
        <w:rPr>
          <w:rFonts w:hint="eastAsia" w:ascii="仿宋_GB2312" w:hAnsi="仿宋_GB2312" w:eastAsia="仿宋_GB2312" w:cs="仿宋_GB2312"/>
          <w:b w:val="0"/>
          <w:bCs/>
          <w:color w:val="auto"/>
          <w:sz w:val="32"/>
          <w:szCs w:val="32"/>
          <w:highlight w:val="none"/>
          <w:u w:val="single"/>
          <w:lang w:val="en-US" w:eastAsia="zh-CN"/>
        </w:rPr>
        <w:t xml:space="preserve">  </w:t>
      </w:r>
    </w:p>
    <w:p w14:paraId="0F09715C">
      <w:pPr>
        <w:spacing w:line="440" w:lineRule="exact"/>
        <w:ind w:firstLine="643" w:firstLineChars="200"/>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color w:val="auto"/>
          <w:sz w:val="32"/>
          <w:szCs w:val="32"/>
          <w:highlight w:val="none"/>
          <w:lang w:eastAsia="zh-CN"/>
        </w:rPr>
        <w:t>二</w:t>
      </w:r>
      <w:r>
        <w:rPr>
          <w:rFonts w:hint="eastAsia" w:ascii="仿宋_GB2312" w:hAnsi="仿宋_GB2312" w:eastAsia="仿宋_GB2312" w:cs="仿宋_GB2312"/>
          <w:b/>
          <w:color w:val="auto"/>
          <w:sz w:val="32"/>
          <w:szCs w:val="32"/>
          <w:highlight w:val="none"/>
        </w:rPr>
        <w:t>、审计期间：</w:t>
      </w:r>
      <w:r>
        <w:rPr>
          <w:rFonts w:hint="eastAsia" w:ascii="仿宋_GB2312" w:hAnsi="仿宋_GB2312" w:eastAsia="仿宋_GB2312" w:cs="仿宋_GB2312"/>
          <w:b w:val="0"/>
          <w:bCs/>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lang w:val="en-US" w:eastAsia="zh-CN"/>
        </w:rPr>
        <w:t xml:space="preserve">2024年9月至2026年8月    </w:t>
      </w:r>
      <w:r>
        <w:rPr>
          <w:rFonts w:hint="eastAsia" w:ascii="仿宋_GB2312" w:hAnsi="仿宋_GB2312" w:eastAsia="仿宋_GB2312" w:cs="仿宋_GB2312"/>
          <w:b w:val="0"/>
          <w:bCs/>
          <w:color w:val="auto"/>
          <w:sz w:val="32"/>
          <w:szCs w:val="32"/>
          <w:highlight w:val="none"/>
          <w:u w:val="single"/>
          <w:lang w:val="en-US" w:eastAsia="zh-CN"/>
        </w:rPr>
        <w:t xml:space="preserve">                        </w:t>
      </w:r>
    </w:p>
    <w:p w14:paraId="18417076">
      <w:pPr>
        <w:spacing w:line="440" w:lineRule="exact"/>
        <w:ind w:firstLine="643" w:firstLineChars="200"/>
        <w:rPr>
          <w:rFonts w:hint="eastAsia" w:ascii="仿宋_GB2312" w:hAnsi="仿宋_GB2312" w:eastAsia="仿宋_GB2312" w:cs="仿宋_GB2312"/>
          <w:color w:val="auto"/>
          <w:sz w:val="32"/>
          <w:szCs w:val="32"/>
          <w:highlight w:val="none"/>
          <w:u w:val="single"/>
        </w:rPr>
      </w:pPr>
      <w:r>
        <w:rPr>
          <w:rFonts w:hint="eastAsia" w:ascii="仿宋_GB2312" w:hAnsi="仿宋_GB2312" w:eastAsia="仿宋_GB2312" w:cs="仿宋_GB2312"/>
          <w:b/>
          <w:color w:val="auto"/>
          <w:sz w:val="32"/>
          <w:szCs w:val="32"/>
          <w:highlight w:val="none"/>
          <w:lang w:eastAsia="zh-CN"/>
        </w:rPr>
        <w:t>三</w:t>
      </w:r>
      <w:r>
        <w:rPr>
          <w:rFonts w:hint="eastAsia" w:ascii="仿宋_GB2312" w:hAnsi="仿宋_GB2312" w:eastAsia="仿宋_GB2312" w:cs="仿宋_GB2312"/>
          <w:b/>
          <w:color w:val="auto"/>
          <w:sz w:val="32"/>
          <w:szCs w:val="32"/>
          <w:highlight w:val="none"/>
        </w:rPr>
        <w:t>、审计范围</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single"/>
          <w:lang w:val="en-US" w:eastAsia="zh-CN"/>
        </w:rPr>
        <w:t xml:space="preserve">该同志任职期间财务收支、资产管理、经费使用、项目建设及各类专项资金执行等经济事项。 </w:t>
      </w:r>
      <w:r>
        <w:rPr>
          <w:rFonts w:hint="eastAsia" w:ascii="仿宋_GB2312" w:hAnsi="仿宋_GB2312" w:eastAsia="仿宋_GB2312" w:cs="仿宋_GB2312"/>
          <w:b w:val="0"/>
          <w:bCs/>
          <w:color w:val="auto"/>
          <w:sz w:val="32"/>
          <w:szCs w:val="32"/>
          <w:highlight w:val="none"/>
          <w:u w:val="single"/>
          <w:lang w:val="en-US" w:eastAsia="zh-CN"/>
        </w:rPr>
        <w:t xml:space="preserve">                                         </w:t>
      </w:r>
    </w:p>
    <w:p w14:paraId="21AFAC75">
      <w:pPr>
        <w:spacing w:line="4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eastAsia="zh-CN"/>
        </w:rPr>
        <w:t>四</w:t>
      </w:r>
      <w:r>
        <w:rPr>
          <w:rFonts w:hint="eastAsia" w:ascii="仿宋_GB2312" w:hAnsi="仿宋_GB2312" w:eastAsia="仿宋_GB2312" w:cs="仿宋_GB2312"/>
          <w:b/>
          <w:color w:val="auto"/>
          <w:sz w:val="32"/>
          <w:szCs w:val="32"/>
          <w:highlight w:val="none"/>
        </w:rPr>
        <w:t>、甲方的责任与义务</w:t>
      </w:r>
    </w:p>
    <w:p w14:paraId="694DF00F">
      <w:pPr>
        <w:spacing w:line="44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为乙方的审核工作提供其所要求的全部资料，提供相关资料的真实性、合法性、完整性承担责任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为乙方开展工作提供必要的工作条件及配合，按本约定书之规定及时足额支付审核费用</w:t>
      </w:r>
      <w:r>
        <w:rPr>
          <w:rFonts w:hint="eastAsia" w:ascii="仿宋_GB2312" w:hAnsi="仿宋_GB2312" w:eastAsia="仿宋_GB2312" w:cs="仿宋_GB2312"/>
          <w:color w:val="auto"/>
          <w:sz w:val="32"/>
          <w:szCs w:val="32"/>
          <w:highlight w:val="none"/>
          <w:lang w:eastAsia="zh-CN"/>
        </w:rPr>
        <w:t>。</w:t>
      </w:r>
    </w:p>
    <w:p w14:paraId="59DA7EBE">
      <w:pPr>
        <w:spacing w:line="4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eastAsia="zh-CN"/>
        </w:rPr>
        <w:t>五</w:t>
      </w:r>
      <w:r>
        <w:rPr>
          <w:rFonts w:hint="eastAsia" w:ascii="仿宋_GB2312" w:hAnsi="仿宋_GB2312" w:eastAsia="仿宋_GB2312" w:cs="仿宋_GB2312"/>
          <w:b/>
          <w:color w:val="auto"/>
          <w:sz w:val="32"/>
          <w:szCs w:val="32"/>
          <w:highlight w:val="none"/>
        </w:rPr>
        <w:t>、乙方的责任和义务</w:t>
      </w:r>
    </w:p>
    <w:p w14:paraId="4C4CA43E">
      <w:pPr>
        <w:spacing w:line="44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乙方的责任是：按照中国注册会计师审计准则的要求进行审计，出具审计报告，保证审计报告的真实性、合法性。</w:t>
      </w:r>
    </w:p>
    <w:p w14:paraId="4DDEEDAB">
      <w:pPr>
        <w:spacing w:line="44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乙方的义务是：</w:t>
      </w:r>
    </w:p>
    <w:p w14:paraId="28C09CB7">
      <w:pPr>
        <w:spacing w:line="44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1、按照约定时间完成审计业务，出具审计报告。由于注册会计师的审计采取事后抽查的方法，加上甲方内部控制制度固有的局限性和其他客观因素制约，难免存在会计报表在某些重要的方面反映失实，而注册会计师又可能在审计中未予发现的情况，因此，乙方的审计责任并不能替代、减轻或免除</w:t>
      </w:r>
      <w:r>
        <w:rPr>
          <w:rFonts w:hint="eastAsia" w:ascii="仿宋_GB2312" w:hAnsi="仿宋_GB2312" w:eastAsia="仿宋_GB2312" w:cs="仿宋_GB2312"/>
          <w:color w:val="auto"/>
          <w:sz w:val="32"/>
          <w:szCs w:val="32"/>
          <w:highlight w:val="none"/>
          <w:lang w:eastAsia="zh-CN"/>
        </w:rPr>
        <w:t>本单位</w:t>
      </w:r>
      <w:r>
        <w:rPr>
          <w:rFonts w:hint="eastAsia" w:ascii="仿宋_GB2312" w:hAnsi="仿宋_GB2312" w:eastAsia="仿宋_GB2312" w:cs="仿宋_GB2312"/>
          <w:color w:val="auto"/>
          <w:sz w:val="32"/>
          <w:szCs w:val="32"/>
          <w:highlight w:val="none"/>
        </w:rPr>
        <w:t>的会计责任。</w:t>
      </w:r>
    </w:p>
    <w:p w14:paraId="3D6425C7">
      <w:pPr>
        <w:spacing w:line="44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2、对执行业务过程中知悉的</w:t>
      </w:r>
      <w:r>
        <w:rPr>
          <w:rFonts w:hint="eastAsia" w:ascii="仿宋_GB2312" w:hAnsi="仿宋_GB2312" w:eastAsia="仿宋_GB2312" w:cs="仿宋_GB2312"/>
          <w:color w:val="auto"/>
          <w:sz w:val="32"/>
          <w:szCs w:val="32"/>
          <w:highlight w:val="none"/>
          <w:lang w:eastAsia="zh-CN"/>
        </w:rPr>
        <w:t>被审计单位</w:t>
      </w:r>
      <w:r>
        <w:rPr>
          <w:rFonts w:hint="eastAsia" w:ascii="仿宋_GB2312" w:hAnsi="仿宋_GB2312" w:eastAsia="仿宋_GB2312" w:cs="仿宋_GB2312"/>
          <w:color w:val="auto"/>
          <w:sz w:val="32"/>
          <w:szCs w:val="32"/>
          <w:highlight w:val="none"/>
        </w:rPr>
        <w:t>商业秘密严加保密。除非中国注册会计师协会执业准则另有规定，或经</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同意，乙方不得将其知悉的商业秘密和甲方提供的资料对外泄露。</w:t>
      </w:r>
    </w:p>
    <w:p w14:paraId="40475DC6">
      <w:pPr>
        <w:spacing w:line="4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eastAsia="zh-CN"/>
        </w:rPr>
        <w:t>六</w:t>
      </w:r>
      <w:r>
        <w:rPr>
          <w:rFonts w:hint="eastAsia" w:ascii="仿宋_GB2312" w:hAnsi="仿宋_GB2312" w:eastAsia="仿宋_GB2312" w:cs="仿宋_GB2312"/>
          <w:b/>
          <w:color w:val="auto"/>
          <w:sz w:val="32"/>
          <w:szCs w:val="32"/>
          <w:highlight w:val="none"/>
        </w:rPr>
        <w:t>、审计收费</w:t>
      </w:r>
    </w:p>
    <w:p w14:paraId="1C841138">
      <w:pPr>
        <w:spacing w:line="4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本项目审核服务收费：￥</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元（大写：人民币</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元）。审计费用由</w:t>
      </w:r>
      <w:r>
        <w:rPr>
          <w:rFonts w:hint="eastAsia" w:ascii="仿宋_GB2312" w:hAnsi="仿宋_GB2312" w:eastAsia="仿宋_GB2312" w:cs="仿宋_GB2312"/>
          <w:color w:val="auto"/>
          <w:sz w:val="32"/>
          <w:szCs w:val="32"/>
          <w:highlight w:val="none"/>
          <w:lang w:val="en-US" w:eastAsia="zh-CN"/>
        </w:rPr>
        <w:t>甲方收到审计报告时一次性</w:t>
      </w:r>
      <w:r>
        <w:rPr>
          <w:rFonts w:hint="eastAsia" w:ascii="仿宋_GB2312" w:hAnsi="仿宋_GB2312" w:eastAsia="仿宋_GB2312" w:cs="仿宋_GB2312"/>
          <w:color w:val="auto"/>
          <w:sz w:val="32"/>
          <w:szCs w:val="32"/>
          <w:highlight w:val="none"/>
        </w:rPr>
        <w:t>支付。</w:t>
      </w:r>
    </w:p>
    <w:p w14:paraId="705C3077">
      <w:pPr>
        <w:spacing w:line="440" w:lineRule="exact"/>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lang w:eastAsia="zh-CN"/>
        </w:rPr>
        <w:t>七</w:t>
      </w:r>
      <w:r>
        <w:rPr>
          <w:rFonts w:hint="eastAsia" w:ascii="仿宋_GB2312" w:hAnsi="仿宋_GB2312" w:eastAsia="仿宋_GB2312" w:cs="仿宋_GB2312"/>
          <w:b/>
          <w:color w:val="auto"/>
          <w:sz w:val="32"/>
          <w:szCs w:val="32"/>
          <w:highlight w:val="none"/>
        </w:rPr>
        <w:t>、审计报告的使用责任</w:t>
      </w:r>
    </w:p>
    <w:p w14:paraId="101968A4">
      <w:pPr>
        <w:spacing w:line="4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乙方向甲方出具审计报告一式</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份，这些报告由甲方分发、使用，使用不当的责任与乙方无关。</w:t>
      </w:r>
    </w:p>
    <w:p w14:paraId="7B93B9B7">
      <w:pPr>
        <w:spacing w:line="4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eastAsia="zh-CN"/>
        </w:rPr>
        <w:t>八</w:t>
      </w:r>
      <w:r>
        <w:rPr>
          <w:rFonts w:hint="eastAsia" w:ascii="仿宋_GB2312" w:hAnsi="仿宋_GB2312" w:eastAsia="仿宋_GB2312" w:cs="仿宋_GB2312"/>
          <w:b/>
          <w:color w:val="auto"/>
          <w:sz w:val="32"/>
          <w:szCs w:val="32"/>
          <w:highlight w:val="none"/>
        </w:rPr>
        <w:t>、约定书的有效期间</w:t>
      </w:r>
    </w:p>
    <w:p w14:paraId="610C5651">
      <w:pPr>
        <w:spacing w:line="44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本约定书一式</w:t>
      </w:r>
      <w:r>
        <w:rPr>
          <w:rFonts w:hint="eastAsia" w:ascii="仿宋_GB2312" w:hAnsi="仿宋_GB2312" w:eastAsia="仿宋_GB2312" w:cs="仿宋_GB2312"/>
          <w:color w:val="auto"/>
          <w:sz w:val="32"/>
          <w:szCs w:val="32"/>
          <w:highlight w:val="none"/>
          <w:lang w:val="en-US" w:eastAsia="zh-CN"/>
        </w:rPr>
        <w:t>两</w:t>
      </w:r>
      <w:r>
        <w:rPr>
          <w:rFonts w:hint="eastAsia" w:ascii="仿宋_GB2312" w:hAnsi="仿宋_GB2312" w:eastAsia="仿宋_GB2312" w:cs="仿宋_GB2312"/>
          <w:color w:val="auto"/>
          <w:sz w:val="32"/>
          <w:szCs w:val="32"/>
          <w:highlight w:val="none"/>
        </w:rPr>
        <w:t>份，甲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乙</w:t>
      </w:r>
      <w:r>
        <w:rPr>
          <w:rFonts w:hint="eastAsia" w:ascii="仿宋_GB2312" w:hAnsi="仿宋_GB2312" w:eastAsia="仿宋_GB2312" w:cs="仿宋_GB2312"/>
          <w:color w:val="auto"/>
          <w:sz w:val="32"/>
          <w:szCs w:val="32"/>
          <w:highlight w:val="none"/>
          <w:lang w:val="en-US" w:eastAsia="zh-CN"/>
        </w:rPr>
        <w:t>双</w:t>
      </w:r>
      <w:r>
        <w:rPr>
          <w:rFonts w:hint="eastAsia" w:ascii="仿宋_GB2312" w:hAnsi="仿宋_GB2312" w:eastAsia="仿宋_GB2312" w:cs="仿宋_GB2312"/>
          <w:color w:val="auto"/>
          <w:sz w:val="32"/>
          <w:szCs w:val="32"/>
          <w:highlight w:val="none"/>
        </w:rPr>
        <w:t>方</w:t>
      </w:r>
      <w:r>
        <w:rPr>
          <w:rFonts w:hint="eastAsia" w:ascii="仿宋_GB2312" w:hAnsi="仿宋_GB2312" w:eastAsia="仿宋_GB2312" w:cs="仿宋_GB2312"/>
          <w:color w:val="auto"/>
          <w:sz w:val="32"/>
          <w:szCs w:val="32"/>
          <w:highlight w:val="none"/>
          <w:lang w:val="en-US" w:eastAsia="zh-CN"/>
        </w:rPr>
        <w:t>各</w:t>
      </w:r>
      <w:r>
        <w:rPr>
          <w:rFonts w:hint="eastAsia" w:ascii="仿宋_GB2312" w:hAnsi="仿宋_GB2312" w:eastAsia="仿宋_GB2312" w:cs="仿宋_GB2312"/>
          <w:color w:val="auto"/>
          <w:sz w:val="32"/>
          <w:szCs w:val="32"/>
          <w:highlight w:val="none"/>
        </w:rPr>
        <w:t>执</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份，并具有同等法律效力。</w:t>
      </w:r>
    </w:p>
    <w:p w14:paraId="03ED1B8D">
      <w:pPr>
        <w:spacing w:line="4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本约定自</w:t>
      </w:r>
      <w:r>
        <w:rPr>
          <w:rFonts w:hint="eastAsia" w:ascii="仿宋_GB2312" w:hAnsi="仿宋_GB2312" w:eastAsia="仿宋_GB2312" w:cs="仿宋_GB2312"/>
          <w:color w:val="auto"/>
          <w:sz w:val="32"/>
          <w:szCs w:val="32"/>
          <w:highlight w:val="none"/>
          <w:lang w:val="en-US" w:eastAsia="zh-CN"/>
        </w:rPr>
        <w:t>签订之</w:t>
      </w:r>
      <w:r>
        <w:rPr>
          <w:rFonts w:hint="eastAsia" w:ascii="仿宋_GB2312" w:hAnsi="仿宋_GB2312" w:eastAsia="仿宋_GB2312" w:cs="仿宋_GB2312"/>
          <w:color w:val="auto"/>
          <w:sz w:val="32"/>
          <w:szCs w:val="32"/>
          <w:highlight w:val="none"/>
        </w:rPr>
        <w:t>日起生效，并在本约定事项全部完成日前有效。</w:t>
      </w:r>
    </w:p>
    <w:p w14:paraId="628FCE96">
      <w:pPr>
        <w:spacing w:line="4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eastAsia="zh-CN"/>
        </w:rPr>
        <w:t>九</w:t>
      </w:r>
      <w:r>
        <w:rPr>
          <w:rFonts w:hint="eastAsia" w:ascii="仿宋_GB2312" w:hAnsi="仿宋_GB2312" w:eastAsia="仿宋_GB2312" w:cs="仿宋_GB2312"/>
          <w:b/>
          <w:color w:val="auto"/>
          <w:sz w:val="32"/>
          <w:szCs w:val="32"/>
          <w:highlight w:val="none"/>
        </w:rPr>
        <w:t>、约定事项的变更</w:t>
      </w:r>
    </w:p>
    <w:p w14:paraId="66970741">
      <w:pPr>
        <w:spacing w:line="44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由于出现不可预见的情况，影响审计工作如期完成或需提前出具审计报告，甲乙双方可要求变更约定事项，但应及时通知对方，并由双方协商解决。</w:t>
      </w:r>
    </w:p>
    <w:p w14:paraId="16DB6540">
      <w:pPr>
        <w:spacing w:line="4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十、甲乙双方对违约责任及其他有关事项的约定。</w:t>
      </w:r>
    </w:p>
    <w:p w14:paraId="4182509E">
      <w:pPr>
        <w:spacing w:line="44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本协议未尽事宜，由甲乙双方协商解决。协商不成，可向滁州市南谯区人民法院提起诉讼。</w:t>
      </w:r>
    </w:p>
    <w:p w14:paraId="1FB36B47">
      <w:pPr>
        <w:spacing w:line="440" w:lineRule="exact"/>
        <w:rPr>
          <w:rFonts w:hint="eastAsia" w:ascii="仿宋_GB2312" w:hAnsi="仿宋_GB2312" w:eastAsia="仿宋_GB2312" w:cs="仿宋_GB2312"/>
          <w:color w:val="auto"/>
          <w:sz w:val="32"/>
          <w:szCs w:val="32"/>
          <w:highlight w:val="none"/>
        </w:rPr>
      </w:pPr>
    </w:p>
    <w:p w14:paraId="221B3224">
      <w:pPr>
        <w:spacing w:line="440" w:lineRule="exact"/>
        <w:rPr>
          <w:rFonts w:hint="eastAsia" w:ascii="仿宋_GB2312" w:hAnsi="仿宋_GB2312" w:eastAsia="仿宋_GB2312" w:cs="仿宋_GB2312"/>
          <w:color w:val="auto"/>
          <w:sz w:val="32"/>
          <w:szCs w:val="32"/>
          <w:highlight w:val="none"/>
        </w:rPr>
      </w:pPr>
    </w:p>
    <w:p w14:paraId="6D0DB4BF">
      <w:pPr>
        <w:spacing w:line="440" w:lineRule="exact"/>
        <w:rPr>
          <w:rFonts w:hint="eastAsia" w:ascii="仿宋_GB2312" w:hAnsi="仿宋_GB2312" w:eastAsia="仿宋_GB2312" w:cs="仿宋_GB2312"/>
          <w:color w:val="auto"/>
          <w:sz w:val="32"/>
          <w:szCs w:val="32"/>
          <w:highlight w:val="none"/>
        </w:rPr>
      </w:pPr>
    </w:p>
    <w:p w14:paraId="0FA88896">
      <w:pPr>
        <w:spacing w:line="440" w:lineRule="exact"/>
        <w:rPr>
          <w:rFonts w:hint="eastAsia" w:ascii="仿宋_GB2312" w:hAnsi="仿宋_GB2312" w:eastAsia="仿宋_GB2312" w:cs="仿宋_GB2312"/>
          <w:color w:val="auto"/>
          <w:sz w:val="32"/>
          <w:szCs w:val="32"/>
          <w:highlight w:val="none"/>
        </w:rPr>
      </w:pPr>
    </w:p>
    <w:p w14:paraId="6796233A">
      <w:pPr>
        <w:spacing w:line="440" w:lineRule="exact"/>
        <w:ind w:firstLine="48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甲方（签章）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乙方（签章）</w:t>
      </w:r>
    </w:p>
    <w:p w14:paraId="5D801F56">
      <w:pPr>
        <w:spacing w:line="440" w:lineRule="exact"/>
        <w:ind w:firstLine="480"/>
        <w:rPr>
          <w:rFonts w:hint="eastAsia" w:ascii="仿宋_GB2312" w:hAnsi="仿宋_GB2312" w:eastAsia="仿宋_GB2312" w:cs="仿宋_GB2312"/>
          <w:color w:val="auto"/>
          <w:sz w:val="32"/>
          <w:szCs w:val="32"/>
          <w:highlight w:val="none"/>
        </w:rPr>
      </w:pPr>
    </w:p>
    <w:p w14:paraId="43AD636B">
      <w:pPr>
        <w:spacing w:line="440" w:lineRule="exact"/>
        <w:ind w:firstLine="480"/>
        <w:rPr>
          <w:rFonts w:hint="eastAsia" w:ascii="仿宋_GB2312" w:hAnsi="仿宋_GB2312" w:eastAsia="仿宋_GB2312" w:cs="仿宋_GB2312"/>
          <w:color w:val="auto"/>
          <w:sz w:val="32"/>
          <w:szCs w:val="32"/>
          <w:highlight w:val="none"/>
        </w:rPr>
      </w:pPr>
    </w:p>
    <w:p w14:paraId="20BB9E0D">
      <w:pPr>
        <w:spacing w:line="440" w:lineRule="exact"/>
        <w:ind w:firstLine="480"/>
        <w:rPr>
          <w:rFonts w:hint="eastAsia" w:ascii="仿宋_GB2312" w:hAnsi="仿宋_GB2312" w:eastAsia="仿宋_GB2312" w:cs="仿宋_GB2312"/>
          <w:color w:val="auto"/>
          <w:sz w:val="32"/>
          <w:szCs w:val="32"/>
          <w:highlight w:val="none"/>
        </w:rPr>
      </w:pPr>
    </w:p>
    <w:p w14:paraId="3B1060F4">
      <w:pPr>
        <w:pStyle w:val="14"/>
        <w:spacing w:line="440" w:lineRule="exact"/>
        <w:ind w:left="210" w:leftChars="100" w:firstLine="320" w:firstLineChars="100"/>
        <w:jc w:val="left"/>
        <w:rPr>
          <w:rFonts w:hint="eastAsia" w:ascii="宋体"/>
          <w:b/>
          <w:color w:val="auto"/>
          <w:sz w:val="32"/>
          <w:szCs w:val="32"/>
          <w:highlight w:val="none"/>
        </w:rPr>
      </w:pPr>
      <w:r>
        <w:rPr>
          <w:rFonts w:hint="eastAsia" w:ascii="仿宋_GB2312" w:hAnsi="仿宋_GB2312" w:eastAsia="仿宋_GB2312" w:cs="仿宋_GB2312"/>
          <w:color w:val="auto"/>
          <w:sz w:val="32"/>
          <w:szCs w:val="32"/>
          <w:highlight w:val="none"/>
        </w:rPr>
        <w:t xml:space="preserve">年    月    日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年   月   日 </w:t>
      </w:r>
      <w:r>
        <w:rPr>
          <w:rFonts w:hint="eastAsia" w:ascii="宋体"/>
          <w:b/>
          <w:color w:val="auto"/>
          <w:sz w:val="32"/>
          <w:szCs w:val="32"/>
          <w:highlight w:val="none"/>
        </w:rPr>
        <w:br w:type="page"/>
      </w:r>
    </w:p>
    <w:p w14:paraId="6E698501">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六</w:t>
      </w:r>
      <w:r>
        <w:rPr>
          <w:rFonts w:hint="eastAsia" w:ascii="宋体"/>
          <w:b/>
          <w:color w:val="auto"/>
          <w:sz w:val="32"/>
          <w:szCs w:val="32"/>
          <w:highlight w:val="none"/>
        </w:rPr>
        <w:t>章  投标文件格式</w:t>
      </w:r>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64" w:name="_Toc350698753"/>
      <w:bookmarkStart w:id="65" w:name="_Toc449028949"/>
      <w:r>
        <w:rPr>
          <w:rFonts w:hint="eastAsia" w:ascii="宋体"/>
          <w:b/>
          <w:color w:val="auto"/>
          <w:sz w:val="44"/>
          <w:szCs w:val="44"/>
          <w:highlight w:val="none"/>
          <w:lang w:val="en-US" w:eastAsia="zh-CN"/>
        </w:rPr>
        <w:t>资信证明</w:t>
      </w:r>
      <w:r>
        <w:rPr>
          <w:rFonts w:hint="eastAsia" w:ascii="宋体"/>
          <w:b/>
          <w:color w:val="auto"/>
          <w:sz w:val="44"/>
          <w:szCs w:val="44"/>
          <w:highlight w:val="none"/>
        </w:rPr>
        <w:t>文件</w:t>
      </w:r>
      <w:bookmarkEnd w:id="64"/>
      <w:bookmarkEnd w:id="65"/>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rPr>
          <w:rFonts w:hint="eastAsia" w:ascii="宋体"/>
          <w:color w:val="auto"/>
          <w:sz w:val="28"/>
          <w:szCs w:val="28"/>
          <w:highlight w:val="none"/>
        </w:rPr>
      </w:pP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13D5A713">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54348C84">
      <w:pPr>
        <w:spacing w:line="500" w:lineRule="exact"/>
        <w:ind w:firstLine="420" w:firstLineChars="200"/>
        <w:jc w:val="left"/>
        <w:rPr>
          <w:rFonts w:hint="default" w:ascii="宋体"/>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2）投标人有效营业执照（或三证合一有效证件）；</w:t>
      </w:r>
    </w:p>
    <w:p w14:paraId="7D8FE807">
      <w:pPr>
        <w:spacing w:line="500" w:lineRule="exact"/>
        <w:ind w:firstLine="420" w:firstLineChars="200"/>
        <w:jc w:val="left"/>
        <w:rPr>
          <w:rFonts w:hint="default" w:ascii="宋体"/>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3）投标人有效的会计师事务所执业证书；</w:t>
      </w:r>
    </w:p>
    <w:p w14:paraId="61481D13">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4</w:t>
      </w:r>
      <w:r>
        <w:rPr>
          <w:rFonts w:hint="eastAsia" w:ascii="宋体"/>
          <w:color w:val="auto"/>
          <w:szCs w:val="21"/>
          <w:highlight w:val="none"/>
          <w:lang w:eastAsia="zh-CN"/>
        </w:rPr>
        <w:t>）诚信投标承诺书（格式见附件）；</w:t>
      </w:r>
      <w:r>
        <w:rPr>
          <w:rFonts w:hint="eastAsia" w:ascii="宋体"/>
          <w:color w:val="auto"/>
          <w:szCs w:val="21"/>
          <w:highlight w:val="none"/>
        </w:rPr>
        <w:t xml:space="preserve">                                                                                                                                                                                                                                                                                                                                                                                                                                                                                                                                                                                                                                                                                                                                                                                                                                                                                                                                                                                                                                                                                                                                                                                                                                                                                                                                                                                                                                                                                                                                                                                                                                                                                      </w:t>
      </w:r>
    </w:p>
    <w:p w14:paraId="4F1EFD1C">
      <w:pPr>
        <w:spacing w:line="500" w:lineRule="exact"/>
        <w:ind w:firstLine="420" w:firstLineChars="200"/>
        <w:jc w:val="left"/>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w:t>
      </w:r>
      <w:r>
        <w:rPr>
          <w:rFonts w:hint="eastAsia" w:ascii="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）招标文件中要求的资信评审和资信评分的支持资料</w:t>
      </w:r>
      <w:r>
        <w:rPr>
          <w:rFonts w:hint="eastAsia" w:ascii="宋体" w:cs="Times New Roman"/>
          <w:color w:val="auto"/>
          <w:szCs w:val="21"/>
          <w:highlight w:val="none"/>
          <w:lang w:eastAsia="zh-CN"/>
        </w:rPr>
        <w:t>。</w:t>
      </w:r>
    </w:p>
    <w:p w14:paraId="6BE18819">
      <w:pPr>
        <w:rPr>
          <w:rFonts w:hint="eastAsia"/>
          <w:b/>
          <w:color w:val="auto"/>
          <w:sz w:val="28"/>
          <w:szCs w:val="28"/>
          <w:highlight w:val="none"/>
        </w:rPr>
      </w:pPr>
      <w:r>
        <w:rPr>
          <w:rFonts w:hint="eastAsia"/>
          <w:b/>
          <w:color w:val="auto"/>
          <w:sz w:val="28"/>
          <w:szCs w:val="28"/>
          <w:highlight w:val="none"/>
        </w:rPr>
        <w:br w:type="page"/>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66" w:name="_Toc449028950"/>
      <w:bookmarkStart w:id="67" w:name="_Toc440443268"/>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3250ACD7">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ascii="宋体" w:hAnsi="宋体"/>
          <w:color w:val="auto"/>
          <w:szCs w:val="21"/>
          <w:highlight w:val="none"/>
        </w:rPr>
      </w:pPr>
      <w:r>
        <w:rPr>
          <w:rFonts w:hint="eastAsia" w:ascii="宋体" w:hAnsi="宋体"/>
          <w:color w:val="auto"/>
          <w:szCs w:val="21"/>
          <w:highlight w:val="none"/>
        </w:rPr>
        <w:t>二、本单位郑重声明，我公司具有良好的商业信誉和健全的财务会计制度，具有履行合同所必需的设备和专业技术能力，有依法缴纳税收和社会保障资金的良好记录。</w:t>
      </w:r>
    </w:p>
    <w:p w14:paraId="35915449">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988BD8D">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440" w:lineRule="exact"/>
        <w:ind w:left="-615" w:leftChars="-293" w:right="-512" w:rightChars="-244" w:firstLine="415" w:firstLineChars="198"/>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68" w:name="OLE_LINK134"/>
      <w:bookmarkStart w:id="69"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68"/>
      <w:bookmarkEnd w:id="69"/>
      <w:r>
        <w:rPr>
          <w:rFonts w:hint="eastAsia" w:ascii="宋体" w:hAnsi="宋体"/>
          <w:color w:val="auto"/>
          <w:szCs w:val="21"/>
          <w:highlight w:val="none"/>
          <w:lang w:eastAsia="zh-CN"/>
        </w:rPr>
        <w:t>。</w:t>
      </w:r>
    </w:p>
    <w:p w14:paraId="20CDDA7F">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BF6B4A5">
      <w:pPr>
        <w:keepNext w:val="0"/>
        <w:keepLines w:val="0"/>
        <w:pageBreakBefore w:val="0"/>
        <w:widowControl w:val="0"/>
        <w:kinsoku/>
        <w:wordWrap/>
        <w:overflowPunct/>
        <w:topLinePunct w:val="0"/>
        <w:autoSpaceDE/>
        <w:autoSpaceDN/>
        <w:bidi w:val="0"/>
        <w:spacing w:line="44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 </w:t>
      </w:r>
    </w:p>
    <w:p w14:paraId="3C713C1E">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410B7592">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投标单位（盖单位章）：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02DBA31F">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0627DC0A">
      <w:pPr>
        <w:rPr>
          <w:rFonts w:hint="eastAsia" w:ascii="宋体"/>
          <w:b/>
          <w:color w:val="auto"/>
          <w:sz w:val="44"/>
          <w:szCs w:val="44"/>
          <w:highlight w:val="none"/>
          <w:lang w:val="en-US" w:eastAsia="zh-CN"/>
        </w:rPr>
      </w:pPr>
    </w:p>
    <w:p w14:paraId="134F3B50">
      <w:pPr>
        <w:jc w:val="both"/>
        <w:rPr>
          <w:rFonts w:hint="eastAsia" w:ascii="宋体"/>
          <w:b/>
          <w:color w:val="auto"/>
          <w:sz w:val="44"/>
          <w:szCs w:val="44"/>
          <w:highlight w:val="none"/>
          <w:lang w:val="en-US" w:eastAsia="zh-CN"/>
        </w:rPr>
      </w:pPr>
    </w:p>
    <w:p w14:paraId="57A8E764">
      <w:pPr>
        <w:jc w:val="center"/>
        <w:rPr>
          <w:rFonts w:hint="eastAsia" w:ascii="宋体"/>
          <w:b/>
          <w:color w:val="auto"/>
          <w:sz w:val="44"/>
          <w:szCs w:val="44"/>
          <w:highlight w:val="none"/>
        </w:rPr>
      </w:pPr>
      <w:r>
        <w:rPr>
          <w:rFonts w:hint="eastAsia" w:ascii="宋体"/>
          <w:b/>
          <w:color w:val="auto"/>
          <w:sz w:val="44"/>
          <w:szCs w:val="44"/>
          <w:highlight w:val="none"/>
          <w:lang w:val="en-US" w:eastAsia="zh-CN"/>
        </w:rPr>
        <w:t>技术标</w:t>
      </w:r>
      <w:r>
        <w:rPr>
          <w:rFonts w:hint="eastAsia" w:ascii="宋体"/>
          <w:b/>
          <w:color w:val="auto"/>
          <w:sz w:val="44"/>
          <w:szCs w:val="44"/>
          <w:highlight w:val="none"/>
        </w:rPr>
        <w:t>文件</w:t>
      </w:r>
    </w:p>
    <w:p w14:paraId="63C2F573">
      <w:pPr>
        <w:jc w:val="center"/>
        <w:rPr>
          <w:rFonts w:hint="eastAsia" w:eastAsia="黑体"/>
          <w:color w:val="auto"/>
          <w:sz w:val="44"/>
          <w:szCs w:val="44"/>
          <w:highlight w:val="none"/>
        </w:rPr>
      </w:pPr>
    </w:p>
    <w:p w14:paraId="28191AB5">
      <w:pPr>
        <w:jc w:val="center"/>
        <w:rPr>
          <w:rFonts w:hint="eastAsia" w:eastAsia="黑体"/>
          <w:color w:val="auto"/>
          <w:sz w:val="44"/>
          <w:szCs w:val="44"/>
          <w:highlight w:val="none"/>
        </w:rPr>
      </w:pPr>
    </w:p>
    <w:p w14:paraId="081E91EB">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u w:val="single"/>
          <w:lang w:val="en-US" w:eastAsia="zh-CN"/>
        </w:rPr>
        <w:t xml:space="preserve">     </w:t>
      </w: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7A35FCEF">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03F92C5F">
      <w:pPr>
        <w:rPr>
          <w:rFonts w:hint="eastAsia" w:ascii="宋体"/>
          <w:color w:val="auto"/>
          <w:sz w:val="28"/>
          <w:szCs w:val="28"/>
          <w:highlight w:val="none"/>
        </w:rPr>
      </w:pPr>
    </w:p>
    <w:p w14:paraId="4456E162">
      <w:pPr>
        <w:rPr>
          <w:rFonts w:hint="eastAsia" w:ascii="宋体"/>
          <w:color w:val="auto"/>
          <w:sz w:val="28"/>
          <w:szCs w:val="28"/>
          <w:highlight w:val="none"/>
        </w:rPr>
      </w:pPr>
    </w:p>
    <w:p w14:paraId="3284AA42">
      <w:pPr>
        <w:rPr>
          <w:rFonts w:hint="eastAsia" w:ascii="宋体"/>
          <w:color w:val="auto"/>
          <w:sz w:val="28"/>
          <w:szCs w:val="28"/>
          <w:highlight w:val="none"/>
        </w:rPr>
      </w:pPr>
    </w:p>
    <w:p w14:paraId="6FFA6018">
      <w:pPr>
        <w:rPr>
          <w:rFonts w:hint="eastAsia" w:ascii="宋体"/>
          <w:color w:val="auto"/>
          <w:sz w:val="28"/>
          <w:szCs w:val="28"/>
          <w:highlight w:val="none"/>
        </w:rPr>
      </w:pPr>
    </w:p>
    <w:p w14:paraId="436F9E71">
      <w:pPr>
        <w:rPr>
          <w:rFonts w:hint="eastAsia" w:ascii="宋体"/>
          <w:color w:val="auto"/>
          <w:sz w:val="28"/>
          <w:szCs w:val="28"/>
          <w:highlight w:val="none"/>
        </w:rPr>
      </w:pPr>
    </w:p>
    <w:p w14:paraId="357E3744">
      <w:pPr>
        <w:rPr>
          <w:rFonts w:hint="eastAsia" w:ascii="宋体"/>
          <w:color w:val="auto"/>
          <w:sz w:val="28"/>
          <w:szCs w:val="28"/>
          <w:highlight w:val="none"/>
        </w:rPr>
      </w:pPr>
    </w:p>
    <w:p w14:paraId="44CB152F">
      <w:pPr>
        <w:rPr>
          <w:rFonts w:hint="eastAsia" w:ascii="宋体"/>
          <w:color w:val="auto"/>
          <w:sz w:val="28"/>
          <w:szCs w:val="28"/>
          <w:highlight w:val="none"/>
        </w:rPr>
      </w:pPr>
    </w:p>
    <w:p w14:paraId="063AEA5B">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4E06E54">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6BDC3497">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66"/>
    <w:bookmarkEnd w:id="67"/>
    <w:p w14:paraId="1E85CEB7">
      <w:pPr>
        <w:jc w:val="center"/>
        <w:rPr>
          <w:rFonts w:hint="eastAsia"/>
          <w:b/>
          <w:color w:val="auto"/>
          <w:sz w:val="44"/>
          <w:szCs w:val="44"/>
          <w:highlight w:val="none"/>
        </w:rPr>
      </w:pPr>
      <w:r>
        <w:rPr>
          <w:rFonts w:hint="eastAsia"/>
          <w:b/>
          <w:color w:val="auto"/>
          <w:sz w:val="36"/>
          <w:szCs w:val="36"/>
          <w:highlight w:val="none"/>
        </w:rPr>
        <w:t>目   录</w:t>
      </w:r>
    </w:p>
    <w:p w14:paraId="589A8F9A">
      <w:pPr>
        <w:spacing w:line="400" w:lineRule="exact"/>
        <w:ind w:firstLine="562" w:firstLineChars="200"/>
        <w:rPr>
          <w:rFonts w:hint="eastAsia"/>
          <w:b/>
          <w:color w:val="auto"/>
          <w:sz w:val="28"/>
          <w:szCs w:val="28"/>
          <w:highlight w:val="none"/>
        </w:rPr>
      </w:pPr>
    </w:p>
    <w:p w14:paraId="2BC581D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1</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cs="Times New Roman"/>
          <w:color w:val="auto"/>
          <w:szCs w:val="21"/>
          <w:highlight w:val="none"/>
          <w:lang w:eastAsia="zh-CN"/>
        </w:rPr>
        <w:t>；</w:t>
      </w:r>
    </w:p>
    <w:p w14:paraId="78B8D1DA">
      <w:pPr>
        <w:pStyle w:val="33"/>
        <w:keepNext w:val="0"/>
        <w:keepLines w:val="0"/>
        <w:pageBreakBefore w:val="0"/>
        <w:widowControl w:val="0"/>
        <w:kinsoku/>
        <w:wordWrap/>
        <w:overflowPunct/>
        <w:topLinePunct w:val="0"/>
        <w:autoSpaceDE/>
        <w:autoSpaceDN/>
        <w:bidi w:val="0"/>
        <w:adjustRightInd/>
        <w:snapToGrid/>
        <w:spacing w:after="0" w:line="500" w:lineRule="exact"/>
        <w:ind w:left="0" w:leftChars="0" w:firstLine="420" w:firstLineChars="200"/>
        <w:jc w:val="left"/>
        <w:textAlignment w:val="auto"/>
        <w:rPr>
          <w:rFonts w:hint="default"/>
          <w:color w:val="auto"/>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2）招标文件中要求的技术标评分支持资料。</w:t>
      </w:r>
    </w:p>
    <w:p w14:paraId="224C47E9">
      <w:pPr>
        <w:spacing w:line="588" w:lineRule="exact"/>
        <w:rPr>
          <w:color w:val="auto"/>
          <w:highlight w:val="none"/>
        </w:rPr>
      </w:pPr>
    </w:p>
    <w:p w14:paraId="65B8DEBC">
      <w:pPr>
        <w:spacing w:line="360" w:lineRule="exact"/>
        <w:rPr>
          <w:rFonts w:hint="eastAsia" w:ascii="宋体"/>
          <w:b/>
          <w:color w:val="auto"/>
          <w:sz w:val="30"/>
          <w:szCs w:val="30"/>
          <w:highlight w:val="none"/>
        </w:rPr>
      </w:pPr>
    </w:p>
    <w:p w14:paraId="28981F78">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1</w:t>
      </w:r>
    </w:p>
    <w:p w14:paraId="26394BCE">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711615B3">
      <w:pPr>
        <w:ind w:firstLine="480" w:firstLineChars="200"/>
        <w:rPr>
          <w:rFonts w:hint="eastAsia" w:ascii="宋体"/>
          <w:color w:val="auto"/>
          <w:sz w:val="24"/>
          <w:highlight w:val="none"/>
        </w:rPr>
      </w:pPr>
    </w:p>
    <w:p w14:paraId="788C4665">
      <w:pPr>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44FCC525">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1FC8003E">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23943D50">
      <w:pPr>
        <w:spacing w:line="600" w:lineRule="exact"/>
        <w:rPr>
          <w:rFonts w:hint="eastAsia" w:ascii="宋体"/>
          <w:color w:val="auto"/>
          <w:sz w:val="24"/>
          <w:highlight w:val="none"/>
        </w:rPr>
      </w:pPr>
      <w:r>
        <w:rPr>
          <w:rFonts w:hint="eastAsia" w:ascii="宋体"/>
          <w:color w:val="auto"/>
          <w:sz w:val="24"/>
          <w:highlight w:val="none"/>
        </w:rPr>
        <w:t> </w:t>
      </w:r>
    </w:p>
    <w:p w14:paraId="090D9EB2">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7FA63719">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3EA03897">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6CE5FE5F">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3"/>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4514B101">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0CFBF97D">
      <w:pPr>
        <w:jc w:val="center"/>
        <w:rPr>
          <w:rFonts w:hint="eastAsia" w:ascii="宋体"/>
          <w:b/>
          <w:color w:val="auto"/>
          <w:sz w:val="44"/>
          <w:szCs w:val="44"/>
          <w:highlight w:val="none"/>
          <w:lang w:val="en-US" w:eastAsia="zh-CN"/>
        </w:rPr>
      </w:pPr>
    </w:p>
    <w:p w14:paraId="51871D62">
      <w:pPr>
        <w:jc w:val="center"/>
        <w:rPr>
          <w:rFonts w:hint="eastAsia" w:ascii="宋体"/>
          <w:b/>
          <w:color w:val="auto"/>
          <w:sz w:val="44"/>
          <w:szCs w:val="44"/>
          <w:highlight w:val="none"/>
          <w:lang w:val="en-US" w:eastAsia="zh-CN"/>
        </w:rPr>
      </w:pPr>
    </w:p>
    <w:p w14:paraId="2A145A49">
      <w:pPr>
        <w:jc w:val="center"/>
        <w:rPr>
          <w:rFonts w:hint="eastAsia" w:ascii="宋体"/>
          <w:b/>
          <w:color w:val="auto"/>
          <w:sz w:val="44"/>
          <w:szCs w:val="44"/>
          <w:highlight w:val="none"/>
        </w:rPr>
      </w:pPr>
      <w:r>
        <w:rPr>
          <w:rFonts w:hint="eastAsia" w:ascii="宋体"/>
          <w:b/>
          <w:color w:val="auto"/>
          <w:sz w:val="44"/>
          <w:szCs w:val="44"/>
          <w:highlight w:val="none"/>
          <w:lang w:val="en-US" w:eastAsia="zh-CN"/>
        </w:rPr>
        <w:t>商务标</w:t>
      </w:r>
      <w:r>
        <w:rPr>
          <w:rFonts w:hint="eastAsia" w:ascii="宋体"/>
          <w:b/>
          <w:color w:val="auto"/>
          <w:sz w:val="44"/>
          <w:szCs w:val="44"/>
          <w:highlight w:val="none"/>
        </w:rPr>
        <w:t>文件</w:t>
      </w:r>
    </w:p>
    <w:p w14:paraId="0BB8AE61">
      <w:pPr>
        <w:jc w:val="center"/>
        <w:rPr>
          <w:rFonts w:hint="eastAsia" w:eastAsia="黑体"/>
          <w:color w:val="auto"/>
          <w:sz w:val="44"/>
          <w:szCs w:val="44"/>
          <w:highlight w:val="none"/>
        </w:rPr>
      </w:pPr>
    </w:p>
    <w:p w14:paraId="1901AF25">
      <w:pPr>
        <w:jc w:val="center"/>
        <w:rPr>
          <w:rFonts w:hint="eastAsia" w:eastAsia="黑体"/>
          <w:color w:val="auto"/>
          <w:sz w:val="44"/>
          <w:szCs w:val="44"/>
          <w:highlight w:val="none"/>
        </w:rPr>
      </w:pPr>
    </w:p>
    <w:p w14:paraId="7BA94CD7">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52BA2D14">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020E63B5">
      <w:pPr>
        <w:rPr>
          <w:rFonts w:hint="eastAsia" w:ascii="宋体"/>
          <w:color w:val="auto"/>
          <w:sz w:val="28"/>
          <w:szCs w:val="28"/>
          <w:highlight w:val="none"/>
        </w:rPr>
      </w:pPr>
    </w:p>
    <w:p w14:paraId="4E23C202">
      <w:pPr>
        <w:rPr>
          <w:rFonts w:hint="eastAsia" w:ascii="宋体"/>
          <w:color w:val="auto"/>
          <w:sz w:val="28"/>
          <w:szCs w:val="28"/>
          <w:highlight w:val="none"/>
        </w:rPr>
      </w:pPr>
    </w:p>
    <w:p w14:paraId="117732CA">
      <w:pPr>
        <w:rPr>
          <w:rFonts w:hint="eastAsia" w:ascii="宋体"/>
          <w:color w:val="auto"/>
          <w:sz w:val="28"/>
          <w:szCs w:val="28"/>
          <w:highlight w:val="none"/>
        </w:rPr>
      </w:pPr>
    </w:p>
    <w:p w14:paraId="1F55AAB8">
      <w:pPr>
        <w:rPr>
          <w:rFonts w:hint="eastAsia" w:ascii="宋体"/>
          <w:color w:val="auto"/>
          <w:sz w:val="28"/>
          <w:szCs w:val="28"/>
          <w:highlight w:val="none"/>
        </w:rPr>
      </w:pPr>
    </w:p>
    <w:p w14:paraId="106416D6">
      <w:pPr>
        <w:rPr>
          <w:rFonts w:hint="eastAsia" w:ascii="宋体"/>
          <w:color w:val="auto"/>
          <w:sz w:val="28"/>
          <w:szCs w:val="28"/>
          <w:highlight w:val="none"/>
        </w:rPr>
      </w:pPr>
    </w:p>
    <w:p w14:paraId="1B5C69CA">
      <w:pPr>
        <w:pStyle w:val="33"/>
        <w:rPr>
          <w:rFonts w:hint="eastAsia" w:ascii="宋体"/>
          <w:color w:val="auto"/>
          <w:sz w:val="28"/>
          <w:szCs w:val="28"/>
          <w:highlight w:val="none"/>
        </w:rPr>
      </w:pPr>
    </w:p>
    <w:p w14:paraId="1F637386">
      <w:pPr>
        <w:pStyle w:val="14"/>
        <w:rPr>
          <w:rFonts w:hint="eastAsia" w:ascii="宋体"/>
          <w:color w:val="auto"/>
          <w:sz w:val="28"/>
          <w:szCs w:val="28"/>
          <w:highlight w:val="none"/>
        </w:rPr>
      </w:pPr>
    </w:p>
    <w:p w14:paraId="3D05CC78">
      <w:pPr>
        <w:pStyle w:val="15"/>
        <w:rPr>
          <w:rFonts w:hint="eastAsia"/>
          <w:color w:val="auto"/>
          <w:highlight w:val="none"/>
        </w:rPr>
      </w:pPr>
    </w:p>
    <w:p w14:paraId="759A6AFF">
      <w:pPr>
        <w:pStyle w:val="26"/>
        <w:rPr>
          <w:rFonts w:hint="eastAsia"/>
          <w:color w:val="auto"/>
          <w:highlight w:val="none"/>
        </w:rPr>
      </w:pPr>
    </w:p>
    <w:p w14:paraId="14084D90">
      <w:pPr>
        <w:rPr>
          <w:rFonts w:hint="eastAsia" w:ascii="宋体"/>
          <w:color w:val="auto"/>
          <w:sz w:val="28"/>
          <w:szCs w:val="28"/>
          <w:highlight w:val="none"/>
        </w:rPr>
      </w:pPr>
    </w:p>
    <w:p w14:paraId="79312243">
      <w:pPr>
        <w:rPr>
          <w:rFonts w:hint="eastAsia" w:ascii="宋体"/>
          <w:color w:val="auto"/>
          <w:sz w:val="28"/>
          <w:szCs w:val="28"/>
          <w:highlight w:val="none"/>
        </w:rPr>
      </w:pPr>
    </w:p>
    <w:p w14:paraId="02D72830">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E909DBA">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3D25F50B">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13FB4B7">
      <w:pPr>
        <w:spacing w:line="400" w:lineRule="exact"/>
        <w:rPr>
          <w:rFonts w:hint="eastAsia"/>
          <w:b/>
          <w:color w:val="auto"/>
          <w:sz w:val="44"/>
          <w:szCs w:val="44"/>
          <w:highlight w:val="none"/>
        </w:rPr>
      </w:pPr>
    </w:p>
    <w:p w14:paraId="596F9D74">
      <w:pPr>
        <w:spacing w:line="400" w:lineRule="exact"/>
        <w:ind w:firstLine="4130" w:firstLineChars="935"/>
        <w:rPr>
          <w:rFonts w:hint="eastAsia"/>
          <w:b/>
          <w:color w:val="auto"/>
          <w:sz w:val="44"/>
          <w:szCs w:val="44"/>
          <w:highlight w:val="none"/>
        </w:rPr>
      </w:pPr>
    </w:p>
    <w:p w14:paraId="19FCFA53">
      <w:pPr>
        <w:jc w:val="center"/>
        <w:rPr>
          <w:rFonts w:hint="eastAsia"/>
          <w:b/>
          <w:color w:val="auto"/>
          <w:sz w:val="36"/>
          <w:szCs w:val="36"/>
          <w:highlight w:val="none"/>
        </w:rPr>
      </w:pPr>
    </w:p>
    <w:p w14:paraId="7FFE8EAA">
      <w:pPr>
        <w:jc w:val="center"/>
        <w:rPr>
          <w:rFonts w:hint="eastAsia"/>
          <w:b/>
          <w:color w:val="auto"/>
          <w:sz w:val="44"/>
          <w:szCs w:val="44"/>
          <w:highlight w:val="none"/>
        </w:rPr>
      </w:pPr>
      <w:r>
        <w:rPr>
          <w:rFonts w:hint="eastAsia"/>
          <w:b/>
          <w:color w:val="auto"/>
          <w:sz w:val="36"/>
          <w:szCs w:val="36"/>
          <w:highlight w:val="none"/>
        </w:rPr>
        <w:t>目   录</w:t>
      </w:r>
    </w:p>
    <w:p w14:paraId="1E5D849D">
      <w:pPr>
        <w:spacing w:line="400" w:lineRule="exact"/>
        <w:ind w:firstLine="562" w:firstLineChars="200"/>
        <w:rPr>
          <w:rFonts w:hint="eastAsia"/>
          <w:b/>
          <w:color w:val="auto"/>
          <w:sz w:val="28"/>
          <w:szCs w:val="28"/>
          <w:highlight w:val="none"/>
        </w:rPr>
      </w:pPr>
    </w:p>
    <w:p w14:paraId="3216342E">
      <w:pPr>
        <w:spacing w:line="440" w:lineRule="exact"/>
        <w:ind w:left="420"/>
        <w:rPr>
          <w:rFonts w:hint="eastAsia" w:ascii="宋体" w:hAnsi="Times New Roman" w:eastAsia="宋体" w:cs="Times New Roman"/>
          <w:color w:val="auto"/>
          <w:szCs w:val="21"/>
          <w:highlight w:val="none"/>
        </w:rPr>
      </w:pPr>
      <w:r>
        <w:rPr>
          <w:rFonts w:hint="eastAsia" w:ascii="宋体"/>
          <w:color w:val="auto"/>
          <w:szCs w:val="21"/>
          <w:highlight w:val="none"/>
        </w:rPr>
        <w:t>（</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）开标一览表（格式见附件）；</w:t>
      </w:r>
    </w:p>
    <w:p w14:paraId="171D8848">
      <w:pPr>
        <w:spacing w:line="440" w:lineRule="exact"/>
        <w:ind w:left="42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）投标函（格式见附件）</w:t>
      </w:r>
      <w:r>
        <w:rPr>
          <w:rFonts w:hint="eastAsia" w:ascii="宋体" w:hAnsi="Times New Roman" w:eastAsia="宋体" w:cs="Times New Roman"/>
          <w:color w:val="auto"/>
          <w:szCs w:val="21"/>
          <w:highlight w:val="none"/>
          <w:lang w:val="en-US" w:eastAsia="zh-CN"/>
        </w:rPr>
        <w:t>；</w:t>
      </w:r>
    </w:p>
    <w:p w14:paraId="51F4E169">
      <w:pPr>
        <w:spacing w:line="440" w:lineRule="exact"/>
        <w:ind w:left="420"/>
        <w:rPr>
          <w:rFonts w:hint="default" w:ascii="宋体" w:hAnsi="Times New Roman" w:eastAsia="宋体" w:cs="Times New Roman"/>
          <w:color w:val="auto"/>
          <w:szCs w:val="21"/>
          <w:highlight w:val="none"/>
          <w:lang w:val="en-US" w:eastAsia="zh-CN"/>
        </w:rPr>
        <w:sectPr>
          <w:headerReference r:id="rId8" w:type="default"/>
          <w:footerReference r:id="rId9" w:type="default"/>
          <w:pgSz w:w="11906" w:h="16838"/>
          <w:pgMar w:top="1440" w:right="1800" w:bottom="1440" w:left="1800" w:header="851" w:footer="992" w:gutter="0"/>
          <w:pgNumType w:fmt="numberInDash"/>
          <w:cols w:space="720" w:num="1"/>
          <w:docGrid w:type="lines" w:linePitch="312" w:charSpace="0"/>
        </w:sectPr>
      </w:pPr>
      <w:r>
        <w:rPr>
          <w:rFonts w:hint="eastAsia" w:ascii="宋体" w:hAnsi="Times New Roman" w:eastAsia="宋体" w:cs="Times New Roman"/>
          <w:color w:val="auto"/>
          <w:szCs w:val="21"/>
          <w:highlight w:val="none"/>
          <w:lang w:val="en-US" w:eastAsia="zh-CN"/>
        </w:rPr>
        <w:t>（3）投标人认为需要提供的其他证明材。</w:t>
      </w:r>
    </w:p>
    <w:p w14:paraId="3D7E0C31">
      <w:pPr>
        <w:spacing w:line="360" w:lineRule="exact"/>
        <w:ind w:firstLine="443" w:firstLineChars="147"/>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1</w:t>
      </w:r>
    </w:p>
    <w:p w14:paraId="70DAA496">
      <w:pPr>
        <w:spacing w:line="360" w:lineRule="exact"/>
        <w:ind w:firstLine="472" w:firstLineChars="147"/>
        <w:jc w:val="center"/>
        <w:rPr>
          <w:rFonts w:hint="eastAsia" w:ascii="宋体"/>
          <w:b/>
          <w:color w:val="auto"/>
          <w:sz w:val="32"/>
          <w:szCs w:val="32"/>
          <w:highlight w:val="none"/>
        </w:rPr>
      </w:pPr>
    </w:p>
    <w:p w14:paraId="38229AAB">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1CD065BF">
      <w:pPr>
        <w:spacing w:line="360" w:lineRule="exact"/>
        <w:ind w:firstLine="354" w:firstLineChars="147"/>
        <w:rPr>
          <w:rFonts w:hint="eastAsia" w:ascii="宋体"/>
          <w:b/>
          <w:color w:val="auto"/>
          <w:sz w:val="24"/>
          <w:highlight w:val="none"/>
        </w:rPr>
      </w:pPr>
    </w:p>
    <w:p w14:paraId="1649A206">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7B522B7A">
      <w:pPr>
        <w:snapToGrid w:val="0"/>
        <w:spacing w:line="460" w:lineRule="exact"/>
        <w:ind w:left="2940" w:leftChars="1400" w:firstLine="720" w:firstLineChars="300"/>
        <w:rPr>
          <w:rFonts w:hint="eastAsia" w:ascii="宋体"/>
          <w:color w:val="auto"/>
          <w:sz w:val="24"/>
          <w:highlight w:val="none"/>
        </w:rPr>
      </w:pPr>
    </w:p>
    <w:tbl>
      <w:tblPr>
        <w:tblStyle w:val="34"/>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4BB58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21B23794">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F6CBA37">
            <w:pPr>
              <w:spacing w:line="360" w:lineRule="auto"/>
              <w:jc w:val="left"/>
              <w:rPr>
                <w:rFonts w:hint="eastAsia"/>
                <w:color w:val="auto"/>
                <w:sz w:val="24"/>
                <w:highlight w:val="none"/>
              </w:rPr>
            </w:pPr>
            <w:r>
              <w:rPr>
                <w:rFonts w:hint="eastAsia"/>
                <w:color w:val="auto"/>
                <w:sz w:val="24"/>
                <w:highlight w:val="none"/>
              </w:rPr>
              <w:t xml:space="preserve">         </w:t>
            </w:r>
          </w:p>
        </w:tc>
      </w:tr>
      <w:tr w14:paraId="5512F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70BE8D9B">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410AD8F1">
            <w:pPr>
              <w:rPr>
                <w:rFonts w:hint="eastAsia" w:ascii="宋体" w:eastAsia="宋体"/>
                <w:color w:val="auto"/>
                <w:sz w:val="24"/>
                <w:highlight w:val="none"/>
                <w:lang w:val="en-US" w:eastAsia="zh-CN"/>
              </w:rPr>
            </w:pPr>
            <w:r>
              <w:rPr>
                <w:rFonts w:hint="eastAsia" w:ascii="宋体"/>
                <w:color w:val="auto"/>
                <w:sz w:val="24"/>
                <w:highlight w:val="none"/>
                <w:lang w:val="en-US" w:eastAsia="zh-CN"/>
              </w:rPr>
              <w:t>/</w:t>
            </w:r>
          </w:p>
        </w:tc>
      </w:tr>
      <w:tr w14:paraId="27B04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4255F639">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71316AA0">
            <w:pPr>
              <w:pStyle w:val="18"/>
              <w:spacing w:line="460" w:lineRule="exact"/>
              <w:ind w:left="86" w:leftChars="41"/>
              <w:rPr>
                <w:rFonts w:hint="eastAsia" w:ascii="宋体" w:eastAsia="宋体"/>
                <w:color w:val="auto"/>
                <w:sz w:val="24"/>
                <w:szCs w:val="24"/>
                <w:highlight w:val="none"/>
              </w:rPr>
            </w:pPr>
          </w:p>
        </w:tc>
      </w:tr>
      <w:tr w14:paraId="59B3A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noWrap w:val="0"/>
            <w:vAlign w:val="center"/>
          </w:tcPr>
          <w:p w14:paraId="0E7554A9">
            <w:pPr>
              <w:spacing w:line="360" w:lineRule="auto"/>
              <w:jc w:val="center"/>
              <w:rPr>
                <w:rFonts w:ascii="宋体"/>
                <w:color w:val="auto"/>
                <w:sz w:val="24"/>
                <w:highlight w:val="none"/>
              </w:rPr>
            </w:pPr>
            <w:r>
              <w:rPr>
                <w:rFonts w:hint="eastAsia" w:ascii="宋体"/>
                <w:color w:val="auto"/>
                <w:sz w:val="24"/>
                <w:highlight w:val="none"/>
              </w:rPr>
              <w:t>总投标价\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258EAC01">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 （大写）：</w:t>
            </w:r>
            <w:r>
              <w:rPr>
                <w:rFonts w:hint="eastAsia" w:ascii="宋体"/>
                <w:color w:val="auto"/>
                <w:sz w:val="24"/>
                <w:highlight w:val="none"/>
                <w:u w:val="single"/>
              </w:rPr>
              <w:t xml:space="preserve">                   </w:t>
            </w:r>
            <w:r>
              <w:rPr>
                <w:rFonts w:hint="eastAsia" w:ascii="宋体"/>
                <w:color w:val="auto"/>
                <w:sz w:val="24"/>
                <w:highlight w:val="none"/>
              </w:rPr>
              <w:t>；</w:t>
            </w:r>
          </w:p>
          <w:p w14:paraId="4E307885">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w:t>
            </w:r>
          </w:p>
          <w:p w14:paraId="54175F55">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color w:val="auto"/>
                <w:sz w:val="24"/>
                <w:highlight w:val="none"/>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color w:val="auto"/>
                <w:sz w:val="24"/>
                <w:highlight w:val="none"/>
                <w:lang w:val="en-US" w:eastAsia="zh-CN"/>
              </w:rPr>
              <w:t xml:space="preserve">响应招标文件要求。 </w:t>
            </w:r>
          </w:p>
        </w:tc>
      </w:tr>
    </w:tbl>
    <w:p w14:paraId="04A7BA8D">
      <w:pPr>
        <w:snapToGrid w:val="0"/>
        <w:spacing w:line="460" w:lineRule="exact"/>
        <w:ind w:left="2940" w:leftChars="1400" w:firstLine="723" w:firstLineChars="300"/>
        <w:rPr>
          <w:rFonts w:hint="eastAsia" w:ascii="宋体"/>
          <w:b/>
          <w:color w:val="auto"/>
          <w:sz w:val="24"/>
          <w:highlight w:val="none"/>
        </w:rPr>
      </w:pPr>
    </w:p>
    <w:p w14:paraId="47CB5C70">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投标人（盖单位章）：</w:t>
      </w:r>
    </w:p>
    <w:p w14:paraId="11F45E3A">
      <w:pPr>
        <w:snapToGrid w:val="0"/>
        <w:spacing w:before="312" w:beforeLines="100" w:after="312" w:afterLines="100" w:line="360" w:lineRule="auto"/>
        <w:jc w:val="center"/>
        <w:rPr>
          <w:rFonts w:cs="Arial"/>
          <w:b/>
          <w:bCs/>
          <w:color w:val="auto"/>
          <w:sz w:val="30"/>
          <w:szCs w:val="30"/>
          <w:highlight w:val="none"/>
        </w:rPr>
        <w:sectPr>
          <w:pgSz w:w="11906" w:h="16838"/>
          <w:pgMar w:top="1440" w:right="1800" w:bottom="1440" w:left="1800" w:header="851" w:footer="992" w:gutter="0"/>
          <w:pgNumType w:fmt="numberInDash"/>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日</w:t>
      </w:r>
    </w:p>
    <w:p w14:paraId="7BC98721">
      <w:pPr>
        <w:pStyle w:val="33"/>
        <w:ind w:left="0" w:leftChars="0" w:firstLine="0" w:firstLineChars="0"/>
        <w:rPr>
          <w:rFonts w:hint="eastAsia"/>
          <w:color w:val="auto"/>
          <w:highlight w:val="none"/>
        </w:rPr>
      </w:pP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2</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0A42BD5A">
      <w:pPr>
        <w:keepNext w:val="0"/>
        <w:keepLines w:val="0"/>
        <w:pageBreakBefore w:val="0"/>
        <w:widowControl/>
        <w:kinsoku/>
        <w:wordWrap/>
        <w:overflowPunct/>
        <w:topLinePunct w:val="0"/>
        <w:autoSpaceDE/>
        <w:autoSpaceDN/>
        <w:bidi w:val="0"/>
        <w:adjustRightInd/>
        <w:snapToGrid/>
        <w:spacing w:line="600" w:lineRule="exact"/>
        <w:jc w:val="left"/>
        <w:textAlignment w:val="baseline"/>
        <w:rPr>
          <w:rFonts w:hint="eastAsia" w:ascii="宋体" w:hAnsi="宋体" w:eastAsia="宋体" w:cs="宋体"/>
          <w:color w:val="auto"/>
          <w:kern w:val="0"/>
          <w:sz w:val="24"/>
          <w:szCs w:val="24"/>
          <w:highlight w:val="none"/>
          <w:u w:val="single" w:color="000000"/>
        </w:rPr>
      </w:pPr>
      <w:r>
        <w:rPr>
          <w:rFonts w:hint="eastAsia" w:ascii="宋体" w:hAnsi="宋体" w:eastAsia="宋体" w:cs="宋体"/>
          <w:color w:val="auto"/>
          <w:kern w:val="0"/>
          <w:sz w:val="24"/>
          <w:szCs w:val="24"/>
          <w:highlight w:val="none"/>
          <w:u w:val="none" w:color="000000"/>
        </w:rPr>
        <w:t>致：</w:t>
      </w:r>
      <w:r>
        <w:rPr>
          <w:rFonts w:hint="eastAsia" w:ascii="宋体" w:hAnsi="宋体" w:eastAsia="宋体" w:cs="宋体"/>
          <w:color w:val="auto"/>
          <w:kern w:val="0"/>
          <w:sz w:val="24"/>
          <w:szCs w:val="24"/>
          <w:highlight w:val="none"/>
          <w:u w:val="single" w:color="000000"/>
        </w:rPr>
        <w:t xml:space="preserve">        （招标人）     </w:t>
      </w:r>
    </w:p>
    <w:p w14:paraId="7D1A4FE4">
      <w:pPr>
        <w:keepNext w:val="0"/>
        <w:keepLines w:val="0"/>
        <w:pageBreakBefore w:val="0"/>
        <w:kinsoku/>
        <w:wordWrap/>
        <w:overflowPunct/>
        <w:topLinePunct w:val="0"/>
        <w:autoSpaceDE/>
        <w:autoSpaceDN/>
        <w:bidi w:val="0"/>
        <w:adjustRightInd/>
        <w:snapToGrid/>
        <w:spacing w:line="6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1.我们决定参加贵单位组织的“</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 xml:space="preserve">”的采购。我方授权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（投标人的名称）全权处理本项目投标的有关事宜。</w:t>
      </w:r>
    </w:p>
    <w:p w14:paraId="0C0F5B67">
      <w:pPr>
        <w:keepNext w:val="0"/>
        <w:keepLines w:val="0"/>
        <w:pageBreakBefore w:val="0"/>
        <w:kinsoku/>
        <w:wordWrap/>
        <w:overflowPunct/>
        <w:topLinePunct w:val="0"/>
        <w:autoSpaceDE/>
        <w:autoSpaceDN/>
        <w:bidi w:val="0"/>
        <w:adjustRightInd/>
        <w:snapToGrid/>
        <w:spacing w:line="6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2.我方愿意按照招标文件规定的各项要求，向</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 xml:space="preserve">提供“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项目名称）</w:t>
      </w:r>
      <w:r>
        <w:rPr>
          <w:rFonts w:hint="eastAsia" w:ascii="宋体" w:hAnsi="宋体" w:eastAsia="宋体" w:cs="宋体"/>
          <w:color w:val="auto"/>
          <w:sz w:val="24"/>
          <w:szCs w:val="24"/>
          <w:highlight w:val="none"/>
        </w:rPr>
        <w:t>”项目的服务，投标</w:t>
      </w:r>
      <w:r>
        <w:rPr>
          <w:rFonts w:hint="eastAsia" w:ascii="宋体" w:hAnsi="宋体" w:cs="宋体"/>
          <w:color w:val="auto"/>
          <w:sz w:val="24"/>
          <w:szCs w:val="24"/>
          <w:highlight w:val="none"/>
          <w:lang w:val="en-US" w:eastAsia="zh-CN"/>
        </w:rPr>
        <w:t>报</w:t>
      </w:r>
      <w:r>
        <w:rPr>
          <w:rFonts w:hint="eastAsia" w:ascii="宋体" w:hAnsi="宋体" w:eastAsia="宋体" w:cs="宋体"/>
          <w:color w:val="auto"/>
          <w:sz w:val="24"/>
          <w:szCs w:val="24"/>
          <w:highlight w:val="none"/>
        </w:rPr>
        <w:t>价为人民币</w:t>
      </w:r>
      <w:r>
        <w:rPr>
          <w:rFonts w:hint="eastAsia" w:ascii="宋体" w:hAnsi="宋体" w:eastAsia="宋体" w:cs="宋体"/>
          <w:b/>
          <w:bCs/>
          <w:color w:val="auto"/>
          <w:sz w:val="24"/>
          <w:szCs w:val="24"/>
          <w:highlight w:val="none"/>
          <w:u w:val="single"/>
        </w:rPr>
        <w:t>（大写）</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（小写）</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元</w:t>
      </w:r>
      <w:r>
        <w:rPr>
          <w:rFonts w:hint="eastAsia" w:ascii="宋体" w:hAnsi="宋体" w:eastAsia="宋体" w:cs="宋体"/>
          <w:b/>
          <w:bCs/>
          <w:color w:val="auto"/>
          <w:sz w:val="24"/>
          <w:szCs w:val="24"/>
          <w:highlight w:val="none"/>
          <w:u w:val="single"/>
          <w:lang w:eastAsia="zh-CN"/>
        </w:rPr>
        <w:t>。</w:t>
      </w:r>
      <w:r>
        <w:rPr>
          <w:rFonts w:hint="eastAsia" w:ascii="宋体" w:hAnsi="宋体" w:eastAsia="宋体" w:cs="宋体"/>
          <w:color w:val="auto"/>
          <w:sz w:val="24"/>
          <w:szCs w:val="24"/>
          <w:highlight w:val="none"/>
          <w:lang w:val="en-US" w:eastAsia="zh-CN"/>
        </w:rPr>
        <w:t xml:space="preserve"> </w:t>
      </w:r>
    </w:p>
    <w:p w14:paraId="0AEA47C8">
      <w:pPr>
        <w:keepNext w:val="0"/>
        <w:keepLines w:val="0"/>
        <w:pageBreakBefore w:val="0"/>
        <w:kinsoku/>
        <w:wordWrap/>
        <w:overflowPunct/>
        <w:topLinePunct w:val="0"/>
        <w:autoSpaceDE/>
        <w:autoSpaceDN/>
        <w:bidi w:val="0"/>
        <w:adjustRightInd/>
        <w:snapToGrid/>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3.一旦我方成为合同签字人，我方将严格履行合同规定的责任和义务。</w:t>
      </w:r>
    </w:p>
    <w:p w14:paraId="149010A2">
      <w:pPr>
        <w:keepNext w:val="0"/>
        <w:keepLines w:val="0"/>
        <w:pageBreakBefore w:val="0"/>
        <w:kinsoku/>
        <w:wordWrap/>
        <w:overflowPunct/>
        <w:topLinePunct w:val="0"/>
        <w:autoSpaceDE/>
        <w:autoSpaceDN/>
        <w:bidi w:val="0"/>
        <w:adjustRightInd/>
        <w:snapToGrid/>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4.我方愿意提供可能另外要求的、与采购投标有关的文件资料，并保证我方已提供和将要提供的文件是真实的、准确的。</w:t>
      </w:r>
    </w:p>
    <w:p w14:paraId="24C93112">
      <w:pPr>
        <w:keepNext w:val="0"/>
        <w:keepLines w:val="0"/>
        <w:pageBreakBefore w:val="0"/>
        <w:kinsoku/>
        <w:wordWrap/>
        <w:overflowPunct/>
        <w:topLinePunct w:val="0"/>
        <w:autoSpaceDE/>
        <w:autoSpaceDN/>
        <w:bidi w:val="0"/>
        <w:adjustRightInd/>
        <w:snapToGrid/>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5、投标有效期为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60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日历天（从投标截止之日算起）。</w:t>
      </w:r>
    </w:p>
    <w:p w14:paraId="022D1E03">
      <w:pPr>
        <w:keepNext w:val="0"/>
        <w:keepLines w:val="0"/>
        <w:pageBreakBefore w:val="0"/>
        <w:kinsoku/>
        <w:wordWrap/>
        <w:overflowPunct/>
        <w:topLinePunct w:val="0"/>
        <w:autoSpaceDE/>
        <w:autoSpaceDN/>
        <w:bidi w:val="0"/>
        <w:adjustRightInd/>
        <w:snapToGrid/>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6、我单位提供如下通讯地址：</w:t>
      </w:r>
      <w:r>
        <w:rPr>
          <w:rFonts w:hint="eastAsia" w:ascii="宋体" w:hAnsi="宋体" w:eastAsia="宋体" w:cs="宋体"/>
          <w:color w:val="auto"/>
          <w:sz w:val="24"/>
          <w:szCs w:val="24"/>
          <w:highlight w:val="none"/>
          <w:u w:val="single"/>
        </w:rPr>
        <w:t xml:space="preserve">                </w:t>
      </w:r>
      <w:bookmarkStart w:id="72" w:name="_GoBack"/>
      <w:r>
        <w:rPr>
          <w:rFonts w:hint="eastAsia" w:ascii="宋体" w:hAnsi="宋体" w:eastAsia="宋体" w:cs="宋体"/>
          <w:color w:val="auto"/>
          <w:sz w:val="24"/>
          <w:szCs w:val="24"/>
          <w:highlight w:val="none"/>
          <w:u w:val="single"/>
        </w:rPr>
        <w:t>电子</w:t>
      </w:r>
      <w:bookmarkEnd w:id="72"/>
      <w:r>
        <w:rPr>
          <w:rFonts w:hint="eastAsia" w:ascii="宋体" w:hAnsi="宋体" w:eastAsia="宋体" w:cs="宋体"/>
          <w:color w:val="auto"/>
          <w:sz w:val="24"/>
          <w:szCs w:val="24"/>
          <w:highlight w:val="none"/>
          <w:u w:val="single"/>
        </w:rPr>
        <w:t>邮箱（地址）</w:t>
      </w:r>
      <w:r>
        <w:rPr>
          <w:rFonts w:hint="eastAsia" w:ascii="宋体" w:hAnsi="宋体" w:eastAsia="宋体" w:cs="宋体"/>
          <w:color w:val="auto"/>
          <w:sz w:val="24"/>
          <w:szCs w:val="24"/>
          <w:highlight w:val="none"/>
        </w:rPr>
        <w:t>，确认本项目相关法律文书均通过提供的以上地址送达，相关文书只要发送至以上电子邮箱（地址）即视为送达，投标人愿意承担一切法律后果。</w:t>
      </w:r>
    </w:p>
    <w:p w14:paraId="17D65379">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p>
    <w:p w14:paraId="51BD92EE">
      <w:pPr>
        <w:spacing w:line="440" w:lineRule="exact"/>
        <w:ind w:firstLine="480" w:firstLineChars="200"/>
        <w:rPr>
          <w:rFonts w:hint="eastAsia" w:ascii="宋体"/>
          <w:color w:val="auto"/>
          <w:sz w:val="24"/>
          <w:highlight w:val="none"/>
        </w:rPr>
      </w:pPr>
    </w:p>
    <w:p w14:paraId="7B105019">
      <w:pPr>
        <w:spacing w:line="440" w:lineRule="exact"/>
        <w:rPr>
          <w:rFonts w:hint="eastAsia" w:ascii="宋体"/>
          <w:color w:val="auto"/>
          <w:sz w:val="24"/>
          <w:highlight w:val="none"/>
        </w:rPr>
      </w:pPr>
      <w:r>
        <w:rPr>
          <w:rFonts w:hint="eastAsia" w:ascii="宋体"/>
          <w:color w:val="auto"/>
          <w:sz w:val="24"/>
          <w:highlight w:val="none"/>
        </w:rPr>
        <w:t> </w:t>
      </w:r>
    </w:p>
    <w:p w14:paraId="5B2F7393">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投标人：</w:t>
      </w:r>
      <w:r>
        <w:rPr>
          <w:rFonts w:hint="eastAsia" w:ascii="宋体" w:hAnsi="宋体" w:cs="宋体"/>
          <w:color w:val="auto"/>
          <w:kern w:val="0"/>
          <w:szCs w:val="20"/>
          <w:highlight w:val="none"/>
          <w:u w:val="single" w:color="000000"/>
        </w:rPr>
        <w:t xml:space="preserve">                             （盖章）   </w:t>
      </w:r>
    </w:p>
    <w:p w14:paraId="2159EFBE">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法定代表人：</w:t>
      </w:r>
      <w:r>
        <w:rPr>
          <w:rFonts w:hint="eastAsia" w:ascii="宋体" w:hAnsi="宋体" w:cs="宋体"/>
          <w:color w:val="auto"/>
          <w:kern w:val="0"/>
          <w:szCs w:val="20"/>
          <w:highlight w:val="none"/>
          <w:u w:val="single" w:color="000000"/>
        </w:rPr>
        <w:t xml:space="preserve">                         （签字或盖章）</w:t>
      </w:r>
    </w:p>
    <w:p w14:paraId="310F9424">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单位地址：</w:t>
      </w:r>
      <w:r>
        <w:rPr>
          <w:rFonts w:hint="eastAsia" w:ascii="宋体" w:hAnsi="宋体" w:cs="宋体"/>
          <w:color w:val="auto"/>
          <w:kern w:val="0"/>
          <w:szCs w:val="20"/>
          <w:highlight w:val="none"/>
          <w:u w:val="single" w:color="000000"/>
        </w:rPr>
        <w:t xml:space="preserve">                                   </w:t>
      </w:r>
    </w:p>
    <w:p w14:paraId="1BB58C45">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邮政编码：</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电话：</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传真：</w:t>
      </w:r>
      <w:r>
        <w:rPr>
          <w:rFonts w:hint="eastAsia" w:ascii="宋体" w:hAnsi="宋体" w:cs="宋体"/>
          <w:color w:val="auto"/>
          <w:kern w:val="0"/>
          <w:szCs w:val="20"/>
          <w:highlight w:val="none"/>
          <w:u w:val="single" w:color="000000"/>
        </w:rPr>
        <w:t xml:space="preserve">       </w:t>
      </w:r>
    </w:p>
    <w:p w14:paraId="4CF6C540">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日期：</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年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月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日</w:t>
      </w:r>
    </w:p>
    <w:p w14:paraId="3648DADC">
      <w:pPr>
        <w:spacing w:line="360" w:lineRule="exact"/>
        <w:ind w:firstLine="443" w:firstLineChars="147"/>
        <w:rPr>
          <w:rFonts w:hint="eastAsia" w:ascii="宋体" w:hAnsi="宋体"/>
          <w:b/>
          <w:color w:val="auto"/>
          <w:sz w:val="30"/>
          <w:szCs w:val="30"/>
          <w:highlight w:val="none"/>
        </w:rPr>
        <w:sectPr>
          <w:headerReference r:id="rId10" w:type="default"/>
          <w:footerReference r:id="rId11" w:type="default"/>
          <w:pgSz w:w="11906" w:h="16838"/>
          <w:pgMar w:top="1440" w:right="1800" w:bottom="1440" w:left="1600" w:header="851" w:footer="992" w:gutter="0"/>
          <w:pgNumType w:fmt="decimal"/>
          <w:cols w:space="720" w:num="1"/>
          <w:docGrid w:type="lines" w:linePitch="312" w:charSpace="0"/>
        </w:sectPr>
      </w:pPr>
    </w:p>
    <w:bookmarkEnd w:id="62"/>
    <w:bookmarkEnd w:id="63"/>
    <w:p w14:paraId="59C5F8C7">
      <w:pPr>
        <w:spacing w:line="440" w:lineRule="exact"/>
        <w:jc w:val="center"/>
        <w:outlineLvl w:val="0"/>
        <w:rPr>
          <w:rFonts w:hint="eastAsia" w:ascii="宋体"/>
          <w:b/>
          <w:color w:val="auto"/>
          <w:sz w:val="32"/>
          <w:szCs w:val="32"/>
          <w:highlight w:val="none"/>
        </w:rPr>
      </w:pPr>
      <w:bookmarkStart w:id="70" w:name="_Toc449028957"/>
      <w:bookmarkStart w:id="71" w:name="_Toc58430333"/>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70"/>
      <w:bookmarkEnd w:id="71"/>
    </w:p>
    <w:p w14:paraId="4A117D56">
      <w:pPr>
        <w:spacing w:line="440" w:lineRule="exact"/>
        <w:rPr>
          <w:rFonts w:hint="eastAsia" w:ascii="宋体"/>
          <w:color w:val="auto"/>
          <w:sz w:val="24"/>
          <w:highlight w:val="none"/>
          <w:u w:val="single"/>
        </w:rPr>
      </w:pPr>
    </w:p>
    <w:tbl>
      <w:tblPr>
        <w:tblStyle w:val="34"/>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苏滁第二实验学校原校长赵加雷同志离任经济责任审计（二次）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中新苏滁高新技术产业开发区管理委员会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张工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0550-3755706</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经办人：杨韦</w:t>
            </w:r>
          </w:p>
          <w:p w14:paraId="033529C4">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电  话：0550-3519590、18005501210</w:t>
            </w:r>
          </w:p>
          <w:p w14:paraId="2348145A">
            <w:pPr>
              <w:spacing w:line="520" w:lineRule="exact"/>
              <w:ind w:firstLine="6300" w:firstLineChars="2250"/>
              <w:rPr>
                <w:rFonts w:hint="eastAsia" w:ascii="宋体" w:cs="宋体"/>
                <w:color w:val="auto"/>
                <w:sz w:val="28"/>
                <w:szCs w:val="28"/>
                <w:highlight w:val="none"/>
              </w:rPr>
            </w:pPr>
          </w:p>
          <w:p w14:paraId="0F0721F1">
            <w:pPr>
              <w:pStyle w:val="33"/>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Leelawadee UI"/>
    <w:panose1 w:val="020B0604020202020204"/>
    <w:charset w:val="00"/>
    <w:family w:val="swiss"/>
    <w:pitch w:val="default"/>
    <w:sig w:usb0="00000000" w:usb1="00000000" w:usb2="00000000" w:usb3="00000000" w:csb0="40010001" w:csb1="00000000"/>
  </w:font>
  <w:font w:name="Leelawadee UI">
    <w:panose1 w:val="020B0502040204020203"/>
    <w:charset w:val="00"/>
    <w:family w:val="auto"/>
    <w:pitch w:val="default"/>
    <w:sig w:usb0="83000003" w:usb1="00000000" w:usb2="00010000" w:usb3="00000001" w:csb0="000101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8"/>
      </w:rPr>
    </w:pPr>
    <w:r>
      <w:fldChar w:fldCharType="begin"/>
    </w:r>
    <w:r>
      <w:rPr>
        <w:rStyle w:val="38"/>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8"/>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F890">
    <w:pPr>
      <w:pStyle w:val="22"/>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4B525F8">
                          <w:pPr>
                            <w:pStyle w:val="22"/>
                          </w:pPr>
                          <w:r>
                            <w:fldChar w:fldCharType="begin"/>
                          </w:r>
                          <w:r>
                            <w:instrText xml:space="preserve"> PAGE  \* MERGEFORMAT </w:instrText>
                          </w:r>
                          <w:r>
                            <w:fldChar w:fldCharType="separate"/>
                          </w:r>
                          <w:r>
                            <w:t>25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34B525F8">
                    <w:pPr>
                      <w:pStyle w:val="22"/>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68540">
    <w:pPr>
      <w:pStyle w:val="23"/>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EAAAA971"/>
    <w:multiLevelType w:val="singleLevel"/>
    <w:tmpl w:val="EAAAA971"/>
    <w:lvl w:ilvl="0" w:tentative="0">
      <w:start w:val="4"/>
      <w:numFmt w:val="chineseCounting"/>
      <w:suff w:val="space"/>
      <w:lvlText w:val="第%1章"/>
      <w:lvlJc w:val="left"/>
      <w:rPr>
        <w:rFonts w:hint="eastAsia"/>
      </w:rPr>
    </w:lvl>
  </w:abstractNum>
  <w:abstractNum w:abstractNumId="2">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3">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323379E"/>
    <w:multiLevelType w:val="multilevel"/>
    <w:tmpl w:val="2323379E"/>
    <w:lvl w:ilvl="0" w:tentative="0">
      <w:start w:val="1"/>
      <w:numFmt w:val="chineseCountingThousand"/>
      <w:pStyle w:val="31"/>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6">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7">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8">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7"/>
  </w:num>
  <w:num w:numId="3">
    <w:abstractNumId w:val="8"/>
  </w:num>
  <w:num w:numId="4">
    <w:abstractNumId w:val="4"/>
  </w:num>
  <w:num w:numId="5">
    <w:abstractNumId w:val="5"/>
  </w:num>
  <w:num w:numId="6">
    <w:abstractNumId w:val="3"/>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23584C"/>
    <w:rsid w:val="01317BAC"/>
    <w:rsid w:val="0156352C"/>
    <w:rsid w:val="0160078A"/>
    <w:rsid w:val="016025FC"/>
    <w:rsid w:val="016A6FD7"/>
    <w:rsid w:val="01727AD4"/>
    <w:rsid w:val="018C519F"/>
    <w:rsid w:val="01910A08"/>
    <w:rsid w:val="01A56261"/>
    <w:rsid w:val="01AA7D1B"/>
    <w:rsid w:val="01CE57B8"/>
    <w:rsid w:val="01E00D2D"/>
    <w:rsid w:val="01F30A1B"/>
    <w:rsid w:val="02136A35"/>
    <w:rsid w:val="02263E9A"/>
    <w:rsid w:val="02276CDB"/>
    <w:rsid w:val="02510197"/>
    <w:rsid w:val="02602E58"/>
    <w:rsid w:val="026A14A8"/>
    <w:rsid w:val="0284108D"/>
    <w:rsid w:val="02846ED2"/>
    <w:rsid w:val="02881AF1"/>
    <w:rsid w:val="0295277A"/>
    <w:rsid w:val="029F0F02"/>
    <w:rsid w:val="02AB3F80"/>
    <w:rsid w:val="02CD5A6F"/>
    <w:rsid w:val="02D50DC8"/>
    <w:rsid w:val="02F92D08"/>
    <w:rsid w:val="02FF011F"/>
    <w:rsid w:val="0306625F"/>
    <w:rsid w:val="0314369E"/>
    <w:rsid w:val="032B6C3A"/>
    <w:rsid w:val="03433F84"/>
    <w:rsid w:val="034D095E"/>
    <w:rsid w:val="034D4E02"/>
    <w:rsid w:val="03636F78"/>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6621AB"/>
    <w:rsid w:val="057013EC"/>
    <w:rsid w:val="05713E65"/>
    <w:rsid w:val="05777F14"/>
    <w:rsid w:val="057B29B4"/>
    <w:rsid w:val="057F7413"/>
    <w:rsid w:val="059302F0"/>
    <w:rsid w:val="05B55715"/>
    <w:rsid w:val="05B55DC4"/>
    <w:rsid w:val="05C56ED2"/>
    <w:rsid w:val="05EB7E30"/>
    <w:rsid w:val="05F81055"/>
    <w:rsid w:val="0600615C"/>
    <w:rsid w:val="0619721E"/>
    <w:rsid w:val="06235109"/>
    <w:rsid w:val="062459A5"/>
    <w:rsid w:val="062478E7"/>
    <w:rsid w:val="06304C93"/>
    <w:rsid w:val="064510DB"/>
    <w:rsid w:val="06581AF4"/>
    <w:rsid w:val="06620B3A"/>
    <w:rsid w:val="066E7569"/>
    <w:rsid w:val="06954AF6"/>
    <w:rsid w:val="069717B9"/>
    <w:rsid w:val="06D0451E"/>
    <w:rsid w:val="06DA6FC6"/>
    <w:rsid w:val="06EB6E0C"/>
    <w:rsid w:val="06F10417"/>
    <w:rsid w:val="06F34B4B"/>
    <w:rsid w:val="06FF299A"/>
    <w:rsid w:val="070A729C"/>
    <w:rsid w:val="07342561"/>
    <w:rsid w:val="073C599D"/>
    <w:rsid w:val="073E5575"/>
    <w:rsid w:val="074128B0"/>
    <w:rsid w:val="074A10F8"/>
    <w:rsid w:val="074D3623"/>
    <w:rsid w:val="0761194E"/>
    <w:rsid w:val="076432D3"/>
    <w:rsid w:val="0781151E"/>
    <w:rsid w:val="078132CC"/>
    <w:rsid w:val="078D1C71"/>
    <w:rsid w:val="07987BFE"/>
    <w:rsid w:val="07B54D24"/>
    <w:rsid w:val="07B63215"/>
    <w:rsid w:val="07B77A9C"/>
    <w:rsid w:val="07BC624E"/>
    <w:rsid w:val="07D63618"/>
    <w:rsid w:val="07DC7A53"/>
    <w:rsid w:val="08000695"/>
    <w:rsid w:val="08081FA5"/>
    <w:rsid w:val="080B7557"/>
    <w:rsid w:val="08181E21"/>
    <w:rsid w:val="08184EC7"/>
    <w:rsid w:val="081C0B89"/>
    <w:rsid w:val="082A5712"/>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AB5942"/>
    <w:rsid w:val="09B064D1"/>
    <w:rsid w:val="09BF2ED7"/>
    <w:rsid w:val="09BF7674"/>
    <w:rsid w:val="09F45FD8"/>
    <w:rsid w:val="09F806A3"/>
    <w:rsid w:val="0A0B50CF"/>
    <w:rsid w:val="0A0D1190"/>
    <w:rsid w:val="0A164D7F"/>
    <w:rsid w:val="0A2456C5"/>
    <w:rsid w:val="0A2543E3"/>
    <w:rsid w:val="0A474057"/>
    <w:rsid w:val="0A53598C"/>
    <w:rsid w:val="0A641E3D"/>
    <w:rsid w:val="0AA34B1B"/>
    <w:rsid w:val="0AAD7CD9"/>
    <w:rsid w:val="0AB6328D"/>
    <w:rsid w:val="0ABD15CE"/>
    <w:rsid w:val="0ABF263A"/>
    <w:rsid w:val="0AD12B8F"/>
    <w:rsid w:val="0AF02C43"/>
    <w:rsid w:val="0AF618DB"/>
    <w:rsid w:val="0B0A6314"/>
    <w:rsid w:val="0B183F48"/>
    <w:rsid w:val="0B2A3CDE"/>
    <w:rsid w:val="0B330D82"/>
    <w:rsid w:val="0B335CF7"/>
    <w:rsid w:val="0B5C5BE2"/>
    <w:rsid w:val="0B6B051B"/>
    <w:rsid w:val="0B6E6353"/>
    <w:rsid w:val="0B7B2E88"/>
    <w:rsid w:val="0B8415DD"/>
    <w:rsid w:val="0B842ECF"/>
    <w:rsid w:val="0BA53A0C"/>
    <w:rsid w:val="0BA8462C"/>
    <w:rsid w:val="0BD0037E"/>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AA5073"/>
    <w:rsid w:val="0CB14648"/>
    <w:rsid w:val="0CB21A52"/>
    <w:rsid w:val="0CB63A18"/>
    <w:rsid w:val="0CBD3A66"/>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BE4E06"/>
    <w:rsid w:val="0EC34B2B"/>
    <w:rsid w:val="0ECA6B2D"/>
    <w:rsid w:val="0ECB5D10"/>
    <w:rsid w:val="0ECC1E18"/>
    <w:rsid w:val="0EE11257"/>
    <w:rsid w:val="0EE35EF2"/>
    <w:rsid w:val="0EEE7499"/>
    <w:rsid w:val="0EFA5849"/>
    <w:rsid w:val="0F16079E"/>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2654A"/>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1FE4A17"/>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30D010A"/>
    <w:rsid w:val="130E5DFE"/>
    <w:rsid w:val="1318492B"/>
    <w:rsid w:val="13195D86"/>
    <w:rsid w:val="133415D2"/>
    <w:rsid w:val="13390EFF"/>
    <w:rsid w:val="134659BB"/>
    <w:rsid w:val="13534D6F"/>
    <w:rsid w:val="135D699C"/>
    <w:rsid w:val="1362355A"/>
    <w:rsid w:val="136B46BF"/>
    <w:rsid w:val="13860D94"/>
    <w:rsid w:val="13863BCF"/>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7507C2"/>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435B9A"/>
    <w:rsid w:val="17481711"/>
    <w:rsid w:val="17530278"/>
    <w:rsid w:val="1770488D"/>
    <w:rsid w:val="177251DB"/>
    <w:rsid w:val="179F403B"/>
    <w:rsid w:val="17B46DA6"/>
    <w:rsid w:val="17E07B23"/>
    <w:rsid w:val="17F04282"/>
    <w:rsid w:val="181D21AB"/>
    <w:rsid w:val="18241EFA"/>
    <w:rsid w:val="182551D2"/>
    <w:rsid w:val="18302625"/>
    <w:rsid w:val="183C5221"/>
    <w:rsid w:val="184B770B"/>
    <w:rsid w:val="188056B2"/>
    <w:rsid w:val="1887731B"/>
    <w:rsid w:val="18A312F5"/>
    <w:rsid w:val="18A71570"/>
    <w:rsid w:val="18AF5EEB"/>
    <w:rsid w:val="18B06992"/>
    <w:rsid w:val="18BF29A5"/>
    <w:rsid w:val="18C43019"/>
    <w:rsid w:val="18D07C10"/>
    <w:rsid w:val="18D95C4B"/>
    <w:rsid w:val="18E13BCB"/>
    <w:rsid w:val="18E33521"/>
    <w:rsid w:val="18EB67F8"/>
    <w:rsid w:val="18FA4C8D"/>
    <w:rsid w:val="18FF7748"/>
    <w:rsid w:val="19133920"/>
    <w:rsid w:val="19296091"/>
    <w:rsid w:val="193C34F7"/>
    <w:rsid w:val="19526877"/>
    <w:rsid w:val="196C36C2"/>
    <w:rsid w:val="19733208"/>
    <w:rsid w:val="1978271D"/>
    <w:rsid w:val="197E7B00"/>
    <w:rsid w:val="19933B34"/>
    <w:rsid w:val="19A90B8D"/>
    <w:rsid w:val="19C96DDB"/>
    <w:rsid w:val="19CD084B"/>
    <w:rsid w:val="19CF01B9"/>
    <w:rsid w:val="19DC46F7"/>
    <w:rsid w:val="19DE34A8"/>
    <w:rsid w:val="19E52623"/>
    <w:rsid w:val="19EF2318"/>
    <w:rsid w:val="19FA6457"/>
    <w:rsid w:val="19FB3754"/>
    <w:rsid w:val="1A045DC3"/>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A71C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821221"/>
    <w:rsid w:val="1CCB47C0"/>
    <w:rsid w:val="1CE27F12"/>
    <w:rsid w:val="1CF3330B"/>
    <w:rsid w:val="1D0B3F40"/>
    <w:rsid w:val="1D0C2883"/>
    <w:rsid w:val="1D1F4CC2"/>
    <w:rsid w:val="1D2624F4"/>
    <w:rsid w:val="1D2642A2"/>
    <w:rsid w:val="1D3B1144"/>
    <w:rsid w:val="1D44297A"/>
    <w:rsid w:val="1D4E4561"/>
    <w:rsid w:val="1D703128"/>
    <w:rsid w:val="1D7C5FBA"/>
    <w:rsid w:val="1D807E56"/>
    <w:rsid w:val="1D81336E"/>
    <w:rsid w:val="1D8B67FB"/>
    <w:rsid w:val="1D9F19C4"/>
    <w:rsid w:val="1DA575B0"/>
    <w:rsid w:val="1DAF24EA"/>
    <w:rsid w:val="1DB375C5"/>
    <w:rsid w:val="1DB46449"/>
    <w:rsid w:val="1DBC69B5"/>
    <w:rsid w:val="1DC332DD"/>
    <w:rsid w:val="1DDB0E18"/>
    <w:rsid w:val="1DE80C95"/>
    <w:rsid w:val="1DEF6D8A"/>
    <w:rsid w:val="1E061E25"/>
    <w:rsid w:val="1E226345"/>
    <w:rsid w:val="1E37428D"/>
    <w:rsid w:val="1E384EE7"/>
    <w:rsid w:val="1E3A6C06"/>
    <w:rsid w:val="1E424E8A"/>
    <w:rsid w:val="1E5B441F"/>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412ACD"/>
    <w:rsid w:val="1F703EFB"/>
    <w:rsid w:val="1F717B90"/>
    <w:rsid w:val="1F896D6A"/>
    <w:rsid w:val="1FA51C58"/>
    <w:rsid w:val="1FA7649E"/>
    <w:rsid w:val="1FBE7B22"/>
    <w:rsid w:val="1FCD4EA9"/>
    <w:rsid w:val="1FF02C39"/>
    <w:rsid w:val="20061562"/>
    <w:rsid w:val="200A2B6F"/>
    <w:rsid w:val="200A7EAB"/>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9C4E4A"/>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71138CD"/>
    <w:rsid w:val="271703C5"/>
    <w:rsid w:val="27351CB2"/>
    <w:rsid w:val="27361586"/>
    <w:rsid w:val="27392E24"/>
    <w:rsid w:val="27483067"/>
    <w:rsid w:val="275163C0"/>
    <w:rsid w:val="2753038A"/>
    <w:rsid w:val="275B5309"/>
    <w:rsid w:val="27675BE3"/>
    <w:rsid w:val="277D1B2D"/>
    <w:rsid w:val="27802801"/>
    <w:rsid w:val="27835FFC"/>
    <w:rsid w:val="27914A0E"/>
    <w:rsid w:val="2794279E"/>
    <w:rsid w:val="279E7050"/>
    <w:rsid w:val="27A466B8"/>
    <w:rsid w:val="27AF6D80"/>
    <w:rsid w:val="27B0198F"/>
    <w:rsid w:val="27B92AB7"/>
    <w:rsid w:val="27D43FB1"/>
    <w:rsid w:val="27DE552A"/>
    <w:rsid w:val="27E022D4"/>
    <w:rsid w:val="27E234BC"/>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C71CA"/>
    <w:rsid w:val="28F7242D"/>
    <w:rsid w:val="290B259E"/>
    <w:rsid w:val="291D0C4F"/>
    <w:rsid w:val="2924258A"/>
    <w:rsid w:val="29274E04"/>
    <w:rsid w:val="292E22E0"/>
    <w:rsid w:val="293F46A3"/>
    <w:rsid w:val="296D1EE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C3312"/>
    <w:rsid w:val="2AC50660"/>
    <w:rsid w:val="2ACE42A1"/>
    <w:rsid w:val="2AD156A5"/>
    <w:rsid w:val="2AD73080"/>
    <w:rsid w:val="2AE44BDB"/>
    <w:rsid w:val="2AFA0B1C"/>
    <w:rsid w:val="2B1334DC"/>
    <w:rsid w:val="2B1505A0"/>
    <w:rsid w:val="2B165951"/>
    <w:rsid w:val="2B165956"/>
    <w:rsid w:val="2B214434"/>
    <w:rsid w:val="2B3559A3"/>
    <w:rsid w:val="2B3B716B"/>
    <w:rsid w:val="2B471B7C"/>
    <w:rsid w:val="2B4E474F"/>
    <w:rsid w:val="2B553EE9"/>
    <w:rsid w:val="2B674404"/>
    <w:rsid w:val="2B6E1B3C"/>
    <w:rsid w:val="2B801021"/>
    <w:rsid w:val="2B8E1990"/>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0A773C"/>
    <w:rsid w:val="2D2A52C6"/>
    <w:rsid w:val="2D4D7629"/>
    <w:rsid w:val="2D880661"/>
    <w:rsid w:val="2D8F1DD6"/>
    <w:rsid w:val="2D915A33"/>
    <w:rsid w:val="2D954534"/>
    <w:rsid w:val="2D9800A5"/>
    <w:rsid w:val="2DC3712A"/>
    <w:rsid w:val="2DE171DF"/>
    <w:rsid w:val="2DEF1551"/>
    <w:rsid w:val="2E0200C9"/>
    <w:rsid w:val="2E24482E"/>
    <w:rsid w:val="2E3507E9"/>
    <w:rsid w:val="2E3C6ABB"/>
    <w:rsid w:val="2E4345B4"/>
    <w:rsid w:val="2E5A3DAC"/>
    <w:rsid w:val="2E5D53FD"/>
    <w:rsid w:val="2E61599C"/>
    <w:rsid w:val="2E6332CF"/>
    <w:rsid w:val="2E6E7857"/>
    <w:rsid w:val="2E7D7A9A"/>
    <w:rsid w:val="2EA63495"/>
    <w:rsid w:val="2EBA0298"/>
    <w:rsid w:val="2EBF09B3"/>
    <w:rsid w:val="2ED22F7C"/>
    <w:rsid w:val="2ED73784"/>
    <w:rsid w:val="2EDF3673"/>
    <w:rsid w:val="2EE213C2"/>
    <w:rsid w:val="2EFC30B5"/>
    <w:rsid w:val="2F0529C7"/>
    <w:rsid w:val="2F0B32F8"/>
    <w:rsid w:val="2F275F5D"/>
    <w:rsid w:val="2F486989"/>
    <w:rsid w:val="2F4C403D"/>
    <w:rsid w:val="2F653004"/>
    <w:rsid w:val="2F684953"/>
    <w:rsid w:val="2F8135BA"/>
    <w:rsid w:val="2F8D622E"/>
    <w:rsid w:val="2F9037FD"/>
    <w:rsid w:val="2F917CA1"/>
    <w:rsid w:val="2F982E42"/>
    <w:rsid w:val="2FCB7EDC"/>
    <w:rsid w:val="2FD951A4"/>
    <w:rsid w:val="2FDB7940"/>
    <w:rsid w:val="2FE60F0B"/>
    <w:rsid w:val="2FFE3400"/>
    <w:rsid w:val="300541EB"/>
    <w:rsid w:val="301B0290"/>
    <w:rsid w:val="303C4D07"/>
    <w:rsid w:val="306461F7"/>
    <w:rsid w:val="30647164"/>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7118EE"/>
    <w:rsid w:val="31794E91"/>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865643"/>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930DB"/>
    <w:rsid w:val="353B59DD"/>
    <w:rsid w:val="35534E88"/>
    <w:rsid w:val="355A32BB"/>
    <w:rsid w:val="35633752"/>
    <w:rsid w:val="3569521C"/>
    <w:rsid w:val="357C6CFE"/>
    <w:rsid w:val="35823489"/>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0217B"/>
    <w:rsid w:val="36673AC2"/>
    <w:rsid w:val="367E2EED"/>
    <w:rsid w:val="3683401A"/>
    <w:rsid w:val="369D7707"/>
    <w:rsid w:val="36AB2FBA"/>
    <w:rsid w:val="36C3270A"/>
    <w:rsid w:val="3701395E"/>
    <w:rsid w:val="370C175D"/>
    <w:rsid w:val="371448CE"/>
    <w:rsid w:val="371D2877"/>
    <w:rsid w:val="372A0A3B"/>
    <w:rsid w:val="372A4537"/>
    <w:rsid w:val="373C4996"/>
    <w:rsid w:val="374A1E98"/>
    <w:rsid w:val="37533C0B"/>
    <w:rsid w:val="375F68D7"/>
    <w:rsid w:val="37794D4F"/>
    <w:rsid w:val="37A02925"/>
    <w:rsid w:val="37B3277F"/>
    <w:rsid w:val="37B34CA4"/>
    <w:rsid w:val="37BD7469"/>
    <w:rsid w:val="37D9327F"/>
    <w:rsid w:val="37E93A81"/>
    <w:rsid w:val="37F75EE1"/>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D2116E"/>
    <w:rsid w:val="3AF37A62"/>
    <w:rsid w:val="3AF61300"/>
    <w:rsid w:val="3AFB6916"/>
    <w:rsid w:val="3AFD73E8"/>
    <w:rsid w:val="3B0529DF"/>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A1704A"/>
    <w:rsid w:val="3CAF5C0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1A3557"/>
    <w:rsid w:val="3E212D16"/>
    <w:rsid w:val="3E24689A"/>
    <w:rsid w:val="3E557A55"/>
    <w:rsid w:val="3E5D2794"/>
    <w:rsid w:val="3E612F34"/>
    <w:rsid w:val="3E8134BC"/>
    <w:rsid w:val="3E864749"/>
    <w:rsid w:val="3E8D1F7B"/>
    <w:rsid w:val="3E9073D3"/>
    <w:rsid w:val="3EAC582F"/>
    <w:rsid w:val="3EC80F65"/>
    <w:rsid w:val="3ED35D96"/>
    <w:rsid w:val="3EE0310F"/>
    <w:rsid w:val="3F192FDE"/>
    <w:rsid w:val="3F21764F"/>
    <w:rsid w:val="3F270382"/>
    <w:rsid w:val="3F4D34B9"/>
    <w:rsid w:val="3F5C61BC"/>
    <w:rsid w:val="3F5F1836"/>
    <w:rsid w:val="3F7E18C4"/>
    <w:rsid w:val="3F821E5A"/>
    <w:rsid w:val="3F826617"/>
    <w:rsid w:val="3F882148"/>
    <w:rsid w:val="3FAD5B09"/>
    <w:rsid w:val="3FAF5707"/>
    <w:rsid w:val="3FD61700"/>
    <w:rsid w:val="3FD85683"/>
    <w:rsid w:val="3FF130F6"/>
    <w:rsid w:val="3FF878C8"/>
    <w:rsid w:val="3FFA5B87"/>
    <w:rsid w:val="3FFF6096"/>
    <w:rsid w:val="40044B90"/>
    <w:rsid w:val="40153FD6"/>
    <w:rsid w:val="402042D4"/>
    <w:rsid w:val="40273D0A"/>
    <w:rsid w:val="40310071"/>
    <w:rsid w:val="4045485F"/>
    <w:rsid w:val="405640FA"/>
    <w:rsid w:val="4081166C"/>
    <w:rsid w:val="40975D69"/>
    <w:rsid w:val="40A01D3A"/>
    <w:rsid w:val="40C652D1"/>
    <w:rsid w:val="40C92CD2"/>
    <w:rsid w:val="40EE1315"/>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14A7E"/>
    <w:rsid w:val="43923B90"/>
    <w:rsid w:val="43A4707C"/>
    <w:rsid w:val="43D67B4D"/>
    <w:rsid w:val="43DF0926"/>
    <w:rsid w:val="43F15324"/>
    <w:rsid w:val="440B706C"/>
    <w:rsid w:val="44110F59"/>
    <w:rsid w:val="441A605F"/>
    <w:rsid w:val="441D70DF"/>
    <w:rsid w:val="441E176A"/>
    <w:rsid w:val="441F5424"/>
    <w:rsid w:val="44204C51"/>
    <w:rsid w:val="44292D63"/>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36DDF"/>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C439A8"/>
    <w:rsid w:val="46CE7995"/>
    <w:rsid w:val="46D7323F"/>
    <w:rsid w:val="46E0501A"/>
    <w:rsid w:val="46FC1214"/>
    <w:rsid w:val="47021DBA"/>
    <w:rsid w:val="471F2FD5"/>
    <w:rsid w:val="47484C91"/>
    <w:rsid w:val="475278BE"/>
    <w:rsid w:val="475C698F"/>
    <w:rsid w:val="475D3DAD"/>
    <w:rsid w:val="47705F96"/>
    <w:rsid w:val="479C5383"/>
    <w:rsid w:val="479F646B"/>
    <w:rsid w:val="47A3636C"/>
    <w:rsid w:val="47A56FB4"/>
    <w:rsid w:val="47AD7CF1"/>
    <w:rsid w:val="47B9547A"/>
    <w:rsid w:val="47D67F88"/>
    <w:rsid w:val="47F20CC9"/>
    <w:rsid w:val="4803505C"/>
    <w:rsid w:val="480831B5"/>
    <w:rsid w:val="480D66CD"/>
    <w:rsid w:val="480F105A"/>
    <w:rsid w:val="48194880"/>
    <w:rsid w:val="481A5421"/>
    <w:rsid w:val="482849BA"/>
    <w:rsid w:val="48286871"/>
    <w:rsid w:val="483D056E"/>
    <w:rsid w:val="483F2BC9"/>
    <w:rsid w:val="485A1120"/>
    <w:rsid w:val="48A7549C"/>
    <w:rsid w:val="48B545A9"/>
    <w:rsid w:val="48BA15B1"/>
    <w:rsid w:val="48D273AC"/>
    <w:rsid w:val="48D76D49"/>
    <w:rsid w:val="48E97759"/>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6565"/>
    <w:rsid w:val="4A7B66E4"/>
    <w:rsid w:val="4A7D5113"/>
    <w:rsid w:val="4A7F4FCB"/>
    <w:rsid w:val="4A812A30"/>
    <w:rsid w:val="4A89523C"/>
    <w:rsid w:val="4AA64DBF"/>
    <w:rsid w:val="4AAA6714"/>
    <w:rsid w:val="4AB019AF"/>
    <w:rsid w:val="4AB60164"/>
    <w:rsid w:val="4AC54E91"/>
    <w:rsid w:val="4AD5154D"/>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A961D2"/>
    <w:rsid w:val="4CBD2C33"/>
    <w:rsid w:val="4CBD4A44"/>
    <w:rsid w:val="4CD40D75"/>
    <w:rsid w:val="4CDE3815"/>
    <w:rsid w:val="4CED2983"/>
    <w:rsid w:val="4D0D2958"/>
    <w:rsid w:val="4D145493"/>
    <w:rsid w:val="4D16313C"/>
    <w:rsid w:val="4D2D4855"/>
    <w:rsid w:val="4D393332"/>
    <w:rsid w:val="4D3B01A7"/>
    <w:rsid w:val="4D4746C5"/>
    <w:rsid w:val="4D4D1254"/>
    <w:rsid w:val="4D5A74CD"/>
    <w:rsid w:val="4D6759FB"/>
    <w:rsid w:val="4D6E3517"/>
    <w:rsid w:val="4DB14B03"/>
    <w:rsid w:val="4DB639B0"/>
    <w:rsid w:val="4DB7491F"/>
    <w:rsid w:val="4DE70682"/>
    <w:rsid w:val="4DF53699"/>
    <w:rsid w:val="4DFD50C1"/>
    <w:rsid w:val="4E2B70BB"/>
    <w:rsid w:val="4E4645AE"/>
    <w:rsid w:val="4E467A51"/>
    <w:rsid w:val="4E496865"/>
    <w:rsid w:val="4E524648"/>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9D7B44"/>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B95E75"/>
    <w:rsid w:val="50C54952"/>
    <w:rsid w:val="50CA6916"/>
    <w:rsid w:val="50CD6207"/>
    <w:rsid w:val="51015649"/>
    <w:rsid w:val="51034416"/>
    <w:rsid w:val="510A745C"/>
    <w:rsid w:val="512151F2"/>
    <w:rsid w:val="512656C9"/>
    <w:rsid w:val="5139564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6353C"/>
    <w:rsid w:val="51F87B88"/>
    <w:rsid w:val="520B6FE7"/>
    <w:rsid w:val="520D0FB1"/>
    <w:rsid w:val="521142C4"/>
    <w:rsid w:val="5224097B"/>
    <w:rsid w:val="522508B8"/>
    <w:rsid w:val="52270DB8"/>
    <w:rsid w:val="5238556C"/>
    <w:rsid w:val="523E1BC7"/>
    <w:rsid w:val="523F6E00"/>
    <w:rsid w:val="524B22B7"/>
    <w:rsid w:val="52692D61"/>
    <w:rsid w:val="527728CF"/>
    <w:rsid w:val="528172AA"/>
    <w:rsid w:val="52A636F2"/>
    <w:rsid w:val="52B256B5"/>
    <w:rsid w:val="52B8492E"/>
    <w:rsid w:val="52CD201A"/>
    <w:rsid w:val="52DB316A"/>
    <w:rsid w:val="52DF5523"/>
    <w:rsid w:val="52F1442F"/>
    <w:rsid w:val="52F21F55"/>
    <w:rsid w:val="530C01BA"/>
    <w:rsid w:val="530F02BC"/>
    <w:rsid w:val="53130F14"/>
    <w:rsid w:val="53191BD8"/>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7E1"/>
    <w:rsid w:val="544D7D8B"/>
    <w:rsid w:val="5456472A"/>
    <w:rsid w:val="54667951"/>
    <w:rsid w:val="548C1FAB"/>
    <w:rsid w:val="549E4143"/>
    <w:rsid w:val="54B5148C"/>
    <w:rsid w:val="54E63064"/>
    <w:rsid w:val="54F41028"/>
    <w:rsid w:val="54F75F49"/>
    <w:rsid w:val="54FE72D7"/>
    <w:rsid w:val="550F5D8E"/>
    <w:rsid w:val="552F326D"/>
    <w:rsid w:val="55376345"/>
    <w:rsid w:val="553D5D3A"/>
    <w:rsid w:val="554D7917"/>
    <w:rsid w:val="55632972"/>
    <w:rsid w:val="55663533"/>
    <w:rsid w:val="556F6CD4"/>
    <w:rsid w:val="5577790D"/>
    <w:rsid w:val="558B0806"/>
    <w:rsid w:val="55944949"/>
    <w:rsid w:val="559C154A"/>
    <w:rsid w:val="55A21094"/>
    <w:rsid w:val="55B24181"/>
    <w:rsid w:val="55B96238"/>
    <w:rsid w:val="560501F2"/>
    <w:rsid w:val="560B3A5A"/>
    <w:rsid w:val="561548D9"/>
    <w:rsid w:val="561A5A4B"/>
    <w:rsid w:val="564447FE"/>
    <w:rsid w:val="56466840"/>
    <w:rsid w:val="565467A5"/>
    <w:rsid w:val="56644224"/>
    <w:rsid w:val="566559D7"/>
    <w:rsid w:val="5666680E"/>
    <w:rsid w:val="5669634B"/>
    <w:rsid w:val="56735DD8"/>
    <w:rsid w:val="567A473C"/>
    <w:rsid w:val="5685797A"/>
    <w:rsid w:val="568C1A21"/>
    <w:rsid w:val="569F4D37"/>
    <w:rsid w:val="56AB2F3F"/>
    <w:rsid w:val="56C42FEC"/>
    <w:rsid w:val="56DE34AA"/>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F0946"/>
    <w:rsid w:val="58075B26"/>
    <w:rsid w:val="580A355F"/>
    <w:rsid w:val="58127ED2"/>
    <w:rsid w:val="58172F6B"/>
    <w:rsid w:val="58281E5B"/>
    <w:rsid w:val="582C247D"/>
    <w:rsid w:val="583D29A8"/>
    <w:rsid w:val="58406187"/>
    <w:rsid w:val="584E614D"/>
    <w:rsid w:val="58537A63"/>
    <w:rsid w:val="58643CC2"/>
    <w:rsid w:val="588075E9"/>
    <w:rsid w:val="588C2AEC"/>
    <w:rsid w:val="58975A79"/>
    <w:rsid w:val="58A81A34"/>
    <w:rsid w:val="58CA7BFC"/>
    <w:rsid w:val="58CF5213"/>
    <w:rsid w:val="58E83887"/>
    <w:rsid w:val="58F90DE0"/>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2DFF"/>
    <w:rsid w:val="5A8156DE"/>
    <w:rsid w:val="5A955FE8"/>
    <w:rsid w:val="5AAD1584"/>
    <w:rsid w:val="5ADF3707"/>
    <w:rsid w:val="5AE3249E"/>
    <w:rsid w:val="5AE56545"/>
    <w:rsid w:val="5AE57473"/>
    <w:rsid w:val="5AE92129"/>
    <w:rsid w:val="5AF102AB"/>
    <w:rsid w:val="5B163201"/>
    <w:rsid w:val="5B1A473F"/>
    <w:rsid w:val="5B2E3D47"/>
    <w:rsid w:val="5B37709F"/>
    <w:rsid w:val="5B6149A2"/>
    <w:rsid w:val="5B636D7E"/>
    <w:rsid w:val="5B7A6DEA"/>
    <w:rsid w:val="5B7E6A7C"/>
    <w:rsid w:val="5BA20303"/>
    <w:rsid w:val="5BB26726"/>
    <w:rsid w:val="5BB701E0"/>
    <w:rsid w:val="5BB926FC"/>
    <w:rsid w:val="5BF54320"/>
    <w:rsid w:val="5C1633F6"/>
    <w:rsid w:val="5C246971"/>
    <w:rsid w:val="5C4867F4"/>
    <w:rsid w:val="5C49715E"/>
    <w:rsid w:val="5C6737F1"/>
    <w:rsid w:val="5C8F5ED1"/>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33611"/>
    <w:rsid w:val="5DE50E0B"/>
    <w:rsid w:val="5DEA03F9"/>
    <w:rsid w:val="5DEB5F1F"/>
    <w:rsid w:val="5DEB608F"/>
    <w:rsid w:val="5E0266B8"/>
    <w:rsid w:val="5E211941"/>
    <w:rsid w:val="5E2719AF"/>
    <w:rsid w:val="5E2C7B5F"/>
    <w:rsid w:val="5E324CBD"/>
    <w:rsid w:val="5E37388C"/>
    <w:rsid w:val="5E386485"/>
    <w:rsid w:val="5E49652D"/>
    <w:rsid w:val="5E55621E"/>
    <w:rsid w:val="5E556A51"/>
    <w:rsid w:val="5E6C7060"/>
    <w:rsid w:val="5EA7453C"/>
    <w:rsid w:val="5EAE0F71"/>
    <w:rsid w:val="5ED27BE1"/>
    <w:rsid w:val="5ED35BB4"/>
    <w:rsid w:val="5ED75612"/>
    <w:rsid w:val="5F1E2A19"/>
    <w:rsid w:val="5F1F1B33"/>
    <w:rsid w:val="5F2136D8"/>
    <w:rsid w:val="5F2D0AE0"/>
    <w:rsid w:val="5F432EF8"/>
    <w:rsid w:val="5F47659C"/>
    <w:rsid w:val="5F4D7ADC"/>
    <w:rsid w:val="5F526256"/>
    <w:rsid w:val="5F5433E2"/>
    <w:rsid w:val="5F555D46"/>
    <w:rsid w:val="5F5B16CF"/>
    <w:rsid w:val="5F765539"/>
    <w:rsid w:val="5F7E529D"/>
    <w:rsid w:val="5FB40CBE"/>
    <w:rsid w:val="5FC2239B"/>
    <w:rsid w:val="5FCA04E2"/>
    <w:rsid w:val="5FDF1F8A"/>
    <w:rsid w:val="5FE356A8"/>
    <w:rsid w:val="5FF40024"/>
    <w:rsid w:val="602676E1"/>
    <w:rsid w:val="602E4F74"/>
    <w:rsid w:val="603418A5"/>
    <w:rsid w:val="60366D51"/>
    <w:rsid w:val="604D4C6F"/>
    <w:rsid w:val="606002D2"/>
    <w:rsid w:val="607628FE"/>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92960"/>
    <w:rsid w:val="615A5A4D"/>
    <w:rsid w:val="616557BB"/>
    <w:rsid w:val="6166248C"/>
    <w:rsid w:val="61692624"/>
    <w:rsid w:val="61706E67"/>
    <w:rsid w:val="61AC41D6"/>
    <w:rsid w:val="61D70DF9"/>
    <w:rsid w:val="61D77A00"/>
    <w:rsid w:val="61EE148D"/>
    <w:rsid w:val="621B3277"/>
    <w:rsid w:val="6228211F"/>
    <w:rsid w:val="6229771A"/>
    <w:rsid w:val="622C555D"/>
    <w:rsid w:val="623B7475"/>
    <w:rsid w:val="624D53FA"/>
    <w:rsid w:val="625E7607"/>
    <w:rsid w:val="626478C2"/>
    <w:rsid w:val="626529F4"/>
    <w:rsid w:val="626C4988"/>
    <w:rsid w:val="6285051F"/>
    <w:rsid w:val="62854B94"/>
    <w:rsid w:val="62922E0D"/>
    <w:rsid w:val="62C610B8"/>
    <w:rsid w:val="62E224E8"/>
    <w:rsid w:val="62F13FD7"/>
    <w:rsid w:val="62FE497B"/>
    <w:rsid w:val="62FF03D9"/>
    <w:rsid w:val="62FF64C2"/>
    <w:rsid w:val="63057A83"/>
    <w:rsid w:val="630E4B89"/>
    <w:rsid w:val="633345F0"/>
    <w:rsid w:val="63352116"/>
    <w:rsid w:val="63377DE5"/>
    <w:rsid w:val="633B5253"/>
    <w:rsid w:val="633C769A"/>
    <w:rsid w:val="63452A53"/>
    <w:rsid w:val="63485127"/>
    <w:rsid w:val="635B58F5"/>
    <w:rsid w:val="63696264"/>
    <w:rsid w:val="637531A0"/>
    <w:rsid w:val="63966FB4"/>
    <w:rsid w:val="63973036"/>
    <w:rsid w:val="639B6291"/>
    <w:rsid w:val="639C2D33"/>
    <w:rsid w:val="63A105E6"/>
    <w:rsid w:val="63A11B51"/>
    <w:rsid w:val="63AD6150"/>
    <w:rsid w:val="63C416EC"/>
    <w:rsid w:val="63C96D02"/>
    <w:rsid w:val="63D36046"/>
    <w:rsid w:val="63D6255C"/>
    <w:rsid w:val="63E61F5F"/>
    <w:rsid w:val="63F00811"/>
    <w:rsid w:val="63F657AA"/>
    <w:rsid w:val="64065861"/>
    <w:rsid w:val="64144421"/>
    <w:rsid w:val="643A7DF2"/>
    <w:rsid w:val="644D7933"/>
    <w:rsid w:val="645152C2"/>
    <w:rsid w:val="64607667"/>
    <w:rsid w:val="64800394"/>
    <w:rsid w:val="648814BB"/>
    <w:rsid w:val="64975171"/>
    <w:rsid w:val="64A15589"/>
    <w:rsid w:val="64AA0614"/>
    <w:rsid w:val="64AB4ABB"/>
    <w:rsid w:val="64BE5FF1"/>
    <w:rsid w:val="64C549E2"/>
    <w:rsid w:val="64D4770D"/>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8D3AA7"/>
    <w:rsid w:val="668D6304"/>
    <w:rsid w:val="669C6028"/>
    <w:rsid w:val="669F0689"/>
    <w:rsid w:val="669F53E8"/>
    <w:rsid w:val="66A87A0F"/>
    <w:rsid w:val="66B20509"/>
    <w:rsid w:val="66C50541"/>
    <w:rsid w:val="66C509D5"/>
    <w:rsid w:val="66DA2CB3"/>
    <w:rsid w:val="66ED5E0C"/>
    <w:rsid w:val="66F40793"/>
    <w:rsid w:val="6717038D"/>
    <w:rsid w:val="671706D3"/>
    <w:rsid w:val="67286A44"/>
    <w:rsid w:val="672F48CC"/>
    <w:rsid w:val="6730396A"/>
    <w:rsid w:val="67346B89"/>
    <w:rsid w:val="6739419F"/>
    <w:rsid w:val="6751773B"/>
    <w:rsid w:val="6760797E"/>
    <w:rsid w:val="67801EB9"/>
    <w:rsid w:val="67A71109"/>
    <w:rsid w:val="67C76B2D"/>
    <w:rsid w:val="67CE0D8B"/>
    <w:rsid w:val="67EE2A60"/>
    <w:rsid w:val="68036CFD"/>
    <w:rsid w:val="681A38D9"/>
    <w:rsid w:val="68324E76"/>
    <w:rsid w:val="6839795B"/>
    <w:rsid w:val="683E5252"/>
    <w:rsid w:val="68456C28"/>
    <w:rsid w:val="684B5F38"/>
    <w:rsid w:val="684C67E9"/>
    <w:rsid w:val="685118DE"/>
    <w:rsid w:val="685E101E"/>
    <w:rsid w:val="68702AEA"/>
    <w:rsid w:val="688233FF"/>
    <w:rsid w:val="68883E6D"/>
    <w:rsid w:val="68AD6BF3"/>
    <w:rsid w:val="68B7537B"/>
    <w:rsid w:val="68D56A00"/>
    <w:rsid w:val="68DA1F54"/>
    <w:rsid w:val="68EB078F"/>
    <w:rsid w:val="691D1B71"/>
    <w:rsid w:val="69280C5E"/>
    <w:rsid w:val="693115D2"/>
    <w:rsid w:val="693A3226"/>
    <w:rsid w:val="693E4935"/>
    <w:rsid w:val="694A2693"/>
    <w:rsid w:val="694D54E1"/>
    <w:rsid w:val="699944EC"/>
    <w:rsid w:val="69995724"/>
    <w:rsid w:val="69B31FE7"/>
    <w:rsid w:val="69B47EE5"/>
    <w:rsid w:val="69C4686C"/>
    <w:rsid w:val="69CE0ADD"/>
    <w:rsid w:val="6A176F2F"/>
    <w:rsid w:val="6A23687A"/>
    <w:rsid w:val="6A240036"/>
    <w:rsid w:val="6A3550F2"/>
    <w:rsid w:val="6A372756"/>
    <w:rsid w:val="6A3B19C7"/>
    <w:rsid w:val="6A4B20C8"/>
    <w:rsid w:val="6A4B5F33"/>
    <w:rsid w:val="6A577BBA"/>
    <w:rsid w:val="6A590439"/>
    <w:rsid w:val="6A597D4C"/>
    <w:rsid w:val="6A680FC7"/>
    <w:rsid w:val="6A880A74"/>
    <w:rsid w:val="6A942216"/>
    <w:rsid w:val="6A9B0075"/>
    <w:rsid w:val="6AB57FE0"/>
    <w:rsid w:val="6AC51D73"/>
    <w:rsid w:val="6AC82C33"/>
    <w:rsid w:val="6AD67F71"/>
    <w:rsid w:val="6AE213F9"/>
    <w:rsid w:val="6AE83EB9"/>
    <w:rsid w:val="6AE85CC0"/>
    <w:rsid w:val="6AF7771D"/>
    <w:rsid w:val="6B036F9E"/>
    <w:rsid w:val="6B105217"/>
    <w:rsid w:val="6B2F7A95"/>
    <w:rsid w:val="6B311795"/>
    <w:rsid w:val="6B4D0219"/>
    <w:rsid w:val="6BA17867"/>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2F6D0B"/>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EEF1D13"/>
    <w:rsid w:val="6F003A11"/>
    <w:rsid w:val="6F0230C8"/>
    <w:rsid w:val="6F0A08FB"/>
    <w:rsid w:val="6F153111"/>
    <w:rsid w:val="6F2474E3"/>
    <w:rsid w:val="6F3B3D99"/>
    <w:rsid w:val="6F415A91"/>
    <w:rsid w:val="6F5479EB"/>
    <w:rsid w:val="6F5558BD"/>
    <w:rsid w:val="6F5C177F"/>
    <w:rsid w:val="6F5E47A3"/>
    <w:rsid w:val="6F622446"/>
    <w:rsid w:val="6F6373A3"/>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282B5C"/>
    <w:rsid w:val="702F13E2"/>
    <w:rsid w:val="70335C2F"/>
    <w:rsid w:val="70476FEF"/>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EA67C2"/>
    <w:rsid w:val="71F650B9"/>
    <w:rsid w:val="71FB277D"/>
    <w:rsid w:val="720F6001"/>
    <w:rsid w:val="72473CB6"/>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8629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9A22AD"/>
    <w:rsid w:val="75D35377"/>
    <w:rsid w:val="75F93477"/>
    <w:rsid w:val="76063D02"/>
    <w:rsid w:val="760B3E0F"/>
    <w:rsid w:val="7631116A"/>
    <w:rsid w:val="76312C11"/>
    <w:rsid w:val="76345B3A"/>
    <w:rsid w:val="76432C97"/>
    <w:rsid w:val="764346F2"/>
    <w:rsid w:val="76454D95"/>
    <w:rsid w:val="766528BB"/>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DF00CF"/>
    <w:rsid w:val="78E57CE3"/>
    <w:rsid w:val="78E72828"/>
    <w:rsid w:val="78EA7B9F"/>
    <w:rsid w:val="79224F56"/>
    <w:rsid w:val="79336CA0"/>
    <w:rsid w:val="793A7966"/>
    <w:rsid w:val="793B1C09"/>
    <w:rsid w:val="7947274B"/>
    <w:rsid w:val="79526D7F"/>
    <w:rsid w:val="79BA79F3"/>
    <w:rsid w:val="79BB215E"/>
    <w:rsid w:val="79CE4C1B"/>
    <w:rsid w:val="79D87646"/>
    <w:rsid w:val="79E82BC7"/>
    <w:rsid w:val="7A1067EC"/>
    <w:rsid w:val="7A192CE7"/>
    <w:rsid w:val="7A2E2EA3"/>
    <w:rsid w:val="7A3007C8"/>
    <w:rsid w:val="7A3231AD"/>
    <w:rsid w:val="7A4A77F3"/>
    <w:rsid w:val="7A5A72EE"/>
    <w:rsid w:val="7A6169E0"/>
    <w:rsid w:val="7A844288"/>
    <w:rsid w:val="7AA02113"/>
    <w:rsid w:val="7AA105A4"/>
    <w:rsid w:val="7AA82540"/>
    <w:rsid w:val="7AB931D5"/>
    <w:rsid w:val="7ADC02AF"/>
    <w:rsid w:val="7AE56AF0"/>
    <w:rsid w:val="7B002DC3"/>
    <w:rsid w:val="7B080E99"/>
    <w:rsid w:val="7B0C23FF"/>
    <w:rsid w:val="7B110428"/>
    <w:rsid w:val="7B113011"/>
    <w:rsid w:val="7B205002"/>
    <w:rsid w:val="7B220D7A"/>
    <w:rsid w:val="7B2F5349"/>
    <w:rsid w:val="7B5666FB"/>
    <w:rsid w:val="7B5C232E"/>
    <w:rsid w:val="7B5E12BB"/>
    <w:rsid w:val="7B637C47"/>
    <w:rsid w:val="7B780AEF"/>
    <w:rsid w:val="7B845591"/>
    <w:rsid w:val="7BA43E85"/>
    <w:rsid w:val="7BAB6FC2"/>
    <w:rsid w:val="7BBF4208"/>
    <w:rsid w:val="7BC0312E"/>
    <w:rsid w:val="7BC62E25"/>
    <w:rsid w:val="7BD02203"/>
    <w:rsid w:val="7BD22006"/>
    <w:rsid w:val="7BE269EA"/>
    <w:rsid w:val="7BE349AD"/>
    <w:rsid w:val="7BEC6B07"/>
    <w:rsid w:val="7BFC0690"/>
    <w:rsid w:val="7BFE17E7"/>
    <w:rsid w:val="7C013085"/>
    <w:rsid w:val="7C0E2B1C"/>
    <w:rsid w:val="7C0E57A2"/>
    <w:rsid w:val="7C151079"/>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D13314E"/>
    <w:rsid w:val="7D230DDA"/>
    <w:rsid w:val="7D365DD8"/>
    <w:rsid w:val="7D3A23FC"/>
    <w:rsid w:val="7D4C0330"/>
    <w:rsid w:val="7D625FC7"/>
    <w:rsid w:val="7D650CA3"/>
    <w:rsid w:val="7D655104"/>
    <w:rsid w:val="7D6A0419"/>
    <w:rsid w:val="7D6B7727"/>
    <w:rsid w:val="7D7A5D33"/>
    <w:rsid w:val="7DA0242A"/>
    <w:rsid w:val="7DAE2D99"/>
    <w:rsid w:val="7DB12889"/>
    <w:rsid w:val="7DB52379"/>
    <w:rsid w:val="7DBC3708"/>
    <w:rsid w:val="7DD018F6"/>
    <w:rsid w:val="7DD4016C"/>
    <w:rsid w:val="7DEE5D3D"/>
    <w:rsid w:val="7E167D92"/>
    <w:rsid w:val="7E1A50EB"/>
    <w:rsid w:val="7E1D2CB4"/>
    <w:rsid w:val="7E222BD7"/>
    <w:rsid w:val="7E2412AD"/>
    <w:rsid w:val="7E24305B"/>
    <w:rsid w:val="7E290672"/>
    <w:rsid w:val="7E4266E2"/>
    <w:rsid w:val="7E576F8D"/>
    <w:rsid w:val="7E6C2A49"/>
    <w:rsid w:val="7E6D4A02"/>
    <w:rsid w:val="7E722A66"/>
    <w:rsid w:val="7E794FBB"/>
    <w:rsid w:val="7E806AA4"/>
    <w:rsid w:val="7E8F4979"/>
    <w:rsid w:val="7E9C305C"/>
    <w:rsid w:val="7EA06B86"/>
    <w:rsid w:val="7EA26042"/>
    <w:rsid w:val="7EAA17B2"/>
    <w:rsid w:val="7EAF6879"/>
    <w:rsid w:val="7EB45D48"/>
    <w:rsid w:val="7EC17031"/>
    <w:rsid w:val="7ECA2F01"/>
    <w:rsid w:val="7ED71E7C"/>
    <w:rsid w:val="7EDE2253"/>
    <w:rsid w:val="7EEA7E01"/>
    <w:rsid w:val="7F0417A2"/>
    <w:rsid w:val="7F360FA8"/>
    <w:rsid w:val="7F3D43D5"/>
    <w:rsid w:val="7F427C3D"/>
    <w:rsid w:val="7F517E80"/>
    <w:rsid w:val="7F565496"/>
    <w:rsid w:val="7F7211CD"/>
    <w:rsid w:val="7F8B3961"/>
    <w:rsid w:val="7F8F3102"/>
    <w:rsid w:val="7F912972"/>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6">
    <w:name w:val="Default Paragraph Font"/>
    <w:autoRedefine/>
    <w:semiHidden/>
    <w:qFormat/>
    <w:uiPriority w:val="0"/>
  </w:style>
  <w:style w:type="table" w:default="1" w:styleId="34">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pPr>
      <w:jc w:val="center"/>
    </w:pPr>
    <w:rPr>
      <w:rFonts w:ascii="Arial" w:hAnsi="Arial" w:eastAsia="Arial" w:cs="Arial"/>
      <w:b/>
      <w:bCs/>
      <w:sz w:val="28"/>
    </w:rPr>
  </w:style>
  <w:style w:type="paragraph" w:styleId="31">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2">
    <w:name w:val="annotation subject"/>
    <w:basedOn w:val="12"/>
    <w:next w:val="12"/>
    <w:link w:val="66"/>
    <w:autoRedefine/>
    <w:qFormat/>
    <w:uiPriority w:val="0"/>
    <w:rPr>
      <w:b/>
      <w:bCs/>
    </w:rPr>
  </w:style>
  <w:style w:type="paragraph" w:styleId="33">
    <w:name w:val="Body Text First Indent 2"/>
    <w:basedOn w:val="14"/>
    <w:next w:val="1"/>
    <w:link w:val="53"/>
    <w:autoRedefine/>
    <w:qFormat/>
    <w:uiPriority w:val="0"/>
    <w:pPr>
      <w:ind w:left="420" w:firstLine="420" w:firstLineChars="200"/>
    </w:pPr>
  </w:style>
  <w:style w:type="table" w:styleId="35">
    <w:name w:val="Table Grid"/>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autoRedefine/>
    <w:qFormat/>
    <w:uiPriority w:val="0"/>
    <w:rPr>
      <w:b/>
    </w:rPr>
  </w:style>
  <w:style w:type="character" w:styleId="38">
    <w:name w:val="page number"/>
    <w:basedOn w:val="36"/>
    <w:autoRedefine/>
    <w:qFormat/>
    <w:uiPriority w:val="0"/>
  </w:style>
  <w:style w:type="character" w:styleId="39">
    <w:name w:val="FollowedHyperlink"/>
    <w:autoRedefine/>
    <w:qFormat/>
    <w:uiPriority w:val="0"/>
    <w:rPr>
      <w:color w:val="333333"/>
      <w:u w:val="none"/>
    </w:rPr>
  </w:style>
  <w:style w:type="character" w:styleId="40">
    <w:name w:val="Emphasis"/>
    <w:autoRedefine/>
    <w:qFormat/>
    <w:uiPriority w:val="20"/>
    <w:rPr>
      <w:i/>
      <w:iCs/>
    </w:rPr>
  </w:style>
  <w:style w:type="character" w:styleId="41">
    <w:name w:val="HTML Definition"/>
    <w:autoRedefine/>
    <w:qFormat/>
    <w:uiPriority w:val="0"/>
  </w:style>
  <w:style w:type="character" w:styleId="42">
    <w:name w:val="HTML Typewriter"/>
    <w:autoRedefine/>
    <w:qFormat/>
    <w:uiPriority w:val="0"/>
    <w:rPr>
      <w:rFonts w:ascii="monospace" w:hAnsi="monospace" w:eastAsia="monospace" w:cs="monospace"/>
      <w:sz w:val="20"/>
    </w:rPr>
  </w:style>
  <w:style w:type="character" w:styleId="43">
    <w:name w:val="HTML Acronym"/>
    <w:autoRedefine/>
    <w:qFormat/>
    <w:uiPriority w:val="0"/>
  </w:style>
  <w:style w:type="character" w:styleId="44">
    <w:name w:val="HTML Variable"/>
    <w:autoRedefine/>
    <w:qFormat/>
    <w:uiPriority w:val="0"/>
  </w:style>
  <w:style w:type="character" w:styleId="45">
    <w:name w:val="Hyperlink"/>
    <w:autoRedefine/>
    <w:qFormat/>
    <w:uiPriority w:val="99"/>
    <w:rPr>
      <w:color w:val="333333"/>
      <w:u w:val="none"/>
    </w:rPr>
  </w:style>
  <w:style w:type="character" w:styleId="46">
    <w:name w:val="HTML Code"/>
    <w:autoRedefine/>
    <w:qFormat/>
    <w:uiPriority w:val="0"/>
    <w:rPr>
      <w:rFonts w:hint="default" w:ascii="monospace" w:hAnsi="monospace" w:eastAsia="monospace" w:cs="monospace"/>
      <w:sz w:val="20"/>
    </w:rPr>
  </w:style>
  <w:style w:type="character" w:styleId="47">
    <w:name w:val="annotation reference"/>
    <w:autoRedefine/>
    <w:qFormat/>
    <w:uiPriority w:val="0"/>
    <w:rPr>
      <w:sz w:val="21"/>
      <w:szCs w:val="21"/>
    </w:rPr>
  </w:style>
  <w:style w:type="character" w:styleId="48">
    <w:name w:val="HTML Cite"/>
    <w:autoRedefine/>
    <w:qFormat/>
    <w:uiPriority w:val="0"/>
  </w:style>
  <w:style w:type="character" w:styleId="49">
    <w:name w:val="HTML Keyboard"/>
    <w:autoRedefine/>
    <w:qFormat/>
    <w:uiPriority w:val="0"/>
    <w:rPr>
      <w:rFonts w:hint="default" w:ascii="monospace" w:hAnsi="monospace" w:eastAsia="monospace" w:cs="monospace"/>
      <w:sz w:val="20"/>
    </w:rPr>
  </w:style>
  <w:style w:type="character" w:styleId="50">
    <w:name w:val="HTML Sample"/>
    <w:autoRedefine/>
    <w:qFormat/>
    <w:uiPriority w:val="0"/>
    <w:rPr>
      <w:rFonts w:hint="default" w:ascii="monospace" w:hAnsi="monospace" w:eastAsia="monospace" w:cs="monospace"/>
    </w:rPr>
  </w:style>
  <w:style w:type="paragraph" w:customStyle="1" w:styleId="51">
    <w:name w:val="正文文字 8"/>
    <w:basedOn w:val="1"/>
    <w:next w:val="1"/>
    <w:autoRedefine/>
    <w:qFormat/>
    <w:uiPriority w:val="0"/>
    <w:pPr>
      <w:ind w:left="240"/>
    </w:pPr>
    <w:rPr>
      <w:sz w:val="16"/>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3"/>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2"/>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6"/>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6"/>
    <w:autoRedefine/>
    <w:qFormat/>
    <w:uiPriority w:val="0"/>
    <w:rPr>
      <w:b/>
      <w:bCs/>
      <w:color w:val="FF7800"/>
    </w:rPr>
  </w:style>
  <w:style w:type="character" w:customStyle="1" w:styleId="130">
    <w:name w:val="a-desc"/>
    <w:basedOn w:val="36"/>
    <w:autoRedefine/>
    <w:qFormat/>
    <w:uiPriority w:val="0"/>
    <w:rPr>
      <w:color w:val="315EFB"/>
    </w:rPr>
  </w:style>
  <w:style w:type="character" w:customStyle="1" w:styleId="131">
    <w:name w:val="bg"/>
    <w:basedOn w:val="36"/>
    <w:autoRedefine/>
    <w:qFormat/>
    <w:uiPriority w:val="0"/>
    <w:rPr>
      <w:shd w:val="clear" w:color="auto" w:fill="000000"/>
    </w:rPr>
  </w:style>
  <w:style w:type="character" w:customStyle="1" w:styleId="132">
    <w:name w:val="bg1"/>
    <w:basedOn w:val="36"/>
    <w:autoRedefine/>
    <w:qFormat/>
    <w:uiPriority w:val="0"/>
    <w:rPr>
      <w:shd w:val="clear" w:color="auto" w:fill="000000"/>
    </w:rPr>
  </w:style>
  <w:style w:type="character" w:customStyle="1" w:styleId="133">
    <w:name w:val="bg2"/>
    <w:basedOn w:val="36"/>
    <w:autoRedefine/>
    <w:qFormat/>
    <w:uiPriority w:val="0"/>
    <w:rPr>
      <w:shd w:val="clear" w:color="auto" w:fill="000000"/>
    </w:rPr>
  </w:style>
  <w:style w:type="character" w:customStyle="1" w:styleId="134">
    <w:name w:val="iknow-qb-ad-sou-icon"/>
    <w:basedOn w:val="36"/>
    <w:autoRedefine/>
    <w:qFormat/>
    <w:uiPriority w:val="0"/>
  </w:style>
  <w:style w:type="character" w:customStyle="1" w:styleId="135">
    <w:name w:val="del-btn"/>
    <w:basedOn w:val="36"/>
    <w:autoRedefine/>
    <w:qFormat/>
    <w:uiPriority w:val="0"/>
  </w:style>
  <w:style w:type="character" w:customStyle="1" w:styleId="136">
    <w:name w:val="del-btn1"/>
    <w:basedOn w:val="36"/>
    <w:autoRedefine/>
    <w:qFormat/>
    <w:uiPriority w:val="0"/>
  </w:style>
  <w:style w:type="character" w:customStyle="1" w:styleId="137">
    <w:name w:val="del-btn2"/>
    <w:basedOn w:val="36"/>
    <w:autoRedefine/>
    <w:qFormat/>
    <w:uiPriority w:val="0"/>
  </w:style>
  <w:style w:type="character" w:customStyle="1" w:styleId="138">
    <w:name w:val="answer-title"/>
    <w:basedOn w:val="36"/>
    <w:autoRedefine/>
    <w:qFormat/>
    <w:uiPriority w:val="0"/>
  </w:style>
  <w:style w:type="character" w:customStyle="1" w:styleId="139">
    <w:name w:val="new-icon2"/>
    <w:basedOn w:val="36"/>
    <w:autoRedefine/>
    <w:qFormat/>
    <w:uiPriority w:val="0"/>
  </w:style>
  <w:style w:type="character" w:customStyle="1" w:styleId="140">
    <w:name w:val="new-icon3"/>
    <w:basedOn w:val="36"/>
    <w:autoRedefine/>
    <w:qFormat/>
    <w:uiPriority w:val="0"/>
  </w:style>
  <w:style w:type="character" w:customStyle="1" w:styleId="141">
    <w:name w:val="green"/>
    <w:basedOn w:val="36"/>
    <w:autoRedefine/>
    <w:qFormat/>
    <w:uiPriority w:val="0"/>
    <w:rPr>
      <w:color w:val="3B6FFF"/>
    </w:rPr>
  </w:style>
  <w:style w:type="character" w:customStyle="1" w:styleId="142">
    <w:name w:val="green1"/>
    <w:basedOn w:val="36"/>
    <w:autoRedefine/>
    <w:qFormat/>
    <w:uiPriority w:val="0"/>
    <w:rPr>
      <w:color w:val="3B6FFF"/>
    </w:rPr>
  </w:style>
  <w:style w:type="character" w:customStyle="1" w:styleId="143">
    <w:name w:val="green2"/>
    <w:basedOn w:val="36"/>
    <w:autoRedefine/>
    <w:qFormat/>
    <w:uiPriority w:val="0"/>
    <w:rPr>
      <w:color w:val="4DC86F"/>
    </w:rPr>
  </w:style>
  <w:style w:type="character" w:customStyle="1" w:styleId="144">
    <w:name w:val="green3"/>
    <w:basedOn w:val="36"/>
    <w:autoRedefine/>
    <w:qFormat/>
    <w:uiPriority w:val="0"/>
    <w:rPr>
      <w:color w:val="4DC86F"/>
    </w:rPr>
  </w:style>
  <w:style w:type="character" w:customStyle="1" w:styleId="145">
    <w:name w:val="answer-title2"/>
    <w:basedOn w:val="36"/>
    <w:autoRedefine/>
    <w:qFormat/>
    <w:uiPriority w:val="0"/>
  </w:style>
  <w:style w:type="character" w:customStyle="1" w:styleId="146">
    <w:name w:val="new-icon"/>
    <w:basedOn w:val="36"/>
    <w:autoRedefine/>
    <w:qFormat/>
    <w:uiPriority w:val="0"/>
  </w:style>
  <w:style w:type="character" w:customStyle="1" w:styleId="147">
    <w:name w:val="new-icon1"/>
    <w:basedOn w:val="36"/>
    <w:autoRedefine/>
    <w:qFormat/>
    <w:uiPriority w:val="0"/>
  </w:style>
  <w:style w:type="character" w:customStyle="1" w:styleId="148">
    <w:name w:val="font31"/>
    <w:basedOn w:val="36"/>
    <w:autoRedefine/>
    <w:qFormat/>
    <w:uiPriority w:val="0"/>
    <w:rPr>
      <w:rFonts w:hint="eastAsia" w:ascii="宋体" w:hAnsi="宋体" w:eastAsia="宋体" w:cs="宋体"/>
      <w:color w:val="000000"/>
      <w:sz w:val="21"/>
      <w:szCs w:val="21"/>
      <w:u w:val="none"/>
    </w:rPr>
  </w:style>
  <w:style w:type="character" w:customStyle="1" w:styleId="149">
    <w:name w:val="font51"/>
    <w:basedOn w:val="36"/>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14884</Words>
  <Characters>16236</Characters>
  <Lines>358</Lines>
  <Paragraphs>100</Paragraphs>
  <TotalTime>0</TotalTime>
  <ScaleCrop>false</ScaleCrop>
  <LinksUpToDate>false</LinksUpToDate>
  <CharactersWithSpaces>18968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韦韦</cp:lastModifiedBy>
  <cp:lastPrinted>2023-12-15T01:51:00Z</cp:lastPrinted>
  <dcterms:modified xsi:type="dcterms:W3CDTF">2026-08-31T08:00:38Z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9DE97A078242434B8B3280E52CDBE9A2_13</vt:lpwstr>
  </property>
  <property fmtid="{D5CDD505-2E9C-101B-9397-08002B2CF9AE}" pid="4" name="KSOTemplateDocerSaveRecord">
    <vt:lpwstr>eyJoZGlkIjoiZmQ5MGI3YTdkMjVkZTZjM2ZjZTQ5YjMxYTJjZjRlOWEiLCJ1c2VySWQiOiIzNjE4MjQ5In0=</vt:lpwstr>
  </property>
</Properties>
</file>